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7.xml" ContentType="application/vnd.openxmlformats-officedocument.drawingml.chart+xml"/>
  <Override PartName="/word/charts/chart18.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9.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0.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1.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2.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3.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4.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5.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6.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7.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8.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9.xml" ContentType="application/vnd.openxmlformats-officedocument.drawingml.chart+xml"/>
  <Override PartName="/word/charts/style25.xml" ContentType="application/vnd.ms-office.chartstyle+xml"/>
  <Override PartName="/word/charts/colors2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30911" w14:textId="77777777" w:rsidR="006C4A6A" w:rsidRDefault="006C4A6A" w:rsidP="006C4A6A"/>
    <w:p w14:paraId="130F9FA1" w14:textId="77777777" w:rsidR="006C4A6A" w:rsidRDefault="006C4A6A" w:rsidP="006C4A6A">
      <w:pPr>
        <w:jc w:val="center"/>
        <w:rPr>
          <w:rFonts w:ascii="Times New Roman" w:hAnsi="Times New Roman"/>
          <w:b/>
          <w:sz w:val="36"/>
          <w:szCs w:val="36"/>
        </w:rPr>
      </w:pPr>
    </w:p>
    <w:p w14:paraId="596B9DC8" w14:textId="77777777" w:rsidR="006C4A6A" w:rsidRDefault="006C4A6A" w:rsidP="006C4A6A">
      <w:pPr>
        <w:jc w:val="center"/>
        <w:rPr>
          <w:rFonts w:ascii="Times New Roman" w:hAnsi="Times New Roman"/>
          <w:b/>
          <w:sz w:val="36"/>
          <w:szCs w:val="36"/>
        </w:rPr>
      </w:pPr>
    </w:p>
    <w:p w14:paraId="1090E7A3" w14:textId="77777777" w:rsidR="006C4A6A" w:rsidRDefault="006C4A6A" w:rsidP="006C4A6A">
      <w:pPr>
        <w:jc w:val="center"/>
        <w:rPr>
          <w:rFonts w:ascii="Times New Roman" w:hAnsi="Times New Roman"/>
          <w:b/>
          <w:sz w:val="36"/>
          <w:szCs w:val="36"/>
        </w:rPr>
      </w:pPr>
    </w:p>
    <w:p w14:paraId="221313DC" w14:textId="77777777" w:rsidR="006C4A6A" w:rsidRDefault="006C4A6A" w:rsidP="006C4A6A">
      <w:pPr>
        <w:jc w:val="center"/>
        <w:rPr>
          <w:rFonts w:ascii="Times New Roman" w:hAnsi="Times New Roman"/>
          <w:b/>
          <w:sz w:val="36"/>
          <w:szCs w:val="36"/>
        </w:rPr>
      </w:pPr>
    </w:p>
    <w:p w14:paraId="50EDA8E0" w14:textId="77777777" w:rsidR="006C4A6A" w:rsidRPr="00220277" w:rsidRDefault="006C4A6A" w:rsidP="006C4A6A">
      <w:pPr>
        <w:jc w:val="center"/>
        <w:rPr>
          <w:rFonts w:ascii="Times New Roman" w:hAnsi="Times New Roman"/>
          <w:b/>
          <w:sz w:val="36"/>
          <w:szCs w:val="36"/>
        </w:rPr>
      </w:pPr>
      <w:r w:rsidRPr="00220277">
        <w:rPr>
          <w:rFonts w:ascii="Times New Roman" w:hAnsi="Times New Roman"/>
          <w:b/>
          <w:sz w:val="36"/>
          <w:szCs w:val="36"/>
        </w:rPr>
        <w:t>Informatīvais ziņojums</w:t>
      </w:r>
    </w:p>
    <w:p w14:paraId="48747DEE" w14:textId="77777777" w:rsidR="006C4A6A" w:rsidRDefault="006C4A6A" w:rsidP="006C4A6A">
      <w:pPr>
        <w:spacing w:line="240" w:lineRule="auto"/>
        <w:jc w:val="center"/>
        <w:rPr>
          <w:rFonts w:ascii="Times New Roman" w:hAnsi="Times New Roman"/>
          <w:b/>
          <w:caps/>
          <w:color w:val="1F4E79" w:themeColor="accent5" w:themeShade="80"/>
          <w:sz w:val="36"/>
          <w:szCs w:val="36"/>
        </w:rPr>
      </w:pPr>
    </w:p>
    <w:p w14:paraId="380FE429" w14:textId="342E9E31" w:rsidR="006C4A6A" w:rsidRPr="00AA0408" w:rsidRDefault="006C4A6A" w:rsidP="006C4A6A">
      <w:pPr>
        <w:spacing w:line="276" w:lineRule="auto"/>
        <w:ind w:firstLine="0"/>
        <w:jc w:val="center"/>
        <w:rPr>
          <w:rFonts w:ascii="Times New Roman" w:hAnsi="Times New Roman"/>
          <w:b/>
          <w:caps/>
          <w:color w:val="009999"/>
          <w:sz w:val="36"/>
          <w:szCs w:val="36"/>
          <w:shd w:val="clear" w:color="auto" w:fill="FFFFFF"/>
        </w:rPr>
      </w:pPr>
      <w:r w:rsidRPr="00AA0408">
        <w:rPr>
          <w:rFonts w:ascii="Times New Roman" w:hAnsi="Times New Roman"/>
          <w:b/>
          <w:caps/>
          <w:color w:val="009999"/>
          <w:sz w:val="36"/>
          <w:szCs w:val="36"/>
        </w:rPr>
        <w:t>Par prognozētām izmaiņām darbaspēka un būvmateriālu izmaksās būvniecības nozarē</w:t>
      </w:r>
      <w:r w:rsidRPr="00AA0408">
        <w:rPr>
          <w:rFonts w:ascii="Times New Roman" w:hAnsi="Times New Roman"/>
          <w:b/>
          <w:caps/>
          <w:color w:val="009999"/>
          <w:sz w:val="36"/>
          <w:szCs w:val="36"/>
          <w:shd w:val="clear" w:color="auto" w:fill="FFFFFF"/>
        </w:rPr>
        <w:t xml:space="preserve"> un to ietekmi uz tautsaimniecību</w:t>
      </w:r>
    </w:p>
    <w:p w14:paraId="54B0C46C" w14:textId="32412B72" w:rsidR="006C4A6A" w:rsidRDefault="006C4A6A" w:rsidP="006C4A6A">
      <w:pPr>
        <w:spacing w:line="276" w:lineRule="auto"/>
        <w:ind w:firstLine="0"/>
        <w:jc w:val="center"/>
        <w:rPr>
          <w:rFonts w:ascii="Times New Roman" w:hAnsi="Times New Roman"/>
          <w:b/>
          <w:color w:val="1F4E79" w:themeColor="accent5" w:themeShade="80"/>
          <w:sz w:val="36"/>
          <w:szCs w:val="36"/>
          <w:shd w:val="clear" w:color="auto" w:fill="FFFFFF"/>
        </w:rPr>
      </w:pPr>
      <w:r w:rsidRPr="00AA0408">
        <w:rPr>
          <w:rFonts w:ascii="Times New Roman" w:hAnsi="Times New Roman"/>
          <w:b/>
          <w:caps/>
          <w:color w:val="009999"/>
          <w:sz w:val="36"/>
          <w:szCs w:val="36"/>
          <w:shd w:val="clear" w:color="auto" w:fill="FFFFFF"/>
        </w:rPr>
        <w:t>2021.- 2025.</w:t>
      </w:r>
    </w:p>
    <w:p w14:paraId="2D48628C" w14:textId="5673A2A2"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2D32F838" w14:textId="17694E3E"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3DEB6874" w14:textId="02F9746F"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36F476BB" w14:textId="5B7BA473"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3160A951" w14:textId="644C6496"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61BBB85D" w14:textId="799CBADF"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0CB9FD38" w14:textId="5633F8BA"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22D9D7EE" w14:textId="1A3D8F91"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46B979CE" w14:textId="54829C4A"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31B2B586" w14:textId="2FEAAC13"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58D818F0" w14:textId="75418654"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6DCB27DE" w14:textId="25C56A75"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2191D941" w14:textId="734868C7"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3BE89626" w14:textId="64D51362"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5D557FCD" w14:textId="05EFEF61"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60BF0898" w14:textId="1BB99D71"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12C324EA" w14:textId="77777777" w:rsidR="006C4A6A" w:rsidRDefault="006C4A6A" w:rsidP="006C4A6A">
      <w:pPr>
        <w:spacing w:line="240" w:lineRule="auto"/>
        <w:ind w:firstLine="0"/>
        <w:jc w:val="center"/>
        <w:rPr>
          <w:rFonts w:ascii="Times New Roman" w:hAnsi="Times New Roman"/>
          <w:b/>
          <w:color w:val="1F4E79" w:themeColor="accent5" w:themeShade="80"/>
          <w:sz w:val="36"/>
          <w:szCs w:val="36"/>
          <w:shd w:val="clear" w:color="auto" w:fill="FFFFFF"/>
        </w:rPr>
      </w:pPr>
    </w:p>
    <w:p w14:paraId="0C96AE15" w14:textId="77777777" w:rsidR="00C669CB" w:rsidRDefault="00C669CB" w:rsidP="006C4A6A">
      <w:pPr>
        <w:spacing w:line="240" w:lineRule="auto"/>
        <w:ind w:firstLine="0"/>
        <w:jc w:val="center"/>
        <w:rPr>
          <w:rFonts w:ascii="Times New Roman" w:hAnsi="Times New Roman"/>
          <w:b/>
          <w:sz w:val="28"/>
          <w:szCs w:val="28"/>
          <w:shd w:val="clear" w:color="auto" w:fill="FFFFFF"/>
        </w:rPr>
      </w:pPr>
    </w:p>
    <w:p w14:paraId="3E7C7D15" w14:textId="77777777" w:rsidR="00C669CB" w:rsidRDefault="00C669CB" w:rsidP="006C4A6A">
      <w:pPr>
        <w:spacing w:line="240" w:lineRule="auto"/>
        <w:ind w:firstLine="0"/>
        <w:jc w:val="center"/>
        <w:rPr>
          <w:rFonts w:ascii="Times New Roman" w:hAnsi="Times New Roman"/>
          <w:b/>
          <w:sz w:val="28"/>
          <w:szCs w:val="28"/>
          <w:shd w:val="clear" w:color="auto" w:fill="FFFFFF"/>
        </w:rPr>
      </w:pPr>
    </w:p>
    <w:p w14:paraId="75B46D06" w14:textId="0BA11A59" w:rsidR="006C4A6A" w:rsidRPr="00C669CB" w:rsidRDefault="006C4A6A" w:rsidP="006C4A6A">
      <w:pPr>
        <w:spacing w:line="240" w:lineRule="auto"/>
        <w:ind w:firstLine="0"/>
        <w:jc w:val="center"/>
        <w:rPr>
          <w:rFonts w:ascii="Times New Roman" w:hAnsi="Times New Roman"/>
          <w:b/>
          <w:sz w:val="28"/>
          <w:szCs w:val="28"/>
          <w:shd w:val="clear" w:color="auto" w:fill="FFFFFF"/>
        </w:rPr>
      </w:pPr>
      <w:r w:rsidRPr="00C669CB">
        <w:rPr>
          <w:rFonts w:ascii="Times New Roman" w:hAnsi="Times New Roman"/>
          <w:b/>
          <w:sz w:val="28"/>
          <w:szCs w:val="28"/>
          <w:shd w:val="clear" w:color="auto" w:fill="FFFFFF"/>
        </w:rPr>
        <w:t>2021</w:t>
      </w:r>
    </w:p>
    <w:p w14:paraId="4CF94EC7" w14:textId="4F23A083" w:rsidR="006C4A6A" w:rsidRDefault="006C4A6A">
      <w:pPr>
        <w:spacing w:after="160" w:line="259" w:lineRule="auto"/>
        <w:ind w:firstLine="0"/>
        <w:jc w:val="left"/>
        <w:rPr>
          <w:rFonts w:ascii="Times New Roman" w:hAnsi="Times New Roman"/>
          <w:b/>
          <w:color w:val="1F4E79" w:themeColor="accent5" w:themeShade="80"/>
          <w:sz w:val="36"/>
          <w:szCs w:val="36"/>
          <w:shd w:val="clear" w:color="auto" w:fill="FFFFFF"/>
        </w:rPr>
      </w:pPr>
      <w:r>
        <w:rPr>
          <w:rFonts w:ascii="Times New Roman" w:hAnsi="Times New Roman"/>
          <w:b/>
          <w:color w:val="1F4E79" w:themeColor="accent5" w:themeShade="80"/>
          <w:sz w:val="36"/>
          <w:szCs w:val="36"/>
          <w:shd w:val="clear" w:color="auto" w:fill="FFFFFF"/>
        </w:rPr>
        <w:br w:type="page"/>
      </w:r>
    </w:p>
    <w:p w14:paraId="24D1ABFB" w14:textId="77777777" w:rsidR="00C669CB" w:rsidRDefault="00C669CB">
      <w:pPr>
        <w:spacing w:after="160" w:line="259" w:lineRule="auto"/>
        <w:ind w:firstLine="0"/>
        <w:jc w:val="left"/>
        <w:rPr>
          <w:rFonts w:ascii="Times New Roman" w:hAnsi="Times New Roman"/>
          <w:b/>
          <w:color w:val="1F4E79" w:themeColor="accent5" w:themeShade="80"/>
          <w:sz w:val="36"/>
          <w:szCs w:val="36"/>
          <w:shd w:val="clear" w:color="auto" w:fill="FFFFFF"/>
        </w:rPr>
      </w:pPr>
    </w:p>
    <w:sdt>
      <w:sdtPr>
        <w:rPr>
          <w:rFonts w:asciiTheme="minorHAnsi" w:eastAsiaTheme="minorHAnsi" w:hAnsiTheme="minorHAnsi" w:cstheme="minorBidi"/>
          <w:color w:val="auto"/>
          <w:sz w:val="22"/>
          <w:szCs w:val="22"/>
          <w:lang w:eastAsia="en-US"/>
        </w:rPr>
        <w:id w:val="1082881192"/>
        <w:docPartObj>
          <w:docPartGallery w:val="Table of Contents"/>
          <w:docPartUnique/>
        </w:docPartObj>
      </w:sdtPr>
      <w:sdtEndPr>
        <w:rPr>
          <w:b/>
          <w:bCs/>
          <w:noProof/>
        </w:rPr>
      </w:sdtEndPr>
      <w:sdtContent>
        <w:p w14:paraId="4D9E86D3" w14:textId="5F38D30C" w:rsidR="00182520" w:rsidRPr="00182520" w:rsidRDefault="00182520" w:rsidP="001F7EC0">
          <w:pPr>
            <w:pStyle w:val="TOCHeading"/>
            <w:spacing w:before="0" w:after="60" w:line="360" w:lineRule="auto"/>
            <w:ind w:left="425" w:right="1843"/>
            <w:rPr>
              <w:color w:val="008080"/>
            </w:rPr>
          </w:pPr>
          <w:r w:rsidRPr="00182520">
            <w:rPr>
              <w:color w:val="008080"/>
            </w:rPr>
            <w:t>Saturs</w:t>
          </w:r>
        </w:p>
        <w:p w14:paraId="470673A7" w14:textId="77777777" w:rsidR="00182520" w:rsidRPr="004B1626" w:rsidRDefault="00182520" w:rsidP="004B1626">
          <w:pPr>
            <w:spacing w:after="60"/>
            <w:ind w:left="425" w:right="1843" w:firstLine="0"/>
            <w:rPr>
              <w:lang w:eastAsia="lv-LV"/>
            </w:rPr>
          </w:pPr>
        </w:p>
        <w:p w14:paraId="1265EC79" w14:textId="0A02543F" w:rsidR="006415DF" w:rsidRPr="004B1626" w:rsidRDefault="00182520" w:rsidP="004B1626">
          <w:pPr>
            <w:pStyle w:val="TOC1"/>
            <w:rPr>
              <w:rFonts w:eastAsiaTheme="minorEastAsia"/>
              <w:sz w:val="22"/>
              <w:szCs w:val="22"/>
              <w:lang w:eastAsia="lv-LV"/>
            </w:rPr>
          </w:pPr>
          <w:r w:rsidRPr="004B1626">
            <w:fldChar w:fldCharType="begin"/>
          </w:r>
          <w:r w:rsidRPr="004B1626">
            <w:instrText xml:space="preserve"> TOC \o "1-3" \h \z \u </w:instrText>
          </w:r>
          <w:r w:rsidRPr="004B1626">
            <w:fldChar w:fldCharType="separate"/>
          </w:r>
          <w:hyperlink w:anchor="_Toc80109856" w:history="1">
            <w:r w:rsidR="006415DF" w:rsidRPr="004B1626">
              <w:rPr>
                <w:rStyle w:val="Hyperlink"/>
              </w:rPr>
              <w:t>Izmantotie saīsinājumi un termini</w:t>
            </w:r>
            <w:r w:rsidR="006415DF" w:rsidRPr="004B1626">
              <w:rPr>
                <w:webHidden/>
              </w:rPr>
              <w:tab/>
            </w:r>
            <w:r w:rsidR="004B1626" w:rsidRPr="004B1626">
              <w:rPr>
                <w:webHidden/>
              </w:rPr>
              <w:tab/>
            </w:r>
            <w:r w:rsidR="006415DF" w:rsidRPr="004B1626">
              <w:rPr>
                <w:webHidden/>
              </w:rPr>
              <w:fldChar w:fldCharType="begin"/>
            </w:r>
            <w:r w:rsidR="006415DF" w:rsidRPr="004B1626">
              <w:rPr>
                <w:webHidden/>
              </w:rPr>
              <w:instrText xml:space="preserve"> PAGEREF _Toc80109856 \h </w:instrText>
            </w:r>
            <w:r w:rsidR="006415DF" w:rsidRPr="004B1626">
              <w:rPr>
                <w:webHidden/>
              </w:rPr>
            </w:r>
            <w:r w:rsidR="006415DF" w:rsidRPr="004B1626">
              <w:rPr>
                <w:webHidden/>
              </w:rPr>
              <w:fldChar w:fldCharType="separate"/>
            </w:r>
            <w:r w:rsidR="006415DF" w:rsidRPr="004B1626">
              <w:rPr>
                <w:webHidden/>
              </w:rPr>
              <w:t>3</w:t>
            </w:r>
            <w:r w:rsidR="006415DF" w:rsidRPr="004B1626">
              <w:rPr>
                <w:webHidden/>
              </w:rPr>
              <w:fldChar w:fldCharType="end"/>
            </w:r>
          </w:hyperlink>
        </w:p>
        <w:p w14:paraId="6B2D9C85" w14:textId="16669A5B" w:rsidR="006415DF" w:rsidRPr="004B1626" w:rsidRDefault="00F43189" w:rsidP="004B1626">
          <w:pPr>
            <w:pStyle w:val="TOC1"/>
            <w:rPr>
              <w:rFonts w:eastAsiaTheme="minorEastAsia"/>
              <w:sz w:val="22"/>
              <w:szCs w:val="22"/>
              <w:lang w:eastAsia="lv-LV"/>
            </w:rPr>
          </w:pPr>
          <w:hyperlink w:anchor="_Toc80109857" w:history="1">
            <w:r w:rsidR="006415DF" w:rsidRPr="004B1626">
              <w:rPr>
                <w:rStyle w:val="Hyperlink"/>
              </w:rPr>
              <w:t>1.</w:t>
            </w:r>
            <w:r w:rsidR="006415DF" w:rsidRPr="004B1626">
              <w:rPr>
                <w:rFonts w:eastAsiaTheme="minorEastAsia"/>
                <w:sz w:val="22"/>
                <w:szCs w:val="22"/>
                <w:lang w:eastAsia="lv-LV"/>
              </w:rPr>
              <w:tab/>
            </w:r>
            <w:r w:rsidR="006415DF" w:rsidRPr="004B1626">
              <w:rPr>
                <w:rStyle w:val="Hyperlink"/>
              </w:rPr>
              <w:t>Būvniecības nozares attīstību raksturojošie rādītāji</w:t>
            </w:r>
            <w:r w:rsidR="006415DF" w:rsidRPr="004B1626">
              <w:rPr>
                <w:webHidden/>
              </w:rPr>
              <w:tab/>
            </w:r>
            <w:r w:rsidR="004B1626" w:rsidRPr="004B1626">
              <w:rPr>
                <w:webHidden/>
              </w:rPr>
              <w:tab/>
            </w:r>
            <w:r w:rsidR="006415DF" w:rsidRPr="004B1626">
              <w:rPr>
                <w:webHidden/>
              </w:rPr>
              <w:fldChar w:fldCharType="begin"/>
            </w:r>
            <w:r w:rsidR="006415DF" w:rsidRPr="004B1626">
              <w:rPr>
                <w:webHidden/>
              </w:rPr>
              <w:instrText xml:space="preserve"> PAGEREF _Toc80109857 \h </w:instrText>
            </w:r>
            <w:r w:rsidR="006415DF" w:rsidRPr="004B1626">
              <w:rPr>
                <w:webHidden/>
              </w:rPr>
            </w:r>
            <w:r w:rsidR="006415DF" w:rsidRPr="004B1626">
              <w:rPr>
                <w:webHidden/>
              </w:rPr>
              <w:fldChar w:fldCharType="separate"/>
            </w:r>
            <w:r w:rsidR="006415DF" w:rsidRPr="004B1626">
              <w:rPr>
                <w:webHidden/>
              </w:rPr>
              <w:t>5</w:t>
            </w:r>
            <w:r w:rsidR="006415DF" w:rsidRPr="004B1626">
              <w:rPr>
                <w:webHidden/>
              </w:rPr>
              <w:fldChar w:fldCharType="end"/>
            </w:r>
          </w:hyperlink>
        </w:p>
        <w:p w14:paraId="4FDA8DDB" w14:textId="793C41A3" w:rsidR="006415DF" w:rsidRPr="004B1626" w:rsidRDefault="00F43189" w:rsidP="004B1626">
          <w:pPr>
            <w:pStyle w:val="TOC1"/>
            <w:rPr>
              <w:rFonts w:eastAsiaTheme="minorEastAsia"/>
              <w:sz w:val="22"/>
              <w:szCs w:val="22"/>
              <w:lang w:eastAsia="lv-LV"/>
            </w:rPr>
          </w:pPr>
          <w:hyperlink w:anchor="_Toc80109858" w:history="1">
            <w:r w:rsidR="006415DF" w:rsidRPr="004B1626">
              <w:rPr>
                <w:rStyle w:val="Hyperlink"/>
              </w:rPr>
              <w:t>2.</w:t>
            </w:r>
            <w:r w:rsidR="006415DF" w:rsidRPr="004B1626">
              <w:rPr>
                <w:rFonts w:eastAsiaTheme="minorEastAsia"/>
                <w:sz w:val="22"/>
                <w:szCs w:val="22"/>
                <w:lang w:eastAsia="lv-LV"/>
              </w:rPr>
              <w:tab/>
            </w:r>
            <w:r w:rsidR="006415DF" w:rsidRPr="004B1626">
              <w:rPr>
                <w:rStyle w:val="Hyperlink"/>
              </w:rPr>
              <w:t>Pētījums par prognozētām izmaiņām darbaspēka un būvmateriālu izmaksās būvniecības nozarē Latvijā</w:t>
            </w:r>
            <w:r w:rsidR="006415DF" w:rsidRPr="004B1626">
              <w:rPr>
                <w:webHidden/>
              </w:rPr>
              <w:tab/>
            </w:r>
            <w:r w:rsidR="004B1626" w:rsidRPr="004B1626">
              <w:rPr>
                <w:webHidden/>
              </w:rPr>
              <w:tab/>
            </w:r>
            <w:r w:rsidR="006415DF" w:rsidRPr="004B1626">
              <w:rPr>
                <w:webHidden/>
              </w:rPr>
              <w:fldChar w:fldCharType="begin"/>
            </w:r>
            <w:r w:rsidR="006415DF" w:rsidRPr="004B1626">
              <w:rPr>
                <w:webHidden/>
              </w:rPr>
              <w:instrText xml:space="preserve"> PAGEREF _Toc80109858 \h </w:instrText>
            </w:r>
            <w:r w:rsidR="006415DF" w:rsidRPr="004B1626">
              <w:rPr>
                <w:webHidden/>
              </w:rPr>
            </w:r>
            <w:r w:rsidR="006415DF" w:rsidRPr="004B1626">
              <w:rPr>
                <w:webHidden/>
              </w:rPr>
              <w:fldChar w:fldCharType="separate"/>
            </w:r>
            <w:r w:rsidR="006415DF" w:rsidRPr="004B1626">
              <w:rPr>
                <w:webHidden/>
              </w:rPr>
              <w:t>10</w:t>
            </w:r>
            <w:r w:rsidR="006415DF" w:rsidRPr="004B1626">
              <w:rPr>
                <w:webHidden/>
              </w:rPr>
              <w:fldChar w:fldCharType="end"/>
            </w:r>
          </w:hyperlink>
        </w:p>
        <w:p w14:paraId="0E80E7FF" w14:textId="31ACDEB8" w:rsidR="006415DF" w:rsidRPr="004B1626" w:rsidRDefault="00F43189" w:rsidP="004B1626">
          <w:pPr>
            <w:pStyle w:val="TOC2"/>
            <w:rPr>
              <w:rFonts w:eastAsiaTheme="minorEastAsia"/>
              <w:noProof/>
              <w:lang w:eastAsia="lv-LV"/>
            </w:rPr>
          </w:pPr>
          <w:hyperlink w:anchor="_Toc80109859" w:history="1">
            <w:r w:rsidR="006415DF" w:rsidRPr="004B1626">
              <w:rPr>
                <w:rStyle w:val="Hyperlink"/>
                <w:noProof/>
              </w:rPr>
              <w:t>2.1.Prognožu salīdzinājums ar iepriekšējiem gadiem un ekspertu struktūra</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_Toc80109859 \h </w:instrText>
            </w:r>
            <w:r w:rsidR="006415DF" w:rsidRPr="004B1626">
              <w:rPr>
                <w:noProof/>
                <w:webHidden/>
              </w:rPr>
            </w:r>
            <w:r w:rsidR="006415DF" w:rsidRPr="004B1626">
              <w:rPr>
                <w:noProof/>
                <w:webHidden/>
              </w:rPr>
              <w:fldChar w:fldCharType="separate"/>
            </w:r>
            <w:r w:rsidR="006415DF" w:rsidRPr="004B1626">
              <w:rPr>
                <w:noProof/>
                <w:webHidden/>
              </w:rPr>
              <w:t>10</w:t>
            </w:r>
            <w:r w:rsidR="006415DF" w:rsidRPr="004B1626">
              <w:rPr>
                <w:noProof/>
                <w:webHidden/>
              </w:rPr>
              <w:fldChar w:fldCharType="end"/>
            </w:r>
          </w:hyperlink>
        </w:p>
        <w:p w14:paraId="0250E886" w14:textId="4FE91501" w:rsidR="006415DF" w:rsidRPr="004B1626" w:rsidRDefault="00F43189" w:rsidP="004B1626">
          <w:pPr>
            <w:pStyle w:val="TOC2"/>
            <w:rPr>
              <w:rFonts w:eastAsiaTheme="minorEastAsia"/>
              <w:noProof/>
              <w:lang w:eastAsia="lv-LV"/>
            </w:rPr>
          </w:pPr>
          <w:hyperlink w:anchor="_Toc80109860" w:history="1">
            <w:r w:rsidR="006415DF" w:rsidRPr="004B1626">
              <w:rPr>
                <w:rStyle w:val="Hyperlink"/>
                <w:noProof/>
              </w:rPr>
              <w:t>2.2.Prognozētās būvniecības apjoma un izmaksu izmaiņas</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_Toc80109860 \h </w:instrText>
            </w:r>
            <w:r w:rsidR="006415DF" w:rsidRPr="004B1626">
              <w:rPr>
                <w:noProof/>
                <w:webHidden/>
              </w:rPr>
            </w:r>
            <w:r w:rsidR="006415DF" w:rsidRPr="004B1626">
              <w:rPr>
                <w:noProof/>
                <w:webHidden/>
              </w:rPr>
              <w:fldChar w:fldCharType="separate"/>
            </w:r>
            <w:r w:rsidR="006415DF" w:rsidRPr="004B1626">
              <w:rPr>
                <w:noProof/>
                <w:webHidden/>
              </w:rPr>
              <w:t>12</w:t>
            </w:r>
            <w:r w:rsidR="006415DF" w:rsidRPr="004B1626">
              <w:rPr>
                <w:noProof/>
                <w:webHidden/>
              </w:rPr>
              <w:fldChar w:fldCharType="end"/>
            </w:r>
          </w:hyperlink>
        </w:p>
        <w:p w14:paraId="74F509B5" w14:textId="3BD7B13D" w:rsidR="006415DF" w:rsidRPr="004B1626" w:rsidRDefault="00F43189" w:rsidP="004B1626">
          <w:pPr>
            <w:pStyle w:val="TOC2"/>
            <w:rPr>
              <w:rFonts w:eastAsiaTheme="minorEastAsia"/>
              <w:noProof/>
              <w:lang w:eastAsia="lv-LV"/>
            </w:rPr>
          </w:pPr>
          <w:hyperlink w:anchor="_Toc80109861" w:history="1">
            <w:r w:rsidR="006415DF" w:rsidRPr="004B1626">
              <w:rPr>
                <w:rStyle w:val="Hyperlink"/>
                <w:noProof/>
              </w:rPr>
              <w:t>2.3.Iespējamie riski</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_Toc80109861 \h </w:instrText>
            </w:r>
            <w:r w:rsidR="006415DF" w:rsidRPr="004B1626">
              <w:rPr>
                <w:noProof/>
                <w:webHidden/>
              </w:rPr>
            </w:r>
            <w:r w:rsidR="006415DF" w:rsidRPr="004B1626">
              <w:rPr>
                <w:noProof/>
                <w:webHidden/>
              </w:rPr>
              <w:fldChar w:fldCharType="separate"/>
            </w:r>
            <w:r w:rsidR="006415DF" w:rsidRPr="004B1626">
              <w:rPr>
                <w:noProof/>
                <w:webHidden/>
              </w:rPr>
              <w:t>14</w:t>
            </w:r>
            <w:r w:rsidR="006415DF" w:rsidRPr="004B1626">
              <w:rPr>
                <w:noProof/>
                <w:webHidden/>
              </w:rPr>
              <w:fldChar w:fldCharType="end"/>
            </w:r>
          </w:hyperlink>
        </w:p>
        <w:p w14:paraId="77826B53" w14:textId="5CB73DE3" w:rsidR="006415DF" w:rsidRPr="004B1626" w:rsidRDefault="00F43189" w:rsidP="004B1626">
          <w:pPr>
            <w:pStyle w:val="TOC2"/>
            <w:rPr>
              <w:rFonts w:eastAsiaTheme="minorEastAsia"/>
              <w:noProof/>
              <w:lang w:eastAsia="lv-LV"/>
            </w:rPr>
          </w:pPr>
          <w:hyperlink w:anchor="_Toc80109862" w:history="1">
            <w:r w:rsidR="006415DF" w:rsidRPr="004B1626">
              <w:rPr>
                <w:rStyle w:val="Hyperlink"/>
                <w:noProof/>
              </w:rPr>
              <w:t>2.4.Būvniecības apjomu un izmaksu prognozes</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_Toc80109862 \h </w:instrText>
            </w:r>
            <w:r w:rsidR="006415DF" w:rsidRPr="004B1626">
              <w:rPr>
                <w:noProof/>
                <w:webHidden/>
              </w:rPr>
            </w:r>
            <w:r w:rsidR="006415DF" w:rsidRPr="004B1626">
              <w:rPr>
                <w:noProof/>
                <w:webHidden/>
              </w:rPr>
              <w:fldChar w:fldCharType="separate"/>
            </w:r>
            <w:r w:rsidR="006415DF" w:rsidRPr="004B1626">
              <w:rPr>
                <w:noProof/>
                <w:webHidden/>
              </w:rPr>
              <w:t>16</w:t>
            </w:r>
            <w:r w:rsidR="006415DF" w:rsidRPr="004B1626">
              <w:rPr>
                <w:noProof/>
                <w:webHidden/>
              </w:rPr>
              <w:fldChar w:fldCharType="end"/>
            </w:r>
          </w:hyperlink>
        </w:p>
        <w:p w14:paraId="615C48C2" w14:textId="7CCE074D"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63" w:history="1">
            <w:r w:rsidR="006415DF" w:rsidRPr="004B1626">
              <w:rPr>
                <w:rStyle w:val="Hyperlink"/>
                <w:noProof/>
              </w:rPr>
              <w:t>2.4.1.Kopējā nozares prognoze</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_Toc80109863 \h </w:instrText>
            </w:r>
            <w:r w:rsidR="006415DF" w:rsidRPr="004B1626">
              <w:rPr>
                <w:noProof/>
                <w:webHidden/>
              </w:rPr>
            </w:r>
            <w:r w:rsidR="006415DF" w:rsidRPr="004B1626">
              <w:rPr>
                <w:noProof/>
                <w:webHidden/>
              </w:rPr>
              <w:fldChar w:fldCharType="separate"/>
            </w:r>
            <w:r w:rsidR="006415DF" w:rsidRPr="004B1626">
              <w:rPr>
                <w:noProof/>
                <w:webHidden/>
              </w:rPr>
              <w:t>16</w:t>
            </w:r>
            <w:r w:rsidR="006415DF" w:rsidRPr="004B1626">
              <w:rPr>
                <w:noProof/>
                <w:webHidden/>
              </w:rPr>
              <w:fldChar w:fldCharType="end"/>
            </w:r>
          </w:hyperlink>
        </w:p>
        <w:p w14:paraId="2C603330" w14:textId="06FB0D03"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64" w:history="1">
            <w:r w:rsidR="006415DF" w:rsidRPr="004B1626">
              <w:rPr>
                <w:rStyle w:val="Hyperlink"/>
                <w:noProof/>
              </w:rPr>
              <w:t>2.4.2.Apakšnozaru prognozes</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_Toc80109864 \h </w:instrText>
            </w:r>
            <w:r w:rsidR="006415DF" w:rsidRPr="004B1626">
              <w:rPr>
                <w:noProof/>
                <w:webHidden/>
              </w:rPr>
            </w:r>
            <w:r w:rsidR="006415DF" w:rsidRPr="004B1626">
              <w:rPr>
                <w:noProof/>
                <w:webHidden/>
              </w:rPr>
              <w:fldChar w:fldCharType="separate"/>
            </w:r>
            <w:r w:rsidR="006415DF" w:rsidRPr="004B1626">
              <w:rPr>
                <w:noProof/>
                <w:webHidden/>
              </w:rPr>
              <w:t>21</w:t>
            </w:r>
            <w:r w:rsidR="006415DF" w:rsidRPr="004B1626">
              <w:rPr>
                <w:noProof/>
                <w:webHidden/>
              </w:rPr>
              <w:fldChar w:fldCharType="end"/>
            </w:r>
          </w:hyperlink>
        </w:p>
        <w:p w14:paraId="019883D2" w14:textId="682EDF44"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65" w:history="1">
            <w:r w:rsidR="006415DF" w:rsidRPr="004B1626">
              <w:rPr>
                <w:rStyle w:val="Hyperlink"/>
                <w:noProof/>
              </w:rPr>
              <w:t>2.4.3.Būvniecības izmaksu izmaiņas pa resursu veidiem</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_Toc80109865 \h </w:instrText>
            </w:r>
            <w:r w:rsidR="006415DF" w:rsidRPr="004B1626">
              <w:rPr>
                <w:noProof/>
                <w:webHidden/>
              </w:rPr>
            </w:r>
            <w:r w:rsidR="006415DF" w:rsidRPr="004B1626">
              <w:rPr>
                <w:noProof/>
                <w:webHidden/>
              </w:rPr>
              <w:fldChar w:fldCharType="separate"/>
            </w:r>
            <w:r w:rsidR="006415DF" w:rsidRPr="004B1626">
              <w:rPr>
                <w:noProof/>
                <w:webHidden/>
              </w:rPr>
              <w:t>24</w:t>
            </w:r>
            <w:r w:rsidR="006415DF" w:rsidRPr="004B1626">
              <w:rPr>
                <w:noProof/>
                <w:webHidden/>
              </w:rPr>
              <w:fldChar w:fldCharType="end"/>
            </w:r>
          </w:hyperlink>
        </w:p>
        <w:p w14:paraId="5305B86D" w14:textId="4F3268B2" w:rsidR="006415DF" w:rsidRPr="004B1626" w:rsidRDefault="00F43189" w:rsidP="004B1626">
          <w:pPr>
            <w:pStyle w:val="TOC2"/>
            <w:rPr>
              <w:rFonts w:eastAsiaTheme="minorEastAsia"/>
              <w:noProof/>
              <w:lang w:eastAsia="lv-LV"/>
            </w:rPr>
          </w:pPr>
          <w:hyperlink w:anchor="_Toc80109866" w:history="1">
            <w:r w:rsidR="006415DF" w:rsidRPr="004B1626">
              <w:rPr>
                <w:rStyle w:val="Hyperlink"/>
                <w:noProof/>
              </w:rPr>
              <w:t>2.5.Darbaspēka un būvmateriālu izmaksu izmaiņas ietekmējošie faktori būvniecības nozarē kopumā</w:t>
            </w:r>
            <w:r w:rsidR="004B1626" w:rsidRPr="004B1626">
              <w:rPr>
                <w:noProof/>
                <w:webHidden/>
              </w:rPr>
              <w:tab/>
            </w:r>
            <w:r w:rsidR="004B1626">
              <w:rPr>
                <w:noProof/>
                <w:webHidden/>
              </w:rPr>
              <w:tab/>
            </w:r>
            <w:r w:rsidR="006415DF" w:rsidRPr="004B1626">
              <w:rPr>
                <w:noProof/>
                <w:webHidden/>
              </w:rPr>
              <w:fldChar w:fldCharType="begin"/>
            </w:r>
            <w:r w:rsidR="006415DF" w:rsidRPr="004B1626">
              <w:rPr>
                <w:noProof/>
                <w:webHidden/>
              </w:rPr>
              <w:instrText xml:space="preserve"> PAGEREF _Toc80109866 \h </w:instrText>
            </w:r>
            <w:r w:rsidR="006415DF" w:rsidRPr="004B1626">
              <w:rPr>
                <w:noProof/>
                <w:webHidden/>
              </w:rPr>
            </w:r>
            <w:r w:rsidR="006415DF" w:rsidRPr="004B1626">
              <w:rPr>
                <w:noProof/>
                <w:webHidden/>
              </w:rPr>
              <w:fldChar w:fldCharType="separate"/>
            </w:r>
            <w:r w:rsidR="006415DF" w:rsidRPr="004B1626">
              <w:rPr>
                <w:noProof/>
                <w:webHidden/>
              </w:rPr>
              <w:t>29</w:t>
            </w:r>
            <w:r w:rsidR="006415DF" w:rsidRPr="004B1626">
              <w:rPr>
                <w:noProof/>
                <w:webHidden/>
              </w:rPr>
              <w:fldChar w:fldCharType="end"/>
            </w:r>
          </w:hyperlink>
        </w:p>
        <w:p w14:paraId="1D80FCBA" w14:textId="26C57B29"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67" w:history="1">
            <w:r w:rsidR="006415DF" w:rsidRPr="004B1626">
              <w:rPr>
                <w:rStyle w:val="Hyperlink"/>
                <w:noProof/>
              </w:rPr>
              <w:t>2.5.1.Izmaksas ietekmējošie faktori .</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_Toc80109867 \h </w:instrText>
            </w:r>
            <w:r w:rsidR="006415DF" w:rsidRPr="004B1626">
              <w:rPr>
                <w:noProof/>
                <w:webHidden/>
              </w:rPr>
            </w:r>
            <w:r w:rsidR="006415DF" w:rsidRPr="004B1626">
              <w:rPr>
                <w:noProof/>
                <w:webHidden/>
              </w:rPr>
              <w:fldChar w:fldCharType="separate"/>
            </w:r>
            <w:r w:rsidR="006415DF" w:rsidRPr="004B1626">
              <w:rPr>
                <w:noProof/>
                <w:webHidden/>
              </w:rPr>
              <w:t>29</w:t>
            </w:r>
            <w:r w:rsidR="006415DF" w:rsidRPr="004B1626">
              <w:rPr>
                <w:noProof/>
                <w:webHidden/>
              </w:rPr>
              <w:fldChar w:fldCharType="end"/>
            </w:r>
          </w:hyperlink>
        </w:p>
        <w:p w14:paraId="786C2350" w14:textId="0112A0A0"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68" w:history="1">
            <w:r w:rsidR="006415DF" w:rsidRPr="004B1626">
              <w:rPr>
                <w:rStyle w:val="Hyperlink"/>
                <w:noProof/>
              </w:rPr>
              <w:t>2.5.2.Būvmateriālu izmaksu izmaiņas un struktūra</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_Toc80109868 \h </w:instrText>
            </w:r>
            <w:r w:rsidR="006415DF" w:rsidRPr="004B1626">
              <w:rPr>
                <w:noProof/>
                <w:webHidden/>
              </w:rPr>
            </w:r>
            <w:r w:rsidR="006415DF" w:rsidRPr="004B1626">
              <w:rPr>
                <w:noProof/>
                <w:webHidden/>
              </w:rPr>
              <w:fldChar w:fldCharType="separate"/>
            </w:r>
            <w:r w:rsidR="006415DF" w:rsidRPr="004B1626">
              <w:rPr>
                <w:noProof/>
                <w:webHidden/>
              </w:rPr>
              <w:t>29</w:t>
            </w:r>
            <w:r w:rsidR="006415DF" w:rsidRPr="004B1626">
              <w:rPr>
                <w:noProof/>
                <w:webHidden/>
              </w:rPr>
              <w:fldChar w:fldCharType="end"/>
            </w:r>
          </w:hyperlink>
        </w:p>
        <w:p w14:paraId="6793B9A8" w14:textId="193C37E5" w:rsidR="006415DF" w:rsidRPr="004B1626" w:rsidRDefault="00F43189" w:rsidP="004B1626">
          <w:pPr>
            <w:pStyle w:val="TOC2"/>
            <w:rPr>
              <w:rFonts w:eastAsiaTheme="minorEastAsia"/>
              <w:noProof/>
              <w:lang w:eastAsia="lv-LV"/>
            </w:rPr>
          </w:pPr>
          <w:hyperlink w:anchor="_Toc80109869" w:history="1">
            <w:r w:rsidR="006415DF" w:rsidRPr="004B1626">
              <w:rPr>
                <w:rStyle w:val="Hyperlink"/>
                <w:noProof/>
              </w:rPr>
              <w:t>2.6.</w:t>
            </w:r>
            <w:r w:rsidR="006415DF" w:rsidRPr="004B1626">
              <w:rPr>
                <w:rFonts w:eastAsiaTheme="minorEastAsia"/>
                <w:noProof/>
                <w:lang w:eastAsia="lv-LV"/>
              </w:rPr>
              <w:tab/>
            </w:r>
            <w:r w:rsidR="006415DF" w:rsidRPr="004B1626">
              <w:rPr>
                <w:rStyle w:val="Hyperlink"/>
                <w:noProof/>
              </w:rPr>
              <w:t>Valdības ieviesto ēnu ekonomikas pasākumu un koronavīrusa COVID - 19 izraisīto seku ietekme</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_Toc80109869 \h </w:instrText>
            </w:r>
            <w:r w:rsidR="006415DF" w:rsidRPr="004B1626">
              <w:rPr>
                <w:noProof/>
                <w:webHidden/>
              </w:rPr>
            </w:r>
            <w:r w:rsidR="006415DF" w:rsidRPr="004B1626">
              <w:rPr>
                <w:noProof/>
                <w:webHidden/>
              </w:rPr>
              <w:fldChar w:fldCharType="separate"/>
            </w:r>
            <w:r w:rsidR="006415DF" w:rsidRPr="004B1626">
              <w:rPr>
                <w:noProof/>
                <w:webHidden/>
              </w:rPr>
              <w:t>34</w:t>
            </w:r>
            <w:r w:rsidR="006415DF" w:rsidRPr="004B1626">
              <w:rPr>
                <w:noProof/>
                <w:webHidden/>
              </w:rPr>
              <w:fldChar w:fldCharType="end"/>
            </w:r>
          </w:hyperlink>
        </w:p>
        <w:p w14:paraId="29465D24" w14:textId="42A8CD9A"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70" w:history="1">
            <w:r w:rsidR="006415DF" w:rsidRPr="004B1626">
              <w:rPr>
                <w:rStyle w:val="Hyperlink"/>
                <w:noProof/>
              </w:rPr>
              <w:t>2.6.1.Ēnu ekonomikas apkarošanas pasākumu ietekme uz būvniecības nozari</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_Toc80109870 \h </w:instrText>
            </w:r>
            <w:r w:rsidR="006415DF" w:rsidRPr="004B1626">
              <w:rPr>
                <w:noProof/>
                <w:webHidden/>
              </w:rPr>
            </w:r>
            <w:r w:rsidR="006415DF" w:rsidRPr="004B1626">
              <w:rPr>
                <w:noProof/>
                <w:webHidden/>
              </w:rPr>
              <w:fldChar w:fldCharType="separate"/>
            </w:r>
            <w:r w:rsidR="006415DF" w:rsidRPr="004B1626">
              <w:rPr>
                <w:noProof/>
                <w:webHidden/>
              </w:rPr>
              <w:t>34</w:t>
            </w:r>
            <w:r w:rsidR="006415DF" w:rsidRPr="004B1626">
              <w:rPr>
                <w:noProof/>
                <w:webHidden/>
              </w:rPr>
              <w:fldChar w:fldCharType="end"/>
            </w:r>
          </w:hyperlink>
        </w:p>
        <w:p w14:paraId="0B6FF244" w14:textId="60E45E9E" w:rsidR="006415DF" w:rsidRPr="004B1626" w:rsidRDefault="00F43189" w:rsidP="004B1626">
          <w:pPr>
            <w:pStyle w:val="TOC3"/>
            <w:tabs>
              <w:tab w:val="left" w:pos="1891"/>
              <w:tab w:val="right" w:leader="dot" w:pos="9629"/>
            </w:tabs>
            <w:ind w:left="0" w:firstLine="0"/>
            <w:rPr>
              <w:rFonts w:eastAsiaTheme="minorEastAsia"/>
              <w:noProof/>
              <w:lang w:eastAsia="lv-LV"/>
            </w:rPr>
          </w:pPr>
          <w:hyperlink w:anchor="_Toc80109871" w:history="1">
            <w:r w:rsidR="006415DF" w:rsidRPr="004B1626">
              <w:rPr>
                <w:rStyle w:val="Hyperlink"/>
                <w:noProof/>
              </w:rPr>
              <w:t>2.6.2.Covid-19 ietekme uz būvniecības nozari</w:t>
            </w:r>
            <w:r w:rsidR="006415DF" w:rsidRPr="004B1626">
              <w:rPr>
                <w:noProof/>
                <w:webHidden/>
              </w:rPr>
              <w:tab/>
            </w:r>
            <w:r w:rsidR="006415DF" w:rsidRPr="004B1626">
              <w:rPr>
                <w:noProof/>
                <w:webHidden/>
              </w:rPr>
              <w:fldChar w:fldCharType="begin"/>
            </w:r>
            <w:r w:rsidR="006415DF" w:rsidRPr="004B1626">
              <w:rPr>
                <w:noProof/>
                <w:webHidden/>
              </w:rPr>
              <w:instrText xml:space="preserve"> PAGEREF _Toc80109871 \h </w:instrText>
            </w:r>
            <w:r w:rsidR="006415DF" w:rsidRPr="004B1626">
              <w:rPr>
                <w:noProof/>
                <w:webHidden/>
              </w:rPr>
            </w:r>
            <w:r w:rsidR="006415DF" w:rsidRPr="004B1626">
              <w:rPr>
                <w:noProof/>
                <w:webHidden/>
              </w:rPr>
              <w:fldChar w:fldCharType="separate"/>
            </w:r>
            <w:r w:rsidR="006415DF" w:rsidRPr="004B1626">
              <w:rPr>
                <w:noProof/>
                <w:webHidden/>
              </w:rPr>
              <w:t>35</w:t>
            </w:r>
            <w:r w:rsidR="006415DF" w:rsidRPr="004B1626">
              <w:rPr>
                <w:noProof/>
                <w:webHidden/>
              </w:rPr>
              <w:fldChar w:fldCharType="end"/>
            </w:r>
          </w:hyperlink>
        </w:p>
        <w:p w14:paraId="60ADD96B" w14:textId="340EB841" w:rsidR="006415DF" w:rsidRPr="004B1626" w:rsidRDefault="00F43189" w:rsidP="004B1626">
          <w:pPr>
            <w:pStyle w:val="TOC1"/>
            <w:rPr>
              <w:rFonts w:eastAsiaTheme="minorEastAsia"/>
              <w:sz w:val="22"/>
              <w:szCs w:val="22"/>
              <w:lang w:eastAsia="lv-LV"/>
            </w:rPr>
          </w:pPr>
          <w:hyperlink w:anchor="_Toc80109872" w:history="1">
            <w:r w:rsidR="006415DF" w:rsidRPr="004B1626">
              <w:rPr>
                <w:rStyle w:val="Hyperlink"/>
              </w:rPr>
              <w:t>3.Secinājumi</w:t>
            </w:r>
            <w:r w:rsidR="006415DF" w:rsidRPr="004B1626">
              <w:rPr>
                <w:webHidden/>
              </w:rPr>
              <w:tab/>
            </w:r>
            <w:r w:rsidR="006415DF" w:rsidRPr="004B1626">
              <w:rPr>
                <w:webHidden/>
              </w:rPr>
              <w:fldChar w:fldCharType="begin"/>
            </w:r>
            <w:r w:rsidR="006415DF" w:rsidRPr="004B1626">
              <w:rPr>
                <w:webHidden/>
              </w:rPr>
              <w:instrText xml:space="preserve"> PAGEREF _Toc80109872 \h </w:instrText>
            </w:r>
            <w:r w:rsidR="006415DF" w:rsidRPr="004B1626">
              <w:rPr>
                <w:webHidden/>
              </w:rPr>
            </w:r>
            <w:r w:rsidR="006415DF" w:rsidRPr="004B1626">
              <w:rPr>
                <w:webHidden/>
              </w:rPr>
              <w:fldChar w:fldCharType="separate"/>
            </w:r>
            <w:r w:rsidR="006415DF" w:rsidRPr="004B1626">
              <w:rPr>
                <w:webHidden/>
              </w:rPr>
              <w:t>36</w:t>
            </w:r>
            <w:r w:rsidR="006415DF" w:rsidRPr="004B1626">
              <w:rPr>
                <w:webHidden/>
              </w:rPr>
              <w:fldChar w:fldCharType="end"/>
            </w:r>
          </w:hyperlink>
        </w:p>
        <w:p w14:paraId="087AB8FD" w14:textId="33BF5BD2" w:rsidR="006415DF" w:rsidRPr="004B1626" w:rsidRDefault="00F43189" w:rsidP="004B1626">
          <w:pPr>
            <w:pStyle w:val="TOC1"/>
            <w:rPr>
              <w:rFonts w:eastAsiaTheme="minorEastAsia"/>
              <w:sz w:val="22"/>
              <w:szCs w:val="22"/>
              <w:lang w:eastAsia="lv-LV"/>
            </w:rPr>
          </w:pPr>
          <w:hyperlink w:anchor="_Toc80109873" w:history="1">
            <w:r w:rsidR="006415DF" w:rsidRPr="004B1626">
              <w:rPr>
                <w:rStyle w:val="Hyperlink"/>
              </w:rPr>
              <w:t>4.Priekšlikumi</w:t>
            </w:r>
            <w:r w:rsidR="006415DF" w:rsidRPr="004B1626">
              <w:rPr>
                <w:webHidden/>
              </w:rPr>
              <w:tab/>
            </w:r>
            <w:r w:rsidR="006415DF" w:rsidRPr="004B1626">
              <w:rPr>
                <w:webHidden/>
              </w:rPr>
              <w:fldChar w:fldCharType="begin"/>
            </w:r>
            <w:r w:rsidR="006415DF" w:rsidRPr="004B1626">
              <w:rPr>
                <w:webHidden/>
              </w:rPr>
              <w:instrText xml:space="preserve"> PAGEREF _Toc80109873 \h </w:instrText>
            </w:r>
            <w:r w:rsidR="006415DF" w:rsidRPr="004B1626">
              <w:rPr>
                <w:webHidden/>
              </w:rPr>
            </w:r>
            <w:r w:rsidR="006415DF" w:rsidRPr="004B1626">
              <w:rPr>
                <w:webHidden/>
              </w:rPr>
              <w:fldChar w:fldCharType="separate"/>
            </w:r>
            <w:r w:rsidR="006415DF" w:rsidRPr="004B1626">
              <w:rPr>
                <w:webHidden/>
              </w:rPr>
              <w:t>41</w:t>
            </w:r>
            <w:r w:rsidR="006415DF" w:rsidRPr="004B1626">
              <w:rPr>
                <w:webHidden/>
              </w:rPr>
              <w:fldChar w:fldCharType="end"/>
            </w:r>
          </w:hyperlink>
        </w:p>
        <w:p w14:paraId="55A71A5A" w14:textId="67177097" w:rsidR="00182520" w:rsidRDefault="00182520" w:rsidP="004B1626">
          <w:pPr>
            <w:spacing w:after="60"/>
            <w:ind w:left="425" w:right="1843" w:firstLine="0"/>
          </w:pPr>
          <w:r w:rsidRPr="004B1626">
            <w:rPr>
              <w:noProof/>
              <w:sz w:val="24"/>
              <w:szCs w:val="24"/>
            </w:rPr>
            <w:fldChar w:fldCharType="end"/>
          </w:r>
        </w:p>
      </w:sdtContent>
    </w:sdt>
    <w:p w14:paraId="7D769809" w14:textId="77777777" w:rsidR="00C669CB" w:rsidRPr="00182520" w:rsidRDefault="00C669CB" w:rsidP="001F7EC0">
      <w:pPr>
        <w:spacing w:after="60"/>
        <w:ind w:left="425" w:right="1843" w:firstLine="0"/>
        <w:rPr>
          <w:sz w:val="24"/>
          <w:szCs w:val="24"/>
        </w:rPr>
      </w:pPr>
    </w:p>
    <w:p w14:paraId="055ADE9F" w14:textId="77777777" w:rsidR="009A44D2" w:rsidRPr="009A44D2" w:rsidRDefault="009A44D2" w:rsidP="009A44D2"/>
    <w:p w14:paraId="545C465A" w14:textId="65DD9F8B" w:rsidR="0059518C" w:rsidRDefault="0059518C">
      <w:pPr>
        <w:spacing w:after="160" w:line="259" w:lineRule="auto"/>
        <w:ind w:firstLine="0"/>
        <w:jc w:val="left"/>
      </w:pPr>
      <w:r>
        <w:br w:type="page"/>
      </w:r>
    </w:p>
    <w:p w14:paraId="64E9E313" w14:textId="77777777" w:rsidR="00C669CB" w:rsidRDefault="00C669CB" w:rsidP="000B785B">
      <w:pPr>
        <w:pStyle w:val="Heading1"/>
        <w:rPr>
          <w:color w:val="009999"/>
        </w:rPr>
      </w:pPr>
    </w:p>
    <w:p w14:paraId="759CAEDE" w14:textId="54AEF098" w:rsidR="006B18E6" w:rsidRPr="002801D0" w:rsidRDefault="006B18E6" w:rsidP="002801D0">
      <w:pPr>
        <w:pStyle w:val="Heading1"/>
        <w:spacing w:line="240" w:lineRule="auto"/>
        <w:ind w:left="502"/>
        <w:jc w:val="both"/>
        <w:rPr>
          <w:b/>
          <w:bCs/>
          <w:color w:val="1B9DAB"/>
        </w:rPr>
      </w:pPr>
      <w:bookmarkStart w:id="0" w:name="_Toc80109856"/>
      <w:r w:rsidRPr="002801D0">
        <w:rPr>
          <w:b/>
          <w:bCs/>
          <w:color w:val="1B9DAB"/>
        </w:rPr>
        <w:t>Izmantotie saīsinājumi un termini</w:t>
      </w:r>
      <w:bookmarkEnd w:id="0"/>
    </w:p>
    <w:p w14:paraId="663AB5E2" w14:textId="77777777" w:rsidR="00AA0408" w:rsidRPr="00CA542D" w:rsidRDefault="00AA0408" w:rsidP="00AA0408">
      <w:pPr>
        <w:ind w:firstLine="0"/>
        <w:rPr>
          <w:rFonts w:ascii="Times New Roman" w:hAnsi="Times New Roman" w:cs="Times New Roman"/>
        </w:rPr>
      </w:pPr>
    </w:p>
    <w:tbl>
      <w:tblPr>
        <w:tblStyle w:val="PlainTable3"/>
        <w:tblpPr w:leftFromText="180" w:rightFromText="180" w:vertAnchor="text" w:tblpY="1"/>
        <w:tblOverlap w:val="never"/>
        <w:tblW w:w="8460"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ayout w:type="fixed"/>
        <w:tblLook w:val="0000" w:firstRow="0" w:lastRow="0" w:firstColumn="0" w:lastColumn="0" w:noHBand="0" w:noVBand="0"/>
      </w:tblPr>
      <w:tblGrid>
        <w:gridCol w:w="1946"/>
        <w:gridCol w:w="6514"/>
      </w:tblGrid>
      <w:tr w:rsidR="00AA0408" w:rsidRPr="001F7EC0" w14:paraId="2792B272"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7560859A"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b/>
                <w:bCs/>
                <w:sz w:val="22"/>
                <w:szCs w:val="22"/>
              </w:rPr>
              <w:t xml:space="preserve">Saīsinājums </w:t>
            </w:r>
          </w:p>
        </w:tc>
        <w:tc>
          <w:tcPr>
            <w:tcW w:w="6514" w:type="dxa"/>
          </w:tcPr>
          <w:p w14:paraId="12F2515F"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1F7EC0">
              <w:rPr>
                <w:rFonts w:asciiTheme="minorHAnsi" w:hAnsiTheme="minorHAnsi" w:cstheme="minorHAnsi"/>
                <w:b/>
                <w:bCs/>
                <w:sz w:val="22"/>
                <w:szCs w:val="22"/>
              </w:rPr>
              <w:t xml:space="preserve">Skaidrojums </w:t>
            </w:r>
          </w:p>
          <w:p w14:paraId="752856B1"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AA0408" w:rsidRPr="001F7EC0" w14:paraId="2E04837E" w14:textId="77777777" w:rsidTr="00C669CB">
        <w:trPr>
          <w:trHeight w:val="9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41D499DA"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CSP </w:t>
            </w:r>
          </w:p>
        </w:tc>
        <w:tc>
          <w:tcPr>
            <w:tcW w:w="6514" w:type="dxa"/>
          </w:tcPr>
          <w:p w14:paraId="141F2341"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Centrālā statistikas pārvalde </w:t>
            </w:r>
          </w:p>
          <w:p w14:paraId="09982D0A"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AA0408" w:rsidRPr="001F7EC0" w14:paraId="3DAEF5DD"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7E354EB6"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LR</w:t>
            </w:r>
          </w:p>
          <w:p w14:paraId="5E19A96E" w14:textId="77777777" w:rsidR="00AA0408" w:rsidRPr="001F7EC0" w:rsidRDefault="00AA0408" w:rsidP="00C92512">
            <w:pPr>
              <w:pStyle w:val="Default"/>
              <w:rPr>
                <w:rFonts w:asciiTheme="minorHAnsi" w:hAnsiTheme="minorHAnsi" w:cstheme="minorHAnsi"/>
                <w:sz w:val="22"/>
                <w:szCs w:val="22"/>
              </w:rPr>
            </w:pPr>
          </w:p>
        </w:tc>
        <w:tc>
          <w:tcPr>
            <w:tcW w:w="6514" w:type="dxa"/>
          </w:tcPr>
          <w:p w14:paraId="1985D0FB"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Latvijas Republika</w:t>
            </w:r>
          </w:p>
        </w:tc>
      </w:tr>
      <w:tr w:rsidR="00AA0408" w:rsidRPr="001F7EC0" w14:paraId="6DEBCD18" w14:textId="77777777" w:rsidTr="00C669CB">
        <w:trPr>
          <w:trHeight w:val="9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7C1B0077"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EM</w:t>
            </w:r>
          </w:p>
        </w:tc>
        <w:tc>
          <w:tcPr>
            <w:tcW w:w="6514" w:type="dxa"/>
          </w:tcPr>
          <w:p w14:paraId="32EDC5A0"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Latvijas Republikas Ekonomikas ministrija </w:t>
            </w:r>
          </w:p>
          <w:p w14:paraId="66C35048"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AA0408" w:rsidRPr="001F7EC0" w14:paraId="354E1963"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0A2803FD"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FM</w:t>
            </w:r>
          </w:p>
          <w:p w14:paraId="3C2DB489" w14:textId="77777777" w:rsidR="00AA0408" w:rsidRPr="001F7EC0" w:rsidRDefault="00AA0408" w:rsidP="00C92512">
            <w:pPr>
              <w:pStyle w:val="Default"/>
              <w:rPr>
                <w:rFonts w:asciiTheme="minorHAnsi" w:hAnsiTheme="minorHAnsi" w:cstheme="minorHAnsi"/>
                <w:sz w:val="22"/>
                <w:szCs w:val="22"/>
              </w:rPr>
            </w:pPr>
          </w:p>
        </w:tc>
        <w:tc>
          <w:tcPr>
            <w:tcW w:w="6514" w:type="dxa"/>
          </w:tcPr>
          <w:p w14:paraId="4073CB61"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Latvijas Republikas Finanšu ministrija</w:t>
            </w:r>
          </w:p>
        </w:tc>
      </w:tr>
      <w:tr w:rsidR="00AA0408" w:rsidRPr="001F7EC0" w14:paraId="40729639" w14:textId="77777777" w:rsidTr="00C669CB">
        <w:trPr>
          <w:trHeight w:val="9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1030B9F1"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ES </w:t>
            </w:r>
          </w:p>
        </w:tc>
        <w:tc>
          <w:tcPr>
            <w:tcW w:w="6514" w:type="dxa"/>
          </w:tcPr>
          <w:p w14:paraId="385A1743"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Eiropas Savienība </w:t>
            </w:r>
          </w:p>
          <w:p w14:paraId="733B2E78"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AA0408" w:rsidRPr="001F7EC0" w14:paraId="1F1742A9"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06F9E074"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Eurostat </w:t>
            </w:r>
          </w:p>
        </w:tc>
        <w:tc>
          <w:tcPr>
            <w:tcW w:w="6514" w:type="dxa"/>
          </w:tcPr>
          <w:p w14:paraId="3B246A27"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Eiropas Komisijas Statistikas birojs </w:t>
            </w:r>
          </w:p>
          <w:p w14:paraId="7F0933DB"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AA0408" w:rsidRPr="001F7EC0" w14:paraId="2EC2E398" w14:textId="77777777" w:rsidTr="00C669CB">
        <w:trPr>
          <w:trHeight w:val="32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5A6508A9"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CAGR </w:t>
            </w:r>
          </w:p>
        </w:tc>
        <w:tc>
          <w:tcPr>
            <w:tcW w:w="6514" w:type="dxa"/>
          </w:tcPr>
          <w:p w14:paraId="710A2F3B"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Aprēķināts saliktais vairāku gadu pieaugums</w:t>
            </w:r>
          </w:p>
        </w:tc>
      </w:tr>
      <w:tr w:rsidR="00AA0408" w:rsidRPr="001F7EC0" w14:paraId="7CF7168C"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05A20D1F" w14:textId="77777777" w:rsidR="00AA0408" w:rsidRPr="001F7EC0" w:rsidRDefault="00AA0408" w:rsidP="00C92512">
            <w:pPr>
              <w:pStyle w:val="Default"/>
              <w:rPr>
                <w:rFonts w:asciiTheme="minorHAnsi" w:hAnsiTheme="minorHAnsi" w:cstheme="minorHAnsi"/>
                <w:sz w:val="22"/>
                <w:szCs w:val="22"/>
              </w:rPr>
            </w:pPr>
          </w:p>
          <w:p w14:paraId="34DE1C01" w14:textId="77777777" w:rsidR="00AA0408" w:rsidRPr="001F7EC0" w:rsidRDefault="00AA0408" w:rsidP="00C92512">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IKP </w:t>
            </w:r>
          </w:p>
        </w:tc>
        <w:tc>
          <w:tcPr>
            <w:tcW w:w="6514" w:type="dxa"/>
          </w:tcPr>
          <w:p w14:paraId="47E51F9D"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3BFAAE4A"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Iekšzemes kopprodukts </w:t>
            </w:r>
          </w:p>
          <w:p w14:paraId="1AFD2813" w14:textId="77777777" w:rsidR="00AA0408" w:rsidRPr="001F7EC0" w:rsidRDefault="00AA0408" w:rsidP="00C925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AA0408" w:rsidRPr="001F7EC0" w14:paraId="125DC8A2" w14:textId="77777777" w:rsidTr="00C669CB">
        <w:trPr>
          <w:trHeight w:val="32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2E28FB29" w14:textId="0CDEA908" w:rsidR="00AA0408" w:rsidRPr="001F7EC0" w:rsidRDefault="00C669CB" w:rsidP="00C92512">
            <w:pPr>
              <w:pStyle w:val="Default"/>
              <w:rPr>
                <w:rFonts w:asciiTheme="minorHAnsi" w:hAnsiTheme="minorHAnsi" w:cstheme="minorHAnsi"/>
                <w:sz w:val="22"/>
                <w:szCs w:val="22"/>
              </w:rPr>
            </w:pPr>
            <w:r w:rsidRPr="001F7EC0">
              <w:rPr>
                <w:rFonts w:asciiTheme="minorHAnsi" w:hAnsiTheme="minorHAnsi" w:cstheme="minorHAnsi"/>
                <w:sz w:val="22"/>
                <w:szCs w:val="22"/>
              </w:rPr>
              <w:t>p</w:t>
            </w:r>
            <w:r w:rsidR="00AA0408" w:rsidRPr="001F7EC0">
              <w:rPr>
                <w:rFonts w:asciiTheme="minorHAnsi" w:hAnsiTheme="minorHAnsi" w:cstheme="minorHAnsi"/>
                <w:sz w:val="22"/>
                <w:szCs w:val="22"/>
              </w:rPr>
              <w:t>p</w:t>
            </w:r>
          </w:p>
        </w:tc>
        <w:tc>
          <w:tcPr>
            <w:tcW w:w="6514" w:type="dxa"/>
          </w:tcPr>
          <w:p w14:paraId="753828EF"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Procentu punkti (divu procentu aritmētiskās starpības vienība)</w:t>
            </w:r>
          </w:p>
          <w:p w14:paraId="06875F40" w14:textId="77777777"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AA0408" w:rsidRPr="001F7EC0" w14:paraId="148A3C91" w14:textId="77777777" w:rsidTr="00C669CB">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1946" w:type="dxa"/>
          </w:tcPr>
          <w:p w14:paraId="32E6B30A" w14:textId="77777777" w:rsidR="00AA0408" w:rsidRPr="001F7EC0" w:rsidRDefault="00AA0408" w:rsidP="00C92512">
            <w:pPr>
              <w:pStyle w:val="Default"/>
              <w:rPr>
                <w:rFonts w:asciiTheme="minorHAnsi" w:hAnsiTheme="minorHAnsi" w:cstheme="minorHAnsi"/>
                <w:sz w:val="22"/>
                <w:szCs w:val="22"/>
              </w:rPr>
            </w:pPr>
            <w:bookmarkStart w:id="1" w:name="_Hlk78987831"/>
            <w:r w:rsidRPr="001F7EC0">
              <w:rPr>
                <w:rFonts w:asciiTheme="minorHAnsi" w:hAnsiTheme="minorHAnsi" w:cstheme="minorHAnsi"/>
                <w:sz w:val="22"/>
                <w:szCs w:val="22"/>
              </w:rPr>
              <w:t>Eksperti</w:t>
            </w:r>
          </w:p>
          <w:p w14:paraId="576F4559" w14:textId="77777777" w:rsidR="00AA0408" w:rsidRPr="001F7EC0" w:rsidRDefault="00AA0408" w:rsidP="00C92512">
            <w:pPr>
              <w:pStyle w:val="Default"/>
              <w:rPr>
                <w:rFonts w:asciiTheme="minorHAnsi" w:hAnsiTheme="minorHAnsi" w:cstheme="minorHAnsi"/>
                <w:sz w:val="22"/>
                <w:szCs w:val="22"/>
              </w:rPr>
            </w:pPr>
          </w:p>
        </w:tc>
        <w:tc>
          <w:tcPr>
            <w:tcW w:w="6514" w:type="dxa"/>
          </w:tcPr>
          <w:p w14:paraId="1E35E476" w14:textId="09F05A5B" w:rsidR="00AA0408" w:rsidRPr="001F7EC0" w:rsidRDefault="00AA0408" w:rsidP="0045048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 xml:space="preserve">Latvijas būvniecības jomas eksperti, kuri pauda savu viedokli Pētījuma ietvaros un kuri pārstāv gan publiskās pārvaldes, gan pilsoniskās un akadēmiskās vides, gan industriju. </w:t>
            </w:r>
          </w:p>
        </w:tc>
      </w:tr>
      <w:tr w:rsidR="00C669CB" w:rsidRPr="001F7EC0" w14:paraId="5E2DE82B" w14:textId="77777777" w:rsidTr="00C669CB">
        <w:trPr>
          <w:trHeight w:val="32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164234E9" w14:textId="7E4539CA" w:rsidR="00C669CB" w:rsidRPr="001F7EC0" w:rsidRDefault="00C669CB" w:rsidP="00C669CB">
            <w:pPr>
              <w:pStyle w:val="Default"/>
              <w:rPr>
                <w:rFonts w:asciiTheme="minorHAnsi" w:hAnsiTheme="minorHAnsi" w:cstheme="minorHAnsi"/>
                <w:sz w:val="22"/>
                <w:szCs w:val="22"/>
              </w:rPr>
            </w:pPr>
            <w:r w:rsidRPr="001F7EC0">
              <w:rPr>
                <w:rFonts w:asciiTheme="minorHAnsi" w:hAnsiTheme="minorHAnsi" w:cstheme="minorHAnsi"/>
                <w:sz w:val="22"/>
                <w:szCs w:val="22"/>
              </w:rPr>
              <w:t>Pētnieki</w:t>
            </w:r>
          </w:p>
        </w:tc>
        <w:tc>
          <w:tcPr>
            <w:tcW w:w="6514" w:type="dxa"/>
          </w:tcPr>
          <w:p w14:paraId="40C6F7F7" w14:textId="77777777" w:rsidR="00C669CB" w:rsidRPr="001F7EC0" w:rsidRDefault="00C669CB" w:rsidP="00C669C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Sociālekonomisko tirgus procesu pētniecības uzņēmums „InnoMatrix“ SIA sadarbībā ar “Latvijas Universitātes” ekonomikas jomas zinātniekiem</w:t>
            </w:r>
          </w:p>
          <w:p w14:paraId="339B0C26" w14:textId="77777777" w:rsidR="00C669CB" w:rsidRPr="001F7EC0" w:rsidRDefault="00C669CB" w:rsidP="00C669CB">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69CB" w:rsidRPr="001F7EC0" w14:paraId="6987B2FC" w14:textId="77777777" w:rsidTr="00C669CB">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1946" w:type="dxa"/>
          </w:tcPr>
          <w:p w14:paraId="223095B6" w14:textId="7BBFE98D" w:rsidR="00C669CB" w:rsidRPr="001F7EC0" w:rsidRDefault="00C669CB" w:rsidP="00C669CB">
            <w:pPr>
              <w:pStyle w:val="Default"/>
              <w:rPr>
                <w:rFonts w:asciiTheme="minorHAnsi" w:hAnsiTheme="minorHAnsi" w:cstheme="minorHAnsi"/>
                <w:sz w:val="22"/>
                <w:szCs w:val="22"/>
              </w:rPr>
            </w:pPr>
            <w:r w:rsidRPr="001F7EC0">
              <w:rPr>
                <w:rFonts w:asciiTheme="minorHAnsi" w:hAnsiTheme="minorHAnsi" w:cstheme="minorHAnsi"/>
                <w:sz w:val="22"/>
                <w:szCs w:val="22"/>
              </w:rPr>
              <w:t xml:space="preserve">Pētījums </w:t>
            </w:r>
          </w:p>
        </w:tc>
        <w:tc>
          <w:tcPr>
            <w:tcW w:w="6514" w:type="dxa"/>
          </w:tcPr>
          <w:p w14:paraId="4A20DB3E" w14:textId="0C6FB4A9" w:rsidR="00C669CB" w:rsidRPr="001F7EC0" w:rsidRDefault="00C669CB" w:rsidP="00C669CB">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1F7EC0">
              <w:rPr>
                <w:rFonts w:asciiTheme="minorHAnsi" w:hAnsiTheme="minorHAnsi" w:cstheme="minorHAnsi"/>
                <w:sz w:val="22"/>
                <w:szCs w:val="22"/>
              </w:rPr>
              <w:t>Pētījuma gala nodevums - fināla ziņojums “Pētījums par prognozētām izmaiņām darbaspēka un būvmateriālu izmaksās būvniecības nozarē Latvijā 2021.-2025.”</w:t>
            </w:r>
          </w:p>
        </w:tc>
      </w:tr>
      <w:tr w:rsidR="00AA0408" w:rsidRPr="001F7EC0" w14:paraId="0B1DD368" w14:textId="77777777" w:rsidTr="00C669CB">
        <w:trPr>
          <w:trHeight w:val="323"/>
        </w:trPr>
        <w:tc>
          <w:tcPr>
            <w:cnfStyle w:val="000010000000" w:firstRow="0" w:lastRow="0" w:firstColumn="0" w:lastColumn="0" w:oddVBand="1" w:evenVBand="0" w:oddHBand="0" w:evenHBand="0" w:firstRowFirstColumn="0" w:firstRowLastColumn="0" w:lastRowFirstColumn="0" w:lastRowLastColumn="0"/>
            <w:tcW w:w="1946" w:type="dxa"/>
            <w:shd w:val="clear" w:color="auto" w:fill="auto"/>
          </w:tcPr>
          <w:p w14:paraId="15EA691B" w14:textId="2674A7ED" w:rsidR="00AA0408" w:rsidRPr="001F7EC0" w:rsidRDefault="00AA0408" w:rsidP="00C92512">
            <w:pPr>
              <w:pStyle w:val="Default"/>
              <w:rPr>
                <w:rFonts w:asciiTheme="minorHAnsi" w:hAnsiTheme="minorHAnsi" w:cstheme="minorHAnsi"/>
                <w:sz w:val="22"/>
                <w:szCs w:val="22"/>
              </w:rPr>
            </w:pPr>
          </w:p>
        </w:tc>
        <w:tc>
          <w:tcPr>
            <w:tcW w:w="6514" w:type="dxa"/>
          </w:tcPr>
          <w:p w14:paraId="5CCEF870" w14:textId="3472780F" w:rsidR="00AA0408" w:rsidRPr="001F7EC0" w:rsidRDefault="00AA0408" w:rsidP="00C9251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bookmarkEnd w:id="1"/>
    </w:tbl>
    <w:p w14:paraId="38AB69CE" w14:textId="7E194417" w:rsidR="00AA0408" w:rsidRDefault="00AA0408">
      <w:pPr>
        <w:spacing w:after="160" w:line="259" w:lineRule="auto"/>
        <w:ind w:firstLine="0"/>
        <w:jc w:val="left"/>
      </w:pPr>
    </w:p>
    <w:p w14:paraId="5109CA01" w14:textId="0D5CB57E" w:rsidR="009071AE" w:rsidRDefault="009071AE">
      <w:pPr>
        <w:spacing w:after="160" w:line="259" w:lineRule="auto"/>
        <w:ind w:firstLine="0"/>
        <w:jc w:val="left"/>
      </w:pPr>
    </w:p>
    <w:p w14:paraId="149306EE" w14:textId="1FB85B8F" w:rsidR="000B785B" w:rsidRDefault="000B785B" w:rsidP="000B785B">
      <w:pPr>
        <w:pStyle w:val="Default"/>
        <w:spacing w:before="120"/>
        <w:ind w:left="567"/>
        <w:jc w:val="both"/>
      </w:pPr>
    </w:p>
    <w:p w14:paraId="7E9D366A" w14:textId="77777777" w:rsidR="00AA0408" w:rsidRDefault="00AA0408" w:rsidP="000B785B">
      <w:pPr>
        <w:pStyle w:val="Default"/>
        <w:spacing w:before="120"/>
        <w:ind w:left="567"/>
        <w:jc w:val="both"/>
      </w:pPr>
    </w:p>
    <w:sdt>
      <w:sdtPr>
        <w:id w:val="-1782336844"/>
        <w:docPartObj>
          <w:docPartGallery w:val="Cover Pages"/>
          <w:docPartUnique/>
        </w:docPartObj>
      </w:sdtPr>
      <w:sdtEndPr/>
      <w:sdtContent>
        <w:p w14:paraId="2817B3DC" w14:textId="77777777" w:rsidR="00AA0408" w:rsidRDefault="00AA0408" w:rsidP="00A35124"/>
        <w:p w14:paraId="4C305E30" w14:textId="77777777" w:rsidR="00AA0408" w:rsidRDefault="00AA0408" w:rsidP="00A35124">
          <w:pPr>
            <w:rPr>
              <w:rFonts w:ascii="Times New Roman" w:hAnsi="Times New Roman" w:cs="Times New Roman"/>
              <w:color w:val="2A2A2A"/>
              <w:sz w:val="24"/>
              <w:szCs w:val="24"/>
              <w:shd w:val="clear" w:color="auto" w:fill="FFFFFF"/>
            </w:rPr>
          </w:pPr>
        </w:p>
        <w:p w14:paraId="143EC405" w14:textId="77777777" w:rsidR="00AA0408" w:rsidRDefault="00AA0408" w:rsidP="00A35124">
          <w:pPr>
            <w:rPr>
              <w:rFonts w:ascii="Times New Roman" w:hAnsi="Times New Roman" w:cs="Times New Roman"/>
              <w:color w:val="2A2A2A"/>
              <w:sz w:val="24"/>
              <w:szCs w:val="24"/>
              <w:shd w:val="clear" w:color="auto" w:fill="FFFFFF"/>
            </w:rPr>
          </w:pPr>
        </w:p>
        <w:p w14:paraId="67A6A74B" w14:textId="77777777" w:rsidR="00AA0408" w:rsidRDefault="00AA0408">
          <w:pPr>
            <w:spacing w:after="160" w:line="259" w:lineRule="auto"/>
            <w:ind w:firstLine="0"/>
            <w:jc w:val="left"/>
            <w:rPr>
              <w:rFonts w:ascii="Times New Roman" w:hAnsi="Times New Roman" w:cs="Times New Roman"/>
              <w:color w:val="2A2A2A"/>
              <w:sz w:val="24"/>
              <w:szCs w:val="24"/>
              <w:shd w:val="clear" w:color="auto" w:fill="FFFFFF"/>
            </w:rPr>
          </w:pPr>
          <w:r>
            <w:rPr>
              <w:rFonts w:ascii="Times New Roman" w:hAnsi="Times New Roman" w:cs="Times New Roman"/>
              <w:color w:val="2A2A2A"/>
              <w:sz w:val="24"/>
              <w:szCs w:val="24"/>
              <w:shd w:val="clear" w:color="auto" w:fill="FFFFFF"/>
            </w:rPr>
            <w:br w:type="page"/>
          </w:r>
        </w:p>
        <w:p w14:paraId="0EF04AB5" w14:textId="46F2B215" w:rsidR="00A35124" w:rsidRPr="007F3895" w:rsidRDefault="00A35124" w:rsidP="0088719C">
          <w:pPr>
            <w:rPr>
              <w:rFonts w:ascii="Times New Roman" w:hAnsi="Times New Roman" w:cs="Times New Roman"/>
              <w:color w:val="2A2A2A"/>
              <w:sz w:val="24"/>
              <w:szCs w:val="24"/>
              <w:shd w:val="clear" w:color="auto" w:fill="FFFFFF"/>
            </w:rPr>
          </w:pPr>
          <w:r w:rsidRPr="007F3895">
            <w:rPr>
              <w:rFonts w:ascii="Times New Roman" w:hAnsi="Times New Roman" w:cs="Times New Roman"/>
              <w:color w:val="2A2A2A"/>
              <w:sz w:val="24"/>
              <w:szCs w:val="24"/>
              <w:shd w:val="clear" w:color="auto" w:fill="FFFFFF"/>
            </w:rPr>
            <w:lastRenderedPageBreak/>
            <w:t>Ekonomikas ministrija, lai nodrošinātu "Deklarācijas par Artura Krišjāņa Kariņa vadītā Ministru kabineta iecerēto darbību" 26.uzdevuma efektīvu izpildi, ir v</w:t>
          </w:r>
          <w:r w:rsidRPr="007F3895">
            <w:rPr>
              <w:rFonts w:ascii="Times New Roman" w:hAnsi="Times New Roman" w:cs="Times New Roman"/>
              <w:sz w:val="24"/>
              <w:szCs w:val="24"/>
            </w:rPr>
            <w:t xml:space="preserve">eikusi pētījumu par prognozētām izmaiņām darba spēka un būvmateriālu izmaksās būvniecības nozarē un atbilstoši </w:t>
          </w:r>
          <w:r w:rsidRPr="007F3895">
            <w:rPr>
              <w:rFonts w:ascii="Times New Roman" w:hAnsi="Times New Roman" w:cs="Times New Roman"/>
              <w:color w:val="2A2A2A"/>
              <w:sz w:val="24"/>
              <w:szCs w:val="24"/>
              <w:shd w:val="clear" w:color="auto" w:fill="FFFFFF"/>
            </w:rPr>
            <w:t>Ministru kabineta 2019.gada 23.aprīļa sēdē (protokols Nr.21,</w:t>
          </w:r>
          <w:r w:rsidRPr="007F3895">
            <w:rPr>
              <w:rFonts w:ascii="Times New Roman" w:eastAsia="Times New Roman" w:hAnsi="Times New Roman" w:cs="Times New Roman"/>
              <w:sz w:val="24"/>
              <w:szCs w:val="24"/>
            </w:rPr>
            <w:t xml:space="preserve"> 23.§, 3.punkts) dotajam uzdevumam, iesniedz </w:t>
          </w:r>
          <w:r w:rsidRPr="007F3895">
            <w:rPr>
              <w:rFonts w:ascii="Times New Roman" w:hAnsi="Times New Roman" w:cs="Times New Roman"/>
              <w:color w:val="2A2A2A"/>
              <w:sz w:val="24"/>
              <w:szCs w:val="24"/>
              <w:shd w:val="clear" w:color="auto" w:fill="FFFFFF"/>
            </w:rPr>
            <w:t xml:space="preserve">Ministru kabinetam </w:t>
          </w:r>
          <w:r w:rsidRPr="007F3895">
            <w:rPr>
              <w:rFonts w:ascii="Times New Roman" w:eastAsia="Times New Roman" w:hAnsi="Times New Roman" w:cs="Times New Roman"/>
              <w:sz w:val="24"/>
              <w:szCs w:val="24"/>
            </w:rPr>
            <w:t>inform</w:t>
          </w:r>
          <w:r w:rsidR="00AA0408">
            <w:rPr>
              <w:rFonts w:ascii="Times New Roman" w:eastAsia="Times New Roman" w:hAnsi="Times New Roman" w:cs="Times New Roman"/>
              <w:sz w:val="24"/>
              <w:szCs w:val="24"/>
            </w:rPr>
            <w:t xml:space="preserve">atīvu ziņojumu </w:t>
          </w:r>
          <w:r w:rsidRPr="007F3895">
            <w:rPr>
              <w:rFonts w:ascii="Times New Roman" w:hAnsi="Times New Roman" w:cs="Times New Roman"/>
              <w:color w:val="2A2A2A"/>
              <w:sz w:val="24"/>
              <w:szCs w:val="24"/>
              <w:shd w:val="clear" w:color="auto" w:fill="FFFFFF"/>
            </w:rPr>
            <w:t xml:space="preserve">par izvērtējuma rezultātiem, un prognozēto ietekmi uz tautsaimniecību. </w:t>
          </w:r>
        </w:p>
        <w:p w14:paraId="336EA978" w14:textId="6DBF5D6F" w:rsidR="00A35124" w:rsidRPr="00C35C48" w:rsidRDefault="00A35124" w:rsidP="0088719C">
          <w:pPr>
            <w:rPr>
              <w:rFonts w:ascii="Times New Roman" w:hAnsi="Times New Roman" w:cs="Times New Roman"/>
              <w:sz w:val="24"/>
              <w:szCs w:val="24"/>
            </w:rPr>
          </w:pPr>
          <w:r w:rsidRPr="00C35C48">
            <w:rPr>
              <w:rFonts w:ascii="Times New Roman" w:hAnsi="Times New Roman" w:cs="Times New Roman"/>
              <w:color w:val="000000" w:themeColor="text1"/>
              <w:sz w:val="24"/>
              <w:szCs w:val="24"/>
              <w:shd w:val="clear" w:color="auto" w:fill="FFFFFF"/>
            </w:rPr>
            <w:t xml:space="preserve">Pētījuma </w:t>
          </w:r>
          <w:r w:rsidRPr="00C35C48">
            <w:rPr>
              <w:rFonts w:ascii="Times New Roman" w:hAnsi="Times New Roman" w:cs="Times New Roman"/>
              <w:sz w:val="24"/>
              <w:szCs w:val="24"/>
            </w:rPr>
            <w:t xml:space="preserve">„Par prognozētām izmaiņām darbaspēka un būvmateriālu izmaksās būvniecības nozarē Latvijā” </w:t>
          </w:r>
          <w:r w:rsidRPr="00C35C48">
            <w:rPr>
              <w:rFonts w:ascii="Times New Roman" w:hAnsi="Times New Roman" w:cs="Times New Roman"/>
              <w:color w:val="000000" w:themeColor="text1"/>
              <w:sz w:val="24"/>
              <w:szCs w:val="24"/>
              <w:shd w:val="clear" w:color="auto" w:fill="FFFFFF"/>
            </w:rPr>
            <w:t xml:space="preserve">mērķis ir prognozēt darbaspēka un  būvmateriālu izmaksu izmaiņas būvniecības nozarē Latvijā laika periodā no 2021. līdz 2025. gadam, lai varētu efektīvāk plānot publisko būvniecības iepirkumu potenciālās izmaksas un novērtētu iespējamās cenu izmaiņas tuvākajos gados.  </w:t>
          </w:r>
          <w:r w:rsidRPr="00C35C48">
            <w:rPr>
              <w:rFonts w:ascii="Times New Roman" w:hAnsi="Times New Roman" w:cs="Times New Roman"/>
              <w:color w:val="2A2A2A"/>
              <w:sz w:val="24"/>
              <w:szCs w:val="24"/>
              <w:shd w:val="clear" w:color="auto" w:fill="FFFFFF"/>
            </w:rPr>
            <w:t xml:space="preserve">Pētījums veikts pēc 2018. gadā izstrādātās </w:t>
          </w:r>
          <w:r w:rsidRPr="00C35C48">
            <w:rPr>
              <w:rFonts w:ascii="Times New Roman" w:hAnsi="Times New Roman" w:cs="Times New Roman"/>
              <w:sz w:val="24"/>
              <w:szCs w:val="24"/>
            </w:rPr>
            <w:t>daudzfaktoru</w:t>
          </w:r>
          <w:r w:rsidRPr="00C35C48">
            <w:rPr>
              <w:rFonts w:ascii="Times New Roman" w:hAnsi="Times New Roman" w:cs="Times New Roman"/>
              <w:color w:val="2A2A2A"/>
              <w:sz w:val="24"/>
              <w:szCs w:val="24"/>
              <w:shd w:val="clear" w:color="auto" w:fill="FFFFFF"/>
            </w:rPr>
            <w:t xml:space="preserve"> </w:t>
          </w:r>
          <w:r w:rsidR="00AD6C2D" w:rsidRPr="00C35C48">
            <w:rPr>
              <w:rFonts w:ascii="Times New Roman" w:hAnsi="Times New Roman" w:cs="Times New Roman"/>
              <w:color w:val="2A2A2A"/>
              <w:sz w:val="24"/>
              <w:szCs w:val="24"/>
              <w:shd w:val="clear" w:color="auto" w:fill="FFFFFF"/>
            </w:rPr>
            <w:t>metodi</w:t>
          </w:r>
          <w:r w:rsidR="00AD6C2D">
            <w:rPr>
              <w:rFonts w:ascii="Times New Roman" w:hAnsi="Times New Roman" w:cs="Times New Roman"/>
              <w:color w:val="2A2A2A"/>
              <w:sz w:val="24"/>
              <w:szCs w:val="24"/>
              <w:shd w:val="clear" w:color="auto" w:fill="FFFFFF"/>
            </w:rPr>
            <w:t>ku</w:t>
          </w:r>
          <w:r w:rsidRPr="00C35C48">
            <w:rPr>
              <w:rFonts w:ascii="Times New Roman" w:hAnsi="Times New Roman" w:cs="Times New Roman"/>
              <w:color w:val="2A2A2A"/>
              <w:sz w:val="24"/>
              <w:szCs w:val="24"/>
              <w:shd w:val="clear" w:color="auto" w:fill="FFFFFF"/>
            </w:rPr>
            <w:t xml:space="preserve"> </w:t>
          </w:r>
          <w:r w:rsidRPr="00C35C48">
            <w:rPr>
              <w:rFonts w:ascii="Times New Roman" w:hAnsi="Times New Roman" w:cs="Times New Roman"/>
              <w:sz w:val="24"/>
              <w:szCs w:val="24"/>
            </w:rPr>
            <w:t xml:space="preserve">darbaspēka un būvmateriālu izmaksu izmaiņu  </w:t>
          </w:r>
          <w:r w:rsidRPr="00C35C48">
            <w:rPr>
              <w:rFonts w:ascii="Times New Roman" w:hAnsi="Times New Roman" w:cs="Times New Roman"/>
              <w:color w:val="2A2A2A"/>
              <w:sz w:val="24"/>
              <w:szCs w:val="24"/>
              <w:shd w:val="clear" w:color="auto" w:fill="FFFFFF"/>
            </w:rPr>
            <w:t>prognozēšanai</w:t>
          </w:r>
          <w:r w:rsidRPr="00C35C48">
            <w:rPr>
              <w:rFonts w:ascii="Times New Roman" w:hAnsi="Times New Roman" w:cs="Times New Roman"/>
              <w:sz w:val="24"/>
              <w:szCs w:val="24"/>
            </w:rPr>
            <w:t xml:space="preserve"> būvniecības nozarē, kura aptver kompleksus gan statistiskos, gan ekspertu novērtējumus. Pētījuma datu masīvu veidos statistiskie dati, kas tika iegūti izmantojot CSP datubāzē pieejamo statistisko informāciju par būvniecības nozares izmaksu izmaiņām, t.sk. apakšnozaru un resursu veidu griezumā, kā arī ekspertvērtējumi, kas tika iegūti no pētāmo apakšnozaru ekspertiem. Ekspertu interviju ietvaros tika identificēti būvniecības izmaksu izmaiņas ietekmējošie faktori, to ietekmes līmenis, </w:t>
          </w:r>
          <w:r w:rsidR="00AA0408">
            <w:rPr>
              <w:rFonts w:ascii="Times New Roman" w:hAnsi="Times New Roman" w:cs="Times New Roman"/>
              <w:sz w:val="24"/>
              <w:szCs w:val="24"/>
            </w:rPr>
            <w:t xml:space="preserve">kā arī </w:t>
          </w:r>
          <w:r w:rsidRPr="00C35C48">
            <w:rPr>
              <w:rFonts w:ascii="Times New Roman" w:hAnsi="Times New Roman" w:cs="Times New Roman"/>
              <w:sz w:val="24"/>
              <w:szCs w:val="24"/>
            </w:rPr>
            <w:t>ekspertvērtējumi par cenu izmaiņu tendencēm. Identificētajiem faktoriem, kurus iespējams kvantificēt, tika izgūtas dinamikas rindas ar to līdzšinējo attīstību.</w:t>
          </w:r>
        </w:p>
        <w:p w14:paraId="3768356A" w14:textId="77777777" w:rsidR="00A35124" w:rsidRPr="00C35C48" w:rsidRDefault="00A35124" w:rsidP="0088719C">
          <w:pPr>
            <w:rPr>
              <w:rFonts w:ascii="Times New Roman" w:hAnsi="Times New Roman" w:cs="Times New Roman"/>
              <w:sz w:val="24"/>
              <w:szCs w:val="24"/>
            </w:rPr>
          </w:pPr>
          <w:bookmarkStart w:id="2" w:name="_Hlk522724654"/>
          <w:r w:rsidRPr="00C35C48">
            <w:rPr>
              <w:rFonts w:ascii="Times New Roman" w:hAnsi="Times New Roman" w:cs="Times New Roman"/>
              <w:sz w:val="24"/>
              <w:szCs w:val="24"/>
            </w:rPr>
            <w:t>Izstrādātā izmaksu izmaiņu metodika ir paredzēta galveno tendenču prognozēšanai, tā ietver gan statistisko, gan ekspertmetožu izmantošanu, metožu kombinēšanu.</w:t>
          </w:r>
        </w:p>
        <w:bookmarkEnd w:id="2"/>
        <w:p w14:paraId="33D5EEA9" w14:textId="77777777" w:rsidR="00A35124" w:rsidRDefault="00A35124" w:rsidP="00C669CB">
          <w:pPr>
            <w:ind w:firstLine="0"/>
            <w:rPr>
              <w:rStyle w:val="Hyperlink"/>
              <w:rFonts w:ascii="Times New Roman" w:hAnsi="Times New Roman" w:cs="Times New Roman"/>
              <w:sz w:val="24"/>
              <w:szCs w:val="24"/>
              <w:shd w:val="clear" w:color="auto" w:fill="FFFFFF"/>
            </w:rPr>
          </w:pPr>
          <w:r w:rsidRPr="007F3895">
            <w:rPr>
              <w:rFonts w:ascii="Times New Roman" w:hAnsi="Times New Roman" w:cs="Times New Roman"/>
              <w:sz w:val="24"/>
              <w:szCs w:val="24"/>
            </w:rPr>
            <w:t xml:space="preserve">Ar pētījumu plašāk var iepazīties </w:t>
          </w:r>
          <w:r w:rsidRPr="007F3895">
            <w:rPr>
              <w:rFonts w:ascii="Times New Roman" w:hAnsi="Times New Roman" w:cs="Times New Roman"/>
              <w:color w:val="2A2A2A"/>
              <w:sz w:val="24"/>
              <w:szCs w:val="24"/>
              <w:shd w:val="clear" w:color="auto" w:fill="FFFFFF"/>
            </w:rPr>
            <w:t>Ekonomikas</w:t>
          </w:r>
          <w:r>
            <w:rPr>
              <w:rFonts w:ascii="Times New Roman" w:hAnsi="Times New Roman" w:cs="Times New Roman"/>
              <w:color w:val="2A2A2A"/>
              <w:sz w:val="24"/>
              <w:szCs w:val="24"/>
              <w:shd w:val="clear" w:color="auto" w:fill="FFFFFF"/>
            </w:rPr>
            <w:t xml:space="preserve"> </w:t>
          </w:r>
          <w:r w:rsidRPr="007F3895">
            <w:rPr>
              <w:rFonts w:ascii="Times New Roman" w:hAnsi="Times New Roman" w:cs="Times New Roman"/>
              <w:color w:val="2A2A2A"/>
              <w:sz w:val="24"/>
              <w:szCs w:val="24"/>
              <w:shd w:val="clear" w:color="auto" w:fill="FFFFFF"/>
            </w:rPr>
            <w:t>ministrijas tīmekļa vietnē :</w:t>
          </w:r>
          <w:r w:rsidRPr="007F3895">
            <w:rPr>
              <w:sz w:val="24"/>
              <w:szCs w:val="24"/>
            </w:rPr>
            <w:t xml:space="preserve"> </w:t>
          </w:r>
          <w:hyperlink r:id="rId9" w:history="1">
            <w:r w:rsidRPr="007F3895">
              <w:rPr>
                <w:rStyle w:val="Hyperlink"/>
                <w:rFonts w:ascii="Times New Roman" w:hAnsi="Times New Roman" w:cs="Times New Roman"/>
                <w:sz w:val="24"/>
                <w:szCs w:val="24"/>
                <w:shd w:val="clear" w:color="auto" w:fill="FFFFFF"/>
              </w:rPr>
              <w:t>https://www.em.gov.lv/lv/nozares_politika/buvnieciba_/_buvniecibas_nozare__attistiba__strategija_un_petijumi/</w:t>
            </w:r>
          </w:hyperlink>
          <w:r>
            <w:rPr>
              <w:rStyle w:val="Hyperlink"/>
              <w:rFonts w:ascii="Times New Roman" w:hAnsi="Times New Roman" w:cs="Times New Roman"/>
              <w:sz w:val="24"/>
              <w:szCs w:val="24"/>
              <w:shd w:val="clear" w:color="auto" w:fill="FFFFFF"/>
            </w:rPr>
            <w:t xml:space="preserve"> .</w:t>
          </w:r>
        </w:p>
        <w:p w14:paraId="3131AA5A" w14:textId="180EFDCD" w:rsidR="00A35124" w:rsidRPr="00AA0408" w:rsidRDefault="00A35124" w:rsidP="0088719C">
          <w:pPr>
            <w:rPr>
              <w:rStyle w:val="Hyperlink"/>
              <w:rFonts w:ascii="Times New Roman" w:hAnsi="Times New Roman" w:cs="Times New Roman"/>
              <w:color w:val="auto"/>
              <w:sz w:val="24"/>
              <w:szCs w:val="24"/>
              <w:u w:val="none"/>
              <w:shd w:val="clear" w:color="auto" w:fill="FFFFFF"/>
            </w:rPr>
          </w:pPr>
          <w:r w:rsidRPr="00AA0408">
            <w:rPr>
              <w:rStyle w:val="Hyperlink"/>
              <w:rFonts w:ascii="Times New Roman" w:hAnsi="Times New Roman" w:cs="Times New Roman"/>
              <w:color w:val="auto"/>
              <w:sz w:val="24"/>
              <w:szCs w:val="24"/>
              <w:u w:val="none"/>
              <w:shd w:val="clear" w:color="auto" w:fill="FFFFFF"/>
            </w:rPr>
            <w:t>Ziņojumā ietverts Ekonomikas ministrijas Analītikas dienesta</w:t>
          </w:r>
          <w:r w:rsidR="00AA0408" w:rsidRPr="00AA0408">
            <w:rPr>
              <w:rStyle w:val="Hyperlink"/>
              <w:rFonts w:ascii="Times New Roman" w:hAnsi="Times New Roman" w:cs="Times New Roman"/>
              <w:color w:val="auto"/>
              <w:sz w:val="24"/>
              <w:szCs w:val="24"/>
              <w:u w:val="none"/>
              <w:shd w:val="clear" w:color="auto" w:fill="FFFFFF"/>
            </w:rPr>
            <w:t xml:space="preserve"> un Būvniecības politikas departamenta</w:t>
          </w:r>
          <w:r w:rsidRPr="00AA0408">
            <w:rPr>
              <w:rStyle w:val="Hyperlink"/>
              <w:rFonts w:ascii="Times New Roman" w:hAnsi="Times New Roman" w:cs="Times New Roman"/>
              <w:color w:val="auto"/>
              <w:sz w:val="24"/>
              <w:szCs w:val="24"/>
              <w:u w:val="none"/>
              <w:shd w:val="clear" w:color="auto" w:fill="FFFFFF"/>
            </w:rPr>
            <w:t xml:space="preserve"> esošās situācijas un būvniecības ietekmes uz tautsaimniecību vērtējums. </w:t>
          </w:r>
        </w:p>
        <w:p w14:paraId="44D47FC0" w14:textId="7B7AD648" w:rsidR="006C4A6A" w:rsidRDefault="006C4A6A" w:rsidP="00A35124">
          <w:pPr>
            <w:rPr>
              <w:rStyle w:val="Hyperlink"/>
              <w:rFonts w:ascii="Times New Roman" w:hAnsi="Times New Roman" w:cs="Times New Roman"/>
              <w:color w:val="C00000"/>
              <w:sz w:val="24"/>
              <w:szCs w:val="24"/>
              <w:u w:val="none"/>
              <w:shd w:val="clear" w:color="auto" w:fill="FFFFFF"/>
            </w:rPr>
          </w:pPr>
        </w:p>
        <w:p w14:paraId="22511B26" w14:textId="7F6CD603" w:rsidR="00AA0408" w:rsidRDefault="00AA0408">
          <w:pPr>
            <w:spacing w:after="160" w:line="259" w:lineRule="auto"/>
            <w:ind w:firstLine="0"/>
            <w:jc w:val="left"/>
            <w:rPr>
              <w:rStyle w:val="Hyperlink"/>
              <w:rFonts w:ascii="Times New Roman" w:hAnsi="Times New Roman" w:cs="Times New Roman"/>
              <w:color w:val="C00000"/>
              <w:sz w:val="24"/>
              <w:szCs w:val="24"/>
              <w:u w:val="none"/>
              <w:shd w:val="clear" w:color="auto" w:fill="FFFFFF"/>
            </w:rPr>
          </w:pPr>
          <w:r>
            <w:rPr>
              <w:rStyle w:val="Hyperlink"/>
              <w:rFonts w:ascii="Times New Roman" w:hAnsi="Times New Roman" w:cs="Times New Roman"/>
              <w:color w:val="C00000"/>
              <w:sz w:val="24"/>
              <w:szCs w:val="24"/>
              <w:u w:val="none"/>
              <w:shd w:val="clear" w:color="auto" w:fill="FFFFFF"/>
            </w:rPr>
            <w:br w:type="page"/>
          </w:r>
        </w:p>
        <w:p w14:paraId="090A17BF" w14:textId="27ADB7B6" w:rsidR="006C4A6A" w:rsidRPr="002801D0" w:rsidRDefault="006C4A6A" w:rsidP="002801D0">
          <w:pPr>
            <w:pStyle w:val="Heading1"/>
            <w:numPr>
              <w:ilvl w:val="0"/>
              <w:numId w:val="40"/>
            </w:numPr>
            <w:spacing w:line="240" w:lineRule="auto"/>
            <w:jc w:val="both"/>
            <w:rPr>
              <w:b/>
              <w:bCs/>
              <w:color w:val="1B9DAB"/>
            </w:rPr>
          </w:pPr>
          <w:bookmarkStart w:id="3" w:name="_Toc80109857"/>
          <w:r w:rsidRPr="002801D0">
            <w:rPr>
              <w:b/>
              <w:bCs/>
              <w:color w:val="1B9DAB"/>
            </w:rPr>
            <w:lastRenderedPageBreak/>
            <w:t>Būvniecības nozares attīstību raksturojošie rādītāji</w:t>
          </w:r>
          <w:bookmarkEnd w:id="3"/>
          <w:r w:rsidRPr="002801D0">
            <w:rPr>
              <w:b/>
              <w:bCs/>
              <w:color w:val="1B9DAB"/>
            </w:rPr>
            <w:t xml:space="preserve"> </w:t>
          </w:r>
        </w:p>
        <w:p w14:paraId="2F1884A0" w14:textId="73253681" w:rsidR="006C4A6A" w:rsidRDefault="006C4A6A" w:rsidP="006C4A6A">
          <w:pPr>
            <w:spacing w:after="160" w:line="259" w:lineRule="auto"/>
            <w:ind w:firstLine="0"/>
            <w:jc w:val="left"/>
          </w:pPr>
        </w:p>
        <w:p w14:paraId="0A135F9E" w14:textId="77777777" w:rsidR="003468FC" w:rsidRPr="00F944A8" w:rsidRDefault="003468FC" w:rsidP="0088719C">
          <w:pPr>
            <w:pStyle w:val="Default"/>
            <w:spacing w:line="312" w:lineRule="auto"/>
            <w:ind w:firstLine="720"/>
            <w:jc w:val="both"/>
            <w:rPr>
              <w:rFonts w:ascii="Times New Roman" w:hAnsi="Times New Roman" w:cs="Times New Roman"/>
            </w:rPr>
          </w:pPr>
          <w:r>
            <w:rPr>
              <w:rFonts w:ascii="Times New Roman" w:hAnsi="Times New Roman" w:cs="Times New Roman"/>
            </w:rPr>
            <w:t>Būvniecības  dinamika ir izteikti cikliska un pēdējo 5 gadu laikā tendences ir bijušas krasi atšķirīgas. N</w:t>
          </w:r>
          <w:r w:rsidRPr="00F944A8">
            <w:rPr>
              <w:rFonts w:ascii="Times New Roman" w:hAnsi="Times New Roman" w:cs="Times New Roman"/>
            </w:rPr>
            <w:t xml:space="preserve">ozares izaugsmes tempus 2017.-2018. gados var raksturot kā straujus. Šajā periodā nozares produkcijas apjomu vidējais palielinājums </w:t>
          </w:r>
          <w:r>
            <w:rPr>
              <w:rFonts w:ascii="Times New Roman" w:hAnsi="Times New Roman" w:cs="Times New Roman"/>
            </w:rPr>
            <w:t>pārsniedza 2</w:t>
          </w:r>
          <w:r w:rsidRPr="00F944A8">
            <w:rPr>
              <w:rFonts w:ascii="Times New Roman" w:hAnsi="Times New Roman" w:cs="Times New Roman"/>
            </w:rPr>
            <w:t>0% gadā. Nozares attīstības dzinuļi bija ES struktūrfondu projektu īstenošanas intensitātes pieaugums pēc pārejas perioda, kā arī privāto investīciju pieplūdums lielo būvniecības objektu celtniecībai.</w:t>
          </w:r>
        </w:p>
        <w:p w14:paraId="2447F449" w14:textId="5A89BABB"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Būvniecības nozare 2019. gadā turpin</w:t>
          </w:r>
          <w:r>
            <w:rPr>
              <w:rFonts w:ascii="Times New Roman" w:hAnsi="Times New Roman" w:cs="Times New Roman"/>
            </w:rPr>
            <w:t>āja augt</w:t>
          </w:r>
          <w:r w:rsidRPr="00F944A8">
            <w:rPr>
              <w:rFonts w:ascii="Times New Roman" w:hAnsi="Times New Roman" w:cs="Times New Roman"/>
            </w:rPr>
            <w:t xml:space="preserve">, </w:t>
          </w:r>
          <w:r>
            <w:rPr>
              <w:rFonts w:ascii="Times New Roman" w:hAnsi="Times New Roman" w:cs="Times New Roman"/>
            </w:rPr>
            <w:t xml:space="preserve">tomēr ievērojami </w:t>
          </w:r>
          <w:r w:rsidRPr="00F944A8">
            <w:rPr>
              <w:rFonts w:ascii="Times New Roman" w:hAnsi="Times New Roman" w:cs="Times New Roman"/>
            </w:rPr>
            <w:t xml:space="preserve">lēnākos tempos nekā iepriekšējos divus gadus. Būvniecības produkcijas </w:t>
          </w:r>
          <w:r w:rsidR="00AD6C2D">
            <w:rPr>
              <w:rFonts w:ascii="Times New Roman" w:hAnsi="Times New Roman" w:cs="Times New Roman"/>
            </w:rPr>
            <w:t xml:space="preserve"> </w:t>
          </w:r>
          <w:r w:rsidRPr="00F944A8">
            <w:rPr>
              <w:rFonts w:ascii="Times New Roman" w:hAnsi="Times New Roman" w:cs="Times New Roman"/>
            </w:rPr>
            <w:t xml:space="preserve">apjomi 2019.gadā bija par 2,9% lielāki </w:t>
          </w:r>
          <w:r>
            <w:rPr>
              <w:rFonts w:ascii="Times New Roman" w:hAnsi="Times New Roman" w:cs="Times New Roman"/>
            </w:rPr>
            <w:t>ne</w:t>
          </w:r>
          <w:r w:rsidRPr="00F944A8">
            <w:rPr>
              <w:rFonts w:ascii="Times New Roman" w:hAnsi="Times New Roman" w:cs="Times New Roman"/>
            </w:rPr>
            <w:t>kā 2018.</w:t>
          </w:r>
          <w:r>
            <w:rPr>
              <w:rFonts w:ascii="Times New Roman" w:hAnsi="Times New Roman" w:cs="Times New Roman"/>
            </w:rPr>
            <w:t> </w:t>
          </w:r>
          <w:r w:rsidRPr="00F944A8">
            <w:rPr>
              <w:rFonts w:ascii="Times New Roman" w:hAnsi="Times New Roman" w:cs="Times New Roman"/>
            </w:rPr>
            <w:t>gadā</w:t>
          </w:r>
          <w:r>
            <w:rPr>
              <w:rFonts w:ascii="Times New Roman" w:hAnsi="Times New Roman" w:cs="Times New Roman"/>
            </w:rPr>
            <w:t xml:space="preserve">. Izaugsmes lēnāku tempu </w:t>
          </w:r>
          <w:r w:rsidRPr="00F944A8">
            <w:rPr>
              <w:rFonts w:ascii="Times New Roman" w:hAnsi="Times New Roman" w:cs="Times New Roman"/>
            </w:rPr>
            <w:t>iemesl</w:t>
          </w:r>
          <w:r>
            <w:rPr>
              <w:rFonts w:ascii="Times New Roman" w:hAnsi="Times New Roman" w:cs="Times New Roman"/>
            </w:rPr>
            <w:t>i</w:t>
          </w:r>
          <w:r w:rsidRPr="00F944A8">
            <w:rPr>
              <w:rFonts w:ascii="Times New Roman" w:hAnsi="Times New Roman" w:cs="Times New Roman"/>
            </w:rPr>
            <w:t xml:space="preserve"> bija bāzes efekts jeb iepriekšējo gadu straujās izaugsmes rezultātā sasniegtie augstie rādītāji</w:t>
          </w:r>
          <w:r>
            <w:rPr>
              <w:rFonts w:ascii="Times New Roman" w:hAnsi="Times New Roman" w:cs="Times New Roman"/>
            </w:rPr>
            <w:t xml:space="preserve">, kā arī </w:t>
          </w:r>
          <w:r w:rsidRPr="00F944A8">
            <w:rPr>
              <w:rFonts w:ascii="Times New Roman" w:hAnsi="Times New Roman" w:cs="Times New Roman"/>
            </w:rPr>
            <w:t xml:space="preserve">lielo privāto būvniecības projektu pabeigšana un maksimumu sasniegusī ES struktūrfondu investīciju plūsma. </w:t>
          </w:r>
        </w:p>
        <w:p w14:paraId="77735DB9" w14:textId="66BB23CB"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 xml:space="preserve">2020. gads nozarei </w:t>
          </w:r>
          <w:r>
            <w:rPr>
              <w:rFonts w:ascii="Times New Roman" w:hAnsi="Times New Roman" w:cs="Times New Roman"/>
            </w:rPr>
            <w:t>ie</w:t>
          </w:r>
          <w:r w:rsidRPr="00F944A8">
            <w:rPr>
              <w:rFonts w:ascii="Times New Roman" w:hAnsi="Times New Roman" w:cs="Times New Roman"/>
            </w:rPr>
            <w:t>sākās</w:t>
          </w:r>
          <w:r>
            <w:rPr>
              <w:rFonts w:ascii="Times New Roman" w:hAnsi="Times New Roman" w:cs="Times New Roman"/>
            </w:rPr>
            <w:t xml:space="preserve"> pozitīvi. Ņemot vērā labvēlīgos laikapstākļus (ilgstoši bez sala periodi, minimāli nokrišņi) </w:t>
          </w:r>
          <w:r w:rsidRPr="00F944A8">
            <w:rPr>
              <w:rFonts w:ascii="Times New Roman" w:hAnsi="Times New Roman" w:cs="Times New Roman"/>
            </w:rPr>
            <w:t xml:space="preserve"> 1.ceturksnī</w:t>
          </w:r>
          <w:r>
            <w:rPr>
              <w:rFonts w:ascii="Times New Roman" w:hAnsi="Times New Roman" w:cs="Times New Roman"/>
            </w:rPr>
            <w:t xml:space="preserve"> būvniecības apjomi bija par 14,8% lielāki nekā iepriekšējā gada 1.ceturksnī.</w:t>
          </w:r>
          <w:r w:rsidRPr="00F944A8">
            <w:rPr>
              <w:rFonts w:ascii="Times New Roman" w:hAnsi="Times New Roman" w:cs="Times New Roman"/>
            </w:rPr>
            <w:t xml:space="preserve"> Covid-19 ietekm</w:t>
          </w:r>
          <w:r>
            <w:rPr>
              <w:rFonts w:ascii="Times New Roman" w:hAnsi="Times New Roman" w:cs="Times New Roman"/>
            </w:rPr>
            <w:t>ē e</w:t>
          </w:r>
          <w:r w:rsidRPr="00F944A8">
            <w:rPr>
              <w:rFonts w:ascii="Times New Roman" w:hAnsi="Times New Roman" w:cs="Times New Roman"/>
            </w:rPr>
            <w:t>konomiskās lejupslīdes izraisītais privāto investīciju samazinājums sabremzēj</w:t>
          </w:r>
          <w:r>
            <w:rPr>
              <w:rFonts w:ascii="Times New Roman" w:hAnsi="Times New Roman" w:cs="Times New Roman"/>
            </w:rPr>
            <w:t>a</w:t>
          </w:r>
          <w:r w:rsidRPr="00F944A8">
            <w:rPr>
              <w:rFonts w:ascii="Times New Roman" w:hAnsi="Times New Roman" w:cs="Times New Roman"/>
            </w:rPr>
            <w:t xml:space="preserve"> būvniecības attīstību – gan 2., gan 3. ceturksnī būvniecības apjomi faktiski saglabāj</w:t>
          </w:r>
          <w:r>
            <w:rPr>
              <w:rFonts w:ascii="Times New Roman" w:hAnsi="Times New Roman" w:cs="Times New Roman"/>
            </w:rPr>
            <w:t xml:space="preserve">ās </w:t>
          </w:r>
          <w:r w:rsidRPr="00F944A8">
            <w:rPr>
              <w:rFonts w:ascii="Times New Roman" w:hAnsi="Times New Roman" w:cs="Times New Roman"/>
            </w:rPr>
            <w:t>iepriekšējā gada atbilstošo ceturkšņu līmenī</w:t>
          </w:r>
          <w:r>
            <w:rPr>
              <w:rFonts w:ascii="Times New Roman" w:hAnsi="Times New Roman" w:cs="Times New Roman"/>
            </w:rPr>
            <w:t xml:space="preserve">, bet 4.ceturksnī apjomi gada griezumā pieauga par 2%. </w:t>
          </w:r>
          <w:r w:rsidRPr="00F944A8">
            <w:rPr>
              <w:rFonts w:ascii="Times New Roman" w:hAnsi="Times New Roman" w:cs="Times New Roman"/>
            </w:rPr>
            <w:t xml:space="preserve"> Ņemot vērā 1. ceturkšņa labos izaugsmes rādītājus, būvniecības nozares dinamika 2020.</w:t>
          </w:r>
          <w:r w:rsidR="001A3341">
            <w:rPr>
              <w:rFonts w:ascii="Times New Roman" w:hAnsi="Times New Roman" w:cs="Times New Roman"/>
            </w:rPr>
            <w:t> </w:t>
          </w:r>
          <w:r w:rsidRPr="00F944A8">
            <w:rPr>
              <w:rFonts w:ascii="Times New Roman" w:hAnsi="Times New Roman" w:cs="Times New Roman"/>
            </w:rPr>
            <w:t>gadā kopumā bija pozitīva – pieaugums par 2</w:t>
          </w:r>
          <w:r>
            <w:rPr>
              <w:rFonts w:ascii="Times New Roman" w:hAnsi="Times New Roman" w:cs="Times New Roman"/>
            </w:rPr>
            <w:t>,7</w:t>
          </w:r>
          <w:r w:rsidRPr="00F944A8">
            <w:rPr>
              <w:rFonts w:ascii="Times New Roman" w:hAnsi="Times New Roman" w:cs="Times New Roman"/>
            </w:rPr>
            <w:t>%</w:t>
          </w:r>
          <w:r>
            <w:rPr>
              <w:rFonts w:ascii="Times New Roman" w:hAnsi="Times New Roman" w:cs="Times New Roman"/>
            </w:rPr>
            <w:t xml:space="preserve"> (pretstatus kopējam ekonomikas apjomu samazinājumam par 3,6%).</w:t>
          </w:r>
          <w:r w:rsidRPr="00F944A8">
            <w:rPr>
              <w:rFonts w:ascii="Times New Roman" w:hAnsi="Times New Roman" w:cs="Times New Roman"/>
            </w:rPr>
            <w:t xml:space="preserve"> </w:t>
          </w:r>
        </w:p>
        <w:p w14:paraId="1FDF6DCE" w14:textId="77777777" w:rsidR="003468FC" w:rsidRPr="00D45BBF" w:rsidRDefault="003468FC" w:rsidP="003468FC">
          <w:pPr>
            <w:pStyle w:val="Default"/>
            <w:ind w:firstLine="720"/>
            <w:jc w:val="both"/>
            <w:rPr>
              <w:rFonts w:asciiTheme="minorHAnsi" w:hAnsiTheme="minorHAnsi" w:cstheme="minorHAnsi"/>
              <w:b/>
              <w:bCs/>
            </w:rPr>
          </w:pPr>
        </w:p>
        <w:tbl>
          <w:tblPr>
            <w:tblStyle w:val="TableGrid"/>
            <w:tblW w:w="5000"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736"/>
            <w:gridCol w:w="3815"/>
          </w:tblGrid>
          <w:tr w:rsidR="003468FC" w14:paraId="0990ECF2" w14:textId="77777777" w:rsidTr="001A3341">
            <w:tc>
              <w:tcPr>
                <w:tcW w:w="3000" w:type="pct"/>
                <w:shd w:val="clear" w:color="auto" w:fill="F2F2F2" w:themeFill="background1" w:themeFillShade="F2"/>
              </w:tcPr>
              <w:p w14:paraId="59844B61" w14:textId="77777777" w:rsidR="003468FC" w:rsidRDefault="003468FC" w:rsidP="003468FC">
                <w:pPr>
                  <w:pStyle w:val="Default"/>
                  <w:autoSpaceDE/>
                  <w:autoSpaceDN/>
                  <w:adjustRightInd/>
                  <w:rPr>
                    <w:rFonts w:asciiTheme="minorHAnsi" w:hAnsiTheme="minorHAnsi" w:cstheme="minorHAnsi"/>
                    <w:sz w:val="22"/>
                    <w:szCs w:val="22"/>
                  </w:rPr>
                </w:pPr>
                <w:r w:rsidRPr="00F13260">
                  <w:rPr>
                    <w:rFonts w:asciiTheme="minorHAnsi" w:hAnsiTheme="minorHAnsi" w:cstheme="minorHAnsi"/>
                    <w:b/>
                    <w:bCs/>
                    <w:sz w:val="22"/>
                    <w:szCs w:val="22"/>
                  </w:rPr>
                  <w:t>BŪVNIECĪBAS APJOMU DINAMIKA</w:t>
                </w:r>
                <w:r w:rsidRPr="00F13260">
                  <w:rPr>
                    <w:rFonts w:asciiTheme="minorHAnsi" w:hAnsiTheme="minorHAnsi" w:cstheme="minorHAnsi"/>
                    <w:sz w:val="22"/>
                    <w:szCs w:val="22"/>
                  </w:rPr>
                  <w:t xml:space="preserve">, </w:t>
                </w:r>
              </w:p>
              <w:p w14:paraId="434CB662" w14:textId="77777777" w:rsidR="003468FC" w:rsidRDefault="003468FC" w:rsidP="003468FC">
                <w:pPr>
                  <w:pStyle w:val="Default"/>
                  <w:autoSpaceDE/>
                  <w:autoSpaceDN/>
                  <w:adjustRightInd/>
                  <w:rPr>
                    <w:rFonts w:asciiTheme="minorHAnsi" w:hAnsiTheme="minorHAnsi" w:cstheme="minorHAnsi"/>
                  </w:rPr>
                </w:pPr>
                <w:r w:rsidRPr="00CB24B0">
                  <w:rPr>
                    <w:rFonts w:asciiTheme="minorHAnsi" w:hAnsiTheme="minorHAnsi" w:cstheme="minorHAnsi"/>
                    <w:sz w:val="18"/>
                    <w:szCs w:val="18"/>
                  </w:rPr>
                  <w:t>% PRET IEPRIEKŠĒJĀ GADA ATBILSTOŠO PERIODU</w:t>
                </w:r>
              </w:p>
            </w:tc>
            <w:tc>
              <w:tcPr>
                <w:tcW w:w="2000" w:type="pct"/>
                <w:shd w:val="clear" w:color="auto" w:fill="F2F2F2" w:themeFill="background1" w:themeFillShade="F2"/>
              </w:tcPr>
              <w:p w14:paraId="70FDA7E3" w14:textId="77777777" w:rsidR="003468FC" w:rsidRDefault="003468FC" w:rsidP="003468FC">
                <w:pPr>
                  <w:pStyle w:val="Default"/>
                  <w:autoSpaceDE/>
                  <w:autoSpaceDN/>
                  <w:adjustRightInd/>
                  <w:rPr>
                    <w:rFonts w:asciiTheme="minorHAnsi" w:hAnsiTheme="minorHAnsi" w:cstheme="minorHAnsi"/>
                    <w:sz w:val="22"/>
                    <w:szCs w:val="22"/>
                  </w:rPr>
                </w:pPr>
                <w:r w:rsidRPr="00137B32">
                  <w:rPr>
                    <w:rFonts w:asciiTheme="minorHAnsi" w:hAnsiTheme="minorHAnsi" w:cstheme="minorHAnsi"/>
                    <w:b/>
                    <w:bCs/>
                    <w:spacing w:val="-2"/>
                    <w:sz w:val="22"/>
                    <w:szCs w:val="22"/>
                  </w:rPr>
                  <w:t>BŪVNIECĪBAS NOZARE UN IKP IZMAIŅAS</w:t>
                </w:r>
                <w:r w:rsidRPr="00F13260">
                  <w:rPr>
                    <w:rFonts w:asciiTheme="minorHAnsi" w:hAnsiTheme="minorHAnsi" w:cstheme="minorHAnsi"/>
                    <w:sz w:val="22"/>
                    <w:szCs w:val="22"/>
                  </w:rPr>
                  <w:t xml:space="preserve">, </w:t>
                </w:r>
              </w:p>
              <w:p w14:paraId="4E1EAAF2" w14:textId="77777777" w:rsidR="003468FC" w:rsidRPr="00F13260" w:rsidRDefault="003468FC" w:rsidP="003468FC">
                <w:pPr>
                  <w:pStyle w:val="Default"/>
                  <w:autoSpaceDE/>
                  <w:autoSpaceDN/>
                  <w:adjustRightInd/>
                  <w:rPr>
                    <w:rFonts w:asciiTheme="minorHAnsi" w:hAnsiTheme="minorHAnsi" w:cstheme="minorHAnsi"/>
                    <w:b/>
                    <w:bCs/>
                    <w:sz w:val="22"/>
                    <w:szCs w:val="22"/>
                  </w:rPr>
                </w:pPr>
                <w:r w:rsidRPr="00CB24B0">
                  <w:rPr>
                    <w:rFonts w:asciiTheme="minorHAnsi" w:hAnsiTheme="minorHAnsi" w:cstheme="minorHAnsi"/>
                    <w:sz w:val="18"/>
                    <w:szCs w:val="18"/>
                  </w:rPr>
                  <w:t>% PRET IEPRIEKŠĒJO GADU</w:t>
                </w:r>
              </w:p>
            </w:tc>
          </w:tr>
          <w:tr w:rsidR="003468FC" w14:paraId="715A860E" w14:textId="77777777" w:rsidTr="001A3341">
            <w:tc>
              <w:tcPr>
                <w:tcW w:w="3000" w:type="pct"/>
                <w:shd w:val="clear" w:color="auto" w:fill="F2F2F2" w:themeFill="background1" w:themeFillShade="F2"/>
              </w:tcPr>
              <w:p w14:paraId="17DEAA07" w14:textId="77777777" w:rsidR="003468FC" w:rsidRDefault="003468FC" w:rsidP="003468FC">
                <w:pPr>
                  <w:pStyle w:val="Default"/>
                  <w:autoSpaceDE/>
                  <w:autoSpaceDN/>
                  <w:adjustRightInd/>
                  <w:jc w:val="center"/>
                  <w:rPr>
                    <w:rFonts w:asciiTheme="minorHAnsi" w:hAnsiTheme="minorHAnsi" w:cstheme="minorHAnsi"/>
                  </w:rPr>
                </w:pPr>
                <w:r w:rsidRPr="00AB3112">
                  <w:rPr>
                    <w:rFonts w:ascii="Candara" w:hAnsi="Candara"/>
                    <w:noProof/>
                    <w:lang w:eastAsia="lv-LV"/>
                  </w:rPr>
                  <w:drawing>
                    <wp:inline distT="0" distB="0" distL="0" distR="0" wp14:anchorId="7D2D3A19" wp14:editId="4B1ABC9B">
                      <wp:extent cx="3505200" cy="2159635"/>
                      <wp:effectExtent l="0" t="0" r="0" b="0"/>
                      <wp:docPr id="30"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2000" w:type="pct"/>
                <w:shd w:val="clear" w:color="auto" w:fill="F2F2F2" w:themeFill="background1" w:themeFillShade="F2"/>
              </w:tcPr>
              <w:p w14:paraId="542D852A" w14:textId="77777777" w:rsidR="003468FC" w:rsidRPr="00AB3112" w:rsidRDefault="003468FC" w:rsidP="003468FC">
                <w:pPr>
                  <w:pStyle w:val="Default"/>
                  <w:autoSpaceDE/>
                  <w:autoSpaceDN/>
                  <w:adjustRightInd/>
                  <w:jc w:val="center"/>
                  <w:rPr>
                    <w:rFonts w:ascii="Candara" w:hAnsi="Candara"/>
                    <w:noProof/>
                    <w:lang w:eastAsia="lv-LV"/>
                  </w:rPr>
                </w:pPr>
                <w:r w:rsidRPr="00AB3112">
                  <w:rPr>
                    <w:rFonts w:ascii="Candara" w:hAnsi="Candara"/>
                    <w:noProof/>
                    <w:lang w:eastAsia="lv-LV"/>
                  </w:rPr>
                  <w:drawing>
                    <wp:inline distT="0" distB="0" distL="0" distR="0" wp14:anchorId="5BC252F5" wp14:editId="48F57A3D">
                      <wp:extent cx="2247900" cy="2159635"/>
                      <wp:effectExtent l="0" t="0" r="0" b="0"/>
                      <wp:docPr id="11"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38D5B335" w14:textId="77777777" w:rsidR="003468FC" w:rsidRPr="003F4D07" w:rsidRDefault="003468FC" w:rsidP="003468FC">
          <w:pPr>
            <w:rPr>
              <w:rFonts w:ascii="Calibri Light" w:hAnsi="Calibri Light" w:cs="Calibri Light"/>
              <w:sz w:val="16"/>
              <w:szCs w:val="16"/>
            </w:rPr>
          </w:pPr>
          <w:r w:rsidRPr="003F4D07">
            <w:rPr>
              <w:rFonts w:ascii="Calibri Light" w:hAnsi="Calibri Light" w:cs="Calibri Light"/>
              <w:sz w:val="16"/>
              <w:szCs w:val="16"/>
            </w:rPr>
            <w:t>Avots: CSP</w:t>
          </w:r>
        </w:p>
        <w:p w14:paraId="7948D649" w14:textId="77777777" w:rsidR="003468FC" w:rsidRDefault="003468FC" w:rsidP="003468FC">
          <w:pPr>
            <w:pStyle w:val="Default"/>
            <w:jc w:val="both"/>
            <w:rPr>
              <w:rFonts w:asciiTheme="minorHAnsi" w:hAnsiTheme="minorHAnsi" w:cstheme="minorHAnsi"/>
            </w:rPr>
          </w:pPr>
        </w:p>
        <w:p w14:paraId="7A51AD25" w14:textId="61705D23" w:rsidR="003468FC" w:rsidRPr="001C3F5D"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202</w:t>
          </w:r>
          <w:r>
            <w:rPr>
              <w:rFonts w:ascii="Times New Roman" w:hAnsi="Times New Roman" w:cs="Times New Roman"/>
            </w:rPr>
            <w:t>1</w:t>
          </w:r>
          <w:r w:rsidRPr="00F944A8">
            <w:rPr>
              <w:rFonts w:ascii="Times New Roman" w:hAnsi="Times New Roman" w:cs="Times New Roman"/>
            </w:rPr>
            <w:t>. gad</w:t>
          </w:r>
          <w:r>
            <w:rPr>
              <w:rFonts w:ascii="Times New Roman" w:hAnsi="Times New Roman" w:cs="Times New Roman"/>
            </w:rPr>
            <w:t xml:space="preserve">a 1. pusgadā būvniecības apjomi bija par 4,7% mazāki nekā pirms gada. Samazinājumu ietekmēja tendences 1.ceturksnī, kad būvniecības apjomi saruka par 12,3% salīdzinājumā ar 2020. gada 1.ceturksni. Kritumu lielā mērā ietekmēja iepriekšējā gada augstais bāzes efekts un krietni nelabvēlīgāki laikapstākļi būvniecības darbiem </w:t>
          </w:r>
          <w:r w:rsidR="00AD6C2D">
            <w:rPr>
              <w:rFonts w:ascii="Times New Roman" w:hAnsi="Times New Roman" w:cs="Times New Roman"/>
            </w:rPr>
            <w:t>–</w:t>
          </w:r>
          <w:r>
            <w:rPr>
              <w:rFonts w:ascii="Times New Roman" w:hAnsi="Times New Roman" w:cs="Times New Roman"/>
            </w:rPr>
            <w:t xml:space="preserve"> 2021.gada janvārī – martā ilgstoši saglabājās sals un sniegs. 2021. gada 2.ceturksnī būvniecības apjomi pieauga par 1 procentu.</w:t>
          </w:r>
        </w:p>
        <w:p w14:paraId="2A6C63BF" w14:textId="77777777" w:rsidR="003468FC" w:rsidRDefault="003468FC" w:rsidP="00C669CB">
          <w:pPr>
            <w:pStyle w:val="Default"/>
            <w:spacing w:line="312" w:lineRule="auto"/>
            <w:jc w:val="both"/>
            <w:rPr>
              <w:rFonts w:ascii="Times New Roman" w:hAnsi="Times New Roman" w:cs="Times New Roman"/>
            </w:rPr>
          </w:pPr>
          <w:r>
            <w:rPr>
              <w:rFonts w:ascii="Times New Roman" w:hAnsi="Times New Roman" w:cs="Times New Roman"/>
            </w:rPr>
            <w:lastRenderedPageBreak/>
            <w:t>2017.–2018.gada periodā l</w:t>
          </w:r>
          <w:r w:rsidRPr="00F944A8">
            <w:rPr>
              <w:rFonts w:ascii="Times New Roman" w:hAnsi="Times New Roman" w:cs="Times New Roman"/>
            </w:rPr>
            <w:t xml:space="preserve">ielāko devumu nodrošināja ēku būvniecības palielinājums, kas 2017.-2018. gadā </w:t>
          </w:r>
          <w:r>
            <w:rPr>
              <w:rFonts w:ascii="Times New Roman" w:hAnsi="Times New Roman" w:cs="Times New Roman"/>
            </w:rPr>
            <w:t xml:space="preserve">pieauga vidēji par </w:t>
          </w:r>
          <w:r w:rsidRPr="00F944A8">
            <w:rPr>
              <w:rFonts w:ascii="Times New Roman" w:hAnsi="Times New Roman" w:cs="Times New Roman"/>
            </w:rPr>
            <w:t xml:space="preserve">24% ik gadu. Inženierbūvju būvniecības vidējais ikgadējais pieauguma temps </w:t>
          </w:r>
          <w:r>
            <w:rPr>
              <w:rFonts w:ascii="Times New Roman" w:hAnsi="Times New Roman" w:cs="Times New Roman"/>
            </w:rPr>
            <w:t xml:space="preserve">šajā periodā bija </w:t>
          </w:r>
          <w:r w:rsidRPr="00F944A8">
            <w:rPr>
              <w:rFonts w:ascii="Times New Roman" w:hAnsi="Times New Roman" w:cs="Times New Roman"/>
            </w:rPr>
            <w:t>20,8%, savukārt specializēto būvdarbu – 15,9</w:t>
          </w:r>
          <w:r>
            <w:rPr>
              <w:rFonts w:ascii="Times New Roman" w:hAnsi="Times New Roman" w:cs="Times New Roman"/>
            </w:rPr>
            <w:t>%</w:t>
          </w:r>
          <w:r w:rsidRPr="00F944A8">
            <w:rPr>
              <w:rFonts w:ascii="Times New Roman" w:hAnsi="Times New Roman" w:cs="Times New Roman"/>
            </w:rPr>
            <w:t xml:space="preserve">. 2019. gadā </w:t>
          </w:r>
          <w:r>
            <w:rPr>
              <w:rFonts w:ascii="Times New Roman" w:hAnsi="Times New Roman" w:cs="Times New Roman"/>
            </w:rPr>
            <w:t xml:space="preserve">saglabājās salīdzinoši straujš </w:t>
          </w:r>
          <w:r w:rsidRPr="00F944A8">
            <w:rPr>
              <w:rFonts w:ascii="Times New Roman" w:hAnsi="Times New Roman" w:cs="Times New Roman"/>
            </w:rPr>
            <w:t>ēku būvniecības apjomu pieaugu</w:t>
          </w:r>
          <w:r>
            <w:rPr>
              <w:rFonts w:ascii="Times New Roman" w:hAnsi="Times New Roman" w:cs="Times New Roman"/>
            </w:rPr>
            <w:t>ms (par 7,8%), kamēr inženierbūvju un specializēto būvdarbu apjomi praktiski saglabājās 2018.gada līmenī – pieaugums attiecīgi par 1% un 0,2 procentiem.</w:t>
          </w:r>
        </w:p>
        <w:p w14:paraId="1B3B613E" w14:textId="77777777" w:rsidR="003468FC" w:rsidRDefault="003468FC" w:rsidP="0088719C">
          <w:pPr>
            <w:pStyle w:val="Default"/>
            <w:spacing w:line="312" w:lineRule="auto"/>
            <w:ind w:firstLine="720"/>
            <w:jc w:val="both"/>
            <w:rPr>
              <w:rFonts w:ascii="Times New Roman" w:hAnsi="Times New Roman" w:cs="Times New Roman"/>
            </w:rPr>
          </w:pPr>
          <w:r>
            <w:rPr>
              <w:rFonts w:ascii="Times New Roman" w:hAnsi="Times New Roman" w:cs="Times New Roman"/>
            </w:rPr>
            <w:t xml:space="preserve">2020.gadā lielākais devums nozares kopējā pieaugumā bija specializēto būvniecības darbu apjoma palielinājumam par 8%. Ēku celtniecības apjomi pieauga vien par 0,9%, bet inženierbūvju apjomi 2020.gadā saruka par 1,5 procentiem. </w:t>
          </w:r>
        </w:p>
        <w:p w14:paraId="500E4C9B" w14:textId="59C10C33" w:rsidR="003468FC" w:rsidRDefault="003468FC" w:rsidP="0088719C">
          <w:pPr>
            <w:pStyle w:val="Default"/>
            <w:spacing w:line="312" w:lineRule="auto"/>
            <w:ind w:firstLine="720"/>
            <w:jc w:val="both"/>
            <w:rPr>
              <w:rFonts w:ascii="Times New Roman" w:hAnsi="Times New Roman" w:cs="Times New Roman"/>
            </w:rPr>
          </w:pPr>
          <w:r>
            <w:rPr>
              <w:rFonts w:ascii="Times New Roman" w:hAnsi="Times New Roman" w:cs="Times New Roman"/>
            </w:rPr>
            <w:t>No kopējiem būvniecības apjomiem ēku (dzīvojamo un nedzīvojamo ēku) būvniecība veido 36,6%. Savukārt inženiertehniskās būves – 32,1% un specializētie būvdarbi (</w:t>
          </w:r>
          <w:r w:rsidRPr="001C3F5D">
            <w:rPr>
              <w:rFonts w:ascii="Times New Roman" w:hAnsi="Times New Roman" w:cs="Times New Roman"/>
            </w:rPr>
            <w:t>būvlaukuma sagatavošana turpmākai būvniecībai, kā arī iepriekš uzstādītu būvju nojaukšana</w:t>
          </w:r>
          <w:r>
            <w:rPr>
              <w:rFonts w:ascii="Times New Roman" w:hAnsi="Times New Roman" w:cs="Times New Roman"/>
            </w:rPr>
            <w:t xml:space="preserve">, </w:t>
          </w:r>
          <w:r w:rsidRPr="00DD2A3F">
            <w:rPr>
              <w:rFonts w:ascii="Times New Roman" w:hAnsi="Times New Roman" w:cs="Times New Roman"/>
            </w:rPr>
            <w:t>inženiersistēmu montāža, ieskaitot elektroinstalācijas ierīkošanu, cauruļvadu,</w:t>
          </w:r>
          <w:r>
            <w:rPr>
              <w:rFonts w:ascii="Times New Roman" w:hAnsi="Times New Roman" w:cs="Times New Roman"/>
            </w:rPr>
            <w:t xml:space="preserve"> </w:t>
          </w:r>
          <w:r w:rsidRPr="00DD2A3F">
            <w:rPr>
              <w:rFonts w:ascii="Times New Roman" w:hAnsi="Times New Roman" w:cs="Times New Roman"/>
            </w:rPr>
            <w:t>apkures u.c. konstrukciju uzstādīšanu</w:t>
          </w:r>
          <w:r>
            <w:rPr>
              <w:rFonts w:ascii="Times New Roman" w:hAnsi="Times New Roman" w:cs="Times New Roman"/>
            </w:rPr>
            <w:t xml:space="preserve">, </w:t>
          </w:r>
          <w:r w:rsidRPr="00DD2A3F">
            <w:rPr>
              <w:rFonts w:ascii="Times New Roman" w:hAnsi="Times New Roman" w:cs="Times New Roman"/>
            </w:rPr>
            <w:t>jumta segumu uzklāšana</w:t>
          </w:r>
          <w:r>
            <w:rPr>
              <w:rFonts w:ascii="Times New Roman" w:hAnsi="Times New Roman" w:cs="Times New Roman"/>
            </w:rPr>
            <w:t>, u.c.) – 31,3 procentus.</w:t>
          </w:r>
        </w:p>
        <w:p w14:paraId="5DFDD7F8" w14:textId="77777777" w:rsidR="00891DE2" w:rsidRPr="00F944A8" w:rsidRDefault="00891DE2" w:rsidP="003468FC">
          <w:pPr>
            <w:pStyle w:val="Default"/>
            <w:spacing w:line="312" w:lineRule="auto"/>
            <w:ind w:firstLine="720"/>
            <w:jc w:val="both"/>
            <w:rPr>
              <w:rFonts w:ascii="Times New Roman" w:hAnsi="Times New Roman" w:cs="Times New Roman"/>
            </w:rPr>
          </w:pPr>
        </w:p>
        <w:p w14:paraId="4F9DC248" w14:textId="77777777" w:rsidR="003468FC" w:rsidRDefault="003468FC" w:rsidP="003468FC">
          <w:pPr>
            <w:pStyle w:val="Default"/>
            <w:jc w:val="both"/>
            <w:rPr>
              <w:rFonts w:asciiTheme="minorHAnsi" w:hAnsiTheme="minorHAnsi" w:cstheme="minorHAnsi"/>
            </w:rPr>
          </w:pPr>
        </w:p>
        <w:tbl>
          <w:tblPr>
            <w:tblW w:w="5000"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F2F2F2" w:themeFill="background1" w:themeFillShade="F2"/>
            <w:tblLook w:val="0420" w:firstRow="1" w:lastRow="0" w:firstColumn="0" w:lastColumn="0" w:noHBand="0" w:noVBand="1"/>
          </w:tblPr>
          <w:tblGrid>
            <w:gridCol w:w="4660"/>
            <w:gridCol w:w="4891"/>
          </w:tblGrid>
          <w:tr w:rsidR="003468FC" w:rsidRPr="00516EC1" w14:paraId="2B552D7D" w14:textId="77777777" w:rsidTr="001A3341">
            <w:trPr>
              <w:trHeight w:val="20"/>
            </w:trPr>
            <w:tc>
              <w:tcPr>
                <w:tcW w:w="2440" w:type="pct"/>
                <w:shd w:val="clear" w:color="auto" w:fill="F2F2F2" w:themeFill="background1" w:themeFillShade="F2"/>
                <w:vAlign w:val="center"/>
              </w:tcPr>
              <w:p w14:paraId="7233142D" w14:textId="77777777" w:rsidR="003468FC" w:rsidRPr="00516EC1" w:rsidRDefault="003468FC" w:rsidP="003468FC">
                <w:pPr>
                  <w:spacing w:line="240" w:lineRule="auto"/>
                  <w:ind w:firstLine="0"/>
                  <w:jc w:val="left"/>
                  <w:rPr>
                    <w:rFonts w:ascii="Arial Nova" w:hAnsi="Arial Nova"/>
                    <w:color w:val="000000" w:themeColor="text1"/>
                    <w:sz w:val="18"/>
                    <w:szCs w:val="18"/>
                  </w:rPr>
                </w:pPr>
                <w:r w:rsidRPr="00A460BF">
                  <w:rPr>
                    <w:rFonts w:cstheme="minorHAnsi"/>
                    <w:b/>
                    <w:bCs/>
                    <w:color w:val="000000"/>
                  </w:rPr>
                  <w:t>BŪVNIECĪBAS STRUKTŪRA</w:t>
                </w:r>
                <w:r w:rsidRPr="00516EC1">
                  <w:rPr>
                    <w:rFonts w:ascii="Arial Nova" w:hAnsi="Arial Nova" w:cs="Segoe UI"/>
                    <w:color w:val="000000" w:themeColor="text1"/>
                    <w:sz w:val="18"/>
                    <w:szCs w:val="18"/>
                  </w:rPr>
                  <w:br/>
                  <w:t>2020. gad</w:t>
                </w:r>
                <w:r>
                  <w:rPr>
                    <w:rFonts w:ascii="Arial Nova" w:hAnsi="Arial Nova" w:cs="Segoe UI"/>
                    <w:color w:val="000000" w:themeColor="text1"/>
                    <w:sz w:val="18"/>
                    <w:szCs w:val="18"/>
                  </w:rPr>
                  <w:t>s</w:t>
                </w:r>
                <w:r w:rsidRPr="00516EC1">
                  <w:rPr>
                    <w:rFonts w:ascii="Arial Nova" w:hAnsi="Arial Nova" w:cs="Segoe UI"/>
                    <w:color w:val="000000" w:themeColor="text1"/>
                    <w:sz w:val="18"/>
                    <w:szCs w:val="18"/>
                  </w:rPr>
                  <w:t>, procentos</w:t>
                </w:r>
              </w:p>
            </w:tc>
            <w:tc>
              <w:tcPr>
                <w:tcW w:w="2560" w:type="pct"/>
                <w:shd w:val="clear" w:color="auto" w:fill="F2F2F2" w:themeFill="background1" w:themeFillShade="F2"/>
                <w:vAlign w:val="center"/>
              </w:tcPr>
              <w:p w14:paraId="2C9A0240" w14:textId="77777777" w:rsidR="003468FC" w:rsidRPr="00516EC1" w:rsidRDefault="003468FC" w:rsidP="003468FC">
                <w:pPr>
                  <w:spacing w:line="240" w:lineRule="auto"/>
                  <w:ind w:firstLine="0"/>
                  <w:jc w:val="left"/>
                  <w:rPr>
                    <w:rFonts w:ascii="Arial Nova" w:hAnsi="Arial Nova"/>
                    <w:color w:val="000000" w:themeColor="text1"/>
                    <w:sz w:val="18"/>
                    <w:szCs w:val="18"/>
                  </w:rPr>
                </w:pPr>
                <w:r w:rsidRPr="00A460BF">
                  <w:rPr>
                    <w:rFonts w:cstheme="minorHAnsi"/>
                    <w:b/>
                    <w:bCs/>
                    <w:color w:val="000000"/>
                  </w:rPr>
                  <w:t>BŪVNIECĪBAS PRODUKCIJAS INDEKSI</w:t>
                </w:r>
                <w:r w:rsidRPr="00516EC1">
                  <w:rPr>
                    <w:rFonts w:ascii="Arial Nova" w:hAnsi="Arial Nova" w:cs="Andalus"/>
                    <w:color w:val="000000" w:themeColor="text1"/>
                    <w:sz w:val="18"/>
                    <w:szCs w:val="18"/>
                  </w:rPr>
                  <w:br/>
                  <w:t>201</w:t>
                </w:r>
                <w:r>
                  <w:rPr>
                    <w:rFonts w:ascii="Arial Nova" w:hAnsi="Arial Nova" w:cs="Andalus"/>
                    <w:color w:val="000000" w:themeColor="text1"/>
                    <w:sz w:val="18"/>
                    <w:szCs w:val="18"/>
                  </w:rPr>
                  <w:t>5</w:t>
                </w:r>
                <w:r w:rsidRPr="00516EC1">
                  <w:rPr>
                    <w:rFonts w:ascii="Arial Nova" w:hAnsi="Arial Nova" w:cs="Andalus"/>
                    <w:color w:val="000000" w:themeColor="text1"/>
                    <w:sz w:val="18"/>
                    <w:szCs w:val="18"/>
                  </w:rPr>
                  <w:t>. gads = 100</w:t>
                </w:r>
              </w:p>
            </w:tc>
          </w:tr>
          <w:tr w:rsidR="003468FC" w:rsidRPr="00516EC1" w14:paraId="3A00119D" w14:textId="77777777" w:rsidTr="001A3341">
            <w:trPr>
              <w:trHeight w:val="20"/>
            </w:trPr>
            <w:tc>
              <w:tcPr>
                <w:tcW w:w="2440" w:type="pct"/>
                <w:shd w:val="clear" w:color="auto" w:fill="F2F2F2" w:themeFill="background1" w:themeFillShade="F2"/>
                <w:vAlign w:val="center"/>
              </w:tcPr>
              <w:p w14:paraId="7DBEDEE3" w14:textId="77777777" w:rsidR="003468FC" w:rsidRDefault="003468FC" w:rsidP="003468FC">
                <w:pPr>
                  <w:spacing w:line="240" w:lineRule="auto"/>
                  <w:ind w:firstLine="0"/>
                  <w:jc w:val="center"/>
                  <w:rPr>
                    <w:rFonts w:ascii="Arial Nova" w:hAnsi="Arial Nova" w:cs="Segoe UI"/>
                    <w:color w:val="000000" w:themeColor="text1"/>
                    <w:sz w:val="18"/>
                    <w:szCs w:val="18"/>
                  </w:rPr>
                </w:pPr>
                <w:r w:rsidRPr="0010083E">
                  <w:rPr>
                    <w:rFonts w:ascii="Calibri Light" w:hAnsi="Calibri Light" w:cs="Segoe UI"/>
                    <w:noProof/>
                    <w:color w:val="000000" w:themeColor="text1"/>
                    <w:szCs w:val="20"/>
                    <w:lang w:eastAsia="lv-LV"/>
                  </w:rPr>
                  <w:drawing>
                    <wp:inline distT="0" distB="0" distL="0" distR="0" wp14:anchorId="0C5F4BF5" wp14:editId="3EF1A8A8">
                      <wp:extent cx="2880000" cy="2520000"/>
                      <wp:effectExtent l="0" t="0" r="0" b="0"/>
                      <wp:docPr id="484" name="Chart 4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Candara" w:hAnsi="Candara"/>
                    <w:noProof/>
                    <w:color w:val="000000" w:themeColor="text1"/>
                    <w:sz w:val="16"/>
                  </w:rPr>
                  <w:t xml:space="preserve">      </w:t>
                </w:r>
              </w:p>
            </w:tc>
            <w:tc>
              <w:tcPr>
                <w:tcW w:w="2560" w:type="pct"/>
                <w:shd w:val="clear" w:color="auto" w:fill="F2F2F2" w:themeFill="background1" w:themeFillShade="F2"/>
                <w:vAlign w:val="center"/>
              </w:tcPr>
              <w:p w14:paraId="1E799970" w14:textId="77777777" w:rsidR="003468FC" w:rsidRPr="00516EC1" w:rsidRDefault="003468FC" w:rsidP="003468FC">
                <w:pPr>
                  <w:spacing w:line="240" w:lineRule="auto"/>
                  <w:ind w:firstLine="0"/>
                  <w:jc w:val="center"/>
                  <w:rPr>
                    <w:rFonts w:ascii="Arial Nova" w:hAnsi="Arial Nova" w:cs="Andalus"/>
                    <w:color w:val="000000" w:themeColor="text1"/>
                    <w:sz w:val="18"/>
                    <w:szCs w:val="18"/>
                  </w:rPr>
                </w:pPr>
                <w:r w:rsidRPr="0010083E">
                  <w:rPr>
                    <w:rFonts w:ascii="Garamond" w:hAnsi="Garamond"/>
                    <w:noProof/>
                    <w:color w:val="000000" w:themeColor="text1"/>
                    <w:sz w:val="18"/>
                    <w:szCs w:val="18"/>
                    <w:lang w:eastAsia="lv-LV"/>
                  </w:rPr>
                  <w:drawing>
                    <wp:inline distT="0" distB="0" distL="0" distR="0" wp14:anchorId="57E006C7" wp14:editId="4870E0A7">
                      <wp:extent cx="3028950" cy="2519680"/>
                      <wp:effectExtent l="0" t="0" r="0" b="0"/>
                      <wp:docPr id="483" name="Chart 4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2FB08928" w14:textId="77777777" w:rsidR="003468FC" w:rsidRPr="003F4D07" w:rsidRDefault="003468FC" w:rsidP="003468FC">
          <w:pPr>
            <w:rPr>
              <w:rFonts w:ascii="Calibri Light" w:hAnsi="Calibri Light" w:cs="Calibri Light"/>
              <w:sz w:val="16"/>
              <w:szCs w:val="16"/>
            </w:rPr>
          </w:pPr>
          <w:r w:rsidRPr="003F4D07">
            <w:rPr>
              <w:rFonts w:ascii="Calibri Light" w:hAnsi="Calibri Light" w:cs="Calibri Light"/>
              <w:sz w:val="16"/>
              <w:szCs w:val="16"/>
            </w:rPr>
            <w:t>Avots: CSP</w:t>
          </w:r>
        </w:p>
        <w:p w14:paraId="228A8432" w14:textId="77777777" w:rsidR="003468FC" w:rsidRDefault="003468FC" w:rsidP="003468FC">
          <w:pPr>
            <w:pStyle w:val="Default"/>
            <w:jc w:val="both"/>
            <w:rPr>
              <w:rFonts w:asciiTheme="minorHAnsi" w:hAnsiTheme="minorHAnsi" w:cstheme="minorHAnsi"/>
            </w:rPr>
          </w:pPr>
        </w:p>
        <w:p w14:paraId="7613340F" w14:textId="77777777" w:rsidR="00891DE2" w:rsidRDefault="00891DE2" w:rsidP="003468FC">
          <w:pPr>
            <w:pStyle w:val="Default"/>
            <w:spacing w:line="312" w:lineRule="auto"/>
            <w:ind w:firstLine="720"/>
            <w:jc w:val="both"/>
            <w:rPr>
              <w:rFonts w:ascii="Times New Roman" w:hAnsi="Times New Roman" w:cs="Times New Roman"/>
            </w:rPr>
          </w:pPr>
        </w:p>
        <w:p w14:paraId="36FE42A3" w14:textId="5AA48F1D"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Pēdējā dekādē nozares eksporta potenciāls ir būtiski audzis. Kopš 201</w:t>
          </w:r>
          <w:r>
            <w:rPr>
              <w:rFonts w:ascii="Times New Roman" w:hAnsi="Times New Roman" w:cs="Times New Roman"/>
            </w:rPr>
            <w:t>6</w:t>
          </w:r>
          <w:r w:rsidRPr="00F944A8">
            <w:rPr>
              <w:rFonts w:ascii="Times New Roman" w:hAnsi="Times New Roman" w:cs="Times New Roman"/>
            </w:rPr>
            <w:t>. gada vismaz 1/10 no būvniecības produkcijas apjoma tika eksportēta. 2020. gad</w:t>
          </w:r>
          <w:r>
            <w:rPr>
              <w:rFonts w:ascii="Times New Roman" w:hAnsi="Times New Roman" w:cs="Times New Roman"/>
            </w:rPr>
            <w:t xml:space="preserve">ā, neraugoties uz Covid-19 pandēmiju, būvniecības eksporta apjomi turpināja augt un sasniedza 367 milj. EUR. 2020.gadā </w:t>
          </w:r>
          <w:r w:rsidRPr="00F944A8">
            <w:rPr>
              <w:rFonts w:ascii="Times New Roman" w:hAnsi="Times New Roman" w:cs="Times New Roman"/>
            </w:rPr>
            <w:t>ārpus Latvijas veikti 14% no visa būvdarbu apjoma.</w:t>
          </w:r>
        </w:p>
        <w:p w14:paraId="534F4433" w14:textId="345914DD" w:rsidR="003468FC" w:rsidRDefault="003468FC" w:rsidP="003468FC">
          <w:pPr>
            <w:pStyle w:val="Default"/>
            <w:jc w:val="both"/>
            <w:rPr>
              <w:rFonts w:asciiTheme="minorHAnsi" w:hAnsiTheme="minorHAnsi" w:cstheme="minorHAnsi"/>
            </w:rPr>
          </w:pPr>
        </w:p>
        <w:p w14:paraId="58822E43" w14:textId="1535A13A" w:rsidR="001A3341" w:rsidRDefault="001A3341" w:rsidP="003468FC">
          <w:pPr>
            <w:pStyle w:val="Default"/>
            <w:jc w:val="both"/>
            <w:rPr>
              <w:rFonts w:asciiTheme="minorHAnsi" w:hAnsiTheme="minorHAnsi" w:cstheme="minorHAnsi"/>
            </w:rPr>
          </w:pPr>
        </w:p>
        <w:p w14:paraId="4576DC3A" w14:textId="1E123FF2" w:rsidR="001A3341" w:rsidRDefault="001A3341" w:rsidP="003468FC">
          <w:pPr>
            <w:pStyle w:val="Default"/>
            <w:jc w:val="both"/>
            <w:rPr>
              <w:rFonts w:asciiTheme="minorHAnsi" w:hAnsiTheme="minorHAnsi" w:cstheme="minorHAnsi"/>
            </w:rPr>
          </w:pPr>
        </w:p>
        <w:p w14:paraId="3D2BF6B7" w14:textId="77777777" w:rsidR="00891DE2" w:rsidRDefault="00891DE2" w:rsidP="003468FC">
          <w:pPr>
            <w:pStyle w:val="Default"/>
            <w:jc w:val="both"/>
            <w:rPr>
              <w:rFonts w:asciiTheme="minorHAnsi" w:hAnsiTheme="minorHAnsi" w:cstheme="minorHAnsi"/>
            </w:rPr>
          </w:pPr>
        </w:p>
        <w:p w14:paraId="129CA190" w14:textId="77777777" w:rsidR="001A3341" w:rsidRDefault="001A3341" w:rsidP="003468FC">
          <w:pPr>
            <w:pStyle w:val="Default"/>
            <w:jc w:val="both"/>
            <w:rPr>
              <w:rFonts w:asciiTheme="minorHAnsi" w:hAnsiTheme="minorHAnsi" w:cstheme="minorHAnsi"/>
            </w:rPr>
          </w:pPr>
        </w:p>
        <w:tbl>
          <w:tblPr>
            <w:tblStyle w:val="TableGrid"/>
            <w:tblW w:w="5000" w:type="pct"/>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781"/>
            <w:gridCol w:w="4770"/>
          </w:tblGrid>
          <w:tr w:rsidR="003468FC" w:rsidRPr="00F13260" w14:paraId="165862A1" w14:textId="77777777" w:rsidTr="001A3341">
            <w:tc>
              <w:tcPr>
                <w:tcW w:w="2500" w:type="pct"/>
                <w:shd w:val="clear" w:color="auto" w:fill="F2F2F2" w:themeFill="background1" w:themeFillShade="F2"/>
              </w:tcPr>
              <w:p w14:paraId="22F84254" w14:textId="77777777" w:rsidR="003468FC" w:rsidRDefault="003468FC" w:rsidP="003468FC">
                <w:pPr>
                  <w:pStyle w:val="Default"/>
                  <w:autoSpaceDE/>
                  <w:autoSpaceDN/>
                  <w:adjustRightInd/>
                  <w:rPr>
                    <w:rFonts w:asciiTheme="minorHAnsi" w:hAnsiTheme="minorHAnsi" w:cstheme="minorHAnsi"/>
                    <w:b/>
                    <w:bCs/>
                    <w:sz w:val="22"/>
                    <w:szCs w:val="22"/>
                  </w:rPr>
                </w:pPr>
                <w:r>
                  <w:rPr>
                    <w:rFonts w:asciiTheme="minorHAnsi" w:hAnsiTheme="minorHAnsi" w:cstheme="minorHAnsi"/>
                    <w:b/>
                    <w:bCs/>
                    <w:sz w:val="22"/>
                    <w:szCs w:val="22"/>
                  </w:rPr>
                  <w:lastRenderedPageBreak/>
                  <w:t xml:space="preserve">BŪVNIECĪBAS PAKALPOJUMU EKSPORTS, </w:t>
                </w:r>
              </w:p>
              <w:p w14:paraId="29155647" w14:textId="77777777" w:rsidR="003468FC" w:rsidRPr="00A460BF" w:rsidRDefault="003468FC" w:rsidP="003468FC">
                <w:pPr>
                  <w:pStyle w:val="Default"/>
                  <w:autoSpaceDE/>
                  <w:autoSpaceDN/>
                  <w:adjustRightInd/>
                  <w:rPr>
                    <w:rFonts w:asciiTheme="minorHAnsi" w:hAnsiTheme="minorHAnsi" w:cstheme="minorHAnsi"/>
                  </w:rPr>
                </w:pPr>
                <w:r w:rsidRPr="00A460BF">
                  <w:rPr>
                    <w:rFonts w:asciiTheme="minorHAnsi" w:hAnsiTheme="minorHAnsi" w:cstheme="minorHAnsi"/>
                    <w:sz w:val="22"/>
                    <w:szCs w:val="22"/>
                  </w:rPr>
                  <w:t>milj. EUR</w:t>
                </w:r>
              </w:p>
            </w:tc>
            <w:tc>
              <w:tcPr>
                <w:tcW w:w="2500" w:type="pct"/>
                <w:shd w:val="clear" w:color="auto" w:fill="F2F2F2" w:themeFill="background1" w:themeFillShade="F2"/>
              </w:tcPr>
              <w:p w14:paraId="329B9964" w14:textId="77777777" w:rsidR="003468FC" w:rsidRDefault="003468FC" w:rsidP="003468FC">
                <w:pPr>
                  <w:pStyle w:val="Default"/>
                  <w:autoSpaceDE/>
                  <w:autoSpaceDN/>
                  <w:adjustRightInd/>
                  <w:rPr>
                    <w:rFonts w:asciiTheme="minorHAnsi" w:hAnsiTheme="minorHAnsi" w:cstheme="minorHAnsi"/>
                    <w:b/>
                    <w:bCs/>
                    <w:sz w:val="22"/>
                    <w:szCs w:val="22"/>
                  </w:rPr>
                </w:pPr>
                <w:r>
                  <w:rPr>
                    <w:rFonts w:asciiTheme="minorHAnsi" w:hAnsiTheme="minorHAnsi" w:cstheme="minorHAnsi"/>
                    <w:b/>
                    <w:bCs/>
                    <w:sz w:val="22"/>
                    <w:szCs w:val="22"/>
                  </w:rPr>
                  <w:t xml:space="preserve">BŪVNIECĪBAS PAKALPOJUMU EKSPORTA ĪPATSVARS KOPĒJĀ LATVIJAS PREČU UN PAKALPOJUMU EKSPORTĀ, </w:t>
                </w:r>
                <w:r w:rsidRPr="00A460BF">
                  <w:rPr>
                    <w:rFonts w:asciiTheme="minorHAnsi" w:hAnsiTheme="minorHAnsi" w:cstheme="minorHAnsi"/>
                    <w:sz w:val="22"/>
                    <w:szCs w:val="22"/>
                  </w:rPr>
                  <w:t>%</w:t>
                </w:r>
              </w:p>
            </w:tc>
          </w:tr>
          <w:tr w:rsidR="003468FC" w14:paraId="3A163453" w14:textId="77777777" w:rsidTr="001A3341">
            <w:tc>
              <w:tcPr>
                <w:tcW w:w="2500" w:type="pct"/>
                <w:shd w:val="clear" w:color="auto" w:fill="F2F2F2" w:themeFill="background1" w:themeFillShade="F2"/>
              </w:tcPr>
              <w:p w14:paraId="57CC7109" w14:textId="77777777" w:rsidR="003468FC" w:rsidRDefault="003468FC" w:rsidP="003468FC">
                <w:pPr>
                  <w:pStyle w:val="Default"/>
                  <w:autoSpaceDE/>
                  <w:autoSpaceDN/>
                  <w:adjustRightInd/>
                  <w:jc w:val="center"/>
                  <w:rPr>
                    <w:rFonts w:asciiTheme="minorHAnsi" w:hAnsiTheme="minorHAnsi" w:cstheme="minorHAnsi"/>
                  </w:rPr>
                </w:pPr>
                <w:r w:rsidRPr="00AB3112">
                  <w:rPr>
                    <w:rFonts w:ascii="Candara" w:hAnsi="Candara"/>
                    <w:noProof/>
                    <w:lang w:eastAsia="lv-LV"/>
                  </w:rPr>
                  <w:drawing>
                    <wp:inline distT="0" distB="0" distL="0" distR="0" wp14:anchorId="2D6730C6" wp14:editId="73D99769">
                      <wp:extent cx="2902688" cy="1872000"/>
                      <wp:effectExtent l="0" t="0" r="0" b="0"/>
                      <wp:docPr id="28"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2500" w:type="pct"/>
                <w:shd w:val="clear" w:color="auto" w:fill="F2F2F2" w:themeFill="background1" w:themeFillShade="F2"/>
              </w:tcPr>
              <w:p w14:paraId="59194919" w14:textId="77777777" w:rsidR="003468FC" w:rsidRPr="00AB3112" w:rsidRDefault="003468FC" w:rsidP="003468FC">
                <w:pPr>
                  <w:pStyle w:val="Default"/>
                  <w:autoSpaceDE/>
                  <w:autoSpaceDN/>
                  <w:adjustRightInd/>
                  <w:jc w:val="center"/>
                  <w:rPr>
                    <w:rFonts w:ascii="Candara" w:hAnsi="Candara"/>
                    <w:noProof/>
                    <w:lang w:eastAsia="lv-LV"/>
                  </w:rPr>
                </w:pPr>
                <w:r w:rsidRPr="00AB3112">
                  <w:rPr>
                    <w:rFonts w:ascii="Candara" w:hAnsi="Candara"/>
                    <w:noProof/>
                    <w:lang w:eastAsia="lv-LV"/>
                  </w:rPr>
                  <w:drawing>
                    <wp:inline distT="0" distB="0" distL="0" distR="0" wp14:anchorId="6BC14FE7" wp14:editId="3D10B007">
                      <wp:extent cx="2893695" cy="1872000"/>
                      <wp:effectExtent l="0" t="0" r="1905" b="0"/>
                      <wp:docPr id="1"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00E231BE" w14:textId="77777777" w:rsidR="003468FC" w:rsidRPr="003F4D07" w:rsidRDefault="003468FC" w:rsidP="003468FC">
          <w:pPr>
            <w:rPr>
              <w:rFonts w:ascii="Calibri Light" w:hAnsi="Calibri Light" w:cs="Calibri Light"/>
              <w:sz w:val="16"/>
              <w:szCs w:val="16"/>
            </w:rPr>
          </w:pPr>
          <w:r w:rsidRPr="003F4D07">
            <w:rPr>
              <w:rFonts w:ascii="Calibri Light" w:hAnsi="Calibri Light" w:cs="Calibri Light"/>
              <w:sz w:val="16"/>
              <w:szCs w:val="16"/>
            </w:rPr>
            <w:t xml:space="preserve">Avots: </w:t>
          </w:r>
          <w:r>
            <w:rPr>
              <w:rFonts w:ascii="Calibri Light" w:hAnsi="Calibri Light" w:cs="Calibri Light"/>
              <w:sz w:val="16"/>
              <w:szCs w:val="16"/>
            </w:rPr>
            <w:t>Latvijas Banka</w:t>
          </w:r>
        </w:p>
        <w:p w14:paraId="009AF47C" w14:textId="77777777" w:rsidR="003468FC" w:rsidRPr="00C669CB" w:rsidRDefault="003468FC" w:rsidP="003468FC">
          <w:pPr>
            <w:pStyle w:val="Default"/>
            <w:spacing w:line="360" w:lineRule="auto"/>
            <w:ind w:firstLine="720"/>
            <w:jc w:val="both"/>
            <w:rPr>
              <w:rFonts w:ascii="Times New Roman" w:hAnsi="Times New Roman" w:cs="Times New Roman"/>
              <w:sz w:val="6"/>
              <w:szCs w:val="6"/>
            </w:rPr>
          </w:pPr>
        </w:p>
        <w:p w14:paraId="53A1DDD6" w14:textId="77777777" w:rsidR="003468FC" w:rsidRPr="00763E41" w:rsidRDefault="003468FC" w:rsidP="0088719C">
          <w:pPr>
            <w:pStyle w:val="Default"/>
            <w:spacing w:line="312" w:lineRule="auto"/>
            <w:ind w:firstLine="720"/>
            <w:jc w:val="both"/>
            <w:rPr>
              <w:rFonts w:ascii="Times New Roman" w:hAnsi="Times New Roman" w:cs="Times New Roman"/>
            </w:rPr>
          </w:pPr>
          <w:r w:rsidRPr="00763E41">
            <w:rPr>
              <w:rFonts w:ascii="Times New Roman" w:hAnsi="Times New Roman" w:cs="Times New Roman"/>
            </w:rPr>
            <w:t xml:space="preserve">Būvniecības izmaksas laika periodā no 2017.-2019.gadam pieauga </w:t>
          </w:r>
          <w:r>
            <w:rPr>
              <w:rFonts w:ascii="Times New Roman" w:hAnsi="Times New Roman" w:cs="Times New Roman"/>
            </w:rPr>
            <w:t>vidēji par 2,4% ik gadu.</w:t>
          </w:r>
          <w:r w:rsidRPr="00763E41">
            <w:rPr>
              <w:rFonts w:ascii="Times New Roman" w:hAnsi="Times New Roman" w:cs="Times New Roman"/>
            </w:rPr>
            <w:t xml:space="preserve"> Lielāko spiedienu </w:t>
          </w:r>
          <w:r>
            <w:rPr>
              <w:rFonts w:ascii="Times New Roman" w:hAnsi="Times New Roman" w:cs="Times New Roman"/>
            </w:rPr>
            <w:t xml:space="preserve">uz izmaksu kāpumu, tāpat kā vairumā tautsaimniecības nozaru, </w:t>
          </w:r>
          <w:r w:rsidRPr="00763E41">
            <w:rPr>
              <w:rFonts w:ascii="Times New Roman" w:hAnsi="Times New Roman" w:cs="Times New Roman"/>
            </w:rPr>
            <w:t>radīja darbaspēka izmaks</w:t>
          </w:r>
          <w:r>
            <w:rPr>
              <w:rFonts w:ascii="Times New Roman" w:hAnsi="Times New Roman" w:cs="Times New Roman"/>
            </w:rPr>
            <w:t xml:space="preserve">u straujš pieaugums. Šajā laika periodā </w:t>
          </w:r>
          <w:r w:rsidRPr="00763E41">
            <w:rPr>
              <w:rFonts w:ascii="Times New Roman" w:hAnsi="Times New Roman" w:cs="Times New Roman"/>
            </w:rPr>
            <w:t>izmaksas mašīnu un mehānismu uzturēšanai</w:t>
          </w:r>
          <w:r>
            <w:rPr>
              <w:rFonts w:ascii="Times New Roman" w:hAnsi="Times New Roman" w:cs="Times New Roman"/>
            </w:rPr>
            <w:t xml:space="preserve"> </w:t>
          </w:r>
          <w:r w:rsidRPr="00763E41">
            <w:rPr>
              <w:rFonts w:ascii="Times New Roman" w:hAnsi="Times New Roman" w:cs="Times New Roman"/>
            </w:rPr>
            <w:t>un ekspluatācijai</w:t>
          </w:r>
          <w:r>
            <w:rPr>
              <w:rFonts w:ascii="Times New Roman" w:hAnsi="Times New Roman" w:cs="Times New Roman"/>
            </w:rPr>
            <w:t xml:space="preserve"> auga vidēja par 3,6% ik gadu, savukārt </w:t>
          </w:r>
          <w:r w:rsidRPr="00763E41">
            <w:rPr>
              <w:rFonts w:ascii="Times New Roman" w:hAnsi="Times New Roman" w:cs="Times New Roman"/>
            </w:rPr>
            <w:t>būvmateriālu izmaks</w:t>
          </w:r>
          <w:r>
            <w:rPr>
              <w:rFonts w:ascii="Times New Roman" w:hAnsi="Times New Roman" w:cs="Times New Roman"/>
            </w:rPr>
            <w:t>u pieaugums bija ļoti mērens (0,5% ik gadu)</w:t>
          </w:r>
          <w:r w:rsidRPr="00763E41">
            <w:rPr>
              <w:rFonts w:ascii="Times New Roman" w:hAnsi="Times New Roman" w:cs="Times New Roman"/>
            </w:rPr>
            <w:t>.</w:t>
          </w:r>
        </w:p>
        <w:p w14:paraId="03C84734" w14:textId="77777777" w:rsidR="003468FC" w:rsidRPr="00F944A8" w:rsidRDefault="003468FC" w:rsidP="0088719C">
          <w:pPr>
            <w:pStyle w:val="Default"/>
            <w:spacing w:line="312" w:lineRule="auto"/>
            <w:ind w:firstLine="720"/>
            <w:jc w:val="both"/>
            <w:rPr>
              <w:rFonts w:ascii="Times New Roman" w:hAnsi="Times New Roman" w:cs="Times New Roman"/>
            </w:rPr>
          </w:pPr>
          <w:r w:rsidRPr="00763E41">
            <w:rPr>
              <w:rFonts w:ascii="Times New Roman" w:hAnsi="Times New Roman" w:cs="Times New Roman"/>
            </w:rPr>
            <w:t xml:space="preserve">2020.gadā vērā ņemamā apjomā pieauga tikai darbaspēka izmaksas, kopējām būvniecības izmaksām turpinot palielinoties vienmērīgi un mēreni. 2021.gada 1.pusgadā </w:t>
          </w:r>
          <w:r>
            <w:rPr>
              <w:rFonts w:ascii="Times New Roman" w:hAnsi="Times New Roman" w:cs="Times New Roman"/>
            </w:rPr>
            <w:t xml:space="preserve">turpina palielināties darbaspēka izmaksas, tomēr lēnākos tempos nekā iepriekšējos gados. Vienlaikus salīdzinājumā ar iepriekšējiem gadiem </w:t>
          </w:r>
          <w:r w:rsidRPr="00763E41">
            <w:rPr>
              <w:rFonts w:ascii="Times New Roman" w:hAnsi="Times New Roman" w:cs="Times New Roman"/>
            </w:rPr>
            <w:t xml:space="preserve">liels būvniecības izmaksu pieauguma iemesls ir būvmateriālu cenu palielināšanās. Šāda tendence ir vērojama ne tikai Latvijā, bet arī ES un globālā mērogā. </w:t>
          </w:r>
          <w:r w:rsidRPr="00F944A8">
            <w:rPr>
              <w:rFonts w:ascii="Times New Roman" w:hAnsi="Times New Roman" w:cs="Times New Roman"/>
            </w:rPr>
            <w:t xml:space="preserve">Jāatzīmē, ka būvmateriālu cenu kāpums ir ļoti būtiski palielinājis realizācijas cenu kāpuma gaidas. </w:t>
          </w:r>
        </w:p>
        <w:p w14:paraId="356042B3" w14:textId="6E531DF5" w:rsidR="003468FC" w:rsidRDefault="003468FC" w:rsidP="003468FC">
          <w:pPr>
            <w:pStyle w:val="Default"/>
            <w:jc w:val="both"/>
            <w:rPr>
              <w:rFonts w:asciiTheme="minorHAnsi" w:hAnsiTheme="minorHAnsi" w:cstheme="minorHAnsi"/>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F2F2F2" w:themeFill="background1" w:themeFillShade="F2"/>
            <w:tblLook w:val="04A0" w:firstRow="1" w:lastRow="0" w:firstColumn="1" w:lastColumn="0" w:noHBand="0" w:noVBand="1"/>
          </w:tblPr>
          <w:tblGrid>
            <w:gridCol w:w="4877"/>
            <w:gridCol w:w="4644"/>
          </w:tblGrid>
          <w:tr w:rsidR="003468FC" w14:paraId="55523864" w14:textId="77777777" w:rsidTr="001A3341">
            <w:trPr>
              <w:trHeight w:val="295"/>
            </w:trPr>
            <w:tc>
              <w:tcPr>
                <w:tcW w:w="5000" w:type="pct"/>
                <w:gridSpan w:val="2"/>
                <w:shd w:val="clear" w:color="auto" w:fill="F2F2F2" w:themeFill="background1" w:themeFillShade="F2"/>
              </w:tcPr>
              <w:p w14:paraId="48EB9854" w14:textId="77777777" w:rsidR="003468FC" w:rsidRPr="009B1E98" w:rsidRDefault="003468FC" w:rsidP="003468FC">
                <w:pPr>
                  <w:spacing w:line="240" w:lineRule="auto"/>
                  <w:ind w:firstLine="0"/>
                  <w:jc w:val="left"/>
                  <w:rPr>
                    <w:rFonts w:asciiTheme="majorHAnsi" w:eastAsiaTheme="majorEastAsia" w:hAnsi="Calibri Light" w:cstheme="majorBidi"/>
                    <w:kern w:val="24"/>
                  </w:rPr>
                </w:pPr>
                <w:r w:rsidRPr="009B1E98">
                  <w:rPr>
                    <w:rFonts w:cstheme="minorHAnsi"/>
                    <w:b/>
                    <w:bCs/>
                    <w:color w:val="000000"/>
                  </w:rPr>
                  <w:t>BŪVNIECĪBAS IZMAKSU DINAMIKA PA RESURSU VEIDIEM</w:t>
                </w:r>
                <w:r w:rsidRPr="009B1E98">
                  <w:rPr>
                    <w:rFonts w:asciiTheme="majorHAnsi" w:eastAsiaTheme="majorEastAsia" w:hAnsi="Calibri Light" w:cstheme="majorBidi"/>
                    <w:kern w:val="24"/>
                  </w:rPr>
                  <w:t>, procentos</w:t>
                </w:r>
              </w:p>
              <w:p w14:paraId="113FBD6A" w14:textId="0ED0A653" w:rsidR="003468FC" w:rsidRPr="003D06DE" w:rsidRDefault="003468FC" w:rsidP="003468FC">
                <w:pPr>
                  <w:spacing w:line="240" w:lineRule="auto"/>
                  <w:ind w:firstLine="0"/>
                  <w:jc w:val="left"/>
                  <w:rPr>
                    <w:rFonts w:ascii="Candara" w:eastAsiaTheme="majorEastAsia" w:hAnsi="Candara" w:cstheme="majorBidi"/>
                    <w:noProof/>
                    <w:kern w:val="24"/>
                    <w:sz w:val="20"/>
                    <w:szCs w:val="20"/>
                  </w:rPr>
                </w:pPr>
                <w:r>
                  <w:rPr>
                    <w:rFonts w:ascii="Candara" w:eastAsiaTheme="majorEastAsia" w:hAnsi="Candara" w:cstheme="majorBidi"/>
                    <w:kern w:val="24"/>
                  </w:rPr>
                  <w:t xml:space="preserve">            </w:t>
                </w:r>
                <w:r w:rsidRPr="009B1E98">
                  <w:rPr>
                    <w:rFonts w:ascii="Candara" w:eastAsiaTheme="majorEastAsia" w:hAnsi="Candara" w:cstheme="majorBidi"/>
                    <w:kern w:val="24"/>
                  </w:rPr>
                  <w:t xml:space="preserve">2000. gads = 100                                                    </w:t>
                </w:r>
                <w:r>
                  <w:rPr>
                    <w:rFonts w:ascii="Candara" w:eastAsiaTheme="majorEastAsia" w:hAnsi="Candara" w:cstheme="majorBidi"/>
                    <w:kern w:val="24"/>
                  </w:rPr>
                  <w:t xml:space="preserve">                 </w:t>
                </w:r>
                <w:r w:rsidRPr="009B1E98">
                  <w:rPr>
                    <w:rFonts w:ascii="Candara" w:eastAsiaTheme="majorEastAsia" w:hAnsi="Candara" w:cstheme="majorBidi"/>
                    <w:kern w:val="24"/>
                  </w:rPr>
                  <w:t>vidēji gadā</w:t>
                </w:r>
              </w:p>
            </w:tc>
          </w:tr>
          <w:tr w:rsidR="003468FC" w14:paraId="5975C4AD" w14:textId="77777777" w:rsidTr="00C669CB">
            <w:trPr>
              <w:trHeight w:val="3571"/>
            </w:trPr>
            <w:tc>
              <w:tcPr>
                <w:tcW w:w="2560" w:type="pct"/>
                <w:shd w:val="clear" w:color="auto" w:fill="F2F2F2" w:themeFill="background1" w:themeFillShade="F2"/>
              </w:tcPr>
              <w:p w14:paraId="4E4A2699" w14:textId="77777777" w:rsidR="003468FC" w:rsidRDefault="003468FC" w:rsidP="003468FC">
                <w:pPr>
                  <w:spacing w:line="240" w:lineRule="auto"/>
                  <w:ind w:firstLine="0"/>
                  <w:jc w:val="center"/>
                  <w:rPr>
                    <w:rFonts w:asciiTheme="majorHAnsi" w:eastAsiaTheme="majorEastAsia" w:hAnsi="Calibri Light" w:cstheme="majorBidi"/>
                    <w:kern w:val="24"/>
                    <w:sz w:val="20"/>
                    <w:szCs w:val="20"/>
                  </w:rPr>
                </w:pPr>
                <w:r w:rsidRPr="001C2DEC">
                  <w:rPr>
                    <w:noProof/>
                    <w:lang w:eastAsia="lv-LV"/>
                  </w:rPr>
                  <w:drawing>
                    <wp:inline distT="0" distB="0" distL="0" distR="0" wp14:anchorId="4DE67B49" wp14:editId="433D0049">
                      <wp:extent cx="3044825" cy="2196000"/>
                      <wp:effectExtent l="0" t="0" r="3175"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2440" w:type="pct"/>
                <w:shd w:val="clear" w:color="auto" w:fill="F2F2F2" w:themeFill="background1" w:themeFillShade="F2"/>
              </w:tcPr>
              <w:p w14:paraId="0DB7A65C" w14:textId="77777777" w:rsidR="003468FC" w:rsidRDefault="003468FC" w:rsidP="003468FC">
                <w:pPr>
                  <w:spacing w:line="240" w:lineRule="auto"/>
                  <w:ind w:firstLine="0"/>
                  <w:jc w:val="center"/>
                  <w:rPr>
                    <w:rFonts w:asciiTheme="majorHAnsi" w:eastAsiaTheme="majorEastAsia" w:hAnsi="Calibri Light" w:cstheme="majorBidi"/>
                    <w:kern w:val="24"/>
                    <w:sz w:val="20"/>
                    <w:szCs w:val="20"/>
                  </w:rPr>
                </w:pPr>
                <w:r>
                  <w:rPr>
                    <w:rFonts w:asciiTheme="majorHAnsi" w:eastAsiaTheme="majorEastAsia" w:hAnsi="Calibri Light" w:cstheme="majorBidi"/>
                    <w:noProof/>
                    <w:kern w:val="24"/>
                    <w:sz w:val="20"/>
                    <w:szCs w:val="20"/>
                  </w:rPr>
                  <w:drawing>
                    <wp:inline distT="0" distB="0" distL="0" distR="0" wp14:anchorId="156BEE79" wp14:editId="475FFE09">
                      <wp:extent cx="2894274" cy="2196000"/>
                      <wp:effectExtent l="0" t="0" r="190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160715F7" w14:textId="77777777" w:rsidR="003468FC" w:rsidRPr="003F4D07" w:rsidRDefault="003468FC" w:rsidP="003468FC">
          <w:pPr>
            <w:rPr>
              <w:rFonts w:ascii="Calibri Light" w:hAnsi="Calibri Light" w:cs="Calibri Light"/>
              <w:sz w:val="16"/>
              <w:szCs w:val="16"/>
            </w:rPr>
          </w:pPr>
          <w:r w:rsidRPr="003F4D07">
            <w:rPr>
              <w:rFonts w:ascii="Calibri Light" w:hAnsi="Calibri Light" w:cs="Calibri Light"/>
              <w:sz w:val="16"/>
              <w:szCs w:val="16"/>
            </w:rPr>
            <w:t>Avots: CSP</w:t>
          </w:r>
        </w:p>
        <w:p w14:paraId="0DD1E144" w14:textId="77777777" w:rsidR="003468FC" w:rsidRPr="00C669CB" w:rsidRDefault="003468FC" w:rsidP="003468FC">
          <w:pPr>
            <w:pStyle w:val="Default"/>
            <w:spacing w:line="312" w:lineRule="auto"/>
            <w:ind w:firstLine="720"/>
            <w:jc w:val="both"/>
            <w:rPr>
              <w:rFonts w:ascii="Times New Roman" w:hAnsi="Times New Roman" w:cs="Times New Roman"/>
              <w:sz w:val="16"/>
              <w:szCs w:val="16"/>
            </w:rPr>
          </w:pPr>
        </w:p>
        <w:p w14:paraId="47BBAAD8" w14:textId="77777777"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 xml:space="preserve">Darbaspēka pieprasījums būvniecības nozarēs saglabājās augstā līmenī. Covid-19 pandēmija būvniecības nozari ir skarusi relatīvi mazāk un kopumā darbaspēka pieprasījums nozarē pārsniedz </w:t>
          </w:r>
          <w:r w:rsidRPr="00F944A8">
            <w:rPr>
              <w:rFonts w:ascii="Times New Roman" w:hAnsi="Times New Roman" w:cs="Times New Roman"/>
            </w:rPr>
            <w:lastRenderedPageBreak/>
            <w:t>pirmskrīzes līmeni. Aizņemto darbavietu skaits būvniecībā 2021. gada marta beigās bija par 3,1% augstāks nekā attiecīgi 2020. gada marta beigās, bet par 3,9% augstāks nekā 2019. gada attiecīgā periodā.</w:t>
          </w:r>
        </w:p>
        <w:p w14:paraId="059602B4" w14:textId="77777777"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Uzlaboj</w:t>
          </w:r>
          <w:r>
            <w:rPr>
              <w:rFonts w:ascii="Times New Roman" w:hAnsi="Times New Roman" w:cs="Times New Roman"/>
            </w:rPr>
            <w:t>a</w:t>
          </w:r>
          <w:r w:rsidRPr="00F944A8">
            <w:rPr>
              <w:rFonts w:ascii="Times New Roman" w:hAnsi="Times New Roman" w:cs="Times New Roman"/>
            </w:rPr>
            <w:t xml:space="preserve">s būvniecības nozares noskaņojums un nodarbinātības pieauguma gaidas. 2021. gada jūlijā būvniecības nozares </w:t>
          </w:r>
          <w:r>
            <w:rPr>
              <w:rFonts w:ascii="Times New Roman" w:hAnsi="Times New Roman" w:cs="Times New Roman"/>
            </w:rPr>
            <w:t xml:space="preserve">konfidences rādītājs </w:t>
          </w:r>
          <w:r w:rsidRPr="00F944A8">
            <w:rPr>
              <w:rFonts w:ascii="Times New Roman" w:hAnsi="Times New Roman" w:cs="Times New Roman"/>
            </w:rPr>
            <w:t xml:space="preserve">bija atgriezies 2019. gada jūnija mēneša līmenī, savukārt nodarbinātības gaidas </w:t>
          </w:r>
          <w:r>
            <w:rPr>
              <w:rFonts w:ascii="Times New Roman" w:hAnsi="Times New Roman" w:cs="Times New Roman"/>
            </w:rPr>
            <w:t xml:space="preserve">– </w:t>
          </w:r>
          <w:r w:rsidRPr="00F944A8">
            <w:rPr>
              <w:rFonts w:ascii="Times New Roman" w:hAnsi="Times New Roman" w:cs="Times New Roman"/>
            </w:rPr>
            <w:t>2019. gada aprīļa mēneša līmeni. Ņemot vērā kopējo pozitīvo noskaņojumu nozarē, sagaidāms, ka darbaspēka pieprasījums nozarē turpinā</w:t>
          </w:r>
          <w:r>
            <w:rPr>
              <w:rFonts w:ascii="Times New Roman" w:hAnsi="Times New Roman" w:cs="Times New Roman"/>
            </w:rPr>
            <w:t>s</w:t>
          </w:r>
          <w:r w:rsidRPr="00F944A8">
            <w:rPr>
              <w:rFonts w:ascii="Times New Roman" w:hAnsi="Times New Roman" w:cs="Times New Roman"/>
            </w:rPr>
            <w:t xml:space="preserve"> augt.  </w:t>
          </w:r>
        </w:p>
        <w:p w14:paraId="66F26BE2" w14:textId="77777777" w:rsidR="003468FC" w:rsidRPr="00F944A8" w:rsidRDefault="003468FC" w:rsidP="0088719C">
          <w:pPr>
            <w:pStyle w:val="Default"/>
            <w:spacing w:line="312" w:lineRule="auto"/>
            <w:ind w:firstLine="720"/>
            <w:jc w:val="both"/>
            <w:rPr>
              <w:rFonts w:ascii="Times New Roman" w:hAnsi="Times New Roman" w:cs="Times New Roman"/>
            </w:rPr>
          </w:pPr>
          <w:r>
            <w:rPr>
              <w:rFonts w:ascii="Times New Roman" w:hAnsi="Times New Roman" w:cs="Times New Roman"/>
            </w:rPr>
            <w:t>Vienlaikus pi</w:t>
          </w:r>
          <w:r w:rsidRPr="00F944A8">
            <w:rPr>
              <w:rFonts w:ascii="Times New Roman" w:hAnsi="Times New Roman" w:cs="Times New Roman"/>
            </w:rPr>
            <w:t xml:space="preserve">eaug </w:t>
          </w:r>
          <w:r>
            <w:rPr>
              <w:rFonts w:ascii="Times New Roman" w:hAnsi="Times New Roman" w:cs="Times New Roman"/>
            </w:rPr>
            <w:t>b</w:t>
          </w:r>
          <w:r w:rsidRPr="00F944A8">
            <w:rPr>
              <w:rFonts w:ascii="Times New Roman" w:hAnsi="Times New Roman" w:cs="Times New Roman"/>
            </w:rPr>
            <w:t>ūvniecības uzņēmumu īpatsvars, kas saskarās ar darbaspēka nepietiekamību. Saglabājoties augstai būvniecības nozares aktivitātei, palielinās to nozares uzņēmumu īpatsvars, kas saskarās ar problēmām atrast sev nepieciešamos darbiniekus. Būvniecības uzņēmumu īpatsvars, kas norāda uz darbaspēka iztrūkumu kā uzņēmuma darbības ierobežojošu faktoru kopš 2020. gada beigām ir gandrīz divkāršojies. Saskaņā ar uzņēmumu konjunktūras apsekojuma datiem 2021.gada jūlija sākumā 20,5% no būvniecības uzņēmumiem norādīja darbaspēka trūkumu kā ražošanas ierobežojošu faktoru (2020. gada jūlija sākumā – 11%).</w:t>
          </w:r>
        </w:p>
        <w:p w14:paraId="1228EDDB" w14:textId="77777777" w:rsidR="003468FC" w:rsidRPr="00C669CB" w:rsidRDefault="003468FC" w:rsidP="003468FC">
          <w:pPr>
            <w:ind w:firstLine="0"/>
            <w:rPr>
              <w:rFonts w:ascii="Calibri Light" w:hAnsi="Calibri Light" w:cs="Calibri Light"/>
              <w:sz w:val="10"/>
              <w:szCs w:val="10"/>
            </w:rPr>
          </w:pPr>
        </w:p>
        <w:tbl>
          <w:tblPr>
            <w:tblStyle w:val="TableGrid"/>
            <w:tblW w:w="5000" w:type="pct"/>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F2F2F2" w:themeFill="background1" w:themeFillShade="F2"/>
            <w:tblCellMar>
              <w:left w:w="0" w:type="dxa"/>
              <w:right w:w="0" w:type="dxa"/>
            </w:tblCellMar>
            <w:tblLook w:val="04A0" w:firstRow="1" w:lastRow="0" w:firstColumn="1" w:lastColumn="0" w:noHBand="0" w:noVBand="1"/>
          </w:tblPr>
          <w:tblGrid>
            <w:gridCol w:w="4835"/>
            <w:gridCol w:w="4686"/>
          </w:tblGrid>
          <w:tr w:rsidR="003468FC" w:rsidRPr="00B44EF8" w14:paraId="3BAB6177" w14:textId="77777777" w:rsidTr="001A3341">
            <w:trPr>
              <w:trHeight w:val="567"/>
            </w:trPr>
            <w:tc>
              <w:tcPr>
                <w:tcW w:w="2539" w:type="pct"/>
                <w:shd w:val="clear" w:color="auto" w:fill="F2F2F2" w:themeFill="background1" w:themeFillShade="F2"/>
                <w:vAlign w:val="center"/>
              </w:tcPr>
              <w:p w14:paraId="4739AB85" w14:textId="77777777" w:rsidR="003468FC" w:rsidRPr="00B44EF8" w:rsidRDefault="003468FC" w:rsidP="003468FC">
                <w:pPr>
                  <w:spacing w:line="240" w:lineRule="auto"/>
                  <w:ind w:firstLine="0"/>
                  <w:jc w:val="left"/>
                  <w:rPr>
                    <w:rFonts w:ascii="Calibri Light" w:hAnsi="Calibri Light" w:cs="Calibri Light"/>
                    <w:color w:val="000000" w:themeColor="text1"/>
                  </w:rPr>
                </w:pPr>
                <w:r w:rsidRPr="00B44EF8">
                  <w:rPr>
                    <w:rFonts w:ascii="Calibri Light" w:hAnsi="Calibri Light" w:cs="Calibri Light"/>
                    <w:b/>
                    <w:bCs/>
                    <w:color w:val="000000" w:themeColor="text1"/>
                  </w:rPr>
                  <w:t xml:space="preserve">NVA REĢISTRĒTO VAKANČU SKAITS </w:t>
                </w:r>
              </w:p>
              <w:p w14:paraId="0A75F9AB" w14:textId="77777777" w:rsidR="003468FC" w:rsidRPr="00B44EF8" w:rsidRDefault="003468FC" w:rsidP="003468FC">
                <w:pPr>
                  <w:spacing w:line="240" w:lineRule="auto"/>
                  <w:ind w:firstLine="0"/>
                  <w:jc w:val="left"/>
                  <w:rPr>
                    <w:rFonts w:ascii="Calibri Light" w:hAnsi="Calibri Light" w:cs="Calibri Light"/>
                    <w:b/>
                    <w:bCs/>
                    <w:color w:val="000000" w:themeColor="text1"/>
                  </w:rPr>
                </w:pPr>
                <w:r w:rsidRPr="00B44EF8">
                  <w:rPr>
                    <w:rFonts w:ascii="Calibri Light" w:hAnsi="Calibri Light" w:cs="Calibri Light"/>
                    <w:color w:val="000000" w:themeColor="text1"/>
                  </w:rPr>
                  <w:t>ceturkšņa beigās, tūkstoši</w:t>
                </w:r>
              </w:p>
            </w:tc>
            <w:tc>
              <w:tcPr>
                <w:tcW w:w="2461" w:type="pct"/>
                <w:shd w:val="clear" w:color="auto" w:fill="F2F2F2" w:themeFill="background1" w:themeFillShade="F2"/>
                <w:vAlign w:val="center"/>
              </w:tcPr>
              <w:p w14:paraId="6AF7BB42" w14:textId="77777777" w:rsidR="003468FC" w:rsidRPr="00B44EF8" w:rsidRDefault="003468FC" w:rsidP="003468FC">
                <w:pPr>
                  <w:spacing w:line="240" w:lineRule="auto"/>
                  <w:ind w:firstLine="0"/>
                  <w:jc w:val="left"/>
                  <w:rPr>
                    <w:rFonts w:ascii="Calibri Light" w:hAnsi="Calibri Light" w:cs="Calibri Light"/>
                    <w:color w:val="000000" w:themeColor="text1"/>
                  </w:rPr>
                </w:pPr>
                <w:r w:rsidRPr="00B44EF8">
                  <w:rPr>
                    <w:rFonts w:ascii="Calibri Light" w:hAnsi="Calibri Light" w:cs="Calibri Light"/>
                    <w:b/>
                    <w:bCs/>
                    <w:color w:val="000000" w:themeColor="text1"/>
                  </w:rPr>
                  <w:t>AIZŅEMTO DARBAVIETU SKAITS</w:t>
                </w:r>
              </w:p>
              <w:p w14:paraId="3CD7BE46" w14:textId="77777777" w:rsidR="003468FC" w:rsidRPr="00B44EF8" w:rsidRDefault="003468FC" w:rsidP="003468FC">
                <w:pPr>
                  <w:spacing w:line="240" w:lineRule="auto"/>
                  <w:ind w:firstLine="0"/>
                  <w:jc w:val="left"/>
                  <w:rPr>
                    <w:rFonts w:ascii="Calibri Light" w:hAnsi="Calibri Light" w:cs="Calibri Light"/>
                    <w:b/>
                    <w:bCs/>
                    <w:color w:val="000000" w:themeColor="text1"/>
                  </w:rPr>
                </w:pPr>
                <w:r w:rsidRPr="00B44EF8">
                  <w:rPr>
                    <w:rFonts w:ascii="Calibri Light" w:hAnsi="Calibri Light" w:cs="Calibri Light"/>
                    <w:color w:val="000000" w:themeColor="text1"/>
                  </w:rPr>
                  <w:t>ceturkšņa beigās, tūkstoši</w:t>
                </w:r>
              </w:p>
            </w:tc>
          </w:tr>
          <w:tr w:rsidR="003468FC" w:rsidRPr="00EF4D9E" w14:paraId="35F4814E" w14:textId="77777777" w:rsidTr="00C669CB">
            <w:trPr>
              <w:trHeight w:val="2608"/>
            </w:trPr>
            <w:tc>
              <w:tcPr>
                <w:tcW w:w="2539" w:type="pct"/>
                <w:shd w:val="clear" w:color="auto" w:fill="F2F2F2" w:themeFill="background1" w:themeFillShade="F2"/>
                <w:vAlign w:val="center"/>
              </w:tcPr>
              <w:p w14:paraId="38C6EA7F" w14:textId="77777777" w:rsidR="003468FC" w:rsidRPr="00EF4D9E" w:rsidRDefault="003468FC" w:rsidP="003468FC">
                <w:pPr>
                  <w:spacing w:line="240" w:lineRule="auto"/>
                  <w:ind w:firstLine="0"/>
                  <w:jc w:val="center"/>
                  <w:rPr>
                    <w:rFonts w:ascii="Calibri Light" w:hAnsi="Calibri Light" w:cs="Calibri Light"/>
                    <w:b/>
                    <w:bCs/>
                    <w:color w:val="000000" w:themeColor="text1"/>
                    <w:sz w:val="20"/>
                    <w:szCs w:val="20"/>
                  </w:rPr>
                </w:pPr>
                <w:r w:rsidRPr="00EF4D9E">
                  <w:rPr>
                    <w:rFonts w:ascii="Calibri Light" w:hAnsi="Calibri Light" w:cs="Calibri Light"/>
                    <w:noProof/>
                    <w:color w:val="000000" w:themeColor="text1"/>
                  </w:rPr>
                  <w:drawing>
                    <wp:inline distT="0" distB="0" distL="0" distR="0" wp14:anchorId="1BB8EF1E" wp14:editId="605E2786">
                      <wp:extent cx="3038475" cy="16200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2461" w:type="pct"/>
                <w:shd w:val="clear" w:color="auto" w:fill="F2F2F2" w:themeFill="background1" w:themeFillShade="F2"/>
                <w:vAlign w:val="center"/>
              </w:tcPr>
              <w:p w14:paraId="421EE2ED" w14:textId="77777777" w:rsidR="003468FC" w:rsidRPr="00EF4D9E" w:rsidRDefault="003468FC" w:rsidP="003468FC">
                <w:pPr>
                  <w:spacing w:line="240" w:lineRule="auto"/>
                  <w:ind w:firstLine="0"/>
                  <w:jc w:val="center"/>
                  <w:rPr>
                    <w:rFonts w:ascii="Calibri Light" w:hAnsi="Calibri Light" w:cs="Calibri Light"/>
                    <w:b/>
                    <w:bCs/>
                    <w:color w:val="000000" w:themeColor="text1"/>
                    <w:sz w:val="20"/>
                    <w:szCs w:val="20"/>
                  </w:rPr>
                </w:pPr>
                <w:r w:rsidRPr="00EF4D9E">
                  <w:rPr>
                    <w:rFonts w:ascii="Calibri Light" w:hAnsi="Calibri Light" w:cs="Calibri Light"/>
                    <w:noProof/>
                    <w:color w:val="000000" w:themeColor="text1"/>
                  </w:rPr>
                  <w:drawing>
                    <wp:inline distT="0" distB="0" distL="0" distR="0" wp14:anchorId="1FD3D2DA" wp14:editId="7FE85BB5">
                      <wp:extent cx="2943225" cy="16200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E06045" w:rsidRPr="00EF4D9E" w14:paraId="6BCB665E" w14:textId="77777777" w:rsidTr="00E06045">
            <w:trPr>
              <w:trHeight w:val="397"/>
            </w:trPr>
            <w:tc>
              <w:tcPr>
                <w:tcW w:w="2539" w:type="pct"/>
                <w:shd w:val="clear" w:color="auto" w:fill="auto"/>
                <w:vAlign w:val="center"/>
              </w:tcPr>
              <w:p w14:paraId="4C067F52" w14:textId="77777777" w:rsidR="00E06045" w:rsidRPr="00EF4D9E" w:rsidRDefault="00E06045" w:rsidP="001A3341">
                <w:pPr>
                  <w:spacing w:line="240" w:lineRule="auto"/>
                  <w:ind w:firstLine="0"/>
                  <w:jc w:val="left"/>
                  <w:rPr>
                    <w:rFonts w:ascii="Calibri Light" w:hAnsi="Calibri Light" w:cs="Calibri Light"/>
                    <w:b/>
                    <w:bCs/>
                    <w:color w:val="000000" w:themeColor="text1"/>
                    <w:sz w:val="20"/>
                    <w:szCs w:val="20"/>
                  </w:rPr>
                </w:pPr>
              </w:p>
            </w:tc>
            <w:tc>
              <w:tcPr>
                <w:tcW w:w="2461" w:type="pct"/>
                <w:shd w:val="clear" w:color="auto" w:fill="auto"/>
                <w:vAlign w:val="center"/>
              </w:tcPr>
              <w:p w14:paraId="304F4308" w14:textId="77777777" w:rsidR="00E06045" w:rsidRPr="00EF4D9E" w:rsidRDefault="00E06045" w:rsidP="001A3341">
                <w:pPr>
                  <w:spacing w:line="240" w:lineRule="auto"/>
                  <w:ind w:firstLine="0"/>
                  <w:jc w:val="left"/>
                  <w:rPr>
                    <w:rFonts w:ascii="Calibri Light" w:hAnsi="Calibri Light" w:cs="Calibri Light"/>
                    <w:b/>
                    <w:bCs/>
                    <w:color w:val="000000" w:themeColor="text1"/>
                    <w:sz w:val="20"/>
                    <w:szCs w:val="20"/>
                  </w:rPr>
                </w:pPr>
              </w:p>
            </w:tc>
          </w:tr>
          <w:tr w:rsidR="003468FC" w:rsidRPr="00EF4D9E" w14:paraId="00220440" w14:textId="77777777" w:rsidTr="001A3341">
            <w:trPr>
              <w:trHeight w:val="994"/>
            </w:trPr>
            <w:tc>
              <w:tcPr>
                <w:tcW w:w="2539" w:type="pct"/>
                <w:shd w:val="clear" w:color="auto" w:fill="F2F2F2" w:themeFill="background1" w:themeFillShade="F2"/>
                <w:vAlign w:val="center"/>
              </w:tcPr>
              <w:p w14:paraId="3BB50066" w14:textId="77777777" w:rsidR="003468FC" w:rsidRPr="00EF4D9E" w:rsidRDefault="003468FC" w:rsidP="001A3341">
                <w:pPr>
                  <w:spacing w:line="240" w:lineRule="auto"/>
                  <w:ind w:firstLine="0"/>
                  <w:jc w:val="left"/>
                  <w:rPr>
                    <w:rFonts w:ascii="Calibri Light" w:hAnsi="Calibri Light" w:cs="Calibri Light"/>
                    <w:color w:val="000000" w:themeColor="text1"/>
                    <w:sz w:val="20"/>
                    <w:szCs w:val="20"/>
                  </w:rPr>
                </w:pPr>
                <w:r w:rsidRPr="00EF4D9E">
                  <w:rPr>
                    <w:rFonts w:ascii="Calibri Light" w:hAnsi="Calibri Light" w:cs="Calibri Light"/>
                    <w:b/>
                    <w:bCs/>
                    <w:color w:val="000000" w:themeColor="text1"/>
                    <w:sz w:val="20"/>
                    <w:szCs w:val="20"/>
                  </w:rPr>
                  <w:t>BŪVNIECĪBAS NOZARES KONFIDENCE UN NODARBINĀTĪBAS GAIDAS*</w:t>
                </w:r>
              </w:p>
              <w:p w14:paraId="29DD11F6" w14:textId="77777777" w:rsidR="003468FC" w:rsidRPr="00EF4D9E" w:rsidRDefault="003468FC" w:rsidP="001A3341">
                <w:pPr>
                  <w:spacing w:line="240" w:lineRule="auto"/>
                  <w:ind w:firstLine="0"/>
                  <w:jc w:val="left"/>
                  <w:rPr>
                    <w:rFonts w:ascii="Calibri Light" w:hAnsi="Calibri Light" w:cs="Calibri Light"/>
                    <w:color w:val="000000" w:themeColor="text1"/>
                    <w:sz w:val="16"/>
                    <w:szCs w:val="16"/>
                  </w:rPr>
                </w:pPr>
                <w:r w:rsidRPr="00EF4D9E">
                  <w:rPr>
                    <w:rFonts w:ascii="Calibri Light" w:hAnsi="Calibri Light" w:cs="Calibri Light"/>
                    <w:color w:val="000000" w:themeColor="text1"/>
                    <w:sz w:val="16"/>
                    <w:szCs w:val="16"/>
                  </w:rPr>
                  <w:t>Uzņēmumu pasekojuma pozitīvo un negatīvo atbilžu saldo %</w:t>
                </w:r>
              </w:p>
            </w:tc>
            <w:tc>
              <w:tcPr>
                <w:tcW w:w="2461" w:type="pct"/>
                <w:shd w:val="clear" w:color="auto" w:fill="F2F2F2" w:themeFill="background1" w:themeFillShade="F2"/>
                <w:vAlign w:val="center"/>
              </w:tcPr>
              <w:p w14:paraId="2106DA18" w14:textId="77777777" w:rsidR="003468FC" w:rsidRPr="00EF4D9E" w:rsidRDefault="003468FC" w:rsidP="001A3341">
                <w:pPr>
                  <w:spacing w:line="240" w:lineRule="auto"/>
                  <w:ind w:firstLine="0"/>
                  <w:jc w:val="left"/>
                  <w:rPr>
                    <w:rFonts w:ascii="Calibri Light" w:hAnsi="Calibri Light" w:cs="Calibri Light"/>
                    <w:color w:val="000000" w:themeColor="text1"/>
                    <w:sz w:val="20"/>
                    <w:szCs w:val="20"/>
                  </w:rPr>
                </w:pPr>
                <w:r w:rsidRPr="00EF4D9E">
                  <w:rPr>
                    <w:rFonts w:ascii="Calibri Light" w:hAnsi="Calibri Light" w:cs="Calibri Light"/>
                    <w:b/>
                    <w:bCs/>
                    <w:color w:val="000000" w:themeColor="text1"/>
                    <w:sz w:val="20"/>
                    <w:szCs w:val="20"/>
                  </w:rPr>
                  <w:t>UZŅĒMUMU ĪPATSVARS, KAS NORĀDA DARBASPĒKA TRŪKUMU KĀ DARBĪBAS IEROBEŽOJOŠU FAKTORU</w:t>
                </w:r>
              </w:p>
              <w:p w14:paraId="1EE98863" w14:textId="77777777" w:rsidR="003468FC" w:rsidRPr="00EF4D9E" w:rsidRDefault="003468FC" w:rsidP="001A3341">
                <w:pPr>
                  <w:pStyle w:val="ListParagraph"/>
                  <w:spacing w:line="240" w:lineRule="auto"/>
                  <w:ind w:left="0" w:firstLine="0"/>
                  <w:contextualSpacing w:val="0"/>
                  <w:jc w:val="left"/>
                  <w:rPr>
                    <w:rFonts w:ascii="Calibri Light" w:hAnsi="Calibri Light" w:cs="Calibri Light"/>
                    <w:color w:val="000000" w:themeColor="text1"/>
                  </w:rPr>
                </w:pPr>
                <w:r w:rsidRPr="00EF4D9E">
                  <w:rPr>
                    <w:rFonts w:ascii="Calibri Light" w:hAnsi="Calibri Light" w:cs="Calibri Light"/>
                    <w:color w:val="000000" w:themeColor="text1"/>
                    <w:sz w:val="16"/>
                    <w:szCs w:val="16"/>
                    <w:lang w:val="pt-BR"/>
                  </w:rPr>
                  <w:t>% no apsekoto uzņēmumu skaita</w:t>
                </w:r>
                <w:r w:rsidRPr="00EF4D9E">
                  <w:rPr>
                    <w:rFonts w:ascii="Calibri Light" w:hAnsi="Calibri Light" w:cs="Calibri Light"/>
                    <w:color w:val="000000" w:themeColor="text1"/>
                    <w:sz w:val="16"/>
                    <w:szCs w:val="16"/>
                  </w:rPr>
                  <w:t>, sezonāli izlīdzināti dati perioda sākumā</w:t>
                </w:r>
              </w:p>
            </w:tc>
          </w:tr>
          <w:tr w:rsidR="003468FC" w:rsidRPr="00EF4D9E" w14:paraId="53DF63DF" w14:textId="77777777" w:rsidTr="001A3341">
            <w:trPr>
              <w:trHeight w:val="3117"/>
            </w:trPr>
            <w:tc>
              <w:tcPr>
                <w:tcW w:w="2539" w:type="pct"/>
                <w:shd w:val="clear" w:color="auto" w:fill="F2F2F2" w:themeFill="background1" w:themeFillShade="F2"/>
              </w:tcPr>
              <w:p w14:paraId="64A9F3D0" w14:textId="77777777" w:rsidR="003468FC" w:rsidRPr="00EF4D9E" w:rsidRDefault="003468FC" w:rsidP="001A3341">
                <w:pPr>
                  <w:pStyle w:val="ListParagraph"/>
                  <w:ind w:left="0" w:firstLine="0"/>
                  <w:rPr>
                    <w:rFonts w:ascii="Calibri Light" w:hAnsi="Calibri Light" w:cs="Calibri Light"/>
                    <w:color w:val="000000" w:themeColor="text1"/>
                  </w:rPr>
                </w:pPr>
                <w:r w:rsidRPr="00EF4D9E">
                  <w:rPr>
                    <w:rFonts w:ascii="Calibri Light" w:hAnsi="Calibri Light" w:cs="Calibri Light"/>
                    <w:noProof/>
                    <w:color w:val="000000" w:themeColor="text1"/>
                  </w:rPr>
                  <w:drawing>
                    <wp:inline distT="0" distB="0" distL="0" distR="0" wp14:anchorId="48FD25F6" wp14:editId="56BB963B">
                      <wp:extent cx="2914650" cy="2016000"/>
                      <wp:effectExtent l="0" t="0" r="0" b="381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2461" w:type="pct"/>
                <w:shd w:val="clear" w:color="auto" w:fill="F2F2F2" w:themeFill="background1" w:themeFillShade="F2"/>
              </w:tcPr>
              <w:p w14:paraId="66FB5B03" w14:textId="77777777" w:rsidR="003468FC" w:rsidRPr="00EF4D9E" w:rsidRDefault="003468FC" w:rsidP="001A3341">
                <w:pPr>
                  <w:pStyle w:val="ListParagraph"/>
                  <w:ind w:left="0" w:firstLine="0"/>
                  <w:rPr>
                    <w:rFonts w:ascii="Calibri Light" w:hAnsi="Calibri Light" w:cs="Calibri Light"/>
                    <w:color w:val="000000" w:themeColor="text1"/>
                  </w:rPr>
                </w:pPr>
                <w:r w:rsidRPr="00EF4D9E">
                  <w:rPr>
                    <w:rFonts w:ascii="Calibri Light" w:hAnsi="Calibri Light" w:cs="Calibri Light"/>
                    <w:noProof/>
                    <w:color w:val="000000" w:themeColor="text1"/>
                  </w:rPr>
                  <w:drawing>
                    <wp:inline distT="0" distB="0" distL="0" distR="0" wp14:anchorId="295BE235" wp14:editId="2CFA4E72">
                      <wp:extent cx="2838893" cy="19440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3468FC" w:rsidRPr="003468FC" w14:paraId="7CCC4926" w14:textId="77777777" w:rsidTr="001A3341">
            <w:trPr>
              <w:trHeight w:val="529"/>
            </w:trPr>
            <w:tc>
              <w:tcPr>
                <w:tcW w:w="5000" w:type="pct"/>
                <w:gridSpan w:val="2"/>
                <w:shd w:val="clear" w:color="auto" w:fill="F2F2F2" w:themeFill="background1" w:themeFillShade="F2"/>
              </w:tcPr>
              <w:p w14:paraId="3C073D6D" w14:textId="77777777" w:rsidR="003468FC" w:rsidRPr="003468FC" w:rsidRDefault="003468FC" w:rsidP="001A3341">
                <w:pPr>
                  <w:pStyle w:val="ListParagraph"/>
                  <w:spacing w:line="240" w:lineRule="auto"/>
                  <w:ind w:left="0" w:firstLine="0"/>
                  <w:contextualSpacing w:val="0"/>
                  <w:rPr>
                    <w:rFonts w:ascii="Arial Nova" w:hAnsi="Arial Nova" w:cs="Calibri Light"/>
                    <w:noProof/>
                    <w:color w:val="000000" w:themeColor="text1"/>
                  </w:rPr>
                </w:pPr>
                <w:r w:rsidRPr="003468FC">
                  <w:rPr>
                    <w:rFonts w:ascii="Arial Nova" w:hAnsi="Arial Nova" w:cs="Calibri Light"/>
                    <w:color w:val="000000" w:themeColor="text1"/>
                    <w:sz w:val="16"/>
                    <w:szCs w:val="16"/>
                  </w:rPr>
                  <w:t>*Negatīvs “-”rādītājs norāda uz kopumā negatīvu nozares noskaņojumu/gaidāmu nodarbinātības kritumu; Pozitīvs rādītājs “+” norāda uz kopumā pozitīvu nozares noskaņojumu/gaidāmu nodarbinātības pieaugumu; Rādītāja pieaugoša tendence norāda uz situācijas uzlabošanos; Krītoša tendence – uz situācijas pasliktināšanos.</w:t>
                </w:r>
              </w:p>
            </w:tc>
          </w:tr>
        </w:tbl>
        <w:p w14:paraId="441F2CBE" w14:textId="77777777" w:rsidR="003468FC" w:rsidRPr="003F4D07" w:rsidRDefault="003468FC" w:rsidP="001A3341">
          <w:pPr>
            <w:ind w:firstLine="0"/>
            <w:rPr>
              <w:rFonts w:ascii="Calibri Light" w:hAnsi="Calibri Light" w:cs="Calibri Light"/>
              <w:sz w:val="16"/>
              <w:szCs w:val="16"/>
            </w:rPr>
          </w:pPr>
          <w:r w:rsidRPr="003F4D07">
            <w:rPr>
              <w:rFonts w:ascii="Calibri Light" w:hAnsi="Calibri Light" w:cs="Calibri Light"/>
              <w:sz w:val="16"/>
              <w:szCs w:val="16"/>
            </w:rPr>
            <w:lastRenderedPageBreak/>
            <w:t>Avots: CSP</w:t>
          </w:r>
        </w:p>
        <w:p w14:paraId="7B044B43" w14:textId="329F3688" w:rsidR="003468FC" w:rsidRDefault="003468FC" w:rsidP="003468FC">
          <w:pPr>
            <w:rPr>
              <w:rFonts w:ascii="Calibri Light" w:hAnsi="Calibri Light" w:cs="Calibri Light"/>
            </w:rPr>
          </w:pPr>
        </w:p>
        <w:p w14:paraId="75B67AFE" w14:textId="77777777" w:rsidR="00E06045" w:rsidRPr="00F944A8" w:rsidRDefault="00E06045"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Uz darbaspēka nepietiekamības pieaugumu būvniecības nozarē norāda arī vakanču skaita pieaugums. Kopš 2020. gada beigām NVA reģistrēto vakanču skaits nozarē ir audzis par 15,7%. 2021. gada jūnija beigās būvniecības nozarē kopumā bija reģistrētas 6869 vakances, kas ir vairāk nekā 1/3 no NVA reģistrētām brīvām darbavietām un bija augstākais vakanču rādītājs starp nozarēm.</w:t>
          </w:r>
        </w:p>
        <w:p w14:paraId="20FBC4B8" w14:textId="77777777" w:rsidR="00E06045" w:rsidRDefault="00E06045" w:rsidP="003468FC">
          <w:pPr>
            <w:rPr>
              <w:rFonts w:ascii="Calibri Light" w:hAnsi="Calibri Light" w:cs="Calibri Light"/>
            </w:rPr>
          </w:pPr>
        </w:p>
        <w:p w14:paraId="151EC6CB" w14:textId="0DBD808C" w:rsidR="003468FC" w:rsidRDefault="003468FC" w:rsidP="0088719C">
          <w:pPr>
            <w:pStyle w:val="Default"/>
            <w:spacing w:line="312" w:lineRule="auto"/>
            <w:ind w:firstLine="720"/>
            <w:jc w:val="both"/>
            <w:rPr>
              <w:rFonts w:ascii="Times New Roman" w:hAnsi="Times New Roman" w:cs="Times New Roman"/>
            </w:rPr>
          </w:pPr>
          <w:r>
            <w:rPr>
              <w:rFonts w:ascii="Times New Roman" w:hAnsi="Times New Roman" w:cs="Times New Roman"/>
            </w:rPr>
            <w:t xml:space="preserve">Pakāpenisks ekonomisko aktivitāšu pieaugums, </w:t>
          </w:r>
          <w:r w:rsidRPr="003F4D07">
            <w:rPr>
              <w:rFonts w:ascii="Times New Roman" w:hAnsi="Times New Roman" w:cs="Times New Roman"/>
            </w:rPr>
            <w:t>Latvijas Atveseļošanas un noturības mehānisma plān</w:t>
          </w:r>
          <w:r>
            <w:rPr>
              <w:rFonts w:ascii="Times New Roman" w:hAnsi="Times New Roman" w:cs="Times New Roman"/>
            </w:rPr>
            <w:t xml:space="preserve">a pasākumu īstenošana, lielie investīciju projekti (piem., Rail Baltica), jaunais ES fondu plānošanas periods norāda, ka tuvākajos gados būvniecības nozarē darbu apjomi augs. </w:t>
          </w:r>
          <w:r w:rsidRPr="00F944A8">
            <w:rPr>
              <w:rFonts w:ascii="Times New Roman" w:hAnsi="Times New Roman" w:cs="Times New Roman"/>
            </w:rPr>
            <w:t>Sagaidāms, ka darbaspēka pieprasījums līdz 2027. gadam būvniecības nozarē varētu pārsniegt pirmskrīzes līmeni (2019. gadā nodarbināto skaitu) par aptuveni 9</w:t>
          </w:r>
          <w:r>
            <w:rPr>
              <w:rFonts w:ascii="Times New Roman" w:hAnsi="Times New Roman" w:cs="Times New Roman"/>
            </w:rPr>
            <w:t>%</w:t>
          </w:r>
          <w:r w:rsidRPr="00F944A8">
            <w:rPr>
              <w:rFonts w:ascii="Times New Roman" w:hAnsi="Times New Roman" w:cs="Times New Roman"/>
            </w:rPr>
            <w:t xml:space="preserve"> - vairāk nekā 7 tūkstošiem nodarbināto. </w:t>
          </w:r>
        </w:p>
        <w:p w14:paraId="132608D0" w14:textId="77777777" w:rsidR="00C669CB" w:rsidRPr="00592EFD" w:rsidRDefault="00C669CB" w:rsidP="00C669CB">
          <w:pPr>
            <w:pStyle w:val="Default"/>
            <w:spacing w:line="360" w:lineRule="auto"/>
            <w:jc w:val="both"/>
            <w:rPr>
              <w:rFonts w:ascii="Times New Roman" w:hAnsi="Times New Roman" w:cs="Times New Roman"/>
            </w:rPr>
          </w:pPr>
        </w:p>
        <w:tbl>
          <w:tblPr>
            <w:tblStyle w:val="TableGrid"/>
            <w:tblW w:w="9781"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F2F2F2" w:themeFill="background1" w:themeFillShade="F2"/>
            <w:tblLook w:val="04A0" w:firstRow="1" w:lastRow="0" w:firstColumn="1" w:lastColumn="0" w:noHBand="0" w:noVBand="1"/>
          </w:tblPr>
          <w:tblGrid>
            <w:gridCol w:w="4716"/>
            <w:gridCol w:w="5091"/>
          </w:tblGrid>
          <w:tr w:rsidR="003468FC" w:rsidRPr="001A3341" w14:paraId="6B1AEE10" w14:textId="77777777" w:rsidTr="00891DE2">
            <w:trPr>
              <w:trHeight w:val="283"/>
            </w:trPr>
            <w:tc>
              <w:tcPr>
                <w:tcW w:w="9781" w:type="dxa"/>
                <w:gridSpan w:val="2"/>
                <w:tcBorders>
                  <w:bottom w:val="nil"/>
                </w:tcBorders>
                <w:shd w:val="clear" w:color="auto" w:fill="F2F2F2" w:themeFill="background1" w:themeFillShade="F2"/>
                <w:vAlign w:val="center"/>
              </w:tcPr>
              <w:p w14:paraId="58BD2400" w14:textId="77777777" w:rsidR="003468FC" w:rsidRPr="001A3341" w:rsidRDefault="003468FC" w:rsidP="003468FC">
                <w:pPr>
                  <w:spacing w:line="240" w:lineRule="auto"/>
                  <w:ind w:firstLine="0"/>
                  <w:jc w:val="center"/>
                  <w:rPr>
                    <w:rFonts w:ascii="Calibri Light" w:hAnsi="Calibri Light" w:cs="Calibri Light"/>
                    <w:b/>
                    <w:bCs/>
                    <w:color w:val="000000" w:themeColor="text1"/>
                  </w:rPr>
                </w:pPr>
                <w:r w:rsidRPr="001A3341">
                  <w:rPr>
                    <w:rFonts w:ascii="Calibri Light" w:hAnsi="Calibri Light" w:cs="Calibri Light"/>
                    <w:b/>
                    <w:bCs/>
                  </w:rPr>
                  <w:t>BŪVNIECĪBAS NOZARES DARBASPĒKA PIEPRASĪJUMA UN PIEDĀVĀJUMA PROGNOZE</w:t>
                </w:r>
              </w:p>
            </w:tc>
          </w:tr>
          <w:tr w:rsidR="003468FC" w:rsidRPr="001A3341" w14:paraId="1DB60683" w14:textId="77777777" w:rsidTr="003468FC">
            <w:trPr>
              <w:trHeight w:val="887"/>
            </w:trPr>
            <w:tc>
              <w:tcPr>
                <w:tcW w:w="4790" w:type="dxa"/>
                <w:tcBorders>
                  <w:top w:val="nil"/>
                </w:tcBorders>
                <w:shd w:val="clear" w:color="auto" w:fill="F2F2F2" w:themeFill="background1" w:themeFillShade="F2"/>
                <w:vAlign w:val="center"/>
              </w:tcPr>
              <w:p w14:paraId="032BC265" w14:textId="77777777" w:rsidR="003468FC" w:rsidRPr="001A3341" w:rsidRDefault="003468FC" w:rsidP="003468FC">
                <w:pPr>
                  <w:spacing w:line="240" w:lineRule="auto"/>
                  <w:ind w:firstLine="0"/>
                  <w:jc w:val="left"/>
                  <w:rPr>
                    <w:rFonts w:ascii="Calibri Light" w:hAnsi="Calibri Light" w:cs="Calibri Light"/>
                    <w:b/>
                    <w:bCs/>
                    <w:color w:val="000000" w:themeColor="text1"/>
                    <w:sz w:val="20"/>
                    <w:szCs w:val="20"/>
                  </w:rPr>
                </w:pPr>
                <w:r w:rsidRPr="001A3341">
                  <w:rPr>
                    <w:rFonts w:ascii="Calibri Light" w:hAnsi="Calibri Light" w:cs="Calibri Light"/>
                    <w:b/>
                    <w:bCs/>
                    <w:color w:val="000000" w:themeColor="text1"/>
                    <w:sz w:val="20"/>
                    <w:szCs w:val="20"/>
                  </w:rPr>
                  <w:t>Darbaspēka pieprasījuma un piedāvājuma prognozes būvniecības nozarē,</w:t>
                </w:r>
              </w:p>
              <w:p w14:paraId="40CD436E" w14:textId="77777777" w:rsidR="003468FC" w:rsidRPr="001A3341" w:rsidRDefault="003468FC" w:rsidP="003468FC">
                <w:pPr>
                  <w:spacing w:line="240" w:lineRule="auto"/>
                  <w:ind w:firstLine="0"/>
                  <w:jc w:val="left"/>
                  <w:rPr>
                    <w:rFonts w:ascii="Calibri Light" w:hAnsi="Calibri Light" w:cs="Calibri Light"/>
                    <w:color w:val="000000" w:themeColor="text1"/>
                    <w:sz w:val="20"/>
                    <w:szCs w:val="20"/>
                  </w:rPr>
                </w:pPr>
                <w:r w:rsidRPr="001A3341">
                  <w:rPr>
                    <w:rFonts w:ascii="Calibri Light" w:hAnsi="Calibri Light" w:cs="Calibri Light"/>
                    <w:color w:val="000000" w:themeColor="text1"/>
                    <w:sz w:val="20"/>
                    <w:szCs w:val="20"/>
                  </w:rPr>
                  <w:t>tūkstošos</w:t>
                </w:r>
              </w:p>
            </w:tc>
            <w:tc>
              <w:tcPr>
                <w:tcW w:w="4991" w:type="dxa"/>
                <w:tcBorders>
                  <w:top w:val="nil"/>
                </w:tcBorders>
                <w:shd w:val="clear" w:color="auto" w:fill="F2F2F2" w:themeFill="background1" w:themeFillShade="F2"/>
                <w:vAlign w:val="center"/>
              </w:tcPr>
              <w:p w14:paraId="378B033A" w14:textId="49E6D621" w:rsidR="003468FC" w:rsidRPr="001A3341" w:rsidRDefault="003468FC" w:rsidP="003468FC">
                <w:pPr>
                  <w:spacing w:line="240" w:lineRule="auto"/>
                  <w:ind w:firstLine="0"/>
                  <w:jc w:val="left"/>
                  <w:rPr>
                    <w:rFonts w:ascii="Calibri Light" w:hAnsi="Calibri Light" w:cs="Calibri Light"/>
                    <w:color w:val="000000" w:themeColor="text1"/>
                    <w:sz w:val="20"/>
                    <w:szCs w:val="20"/>
                  </w:rPr>
                </w:pPr>
                <w:r w:rsidRPr="001A3341">
                  <w:rPr>
                    <w:rFonts w:ascii="Calibri Light" w:hAnsi="Calibri Light" w:cs="Calibri Light"/>
                    <w:b/>
                    <w:bCs/>
                    <w:color w:val="000000" w:themeColor="text1"/>
                    <w:sz w:val="20"/>
                    <w:szCs w:val="20"/>
                  </w:rPr>
                  <w:t>Darbaspēka pieprasījums un piedāvājums ar izglītību arhitektūrā un būvniecībā</w:t>
                </w:r>
                <w:r w:rsidR="001A3341">
                  <w:rPr>
                    <w:rFonts w:ascii="Calibri Light" w:hAnsi="Calibri Light" w:cs="Calibri Light"/>
                    <w:b/>
                    <w:bCs/>
                    <w:color w:val="000000" w:themeColor="text1"/>
                    <w:sz w:val="20"/>
                    <w:szCs w:val="20"/>
                  </w:rPr>
                  <w:t xml:space="preserve"> ko</w:t>
                </w:r>
                <w:r w:rsidRPr="001A3341">
                  <w:rPr>
                    <w:rFonts w:ascii="Calibri Light" w:hAnsi="Calibri Light" w:cs="Calibri Light"/>
                    <w:b/>
                    <w:bCs/>
                    <w:color w:val="000000" w:themeColor="text1"/>
                    <w:sz w:val="20"/>
                    <w:szCs w:val="20"/>
                  </w:rPr>
                  <w:t xml:space="preserve">pumā tautsaimniecībā </w:t>
                </w:r>
              </w:p>
              <w:p w14:paraId="6B079A44" w14:textId="77777777" w:rsidR="003468FC" w:rsidRPr="001A3341" w:rsidRDefault="003468FC" w:rsidP="003468FC">
                <w:pPr>
                  <w:spacing w:line="240" w:lineRule="auto"/>
                  <w:ind w:firstLine="0"/>
                  <w:jc w:val="left"/>
                  <w:rPr>
                    <w:rFonts w:ascii="Calibri Light" w:hAnsi="Calibri Light" w:cs="Calibri Light"/>
                    <w:color w:val="000000" w:themeColor="text1"/>
                    <w:sz w:val="20"/>
                    <w:szCs w:val="20"/>
                  </w:rPr>
                </w:pPr>
                <w:r w:rsidRPr="001A3341">
                  <w:rPr>
                    <w:rFonts w:ascii="Calibri Light" w:hAnsi="Calibri Light" w:cs="Calibri Light"/>
                    <w:color w:val="000000" w:themeColor="text1"/>
                    <w:sz w:val="20"/>
                    <w:szCs w:val="20"/>
                  </w:rPr>
                  <w:t>tūkstošos</w:t>
                </w:r>
              </w:p>
            </w:tc>
          </w:tr>
          <w:tr w:rsidR="003468FC" w:rsidRPr="003F4D07" w14:paraId="6AF90D12" w14:textId="77777777" w:rsidTr="003468FC">
            <w:trPr>
              <w:trHeight w:val="887"/>
            </w:trPr>
            <w:tc>
              <w:tcPr>
                <w:tcW w:w="4790" w:type="dxa"/>
                <w:shd w:val="clear" w:color="auto" w:fill="F2F2F2" w:themeFill="background1" w:themeFillShade="F2"/>
                <w:vAlign w:val="center"/>
              </w:tcPr>
              <w:p w14:paraId="6B2480F7" w14:textId="77777777" w:rsidR="003468FC" w:rsidRPr="003F4D07" w:rsidRDefault="003468FC" w:rsidP="003468FC">
                <w:pPr>
                  <w:ind w:firstLine="0"/>
                  <w:jc w:val="center"/>
                  <w:rPr>
                    <w:rFonts w:cstheme="minorHAnsi"/>
                    <w:color w:val="000000" w:themeColor="text1"/>
                  </w:rPr>
                </w:pPr>
                <w:r w:rsidRPr="00C637FF">
                  <w:rPr>
                    <w:rFonts w:ascii="Calibri Light" w:hAnsi="Calibri Light" w:cs="Calibri Light"/>
                    <w:noProof/>
                    <w:shd w:val="clear" w:color="auto" w:fill="F2F2F2" w:themeFill="background1" w:themeFillShade="F2"/>
                  </w:rPr>
                  <w:drawing>
                    <wp:inline distT="0" distB="0" distL="0" distR="0" wp14:anchorId="70DC0822" wp14:editId="5E1AD0EE">
                      <wp:extent cx="2849526" cy="1930400"/>
                      <wp:effectExtent l="0" t="0" r="8255"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991" w:type="dxa"/>
                <w:shd w:val="clear" w:color="auto" w:fill="F2F2F2" w:themeFill="background1" w:themeFillShade="F2"/>
                <w:vAlign w:val="center"/>
              </w:tcPr>
              <w:p w14:paraId="793E6D6E" w14:textId="0FBEE602" w:rsidR="003468FC" w:rsidRPr="003468FC" w:rsidRDefault="003468FC" w:rsidP="003468FC">
                <w:pPr>
                  <w:shd w:val="clear" w:color="auto" w:fill="FFFFFF" w:themeFill="background1"/>
                  <w:ind w:firstLine="0"/>
                  <w:rPr>
                    <w:rFonts w:ascii="Calibri Light" w:hAnsi="Calibri Light" w:cs="Calibri Light"/>
                  </w:rPr>
                </w:pPr>
                <w:r>
                  <w:rPr>
                    <w:rFonts w:ascii="Calibri Light" w:hAnsi="Calibri Light" w:cs="Calibri Light"/>
                    <w:noProof/>
                  </w:rPr>
                  <mc:AlternateContent>
                    <mc:Choice Requires="wps">
                      <w:drawing>
                        <wp:anchor distT="0" distB="0" distL="114300" distR="114300" simplePos="0" relativeHeight="251674624" behindDoc="0" locked="0" layoutInCell="1" allowOverlap="1" wp14:anchorId="103B805A" wp14:editId="4253E8BB">
                          <wp:simplePos x="0" y="0"/>
                          <wp:positionH relativeFrom="column">
                            <wp:posOffset>513080</wp:posOffset>
                          </wp:positionH>
                          <wp:positionV relativeFrom="paragraph">
                            <wp:posOffset>652145</wp:posOffset>
                          </wp:positionV>
                          <wp:extent cx="924560" cy="247015"/>
                          <wp:effectExtent l="0" t="0" r="0" b="635"/>
                          <wp:wrapNone/>
                          <wp:docPr id="27" name="Text Box 27"/>
                          <wp:cNvGraphicFramePr/>
                          <a:graphic xmlns:a="http://schemas.openxmlformats.org/drawingml/2006/main">
                            <a:graphicData uri="http://schemas.microsoft.com/office/word/2010/wordprocessingShape">
                              <wps:wsp>
                                <wps:cNvSpPr txBox="1"/>
                                <wps:spPr>
                                  <a:xfrm>
                                    <a:off x="0" y="0"/>
                                    <a:ext cx="924560" cy="247015"/>
                                  </a:xfrm>
                                  <a:prstGeom prst="rect">
                                    <a:avLst/>
                                  </a:prstGeom>
                                  <a:noFill/>
                                  <a:ln w="6350">
                                    <a:noFill/>
                                  </a:ln>
                                </wps:spPr>
                                <wps:txbx>
                                  <w:txbxContent>
                                    <w:p w14:paraId="357CA6AF" w14:textId="77777777" w:rsidR="00172938" w:rsidRPr="003468FC" w:rsidRDefault="00172938" w:rsidP="003468FC">
                                      <w:pPr>
                                        <w:ind w:firstLine="0"/>
                                        <w:rPr>
                                          <w:rFonts w:ascii="Arial Nova" w:hAnsi="Arial Nova"/>
                                          <w:color w:val="FF0000"/>
                                          <w:sz w:val="16"/>
                                          <w:szCs w:val="16"/>
                                        </w:rPr>
                                      </w:pPr>
                                      <w:r w:rsidRPr="003468FC">
                                        <w:rPr>
                                          <w:rFonts w:ascii="Arial Nova" w:hAnsi="Arial Nova"/>
                                          <w:color w:val="FF0000"/>
                                          <w:sz w:val="16"/>
                                          <w:szCs w:val="16"/>
                                        </w:rPr>
                                        <w:t>-7,1 tūkstoši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B805A" id="_x0000_t202" coordsize="21600,21600" o:spt="202" path="m,l,21600r21600,l21600,xe">
                          <v:stroke joinstyle="miter"/>
                          <v:path gradientshapeok="t" o:connecttype="rect"/>
                        </v:shapetype>
                        <v:shape id="Text Box 27" o:spid="_x0000_s1026" type="#_x0000_t202" style="position:absolute;left:0;text-align:left;margin-left:40.4pt;margin-top:51.35pt;width:72.8pt;height:19.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" filled="f" stroked="f" strokeweight=".5pt">
                          <v:textbox>
                            <w:txbxContent>
                              <w:p w14:paraId="357CA6AF" w14:textId="77777777" w:rsidR="00172938" w:rsidRPr="003468FC" w:rsidRDefault="00172938" w:rsidP="003468FC">
                                <w:pPr>
                                  <w:ind w:firstLine="0"/>
                                  <w:rPr>
                                    <w:rFonts w:ascii="Arial Nova" w:hAnsi="Arial Nova"/>
                                    <w:color w:val="FF0000"/>
                                    <w:sz w:val="16"/>
                                    <w:szCs w:val="16"/>
                                  </w:rPr>
                                </w:pPr>
                                <w:r w:rsidRPr="003468FC">
                                  <w:rPr>
                                    <w:rFonts w:ascii="Arial Nova" w:hAnsi="Arial Nova"/>
                                    <w:color w:val="FF0000"/>
                                    <w:sz w:val="16"/>
                                    <w:szCs w:val="16"/>
                                  </w:rPr>
                                  <w:t>-7,1 tūkstoši</w:t>
                                </w:r>
                              </w:p>
                            </w:txbxContent>
                          </v:textbox>
                        </v:shape>
                      </w:pict>
                    </mc:Fallback>
                  </mc:AlternateContent>
                </w:r>
                <w:r>
                  <w:rPr>
                    <w:rFonts w:ascii="Calibri Light" w:hAnsi="Calibri Light" w:cs="Calibri Light"/>
                    <w:noProof/>
                  </w:rPr>
                  <mc:AlternateContent>
                    <mc:Choice Requires="wps">
                      <w:drawing>
                        <wp:anchor distT="0" distB="0" distL="114300" distR="114300" simplePos="0" relativeHeight="251677696" behindDoc="0" locked="0" layoutInCell="1" allowOverlap="1" wp14:anchorId="27D50EFD" wp14:editId="33ACC97E">
                          <wp:simplePos x="0" y="0"/>
                          <wp:positionH relativeFrom="column">
                            <wp:posOffset>2181225</wp:posOffset>
                          </wp:positionH>
                          <wp:positionV relativeFrom="paragraph">
                            <wp:posOffset>487680</wp:posOffset>
                          </wp:positionV>
                          <wp:extent cx="136842" cy="713425"/>
                          <wp:effectExtent l="0" t="2540" r="13335" b="13335"/>
                          <wp:wrapNone/>
                          <wp:docPr id="20" name="Right Brace 20"/>
                          <wp:cNvGraphicFramePr/>
                          <a:graphic xmlns:a="http://schemas.openxmlformats.org/drawingml/2006/main">
                            <a:graphicData uri="http://schemas.microsoft.com/office/word/2010/wordprocessingShape">
                              <wps:wsp>
                                <wps:cNvSpPr/>
                                <wps:spPr>
                                  <a:xfrm rot="16200000">
                                    <a:off x="0" y="0"/>
                                    <a:ext cx="136842" cy="713425"/>
                                  </a:xfrm>
                                  <a:prstGeom prst="rightBrac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EB0B8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171.75pt;margin-top:38.4pt;width:10.75pt;height:56.2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" adj="345" strokecolor="#a5a5a5 [2092]" strokeweight="1pt">
                          <v:stroke joinstyle="miter"/>
                        </v:shape>
                      </w:pict>
                    </mc:Fallback>
                  </mc:AlternateContent>
                </w:r>
                <w:r>
                  <w:rPr>
                    <w:rFonts w:ascii="Calibri Light" w:hAnsi="Calibri Light" w:cs="Calibri Light"/>
                    <w:noProof/>
                  </w:rPr>
                  <mc:AlternateContent>
                    <mc:Choice Requires="wps">
                      <w:drawing>
                        <wp:anchor distT="0" distB="0" distL="114300" distR="114300" simplePos="0" relativeHeight="251676672" behindDoc="0" locked="0" layoutInCell="1" allowOverlap="1" wp14:anchorId="06BAA87D" wp14:editId="028D676F">
                          <wp:simplePos x="0" y="0"/>
                          <wp:positionH relativeFrom="column">
                            <wp:posOffset>1878330</wp:posOffset>
                          </wp:positionH>
                          <wp:positionV relativeFrom="paragraph">
                            <wp:posOffset>551179</wp:posOffset>
                          </wp:positionV>
                          <wp:extent cx="914400" cy="219776"/>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4400" cy="219776"/>
                                  </a:xfrm>
                                  <a:prstGeom prst="rect">
                                    <a:avLst/>
                                  </a:prstGeom>
                                  <a:noFill/>
                                  <a:ln w="6350">
                                    <a:noFill/>
                                  </a:ln>
                                </wps:spPr>
                                <wps:txbx>
                                  <w:txbxContent>
                                    <w:p w14:paraId="6C709122" w14:textId="77777777" w:rsidR="00172938" w:rsidRPr="003468FC" w:rsidRDefault="00172938" w:rsidP="003468FC">
                                      <w:pPr>
                                        <w:ind w:firstLine="0"/>
                                        <w:rPr>
                                          <w:rFonts w:ascii="Arial Nova" w:hAnsi="Arial Nova"/>
                                          <w:color w:val="FF0000"/>
                                          <w:sz w:val="16"/>
                                          <w:szCs w:val="16"/>
                                        </w:rPr>
                                      </w:pPr>
                                      <w:r w:rsidRPr="003468FC">
                                        <w:rPr>
                                          <w:rFonts w:ascii="Arial Nova" w:hAnsi="Arial Nova"/>
                                          <w:color w:val="FF0000"/>
                                          <w:sz w:val="16"/>
                                          <w:szCs w:val="16"/>
                                        </w:rPr>
                                        <w:t>-5,7 tūkstoši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AA87D" id="Text Box 22" o:spid="_x0000_s1027" type="#_x0000_t202" style="position:absolute;left:0;text-align:left;margin-left:147.9pt;margin-top:43.4pt;width:1in;height:17.3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" filled="f" stroked="f" strokeweight=".5pt">
                          <v:textbox>
                            <w:txbxContent>
                              <w:p w14:paraId="6C709122" w14:textId="77777777" w:rsidR="00172938" w:rsidRPr="003468FC" w:rsidRDefault="00172938" w:rsidP="003468FC">
                                <w:pPr>
                                  <w:ind w:firstLine="0"/>
                                  <w:rPr>
                                    <w:rFonts w:ascii="Arial Nova" w:hAnsi="Arial Nova"/>
                                    <w:color w:val="FF0000"/>
                                    <w:sz w:val="16"/>
                                    <w:szCs w:val="16"/>
                                  </w:rPr>
                                </w:pPr>
                                <w:r w:rsidRPr="003468FC">
                                  <w:rPr>
                                    <w:rFonts w:ascii="Arial Nova" w:hAnsi="Arial Nova"/>
                                    <w:color w:val="FF0000"/>
                                    <w:sz w:val="16"/>
                                    <w:szCs w:val="16"/>
                                  </w:rPr>
                                  <w:t>-5,7 tūkstoši</w:t>
                                </w:r>
                              </w:p>
                            </w:txbxContent>
                          </v:textbox>
                        </v:shape>
                      </w:pict>
                    </mc:Fallback>
                  </mc:AlternateContent>
                </w:r>
                <w:r>
                  <w:rPr>
                    <w:rFonts w:ascii="Calibri Light" w:hAnsi="Calibri Light" w:cs="Calibri Light"/>
                    <w:noProof/>
                  </w:rPr>
                  <mc:AlternateContent>
                    <mc:Choice Requires="wps">
                      <w:drawing>
                        <wp:anchor distT="0" distB="0" distL="114300" distR="114300" simplePos="0" relativeHeight="251675648" behindDoc="0" locked="0" layoutInCell="1" allowOverlap="1" wp14:anchorId="061BD510" wp14:editId="74C96A7A">
                          <wp:simplePos x="0" y="0"/>
                          <wp:positionH relativeFrom="column">
                            <wp:posOffset>790101</wp:posOffset>
                          </wp:positionH>
                          <wp:positionV relativeFrom="paragraph">
                            <wp:posOffset>671670</wp:posOffset>
                          </wp:positionV>
                          <wp:extent cx="136842" cy="713425"/>
                          <wp:effectExtent l="0" t="2540" r="13335" b="13335"/>
                          <wp:wrapNone/>
                          <wp:docPr id="29" name="Right Brace 29"/>
                          <wp:cNvGraphicFramePr/>
                          <a:graphic xmlns:a="http://schemas.openxmlformats.org/drawingml/2006/main">
                            <a:graphicData uri="http://schemas.microsoft.com/office/word/2010/wordprocessingShape">
                              <wps:wsp>
                                <wps:cNvSpPr/>
                                <wps:spPr>
                                  <a:xfrm rot="16200000">
                                    <a:off x="0" y="0"/>
                                    <a:ext cx="136842" cy="713425"/>
                                  </a:xfrm>
                                  <a:prstGeom prst="rightBrac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33A1C" id="Right Brace 29" o:spid="_x0000_s1026" type="#_x0000_t88" style="position:absolute;margin-left:62.2pt;margin-top:52.9pt;width:10.75pt;height:56.2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" adj="345" strokecolor="#a5a5a5 [2092]" strokeweight="1pt">
                          <v:stroke joinstyle="miter"/>
                        </v:shape>
                      </w:pict>
                    </mc:Fallback>
                  </mc:AlternateContent>
                </w:r>
                <w:r w:rsidRPr="003468FC">
                  <w:rPr>
                    <w:rFonts w:ascii="Calibri Light" w:hAnsi="Calibri Light" w:cs="Calibri Light"/>
                    <w:noProof/>
                    <w:shd w:val="clear" w:color="auto" w:fill="F2F2F2" w:themeFill="background1" w:themeFillShade="F2"/>
                  </w:rPr>
                  <w:drawing>
                    <wp:inline distT="0" distB="0" distL="0" distR="0" wp14:anchorId="6E06B5D7" wp14:editId="0DF35F64">
                      <wp:extent cx="3096000" cy="21600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Pr>
                    <w:rFonts w:ascii="Calibri Light" w:hAnsi="Calibri Light" w:cs="Calibri Light"/>
                    <w:noProof/>
                    <w:shd w:val="clear" w:color="auto" w:fill="FFFFFF" w:themeFill="background1"/>
                  </w:rPr>
                  <w:t xml:space="preserve">  </w:t>
                </w:r>
              </w:p>
            </w:tc>
          </w:tr>
        </w:tbl>
        <w:p w14:paraId="6F774BF8" w14:textId="77777777" w:rsidR="003468FC" w:rsidRPr="007917F7" w:rsidRDefault="003468FC" w:rsidP="003468FC">
          <w:pPr>
            <w:ind w:firstLine="0"/>
            <w:rPr>
              <w:rFonts w:ascii="Calibri Light" w:hAnsi="Calibri Light" w:cs="Calibri Light"/>
              <w:sz w:val="16"/>
              <w:szCs w:val="16"/>
            </w:rPr>
          </w:pPr>
          <w:r w:rsidRPr="007917F7">
            <w:rPr>
              <w:rFonts w:ascii="Calibri Light" w:hAnsi="Calibri Light" w:cs="Calibri Light"/>
              <w:b/>
              <w:bCs/>
              <w:sz w:val="16"/>
              <w:szCs w:val="16"/>
            </w:rPr>
            <w:t>Avots:</w:t>
          </w:r>
          <w:r w:rsidRPr="007917F7">
            <w:rPr>
              <w:rFonts w:ascii="Calibri Light" w:hAnsi="Calibri Light" w:cs="Calibri Light"/>
              <w:sz w:val="16"/>
              <w:szCs w:val="16"/>
            </w:rPr>
            <w:t xml:space="preserve"> EM vidēja un ilgtermiņa darba tirgus prognozes (20</w:t>
          </w:r>
          <w:r>
            <w:rPr>
              <w:rFonts w:ascii="Calibri Light" w:hAnsi="Calibri Light" w:cs="Calibri Light"/>
              <w:sz w:val="16"/>
              <w:szCs w:val="16"/>
            </w:rPr>
            <w:t>20</w:t>
          </w:r>
          <w:r w:rsidRPr="007917F7">
            <w:rPr>
              <w:rFonts w:ascii="Calibri Light" w:hAnsi="Calibri Light" w:cs="Calibri Light"/>
              <w:sz w:val="16"/>
              <w:szCs w:val="16"/>
            </w:rPr>
            <w:t>)</w:t>
          </w:r>
        </w:p>
        <w:p w14:paraId="3810DA59" w14:textId="77777777" w:rsidR="00E06045" w:rsidRDefault="00E06045" w:rsidP="00C669CB">
          <w:pPr>
            <w:pStyle w:val="Default"/>
            <w:spacing w:line="312" w:lineRule="auto"/>
            <w:jc w:val="both"/>
            <w:rPr>
              <w:rFonts w:ascii="Times New Roman" w:hAnsi="Times New Roman" w:cs="Times New Roman"/>
            </w:rPr>
          </w:pPr>
        </w:p>
        <w:p w14:paraId="7948E95B" w14:textId="2EB2049F" w:rsidR="003468FC" w:rsidRPr="00F944A8" w:rsidRDefault="003468FC" w:rsidP="0088719C">
          <w:pPr>
            <w:pStyle w:val="Default"/>
            <w:spacing w:line="312" w:lineRule="auto"/>
            <w:ind w:firstLine="720"/>
            <w:jc w:val="both"/>
            <w:rPr>
              <w:rFonts w:ascii="Times New Roman" w:hAnsi="Times New Roman" w:cs="Times New Roman"/>
            </w:rPr>
          </w:pPr>
          <w:r w:rsidRPr="00F944A8">
            <w:rPr>
              <w:rFonts w:ascii="Times New Roman" w:hAnsi="Times New Roman" w:cs="Times New Roman"/>
            </w:rPr>
            <w:t xml:space="preserve">Līdz ar darbaspēka novecošanās tendencēm un kopējā darbaspēka piedāvājuma samazināšanos, kopējais darbaspēka nepietiekamības līmenis būvniecības nozarē turpmākajos gados varētu jūtami pieaugt. Būtisku daļu no kopējā pieprasījuma būvniecības nozarē ieņems aizvietojošais darbaspēka pieprasījums. Vakanču skaits, kas nākamajos gados varētu izveidoties būvniecības nozarē pārsniegs to līmeni, kāds bija vērojams 2018.-2019. gadā.  </w:t>
          </w:r>
        </w:p>
        <w:p w14:paraId="75A8EBF2" w14:textId="77777777" w:rsidR="003468FC" w:rsidRDefault="003468FC" w:rsidP="006C4A6A">
          <w:pPr>
            <w:spacing w:after="160" w:line="259" w:lineRule="auto"/>
            <w:ind w:firstLine="0"/>
            <w:jc w:val="left"/>
          </w:pPr>
        </w:p>
        <w:p w14:paraId="7F1C5A73" w14:textId="77777777" w:rsidR="006C4A6A" w:rsidRDefault="006C4A6A" w:rsidP="006C4A6A">
          <w:pPr>
            <w:spacing w:after="160" w:line="259" w:lineRule="auto"/>
            <w:ind w:firstLine="0"/>
            <w:jc w:val="left"/>
          </w:pPr>
        </w:p>
        <w:p w14:paraId="5C4DC821" w14:textId="03E88621" w:rsidR="006C4A6A" w:rsidRDefault="006C4A6A">
          <w:pPr>
            <w:spacing w:after="160" w:line="259" w:lineRule="auto"/>
            <w:ind w:firstLine="0"/>
            <w:jc w:val="left"/>
          </w:pPr>
          <w:r>
            <w:br w:type="page"/>
          </w:r>
        </w:p>
        <w:p w14:paraId="15768A91" w14:textId="58F5B4E9" w:rsidR="006C4A6A" w:rsidRPr="00FB7A50" w:rsidRDefault="006C4A6A" w:rsidP="0088719C">
          <w:pPr>
            <w:pStyle w:val="Heading1"/>
            <w:numPr>
              <w:ilvl w:val="0"/>
              <w:numId w:val="40"/>
            </w:numPr>
            <w:spacing w:line="240" w:lineRule="auto"/>
            <w:jc w:val="both"/>
            <w:rPr>
              <w:b/>
              <w:bCs/>
              <w:color w:val="1B9DAB"/>
            </w:rPr>
          </w:pPr>
          <w:bookmarkStart w:id="4" w:name="_Toc80109858"/>
          <w:r w:rsidRPr="00FB7A50">
            <w:rPr>
              <w:b/>
              <w:bCs/>
              <w:color w:val="1B9DAB"/>
            </w:rPr>
            <w:lastRenderedPageBreak/>
            <w:t>Pētījums par prognozētām izmaiņām darbaspēka un būvmateriālu izmaksās būvniecības nozarē Latvijā</w:t>
          </w:r>
          <w:bookmarkEnd w:id="4"/>
        </w:p>
        <w:p w14:paraId="7FAE8E93" w14:textId="77777777" w:rsidR="006C4A6A" w:rsidRDefault="006C4A6A" w:rsidP="006C4A6A">
          <w:pPr>
            <w:pStyle w:val="Default"/>
            <w:ind w:firstLine="360"/>
            <w:jc w:val="both"/>
            <w:rPr>
              <w:rFonts w:ascii="Times New Roman" w:hAnsi="Times New Roman" w:cs="Times New Roman"/>
              <w:sz w:val="22"/>
              <w:szCs w:val="20"/>
            </w:rPr>
          </w:pPr>
        </w:p>
        <w:p w14:paraId="66A09C8E" w14:textId="03C34AD1" w:rsidR="006C4A6A" w:rsidRPr="006C4A6A" w:rsidRDefault="006C4A6A" w:rsidP="0088719C">
          <w:pPr>
            <w:pStyle w:val="Default"/>
            <w:spacing w:line="360" w:lineRule="auto"/>
            <w:ind w:firstLine="720"/>
            <w:jc w:val="both"/>
            <w:rPr>
              <w:rFonts w:ascii="Times New Roman" w:hAnsi="Times New Roman" w:cs="Times New Roman"/>
              <w:color w:val="auto"/>
            </w:rPr>
          </w:pPr>
          <w:r w:rsidRPr="006C4A6A">
            <w:rPr>
              <w:rFonts w:ascii="Times New Roman" w:hAnsi="Times New Roman" w:cs="Times New Roman"/>
              <w:color w:val="auto"/>
            </w:rPr>
            <w:t xml:space="preserve">„Pētījums par prognozētām izmaiņām darbaspēka un būvmateriālu izmaksās būvniecības nozarē Latvijā” sagatavots atbilstoši 2021. gada 22. jūlijā noslēgtajam līgumam starp Latvijas Republikas Ekonomikas Ministriju un izpētes kompāniju SIA “InnoMatrix”, kas pētījumu veikusi sadarbojoties ar “Latvijas Universitātes” ekonomikas jomas zinātniekiem. </w:t>
          </w:r>
        </w:p>
        <w:p w14:paraId="3AA2D6DE" w14:textId="77777777" w:rsidR="006C4A6A" w:rsidRPr="006C4A6A" w:rsidRDefault="006C4A6A" w:rsidP="0088719C">
          <w:pPr>
            <w:pStyle w:val="Default"/>
            <w:spacing w:line="360" w:lineRule="auto"/>
            <w:ind w:firstLine="720"/>
            <w:jc w:val="both"/>
            <w:rPr>
              <w:rFonts w:ascii="Times New Roman" w:hAnsi="Times New Roman" w:cs="Times New Roman"/>
              <w:color w:val="auto"/>
            </w:rPr>
          </w:pPr>
          <w:r w:rsidRPr="006C4A6A">
            <w:rPr>
              <w:rFonts w:ascii="Times New Roman" w:hAnsi="Times New Roman" w:cs="Times New Roman"/>
              <w:color w:val="auto"/>
            </w:rPr>
            <w:t xml:space="preserve">Pētījuma mērķis bija prognozēt darbaspēka un  būvmateriālu izmaksu izmaiņas būvniecības nozarē Latvijā laika periodā no 2021.- 2025. gadam, izmantojot atkārtoti izmantojamu pētījuma veikšanas metodiku. </w:t>
          </w:r>
        </w:p>
        <w:p w14:paraId="1419CFFA" w14:textId="77777777" w:rsidR="006C4A6A" w:rsidRPr="006C4A6A" w:rsidRDefault="006C4A6A" w:rsidP="0088719C">
          <w:pPr>
            <w:pStyle w:val="Default"/>
            <w:spacing w:line="360" w:lineRule="auto"/>
            <w:ind w:firstLine="720"/>
            <w:jc w:val="both"/>
            <w:rPr>
              <w:rFonts w:ascii="Times New Roman" w:hAnsi="Times New Roman" w:cs="Times New Roman"/>
              <w:color w:val="auto"/>
            </w:rPr>
          </w:pPr>
          <w:r w:rsidRPr="006C4A6A">
            <w:rPr>
              <w:rFonts w:ascii="Times New Roman" w:hAnsi="Times New Roman" w:cs="Times New Roman"/>
              <w:color w:val="auto"/>
            </w:rPr>
            <w:t xml:space="preserve">Pētījums sevī ietver detalizētu izvērtējumu un prognozes laika periodam no 2021. līdz 2025. gadam gan par kopējo būvniecības apjomu un izmaksām, gan par būvniecības nozares apakšnozarēm. </w:t>
          </w:r>
        </w:p>
        <w:p w14:paraId="3D4C6EAE" w14:textId="77777777" w:rsidR="006C4A6A" w:rsidRPr="006C1231" w:rsidRDefault="006C4A6A" w:rsidP="00E06045">
          <w:pPr>
            <w:pStyle w:val="Default"/>
            <w:spacing w:line="360" w:lineRule="auto"/>
            <w:jc w:val="both"/>
            <w:rPr>
              <w:rFonts w:ascii="Times New Roman" w:hAnsi="Times New Roman" w:cs="Times New Roman"/>
            </w:rPr>
          </w:pPr>
          <w:r w:rsidRPr="006C1231">
            <w:rPr>
              <w:rFonts w:ascii="Times New Roman" w:hAnsi="Times New Roman" w:cs="Times New Roman"/>
            </w:rPr>
            <w:t>Pētījuma gaitā tika veikta darbaspēka un būvmateriālu izmaksas ietekmējošo faktoru novērtējums un analīze, tai skaitā novērtējot gan tieši, gan netieši ietekmējošo rādītāju īpatsvarus, tai skaitā ēnu ekonomikas apkarošanas pasākumus, kreditēšanu, finansējuma un darbaspēka pieejamību, kā arī COVID – 19 pandēmijas ietekmi. Pētījuma izstrādē tika vērtēta arī ārējo faktoru ietekme, kā ES kopējais tirgus un ES pieņemtie lēmumi.</w:t>
          </w:r>
        </w:p>
        <w:p w14:paraId="383EE047" w14:textId="77777777" w:rsidR="006C4A6A" w:rsidRPr="006C1231" w:rsidRDefault="006C4A6A" w:rsidP="0088719C">
          <w:pPr>
            <w:rPr>
              <w:rFonts w:ascii="Times New Roman" w:hAnsi="Times New Roman" w:cs="Times New Roman"/>
              <w:sz w:val="24"/>
              <w:szCs w:val="24"/>
            </w:rPr>
          </w:pPr>
          <w:r w:rsidRPr="006C1231">
            <w:rPr>
              <w:rFonts w:ascii="Times New Roman" w:hAnsi="Times New Roman" w:cs="Times New Roman"/>
              <w:sz w:val="24"/>
              <w:szCs w:val="24"/>
            </w:rPr>
            <w:t>Pētījuma datu masīvu veido statistiskie dati un ekspertu interviju ietvaros tika identificēti būvniecības izmaksu izmaiņas ietekmējošie faktori un  ietekmes līmenis.</w:t>
          </w:r>
        </w:p>
        <w:p w14:paraId="234F3B0C" w14:textId="67A12F3A" w:rsidR="006C4A6A" w:rsidRDefault="00F43189" w:rsidP="00A35124">
          <w:pPr>
            <w:rPr>
              <w:rStyle w:val="Hyperlink"/>
              <w:rFonts w:ascii="Times New Roman" w:hAnsi="Times New Roman" w:cs="Times New Roman"/>
              <w:color w:val="C00000"/>
              <w:sz w:val="24"/>
              <w:szCs w:val="24"/>
              <w:u w:val="none"/>
              <w:shd w:val="clear" w:color="auto" w:fill="FFFFFF"/>
            </w:rPr>
          </w:pPr>
        </w:p>
      </w:sdtContent>
    </w:sdt>
    <w:p w14:paraId="76D19EFF" w14:textId="7E6819BB" w:rsidR="006C4A6A" w:rsidRPr="00FB7A50" w:rsidRDefault="006C4A6A" w:rsidP="0088719C">
      <w:pPr>
        <w:pStyle w:val="Heading2"/>
        <w:numPr>
          <w:ilvl w:val="1"/>
          <w:numId w:val="40"/>
        </w:numPr>
        <w:spacing w:line="240" w:lineRule="auto"/>
        <w:rPr>
          <w:rStyle w:val="Hyperlink"/>
          <w:b/>
          <w:bCs/>
          <w:color w:val="009999"/>
          <w:u w:val="none"/>
        </w:rPr>
      </w:pPr>
      <w:r w:rsidRPr="00FB7A50">
        <w:rPr>
          <w:rStyle w:val="Hyperlink"/>
          <w:b/>
          <w:bCs/>
          <w:color w:val="009999"/>
          <w:u w:val="none"/>
        </w:rPr>
        <w:t xml:space="preserve"> </w:t>
      </w:r>
      <w:bookmarkStart w:id="5" w:name="_Toc80109859"/>
      <w:r w:rsidRPr="00FB7A50">
        <w:rPr>
          <w:rStyle w:val="Hyperlink"/>
          <w:b/>
          <w:bCs/>
          <w:color w:val="009999"/>
          <w:u w:val="none"/>
        </w:rPr>
        <w:t>Prognožu salīdzinājums ar iepriekšējiem gadiem</w:t>
      </w:r>
      <w:r w:rsidR="004A78BC" w:rsidRPr="00FB7A50">
        <w:rPr>
          <w:rStyle w:val="Hyperlink"/>
          <w:b/>
          <w:bCs/>
          <w:color w:val="009999"/>
          <w:u w:val="none"/>
        </w:rPr>
        <w:t xml:space="preserve"> un ekspertu struktūra</w:t>
      </w:r>
      <w:bookmarkEnd w:id="5"/>
    </w:p>
    <w:p w14:paraId="76175B80" w14:textId="77777777" w:rsidR="00891DE2" w:rsidRDefault="00891DE2" w:rsidP="006C4A6A">
      <w:pPr>
        <w:rPr>
          <w:rFonts w:ascii="Times New Roman" w:hAnsi="Times New Roman" w:cs="Times New Roman"/>
          <w:sz w:val="24"/>
          <w:szCs w:val="24"/>
        </w:rPr>
      </w:pPr>
    </w:p>
    <w:p w14:paraId="60B0DA48" w14:textId="78ABE905" w:rsidR="006C4A6A" w:rsidRPr="00F1721F" w:rsidRDefault="006C4A6A" w:rsidP="0088719C">
      <w:pPr>
        <w:rPr>
          <w:rFonts w:ascii="Times New Roman" w:hAnsi="Times New Roman" w:cs="Times New Roman"/>
          <w:sz w:val="24"/>
          <w:szCs w:val="24"/>
        </w:rPr>
      </w:pPr>
      <w:r w:rsidRPr="00692263">
        <w:rPr>
          <w:rFonts w:ascii="Times New Roman" w:hAnsi="Times New Roman" w:cs="Times New Roman"/>
          <w:sz w:val="24"/>
          <w:szCs w:val="24"/>
        </w:rPr>
        <w:t xml:space="preserve">Iepriekšējo gadu </w:t>
      </w:r>
      <w:r w:rsidR="002219B5">
        <w:rPr>
          <w:rFonts w:ascii="Times New Roman" w:hAnsi="Times New Roman" w:cs="Times New Roman"/>
          <w:sz w:val="24"/>
          <w:szCs w:val="24"/>
        </w:rPr>
        <w:t>Pētījumi</w:t>
      </w:r>
      <w:r w:rsidRPr="00692263">
        <w:rPr>
          <w:rFonts w:ascii="Times New Roman" w:hAnsi="Times New Roman" w:cs="Times New Roman"/>
          <w:sz w:val="24"/>
          <w:szCs w:val="24"/>
        </w:rPr>
        <w:t xml:space="preserve"> uzrāda, ka ir iegūtas prognozes ar augstu ticamību,</w:t>
      </w:r>
      <w:r w:rsidRPr="00F1721F">
        <w:rPr>
          <w:rFonts w:ascii="Times New Roman" w:hAnsi="Times New Roman" w:cs="Times New Roman"/>
          <w:b/>
          <w:bCs/>
          <w:sz w:val="24"/>
          <w:szCs w:val="24"/>
        </w:rPr>
        <w:t xml:space="preserve"> </w:t>
      </w:r>
      <w:r w:rsidRPr="00F1721F">
        <w:rPr>
          <w:rFonts w:ascii="Times New Roman" w:hAnsi="Times New Roman" w:cs="Times New Roman"/>
          <w:sz w:val="24"/>
          <w:szCs w:val="24"/>
        </w:rPr>
        <w:t>neskatoties uz kardinālām svārstībām būvniecības jomā. 2020. gadā iegūtās prognozes, neskatoties uz izteikto nenoteiktību ekonomikā un ārkārtas situāciju valstī, atšķīrās apjoma prognozēs tikai par 0,4 pp un izmaksu prognozēs tikai par 1,4 pp. Tabula</w:t>
      </w:r>
      <w:r w:rsidRPr="00F1721F">
        <w:rPr>
          <w:rFonts w:ascii="Times New Roman" w:hAnsi="Times New Roman" w:cs="Times New Roman"/>
          <w:color w:val="FFFFFF" w:themeColor="background1"/>
          <w:sz w:val="24"/>
          <w:szCs w:val="24"/>
        </w:rPr>
        <w:t>-</w:t>
      </w:r>
      <w:r w:rsidRPr="00F1721F">
        <w:rPr>
          <w:rFonts w:ascii="Times New Roman" w:hAnsi="Times New Roman" w:cs="Times New Roman"/>
          <w:sz w:val="24"/>
          <w:szCs w:val="24"/>
        </w:rPr>
        <w:t>1.</w:t>
      </w:r>
    </w:p>
    <w:p w14:paraId="7BB2E008" w14:textId="1C6087BF" w:rsidR="006C4A6A" w:rsidRPr="00E06045" w:rsidRDefault="006C4A6A" w:rsidP="006C4A6A">
      <w:pPr>
        <w:pStyle w:val="Caption"/>
        <w:spacing w:after="0"/>
        <w:jc w:val="right"/>
        <w:rPr>
          <w:rFonts w:ascii="Times New Roman" w:hAnsi="Times New Roman" w:cs="Times New Roman"/>
          <w:color w:val="000000" w:themeColor="text1"/>
        </w:rPr>
      </w:pPr>
      <w:r w:rsidRPr="00E06045">
        <w:rPr>
          <w:rFonts w:ascii="Times New Roman" w:hAnsi="Times New Roman" w:cs="Times New Roman"/>
          <w:color w:val="000000" w:themeColor="text1"/>
        </w:rPr>
        <w:t xml:space="preserve">Tabula  </w:t>
      </w:r>
      <w:r w:rsidRPr="00E06045">
        <w:rPr>
          <w:rFonts w:ascii="Times New Roman" w:hAnsi="Times New Roman" w:cs="Times New Roman"/>
          <w:color w:val="000000" w:themeColor="text1"/>
        </w:rPr>
        <w:fldChar w:fldCharType="begin"/>
      </w:r>
      <w:r w:rsidRPr="00E06045">
        <w:rPr>
          <w:rFonts w:ascii="Times New Roman" w:hAnsi="Times New Roman" w:cs="Times New Roman"/>
          <w:color w:val="000000" w:themeColor="text1"/>
        </w:rPr>
        <w:instrText xml:space="preserve"> SEQ Tab._ \* ARABIC </w:instrText>
      </w:r>
      <w:r w:rsidRPr="00E06045">
        <w:rPr>
          <w:rFonts w:ascii="Times New Roman" w:hAnsi="Times New Roman" w:cs="Times New Roman"/>
          <w:color w:val="000000" w:themeColor="text1"/>
        </w:rPr>
        <w:fldChar w:fldCharType="separate"/>
      </w:r>
      <w:r w:rsidR="00D65651" w:rsidRPr="00E06045">
        <w:rPr>
          <w:rFonts w:ascii="Times New Roman" w:hAnsi="Times New Roman" w:cs="Times New Roman"/>
          <w:noProof/>
          <w:color w:val="000000" w:themeColor="text1"/>
        </w:rPr>
        <w:t>1</w:t>
      </w:r>
      <w:r w:rsidRPr="00E06045">
        <w:rPr>
          <w:rFonts w:ascii="Times New Roman" w:hAnsi="Times New Roman" w:cs="Times New Roman"/>
          <w:noProof/>
          <w:color w:val="000000" w:themeColor="text1"/>
        </w:rPr>
        <w:fldChar w:fldCharType="end"/>
      </w:r>
      <w:r w:rsidRPr="00E06045">
        <w:rPr>
          <w:rFonts w:ascii="Times New Roman" w:hAnsi="Times New Roman" w:cs="Times New Roman"/>
          <w:color w:val="000000" w:themeColor="text1"/>
        </w:rPr>
        <w:t xml:space="preserve">. </w:t>
      </w:r>
    </w:p>
    <w:p w14:paraId="184997FB" w14:textId="77777777" w:rsidR="006C4A6A" w:rsidRPr="00E06045" w:rsidRDefault="006C4A6A" w:rsidP="006C4A6A">
      <w:pPr>
        <w:pStyle w:val="Caption"/>
        <w:spacing w:after="0"/>
        <w:jc w:val="right"/>
        <w:rPr>
          <w:rFonts w:ascii="Times New Roman" w:hAnsi="Times New Roman" w:cs="Times New Roman"/>
          <w:color w:val="000000" w:themeColor="text1"/>
        </w:rPr>
      </w:pPr>
      <w:r w:rsidRPr="00E06045">
        <w:rPr>
          <w:rFonts w:ascii="Times New Roman" w:hAnsi="Times New Roman" w:cs="Times New Roman"/>
          <w:color w:val="000000" w:themeColor="text1"/>
        </w:rPr>
        <w:t xml:space="preserve">Būvniecības produkcijas apjoma un izmaksu faktisko izmaiņu salīdzinājums pret prognozētām. Avots: CSP dati un Ekonomikas ministrijas uzdevumā veiktie būvniecības izmaiņu pētījumi 2018. , 2019. un 2020. gadā. </w:t>
      </w:r>
    </w:p>
    <w:tbl>
      <w:tblPr>
        <w:tblStyle w:val="GridTable31"/>
        <w:tblW w:w="0" w:type="auto"/>
        <w:tblLook w:val="04A0" w:firstRow="1" w:lastRow="0" w:firstColumn="1" w:lastColumn="0" w:noHBand="0" w:noVBand="1"/>
      </w:tblPr>
      <w:tblGrid>
        <w:gridCol w:w="800"/>
        <w:gridCol w:w="760"/>
        <w:gridCol w:w="760"/>
        <w:gridCol w:w="717"/>
        <w:gridCol w:w="760"/>
        <w:gridCol w:w="717"/>
        <w:gridCol w:w="875"/>
        <w:gridCol w:w="1269"/>
        <w:gridCol w:w="878"/>
        <w:gridCol w:w="764"/>
        <w:gridCol w:w="717"/>
      </w:tblGrid>
      <w:tr w:rsidR="006C4A6A" w14:paraId="4EEC5B8B" w14:textId="77777777" w:rsidTr="006C4A6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17" w:type="dxa"/>
            <w:gridSpan w:val="11"/>
            <w:noWrap/>
          </w:tcPr>
          <w:p w14:paraId="5A584270" w14:textId="77777777" w:rsidR="006C4A6A" w:rsidRPr="00F1721F" w:rsidRDefault="006C4A6A" w:rsidP="006C4A6A">
            <w:pPr>
              <w:spacing w:line="276" w:lineRule="auto"/>
              <w:ind w:firstLine="0"/>
              <w:jc w:val="center"/>
              <w:rPr>
                <w:rFonts w:ascii="Times New Roman" w:hAnsi="Times New Roman" w:cs="Times New Roman"/>
                <w:i w:val="0"/>
                <w:iCs w:val="0"/>
                <w:lang w:val="lv-LV"/>
              </w:rPr>
            </w:pPr>
          </w:p>
          <w:p w14:paraId="06F99CC1" w14:textId="77777777" w:rsidR="006C4A6A" w:rsidRDefault="006C4A6A" w:rsidP="006C4A6A">
            <w:pPr>
              <w:spacing w:line="276" w:lineRule="auto"/>
              <w:ind w:firstLine="0"/>
              <w:jc w:val="center"/>
              <w:rPr>
                <w:rFonts w:ascii="Times New Roman" w:hAnsi="Times New Roman" w:cs="Times New Roman"/>
                <w:b w:val="0"/>
                <w:bCs w:val="0"/>
                <w:i w:val="0"/>
                <w:iCs w:val="0"/>
              </w:rPr>
            </w:pPr>
            <w:r>
              <w:rPr>
                <w:rFonts w:ascii="Times New Roman" w:hAnsi="Times New Roman" w:cs="Times New Roman"/>
                <w:b w:val="0"/>
                <w:bCs w:val="0"/>
              </w:rPr>
              <w:t xml:space="preserve">Būvniecības </w:t>
            </w:r>
            <w:r>
              <w:rPr>
                <w:rFonts w:ascii="Times New Roman" w:hAnsi="Times New Roman" w:cs="Times New Roman"/>
              </w:rPr>
              <w:t>APJOMA</w:t>
            </w:r>
            <w:r>
              <w:rPr>
                <w:rFonts w:ascii="Times New Roman" w:hAnsi="Times New Roman" w:cs="Times New Roman"/>
                <w:b w:val="0"/>
                <w:bCs w:val="0"/>
              </w:rPr>
              <w:t xml:space="preserve">  izmaiņas % pret iepriekšējo gadu –</w:t>
            </w:r>
          </w:p>
          <w:p w14:paraId="30FF5854" w14:textId="77777777" w:rsidR="006C4A6A" w:rsidRDefault="006C4A6A" w:rsidP="006C4A6A">
            <w:pPr>
              <w:spacing w:line="276" w:lineRule="auto"/>
              <w:ind w:firstLine="0"/>
              <w:jc w:val="center"/>
              <w:rPr>
                <w:rFonts w:ascii="Times New Roman" w:hAnsi="Times New Roman" w:cs="Times New Roman"/>
              </w:rPr>
            </w:pPr>
            <w:r>
              <w:rPr>
                <w:rFonts w:ascii="Times New Roman" w:hAnsi="Times New Roman" w:cs="Times New Roman"/>
              </w:rPr>
              <w:t>faktiskais salīdzinājums pret prognozi</w:t>
            </w:r>
          </w:p>
        </w:tc>
      </w:tr>
      <w:tr w:rsidR="006C4A6A" w14:paraId="534E65C9" w14:textId="77777777" w:rsidTr="006C4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0" w:type="dxa"/>
            <w:tcBorders>
              <w:right w:val="single" w:sz="4" w:space="0" w:color="666666" w:themeColor="text1" w:themeTint="99"/>
            </w:tcBorders>
            <w:noWrap/>
            <w:hideMark/>
          </w:tcPr>
          <w:p w14:paraId="5C80B2D8" w14:textId="77777777" w:rsidR="006C4A6A" w:rsidRDefault="006C4A6A" w:rsidP="006C4A6A">
            <w:pPr>
              <w:spacing w:line="276" w:lineRule="auto"/>
              <w:ind w:firstLine="0"/>
              <w:rPr>
                <w:rFonts w:ascii="Times New Roman" w:hAnsi="Times New Roman" w:cs="Times New Roman"/>
                <w:sz w:val="16"/>
                <w:szCs w:val="16"/>
              </w:rPr>
            </w:pPr>
            <w:r>
              <w:rPr>
                <w:rFonts w:ascii="Times New Roman" w:hAnsi="Times New Roman" w:cs="Times New Roman"/>
                <w:sz w:val="16"/>
                <w:szCs w:val="16"/>
              </w:rPr>
              <w:t>Gads</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5059F005"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2011</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2559CAB5"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2012</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0C241E6"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2013</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766B440"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2014</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A1DCEB8"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2015</w:t>
            </w:r>
          </w:p>
        </w:tc>
        <w:tc>
          <w:tcPr>
            <w:tcW w:w="8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64905B7B"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2016</w:t>
            </w:r>
          </w:p>
        </w:tc>
        <w:tc>
          <w:tcPr>
            <w:tcW w:w="126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11127A98"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2017</w:t>
            </w:r>
          </w:p>
        </w:tc>
        <w:tc>
          <w:tcPr>
            <w:tcW w:w="87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CF5C4D5"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2018</w:t>
            </w:r>
          </w:p>
        </w:tc>
        <w:tc>
          <w:tcPr>
            <w:tcW w:w="764"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B8CC7EA"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2019</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2DE401C"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2020</w:t>
            </w:r>
          </w:p>
        </w:tc>
      </w:tr>
      <w:tr w:rsidR="006C4A6A" w14:paraId="31932C76" w14:textId="77777777" w:rsidTr="006C4A6A">
        <w:trPr>
          <w:trHeight w:val="300"/>
        </w:trPr>
        <w:tc>
          <w:tcPr>
            <w:cnfStyle w:val="001000000000" w:firstRow="0" w:lastRow="0" w:firstColumn="1" w:lastColumn="0" w:oddVBand="0" w:evenVBand="0" w:oddHBand="0" w:evenHBand="0" w:firstRowFirstColumn="0" w:firstRowLastColumn="0" w:lastRowFirstColumn="0" w:lastRowLastColumn="0"/>
            <w:tcW w:w="800" w:type="dxa"/>
            <w:tcBorders>
              <w:right w:val="single" w:sz="4" w:space="0" w:color="666666" w:themeColor="text1" w:themeTint="99"/>
            </w:tcBorders>
            <w:noWrap/>
            <w:hideMark/>
          </w:tcPr>
          <w:p w14:paraId="01A3B45A" w14:textId="77777777" w:rsidR="006C4A6A" w:rsidRDefault="006C4A6A" w:rsidP="006C4A6A">
            <w:pPr>
              <w:spacing w:line="276" w:lineRule="auto"/>
              <w:ind w:firstLine="0"/>
              <w:rPr>
                <w:rFonts w:ascii="Times New Roman" w:hAnsi="Times New Roman" w:cs="Times New Roman"/>
                <w:b/>
                <w:bCs/>
              </w:rPr>
            </w:pPr>
            <w:r>
              <w:rPr>
                <w:rFonts w:ascii="Times New Roman" w:hAnsi="Times New Roman" w:cs="Times New Roman"/>
                <w:b/>
                <w:bCs/>
                <w:sz w:val="16"/>
                <w:szCs w:val="16"/>
              </w:rPr>
              <w:t>FAKTS</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04A9C7E"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12,2</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9623F4D"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14,8</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592354C8"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w:t>
            </w:r>
          </w:p>
        </w:tc>
        <w:tc>
          <w:tcPr>
            <w:tcW w:w="760"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B786EFF"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10,6</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16470D86"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w:t>
            </w:r>
          </w:p>
        </w:tc>
        <w:tc>
          <w:tcPr>
            <w:tcW w:w="875"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EDE7BD6"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-16,6</w:t>
            </w:r>
          </w:p>
        </w:tc>
        <w:tc>
          <w:tcPr>
            <w:tcW w:w="126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8419662"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18,6</w:t>
            </w:r>
          </w:p>
        </w:tc>
        <w:tc>
          <w:tcPr>
            <w:tcW w:w="87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7331F0C"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21,9</w:t>
            </w:r>
          </w:p>
        </w:tc>
        <w:tc>
          <w:tcPr>
            <w:tcW w:w="764"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F3AC322"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1C5CDCE6"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w:t>
            </w:r>
          </w:p>
        </w:tc>
      </w:tr>
      <w:tr w:rsidR="006C4A6A" w14:paraId="6189C467" w14:textId="77777777" w:rsidTr="006C4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9" w:type="dxa"/>
            <w:gridSpan w:val="7"/>
            <w:vMerge w:val="restart"/>
            <w:tcBorders>
              <w:right w:val="single" w:sz="4" w:space="0" w:color="666666" w:themeColor="text1" w:themeTint="99"/>
            </w:tcBorders>
            <w:noWrap/>
            <w:vAlign w:val="center"/>
            <w:hideMark/>
          </w:tcPr>
          <w:p w14:paraId="761D7A97" w14:textId="77777777" w:rsidR="006C4A6A" w:rsidRDefault="006C4A6A" w:rsidP="006C4A6A">
            <w:pPr>
              <w:rPr>
                <w:rFonts w:ascii="Times New Roman" w:hAnsi="Times New Roman" w:cs="Times New Roman"/>
              </w:rPr>
            </w:pPr>
          </w:p>
        </w:tc>
        <w:tc>
          <w:tcPr>
            <w:tcW w:w="126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D9E2F3" w:themeFill="accent1" w:themeFillTint="33"/>
            <w:noWrap/>
            <w:vAlign w:val="center"/>
            <w:hideMark/>
          </w:tcPr>
          <w:p w14:paraId="63F4D6E2"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16"/>
                <w:szCs w:val="16"/>
              </w:rPr>
            </w:pPr>
            <w:r>
              <w:rPr>
                <w:rFonts w:ascii="Times New Roman" w:hAnsi="Times New Roman" w:cs="Times New Roman"/>
                <w:b/>
                <w:bCs/>
                <w:i/>
                <w:iCs/>
                <w:sz w:val="16"/>
                <w:szCs w:val="16"/>
              </w:rPr>
              <w:t>PROGNOZE</w:t>
            </w:r>
          </w:p>
        </w:tc>
        <w:tc>
          <w:tcPr>
            <w:tcW w:w="87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D9E2F3" w:themeFill="accent1" w:themeFillTint="33"/>
            <w:noWrap/>
            <w:vAlign w:val="center"/>
            <w:hideMark/>
          </w:tcPr>
          <w:p w14:paraId="42E488D3"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16,6</w:t>
            </w:r>
          </w:p>
        </w:tc>
        <w:tc>
          <w:tcPr>
            <w:tcW w:w="764"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D9E2F3" w:themeFill="accent1" w:themeFillTint="33"/>
            <w:noWrap/>
            <w:vAlign w:val="center"/>
            <w:hideMark/>
          </w:tcPr>
          <w:p w14:paraId="5461CFA2"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12,5</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D9E2F3" w:themeFill="accent1" w:themeFillTint="33"/>
            <w:noWrap/>
            <w:vAlign w:val="center"/>
            <w:hideMark/>
          </w:tcPr>
          <w:p w14:paraId="4767508B"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3,1</w:t>
            </w:r>
          </w:p>
        </w:tc>
      </w:tr>
      <w:tr w:rsidR="006C4A6A" w14:paraId="7FC3EB8F" w14:textId="77777777" w:rsidTr="006C4A6A">
        <w:trPr>
          <w:trHeight w:val="300"/>
        </w:trPr>
        <w:tc>
          <w:tcPr>
            <w:cnfStyle w:val="001000000000" w:firstRow="0" w:lastRow="0" w:firstColumn="1" w:lastColumn="0" w:oddVBand="0" w:evenVBand="0" w:oddHBand="0" w:evenHBand="0" w:firstRowFirstColumn="0" w:firstRowLastColumn="0" w:lastRowFirstColumn="0" w:lastRowLastColumn="0"/>
            <w:tcW w:w="0" w:type="auto"/>
            <w:gridSpan w:val="7"/>
            <w:vMerge/>
            <w:tcBorders>
              <w:right w:val="single" w:sz="4" w:space="0" w:color="666666" w:themeColor="text1" w:themeTint="99"/>
            </w:tcBorders>
            <w:vAlign w:val="center"/>
            <w:hideMark/>
          </w:tcPr>
          <w:p w14:paraId="7D40906F" w14:textId="77777777" w:rsidR="006C4A6A" w:rsidRDefault="006C4A6A" w:rsidP="006C4A6A">
            <w:pPr>
              <w:spacing w:line="240" w:lineRule="auto"/>
              <w:ind w:firstLine="0"/>
              <w:jc w:val="left"/>
              <w:rPr>
                <w:rFonts w:ascii="Times New Roman" w:hAnsi="Times New Roman" w:cs="Times New Roman"/>
              </w:rPr>
            </w:pPr>
          </w:p>
        </w:tc>
        <w:tc>
          <w:tcPr>
            <w:tcW w:w="126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0F1FD8B"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Starpība</w:t>
            </w:r>
          </w:p>
        </w:tc>
        <w:tc>
          <w:tcPr>
            <w:tcW w:w="87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E9883DA"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-5,3 pp</w:t>
            </w:r>
          </w:p>
        </w:tc>
        <w:tc>
          <w:tcPr>
            <w:tcW w:w="764"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C07318A"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9,6 pp</w:t>
            </w:r>
          </w:p>
        </w:tc>
        <w:tc>
          <w:tcPr>
            <w:tcW w:w="717"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B0451D3"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0,4 pp</w:t>
            </w:r>
          </w:p>
        </w:tc>
      </w:tr>
    </w:tbl>
    <w:p w14:paraId="1A30B9F9" w14:textId="77777777" w:rsidR="006C4A6A" w:rsidRDefault="006C4A6A" w:rsidP="006C4A6A">
      <w:pPr>
        <w:spacing w:line="276" w:lineRule="auto"/>
        <w:ind w:firstLine="0"/>
        <w:rPr>
          <w:rFonts w:ascii="Times New Roman" w:hAnsi="Times New Roman" w:cs="Times New Roman"/>
        </w:rPr>
      </w:pPr>
    </w:p>
    <w:p w14:paraId="169406C3" w14:textId="77777777" w:rsidR="00891DE2" w:rsidRDefault="00891DE2">
      <w:r>
        <w:rPr>
          <w:b/>
          <w:bCs/>
          <w:i/>
          <w:iCs/>
        </w:rPr>
        <w:br w:type="page"/>
      </w:r>
    </w:p>
    <w:tbl>
      <w:tblPr>
        <w:tblStyle w:val="GridTable31"/>
        <w:tblW w:w="0" w:type="auto"/>
        <w:tblInd w:w="5" w:type="dxa"/>
        <w:tblLook w:val="04A0" w:firstRow="1" w:lastRow="0" w:firstColumn="1" w:lastColumn="0" w:noHBand="0" w:noVBand="1"/>
      </w:tblPr>
      <w:tblGrid>
        <w:gridCol w:w="975"/>
        <w:gridCol w:w="739"/>
        <w:gridCol w:w="738"/>
        <w:gridCol w:w="736"/>
        <w:gridCol w:w="736"/>
        <w:gridCol w:w="736"/>
        <w:gridCol w:w="736"/>
        <w:gridCol w:w="1418"/>
        <w:gridCol w:w="736"/>
        <w:gridCol w:w="736"/>
        <w:gridCol w:w="736"/>
      </w:tblGrid>
      <w:tr w:rsidR="006C4A6A" w14:paraId="0682EB59" w14:textId="77777777" w:rsidTr="006C4A6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022" w:type="dxa"/>
            <w:gridSpan w:val="11"/>
            <w:noWrap/>
            <w:hideMark/>
          </w:tcPr>
          <w:p w14:paraId="5A5B4405" w14:textId="791E32E9" w:rsidR="006C4A6A" w:rsidRPr="00F1721F" w:rsidRDefault="006C4A6A" w:rsidP="006C4A6A">
            <w:pPr>
              <w:spacing w:line="276" w:lineRule="auto"/>
              <w:ind w:firstLine="0"/>
              <w:jc w:val="center"/>
              <w:rPr>
                <w:rFonts w:ascii="Times New Roman" w:hAnsi="Times New Roman" w:cs="Times New Roman"/>
                <w:b w:val="0"/>
                <w:bCs w:val="0"/>
                <w:i w:val="0"/>
                <w:iCs w:val="0"/>
                <w:lang w:val="lv-LV"/>
              </w:rPr>
            </w:pPr>
            <w:r w:rsidRPr="00F1721F">
              <w:rPr>
                <w:rFonts w:ascii="Times New Roman" w:hAnsi="Times New Roman" w:cs="Times New Roman"/>
                <w:b w:val="0"/>
                <w:bCs w:val="0"/>
                <w:lang w:val="lv-LV"/>
              </w:rPr>
              <w:lastRenderedPageBreak/>
              <w:t xml:space="preserve">Būvniecības </w:t>
            </w:r>
            <w:r w:rsidRPr="00F1721F">
              <w:rPr>
                <w:rFonts w:ascii="Times New Roman" w:hAnsi="Times New Roman" w:cs="Times New Roman"/>
                <w:lang w:val="lv-LV"/>
              </w:rPr>
              <w:t>IZMAKSU</w:t>
            </w:r>
            <w:r w:rsidRPr="00F1721F">
              <w:rPr>
                <w:rFonts w:ascii="Times New Roman" w:hAnsi="Times New Roman" w:cs="Times New Roman"/>
                <w:b w:val="0"/>
                <w:bCs w:val="0"/>
                <w:lang w:val="lv-LV"/>
              </w:rPr>
              <w:t xml:space="preserve">  izmaiņas % pret iepriekšējo gadu –</w:t>
            </w:r>
          </w:p>
          <w:p w14:paraId="7A4D675A" w14:textId="77777777" w:rsidR="006C4A6A" w:rsidRDefault="006C4A6A" w:rsidP="006C4A6A">
            <w:pPr>
              <w:spacing w:line="276" w:lineRule="auto"/>
              <w:ind w:firstLine="0"/>
              <w:jc w:val="center"/>
              <w:rPr>
                <w:rFonts w:ascii="Times New Roman" w:hAnsi="Times New Roman" w:cs="Times New Roman"/>
              </w:rPr>
            </w:pPr>
            <w:r w:rsidRPr="00F1721F">
              <w:rPr>
                <w:rFonts w:ascii="Times New Roman" w:hAnsi="Times New Roman" w:cs="Times New Roman"/>
                <w:b w:val="0"/>
                <w:bCs w:val="0"/>
                <w:lang w:val="lv-LV"/>
              </w:rPr>
              <w:t xml:space="preserve"> </w:t>
            </w:r>
            <w:r>
              <w:rPr>
                <w:rFonts w:ascii="Times New Roman" w:hAnsi="Times New Roman" w:cs="Times New Roman"/>
              </w:rPr>
              <w:t>faktiskais salīdzinājums pret prognozi</w:t>
            </w:r>
          </w:p>
        </w:tc>
      </w:tr>
      <w:tr w:rsidR="006C4A6A" w14:paraId="6332590B" w14:textId="77777777" w:rsidTr="006C4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5" w:type="dxa"/>
            <w:tcBorders>
              <w:right w:val="single" w:sz="4" w:space="0" w:color="666666" w:themeColor="text1" w:themeTint="99"/>
            </w:tcBorders>
            <w:noWrap/>
            <w:hideMark/>
          </w:tcPr>
          <w:p w14:paraId="678B6E5A" w14:textId="77777777" w:rsidR="006C4A6A" w:rsidRDefault="006C4A6A" w:rsidP="006C4A6A">
            <w:pPr>
              <w:spacing w:line="276" w:lineRule="auto"/>
              <w:ind w:firstLine="0"/>
              <w:rPr>
                <w:rFonts w:ascii="Times New Roman" w:hAnsi="Times New Roman" w:cs="Times New Roman"/>
                <w:sz w:val="16"/>
                <w:szCs w:val="16"/>
              </w:rPr>
            </w:pPr>
            <w:r>
              <w:rPr>
                <w:rFonts w:ascii="Times New Roman" w:hAnsi="Times New Roman" w:cs="Times New Roman"/>
                <w:sz w:val="16"/>
                <w:szCs w:val="16"/>
              </w:rPr>
              <w:t>Gads</w:t>
            </w:r>
          </w:p>
        </w:tc>
        <w:tc>
          <w:tcPr>
            <w:tcW w:w="73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6B15554C"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2011</w:t>
            </w:r>
          </w:p>
        </w:tc>
        <w:tc>
          <w:tcPr>
            <w:tcW w:w="73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2C764650"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2012</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50742EB9"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2013</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143149E0"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2014</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1EBC19C"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2015</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C6F5019"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2016</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25607B11"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2017</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15E068F"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2018</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F2E4517"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2019</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D1D2C1D"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2020</w:t>
            </w:r>
          </w:p>
        </w:tc>
      </w:tr>
      <w:tr w:rsidR="006C4A6A" w14:paraId="21C4AF39" w14:textId="77777777" w:rsidTr="006C4A6A">
        <w:trPr>
          <w:trHeight w:val="300"/>
        </w:trPr>
        <w:tc>
          <w:tcPr>
            <w:cnfStyle w:val="001000000000" w:firstRow="0" w:lastRow="0" w:firstColumn="1" w:lastColumn="0" w:oddVBand="0" w:evenVBand="0" w:oddHBand="0" w:evenHBand="0" w:firstRowFirstColumn="0" w:firstRowLastColumn="0" w:lastRowFirstColumn="0" w:lastRowLastColumn="0"/>
            <w:tcW w:w="975" w:type="dxa"/>
            <w:tcBorders>
              <w:right w:val="single" w:sz="4" w:space="0" w:color="666666" w:themeColor="text1" w:themeTint="99"/>
            </w:tcBorders>
            <w:noWrap/>
            <w:hideMark/>
          </w:tcPr>
          <w:p w14:paraId="1D8EF103" w14:textId="77777777" w:rsidR="006C4A6A" w:rsidRDefault="006C4A6A" w:rsidP="006C4A6A">
            <w:pPr>
              <w:spacing w:line="276" w:lineRule="auto"/>
              <w:ind w:firstLine="0"/>
              <w:rPr>
                <w:rFonts w:ascii="Times New Roman" w:hAnsi="Times New Roman" w:cs="Times New Roman"/>
                <w:b/>
                <w:bCs/>
                <w:sz w:val="16"/>
                <w:szCs w:val="16"/>
              </w:rPr>
            </w:pPr>
            <w:r>
              <w:rPr>
                <w:rFonts w:ascii="Times New Roman" w:hAnsi="Times New Roman" w:cs="Times New Roman"/>
                <w:b/>
                <w:bCs/>
                <w:sz w:val="16"/>
                <w:szCs w:val="16"/>
              </w:rPr>
              <w:t>FAKTS</w:t>
            </w:r>
          </w:p>
        </w:tc>
        <w:tc>
          <w:tcPr>
            <w:tcW w:w="739"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FC0B6CA"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73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6F312DC9"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CB66005"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0B8E7E28"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48A6BF1"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D5BEB37"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w:t>
            </w: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A5BA81F"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94D92F1"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4,4</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00AEDAE"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6E4D2D03"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w:t>
            </w:r>
          </w:p>
        </w:tc>
      </w:tr>
      <w:tr w:rsidR="006C4A6A" w14:paraId="01F1F28D" w14:textId="77777777" w:rsidTr="006C4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96" w:type="dxa"/>
            <w:gridSpan w:val="7"/>
            <w:vMerge w:val="restart"/>
            <w:tcBorders>
              <w:right w:val="single" w:sz="4" w:space="0" w:color="666666" w:themeColor="text1" w:themeTint="99"/>
            </w:tcBorders>
            <w:noWrap/>
            <w:vAlign w:val="center"/>
            <w:hideMark/>
          </w:tcPr>
          <w:p w14:paraId="1182DD2D" w14:textId="77777777" w:rsidR="006C4A6A" w:rsidRDefault="006C4A6A" w:rsidP="006C4A6A">
            <w:pPr>
              <w:rPr>
                <w:rFonts w:ascii="Times New Roman" w:hAnsi="Times New Roman" w:cs="Times New Roman"/>
              </w:rPr>
            </w:pP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E2EFD9" w:themeFill="accent6" w:themeFillTint="33"/>
            <w:noWrap/>
            <w:vAlign w:val="center"/>
            <w:hideMark/>
          </w:tcPr>
          <w:p w14:paraId="646BB50D"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16"/>
                <w:szCs w:val="16"/>
              </w:rPr>
            </w:pPr>
            <w:r>
              <w:rPr>
                <w:rFonts w:ascii="Times New Roman" w:hAnsi="Times New Roman" w:cs="Times New Roman"/>
                <w:b/>
                <w:bCs/>
                <w:i/>
                <w:iCs/>
                <w:sz w:val="16"/>
                <w:szCs w:val="16"/>
              </w:rPr>
              <w:t>PROGNOZE</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E2EFD9" w:themeFill="accent6" w:themeFillTint="33"/>
            <w:noWrap/>
            <w:vAlign w:val="center"/>
            <w:hideMark/>
          </w:tcPr>
          <w:p w14:paraId="130DAC49"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E2EFD9" w:themeFill="accent6" w:themeFillTint="33"/>
            <w:noWrap/>
            <w:vAlign w:val="center"/>
            <w:hideMark/>
          </w:tcPr>
          <w:p w14:paraId="0E9729F7"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shd w:val="clear" w:color="auto" w:fill="E2EFD9" w:themeFill="accent6" w:themeFillTint="33"/>
            <w:noWrap/>
            <w:vAlign w:val="center"/>
            <w:hideMark/>
          </w:tcPr>
          <w:p w14:paraId="58319A1B" w14:textId="77777777" w:rsidR="006C4A6A" w:rsidRDefault="006C4A6A" w:rsidP="006C4A6A">
            <w:pPr>
              <w:spacing w:line="276"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2,7</w:t>
            </w:r>
          </w:p>
        </w:tc>
      </w:tr>
      <w:tr w:rsidR="006C4A6A" w14:paraId="3B867D07" w14:textId="77777777" w:rsidTr="006C4A6A">
        <w:trPr>
          <w:trHeight w:val="309"/>
        </w:trPr>
        <w:tc>
          <w:tcPr>
            <w:cnfStyle w:val="001000000000" w:firstRow="0" w:lastRow="0" w:firstColumn="1" w:lastColumn="0" w:oddVBand="0" w:evenVBand="0" w:oddHBand="0" w:evenHBand="0" w:firstRowFirstColumn="0" w:firstRowLastColumn="0" w:lastRowFirstColumn="0" w:lastRowLastColumn="0"/>
            <w:tcW w:w="0" w:type="auto"/>
            <w:gridSpan w:val="7"/>
            <w:vMerge/>
            <w:tcBorders>
              <w:right w:val="single" w:sz="4" w:space="0" w:color="666666" w:themeColor="text1" w:themeTint="99"/>
            </w:tcBorders>
            <w:vAlign w:val="center"/>
            <w:hideMark/>
          </w:tcPr>
          <w:p w14:paraId="39F2BE8D" w14:textId="77777777" w:rsidR="006C4A6A" w:rsidRDefault="006C4A6A" w:rsidP="006C4A6A">
            <w:pPr>
              <w:spacing w:line="240" w:lineRule="auto"/>
              <w:ind w:firstLine="0"/>
              <w:jc w:val="left"/>
              <w:rPr>
                <w:rFonts w:ascii="Times New Roman" w:hAnsi="Times New Roman" w:cs="Times New Roman"/>
              </w:rPr>
            </w:pPr>
          </w:p>
        </w:tc>
        <w:tc>
          <w:tcPr>
            <w:tcW w:w="1418"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3084EAF6"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Starpība</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7636B1A3"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-0,3 pp</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2B49A4FD"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0,8 pp</w:t>
            </w:r>
          </w:p>
        </w:tc>
        <w:tc>
          <w:tcPr>
            <w:tcW w:w="736" w:type="dxa"/>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tcBorders>
            <w:noWrap/>
            <w:vAlign w:val="center"/>
            <w:hideMark/>
          </w:tcPr>
          <w:p w14:paraId="434B519B" w14:textId="77777777" w:rsidR="006C4A6A" w:rsidRDefault="006C4A6A" w:rsidP="006C4A6A">
            <w:pPr>
              <w:spacing w:line="276"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Pr>
                <w:rFonts w:ascii="Times New Roman" w:hAnsi="Times New Roman" w:cs="Times New Roman"/>
                <w:i/>
                <w:iCs/>
                <w:sz w:val="16"/>
                <w:szCs w:val="16"/>
              </w:rPr>
              <w:t>1,4 pp</w:t>
            </w:r>
          </w:p>
        </w:tc>
      </w:tr>
    </w:tbl>
    <w:p w14:paraId="31774797" w14:textId="77777777" w:rsidR="006C4A6A" w:rsidRPr="007F3895" w:rsidRDefault="006C4A6A" w:rsidP="006C4A6A">
      <w:pPr>
        <w:ind w:firstLine="0"/>
        <w:jc w:val="left"/>
        <w:rPr>
          <w:rFonts w:ascii="Times New Roman" w:hAnsi="Times New Roman" w:cs="Times New Roman"/>
          <w:color w:val="2A2A2A"/>
          <w:sz w:val="24"/>
          <w:szCs w:val="24"/>
          <w:shd w:val="clear" w:color="auto" w:fill="FFFFFF"/>
        </w:rPr>
      </w:pPr>
      <w:r w:rsidRPr="007F3895">
        <w:rPr>
          <w:rFonts w:ascii="Times New Roman" w:hAnsi="Times New Roman" w:cs="Times New Roman"/>
          <w:color w:val="2A2A2A"/>
          <w:sz w:val="24"/>
          <w:szCs w:val="24"/>
          <w:shd w:val="clear" w:color="auto" w:fill="FFFFFF"/>
        </w:rPr>
        <w:t xml:space="preserve"> </w:t>
      </w:r>
    </w:p>
    <w:p w14:paraId="480241B9" w14:textId="77777777" w:rsidR="006C4A6A" w:rsidRPr="00692263" w:rsidRDefault="006C4A6A" w:rsidP="006C4A6A">
      <w:pPr>
        <w:ind w:firstLine="0"/>
        <w:rPr>
          <w:rFonts w:ascii="Times New Roman" w:hAnsi="Times New Roman" w:cs="Times New Roman"/>
          <w:color w:val="000000" w:themeColor="text1"/>
          <w:sz w:val="24"/>
          <w:szCs w:val="24"/>
          <w:shd w:val="clear" w:color="auto" w:fill="FFFFFF"/>
        </w:rPr>
      </w:pPr>
      <w:r w:rsidRPr="007F3895">
        <w:rPr>
          <w:rFonts w:ascii="Times New Roman" w:hAnsi="Times New Roman" w:cs="Times New Roman"/>
          <w:color w:val="2A2A2A"/>
          <w:sz w:val="24"/>
          <w:szCs w:val="24"/>
          <w:shd w:val="clear" w:color="auto" w:fill="FFFFFF"/>
        </w:rPr>
        <w:tab/>
      </w:r>
      <w:r w:rsidRPr="00692263">
        <w:rPr>
          <w:rFonts w:ascii="Times New Roman" w:hAnsi="Times New Roman" w:cs="Times New Roman"/>
          <w:color w:val="000000" w:themeColor="text1"/>
          <w:sz w:val="24"/>
          <w:szCs w:val="24"/>
          <w:shd w:val="clear" w:color="auto" w:fill="FFFFFF"/>
        </w:rPr>
        <w:t xml:space="preserve"> </w:t>
      </w:r>
    </w:p>
    <w:p w14:paraId="19A03631" w14:textId="77777777" w:rsidR="006C4A6A" w:rsidRPr="00C35C48" w:rsidRDefault="006C4A6A" w:rsidP="0088719C">
      <w:pPr>
        <w:rPr>
          <w:rFonts w:ascii="Times New Roman" w:hAnsi="Times New Roman" w:cs="Times New Roman"/>
          <w:sz w:val="24"/>
          <w:szCs w:val="24"/>
        </w:rPr>
      </w:pPr>
      <w:r w:rsidRPr="00C35C48">
        <w:rPr>
          <w:rFonts w:ascii="Times New Roman" w:hAnsi="Times New Roman" w:cs="Times New Roman"/>
          <w:sz w:val="24"/>
          <w:szCs w:val="24"/>
        </w:rPr>
        <w:t xml:space="preserve">Jo īpaši precīzas ir bijušas izmaksu prognozes, kuru atšķirība no faktiskajām ir variējusi pusotra procenta punkta robežās. Prognožu un faktisko datu salīdzinājums norāda uz </w:t>
      </w:r>
      <w:r w:rsidRPr="00C35C48">
        <w:rPr>
          <w:rFonts w:ascii="Times New Roman" w:hAnsi="Times New Roman" w:cs="Times New Roman"/>
          <w:b/>
          <w:bCs/>
          <w:sz w:val="24"/>
          <w:szCs w:val="24"/>
        </w:rPr>
        <w:t>augstu kompetenci būvniecības jomas ekspertiem Latvijā</w:t>
      </w:r>
      <w:r w:rsidRPr="00C35C48">
        <w:rPr>
          <w:rFonts w:ascii="Times New Roman" w:hAnsi="Times New Roman" w:cs="Times New Roman"/>
          <w:sz w:val="24"/>
          <w:szCs w:val="24"/>
        </w:rPr>
        <w:t xml:space="preserve"> un </w:t>
      </w:r>
      <w:r w:rsidRPr="00C35C48">
        <w:rPr>
          <w:rFonts w:ascii="Times New Roman" w:hAnsi="Times New Roman" w:cs="Times New Roman"/>
          <w:b/>
          <w:bCs/>
          <w:sz w:val="24"/>
          <w:szCs w:val="24"/>
        </w:rPr>
        <w:t>pamatotu metodoloģiju</w:t>
      </w:r>
      <w:r w:rsidRPr="00C35C48">
        <w:rPr>
          <w:rFonts w:ascii="Times New Roman" w:hAnsi="Times New Roman" w:cs="Times New Roman"/>
          <w:sz w:val="24"/>
          <w:szCs w:val="24"/>
        </w:rPr>
        <w:t>.</w:t>
      </w:r>
    </w:p>
    <w:p w14:paraId="27EBC7A9" w14:textId="498031D2" w:rsidR="00753E96" w:rsidRPr="00A57667" w:rsidRDefault="006C4A6A" w:rsidP="0088719C">
      <w:pPr>
        <w:pStyle w:val="ListParagraph"/>
        <w:ind w:left="0"/>
        <w:rPr>
          <w:sz w:val="24"/>
          <w:szCs w:val="24"/>
        </w:rPr>
      </w:pPr>
      <w:r w:rsidRPr="00C35C48">
        <w:rPr>
          <w:rFonts w:ascii="Times New Roman" w:hAnsi="Times New Roman" w:cs="Times New Roman"/>
          <w:sz w:val="24"/>
          <w:szCs w:val="24"/>
        </w:rPr>
        <w:t xml:space="preserve">2021. gada pētījuma ietvaros </w:t>
      </w:r>
      <w:r w:rsidRPr="00C35C48">
        <w:rPr>
          <w:rFonts w:ascii="Times New Roman" w:hAnsi="Times New Roman" w:cs="Times New Roman"/>
          <w:b/>
          <w:bCs/>
          <w:sz w:val="24"/>
          <w:szCs w:val="24"/>
        </w:rPr>
        <w:t>savu viedokli izteica 59 eksperti no Latvijas būvniecības jomas</w:t>
      </w:r>
      <w:r w:rsidRPr="00C35C48">
        <w:rPr>
          <w:rFonts w:ascii="Times New Roman" w:hAnsi="Times New Roman" w:cs="Times New Roman"/>
          <w:sz w:val="24"/>
          <w:szCs w:val="24"/>
        </w:rPr>
        <w:t xml:space="preserve"> </w:t>
      </w:r>
      <w:r w:rsidRPr="00C35C48">
        <w:rPr>
          <w:rFonts w:ascii="Times New Roman" w:hAnsi="Times New Roman" w:cs="Times New Roman"/>
          <w:b/>
          <w:bCs/>
          <w:sz w:val="24"/>
          <w:szCs w:val="24"/>
        </w:rPr>
        <w:t xml:space="preserve">pārstāvot 56 organizācijas: gan </w:t>
      </w:r>
      <w:r w:rsidRPr="00C35C48">
        <w:rPr>
          <w:rFonts w:ascii="Times New Roman" w:hAnsi="Times New Roman" w:cs="Times New Roman"/>
          <w:sz w:val="24"/>
          <w:szCs w:val="24"/>
        </w:rPr>
        <w:t>publisko pārvaldi, gan akadēmisko vidi, gan būvniecības NVO,  gan būvniecības uzņēmumus.</w:t>
      </w:r>
      <w:r w:rsidR="00753E96" w:rsidRPr="00753E96">
        <w:rPr>
          <w:sz w:val="24"/>
          <w:szCs w:val="24"/>
        </w:rPr>
        <w:t xml:space="preserve"> </w:t>
      </w:r>
      <w:r w:rsidR="00753E96" w:rsidRPr="00A57667">
        <w:rPr>
          <w:sz w:val="24"/>
          <w:szCs w:val="24"/>
        </w:rPr>
        <w:t xml:space="preserve">Kā vispārējie eksperti intervijās novērtējumam tika piesaistīti makroekonomikas eksperti, kuru kompetences joma ietver būvniecības ietekmes izvērtējumu uz tautsaimniecību. Šīs grupas ekspertu uzdevums bija identificēt faktorus, kuriem ir būtiska ietekme uz Būvniecības izmaksu izmaiņām, kā arī veikt vispārēju būvniecības nozares un izmaksu izmaiņu attīstības tendenču novērtējumu. </w:t>
      </w:r>
    </w:p>
    <w:p w14:paraId="1B57594A" w14:textId="7171B193" w:rsidR="00753E96" w:rsidRPr="00A57667" w:rsidRDefault="00753E96" w:rsidP="0088719C">
      <w:pPr>
        <w:ind w:firstLine="709"/>
        <w:rPr>
          <w:sz w:val="24"/>
          <w:szCs w:val="24"/>
        </w:rPr>
      </w:pPr>
      <w:r w:rsidRPr="00A57667">
        <w:rPr>
          <w:sz w:val="24"/>
          <w:szCs w:val="24"/>
        </w:rPr>
        <w:t xml:space="preserve">Apakšnozaru ekspertu aptaujas ietvaros tika izdalītas </w:t>
      </w:r>
      <w:r w:rsidR="00E64A0C">
        <w:rPr>
          <w:sz w:val="24"/>
          <w:szCs w:val="24"/>
        </w:rPr>
        <w:t>piecas</w:t>
      </w:r>
      <w:r w:rsidRPr="00A57667">
        <w:rPr>
          <w:sz w:val="24"/>
          <w:szCs w:val="24"/>
        </w:rPr>
        <w:t xml:space="preserve"> uzņēmumu grupas, atbilstošas NACE Saimniecisko darbību statistiskās klasifikatoram, kurās katrā tika veikta ekspertu viedokļu novērtēšana: </w:t>
      </w:r>
    </w:p>
    <w:p w14:paraId="01093CE2" w14:textId="77777777" w:rsidR="00753E96" w:rsidRPr="00A57667" w:rsidRDefault="00753E96" w:rsidP="00E06045">
      <w:pPr>
        <w:pStyle w:val="ListParagraph"/>
        <w:numPr>
          <w:ilvl w:val="0"/>
          <w:numId w:val="2"/>
        </w:numPr>
        <w:ind w:left="709"/>
        <w:rPr>
          <w:sz w:val="24"/>
          <w:szCs w:val="24"/>
        </w:rPr>
      </w:pPr>
      <w:r w:rsidRPr="00A57667">
        <w:rPr>
          <w:b/>
          <w:bCs/>
          <w:sz w:val="24"/>
          <w:szCs w:val="24"/>
        </w:rPr>
        <w:t>dzīvojamo un nedzīvojamo ēku būvniecība</w:t>
      </w:r>
      <w:r w:rsidRPr="00A57667">
        <w:rPr>
          <w:sz w:val="24"/>
          <w:szCs w:val="24"/>
        </w:rPr>
        <w:t>;</w:t>
      </w:r>
    </w:p>
    <w:p w14:paraId="5A716B23" w14:textId="77777777" w:rsidR="00753E96" w:rsidRPr="00A57667" w:rsidRDefault="00753E96" w:rsidP="00E06045">
      <w:pPr>
        <w:pStyle w:val="ListParagraph"/>
        <w:numPr>
          <w:ilvl w:val="0"/>
          <w:numId w:val="2"/>
        </w:numPr>
        <w:ind w:left="709"/>
        <w:rPr>
          <w:sz w:val="24"/>
          <w:szCs w:val="24"/>
        </w:rPr>
      </w:pPr>
      <w:r w:rsidRPr="00A57667">
        <w:rPr>
          <w:b/>
          <w:bCs/>
          <w:sz w:val="24"/>
          <w:szCs w:val="24"/>
        </w:rPr>
        <w:t>transporta objektu būvniecība</w:t>
      </w:r>
      <w:r w:rsidRPr="00A57667">
        <w:rPr>
          <w:sz w:val="24"/>
          <w:szCs w:val="24"/>
        </w:rPr>
        <w:t xml:space="preserve"> (ceļu un maģistrāļu, dzelzceļa, tiltu un tuneļu būvniecība)</w:t>
      </w:r>
    </w:p>
    <w:p w14:paraId="4C281108" w14:textId="77777777" w:rsidR="00753E96" w:rsidRPr="00A57667" w:rsidRDefault="00753E96" w:rsidP="00E06045">
      <w:pPr>
        <w:pStyle w:val="ListParagraph"/>
        <w:numPr>
          <w:ilvl w:val="0"/>
          <w:numId w:val="2"/>
        </w:numPr>
        <w:ind w:left="709"/>
        <w:rPr>
          <w:sz w:val="24"/>
          <w:szCs w:val="24"/>
        </w:rPr>
      </w:pPr>
      <w:r w:rsidRPr="00A57667">
        <w:rPr>
          <w:b/>
          <w:bCs/>
          <w:sz w:val="24"/>
          <w:szCs w:val="24"/>
        </w:rPr>
        <w:t>pilsētas infrastruktūras objektu būvniecība</w:t>
      </w:r>
      <w:r w:rsidRPr="00A57667">
        <w:rPr>
          <w:sz w:val="24"/>
          <w:szCs w:val="24"/>
        </w:rPr>
        <w:t xml:space="preserve"> (ūdens apgādes, kanalizācijas, elektroapgādes un telekomunikāciju sistēmu būvniecība);</w:t>
      </w:r>
    </w:p>
    <w:p w14:paraId="6BA74725" w14:textId="77777777" w:rsidR="00E64A0C" w:rsidRDefault="00E64A0C" w:rsidP="00E06045">
      <w:pPr>
        <w:pStyle w:val="ListParagraph"/>
        <w:numPr>
          <w:ilvl w:val="0"/>
          <w:numId w:val="2"/>
        </w:numPr>
        <w:ind w:left="709"/>
        <w:rPr>
          <w:sz w:val="24"/>
          <w:szCs w:val="24"/>
        </w:rPr>
      </w:pPr>
      <w:r>
        <w:rPr>
          <w:b/>
          <w:bCs/>
          <w:sz w:val="24"/>
          <w:szCs w:val="24"/>
        </w:rPr>
        <w:t>specializētie būvdarbi</w:t>
      </w:r>
      <w:r w:rsidR="00753E96" w:rsidRPr="00A57667">
        <w:rPr>
          <w:b/>
          <w:bCs/>
          <w:sz w:val="24"/>
          <w:szCs w:val="24"/>
        </w:rPr>
        <w:t xml:space="preserve"> </w:t>
      </w:r>
      <w:r w:rsidR="00753E96" w:rsidRPr="00A57667">
        <w:rPr>
          <w:sz w:val="24"/>
          <w:szCs w:val="24"/>
        </w:rPr>
        <w:t>(</w:t>
      </w:r>
      <w:r>
        <w:rPr>
          <w:sz w:val="24"/>
          <w:szCs w:val="24"/>
        </w:rPr>
        <w:t>būvlaukuma sagatavošana, elektroinstalāciju ierīkošana, cauruļvadu uzstādīšana, būvdarbu pabeigšana</w:t>
      </w:r>
      <w:r w:rsidR="00753E96" w:rsidRPr="00A57667">
        <w:rPr>
          <w:sz w:val="24"/>
          <w:szCs w:val="24"/>
        </w:rPr>
        <w:t>)</w:t>
      </w:r>
      <w:r>
        <w:rPr>
          <w:sz w:val="24"/>
          <w:szCs w:val="24"/>
        </w:rPr>
        <w:t>;</w:t>
      </w:r>
    </w:p>
    <w:p w14:paraId="382233C0" w14:textId="538FA5ED" w:rsidR="00753E96" w:rsidRPr="00A57667" w:rsidRDefault="00E64A0C" w:rsidP="00E06045">
      <w:pPr>
        <w:pStyle w:val="ListParagraph"/>
        <w:numPr>
          <w:ilvl w:val="0"/>
          <w:numId w:val="2"/>
        </w:numPr>
        <w:ind w:left="709"/>
        <w:rPr>
          <w:sz w:val="24"/>
          <w:szCs w:val="24"/>
        </w:rPr>
      </w:pPr>
      <w:r w:rsidRPr="00E64A0C">
        <w:rPr>
          <w:rFonts w:ascii="Times New Roman" w:hAnsi="Times New Roman" w:cs="Times New Roman"/>
          <w:b/>
          <w:bCs/>
          <w:sz w:val="24"/>
          <w:szCs w:val="24"/>
        </w:rPr>
        <w:t>Arhitektūras un inženiertehnisko pakalpojumu,</w:t>
      </w:r>
      <w:r w:rsidRPr="00E64A0C">
        <w:rPr>
          <w:rFonts w:ascii="Times New Roman" w:hAnsi="Times New Roman" w:cs="Times New Roman"/>
          <w:sz w:val="24"/>
          <w:szCs w:val="24"/>
        </w:rPr>
        <w:t xml:space="preserve"> </w:t>
      </w:r>
      <w:r w:rsidRPr="00E64A0C">
        <w:rPr>
          <w:rFonts w:ascii="Times New Roman" w:hAnsi="Times New Roman" w:cs="Times New Roman"/>
          <w:b/>
          <w:bCs/>
          <w:sz w:val="24"/>
          <w:szCs w:val="24"/>
        </w:rPr>
        <w:t>tehniskās pārbaudes un analīze</w:t>
      </w:r>
      <w:r>
        <w:rPr>
          <w:rFonts w:ascii="Times New Roman" w:hAnsi="Times New Roman" w:cs="Times New Roman"/>
          <w:sz w:val="24"/>
          <w:szCs w:val="24"/>
        </w:rPr>
        <w:t xml:space="preserve"> (arhitektūras pakalpojumi, projektēšana, tehniskās konsultācijas un pārbaudes)</w:t>
      </w:r>
      <w:r w:rsidRPr="00CA542D">
        <w:rPr>
          <w:rFonts w:ascii="Times New Roman" w:hAnsi="Times New Roman" w:cs="Times New Roman"/>
        </w:rPr>
        <w:t xml:space="preserve"> </w:t>
      </w:r>
      <w:r w:rsidR="00753E96" w:rsidRPr="00A57667">
        <w:rPr>
          <w:sz w:val="24"/>
          <w:szCs w:val="24"/>
        </w:rPr>
        <w:t xml:space="preserve">. </w:t>
      </w:r>
    </w:p>
    <w:p w14:paraId="13283068" w14:textId="5604311C" w:rsidR="00753E96" w:rsidRPr="00A57667" w:rsidRDefault="00753E96" w:rsidP="0088719C">
      <w:pPr>
        <w:ind w:firstLine="709"/>
        <w:rPr>
          <w:sz w:val="24"/>
          <w:szCs w:val="24"/>
        </w:rPr>
      </w:pPr>
      <w:r w:rsidRPr="00A57667">
        <w:rPr>
          <w:sz w:val="24"/>
          <w:szCs w:val="24"/>
        </w:rPr>
        <w:t>Gan vispārējie, gan apakšnozaru eksperti novērtēja dažādu faktoru ietekmi uz būvniecības nozares darbaspēka izmaksām gan Latvijas, gan ES līmenī</w:t>
      </w:r>
    </w:p>
    <w:p w14:paraId="0851CFFD" w14:textId="77777777" w:rsidR="00753E96" w:rsidRDefault="006C4A6A" w:rsidP="0088719C">
      <w:pPr>
        <w:pStyle w:val="ListParagraph"/>
        <w:ind w:left="0" w:firstLine="709"/>
        <w:rPr>
          <w:rFonts w:ascii="Times New Roman" w:hAnsi="Times New Roman" w:cs="Times New Roman"/>
          <w:sz w:val="24"/>
          <w:szCs w:val="24"/>
        </w:rPr>
      </w:pPr>
      <w:r w:rsidRPr="00FB7A50">
        <w:rPr>
          <w:rFonts w:ascii="Times New Roman" w:hAnsi="Times New Roman" w:cs="Times New Roman"/>
          <w:sz w:val="24"/>
          <w:szCs w:val="24"/>
        </w:rPr>
        <w:t>Veicot Pētījumu 2021. gadā autori norāda uz Covid-19 pasākumu spēcīgu ietekmi un salīdzinoši lielāku neviendabības situāciju, kurā iezīmējās krasas būvniecības komponenšu svārstības. Nozares attīstība pēdējo 24-36 mēnešu laikā saistāma ar izteikti nestabilu attīstību, ko raksturo krasas attīstības vektoru maiņas, kas, atbilstoši starptautisko ekonomistu prognozēm, var turpināties nākamos 2 - 5 gadus</w:t>
      </w:r>
      <w:r w:rsidR="00753E96" w:rsidRPr="00FB7A50">
        <w:rPr>
          <w:rFonts w:ascii="Times New Roman" w:hAnsi="Times New Roman" w:cs="Times New Roman"/>
          <w:sz w:val="24"/>
          <w:szCs w:val="24"/>
        </w:rPr>
        <w:t>.</w:t>
      </w:r>
    </w:p>
    <w:p w14:paraId="467558C1" w14:textId="7AB01031" w:rsidR="006C4A6A" w:rsidRDefault="006C4A6A" w:rsidP="0088719C">
      <w:pPr>
        <w:pStyle w:val="ListParagraph"/>
        <w:ind w:left="0" w:firstLine="709"/>
        <w:rPr>
          <w:rFonts w:ascii="Times New Roman" w:hAnsi="Times New Roman" w:cs="Times New Roman"/>
          <w:sz w:val="24"/>
          <w:szCs w:val="24"/>
        </w:rPr>
      </w:pPr>
      <w:r w:rsidRPr="00C35C48">
        <w:rPr>
          <w:rFonts w:ascii="Times New Roman" w:hAnsi="Times New Roman" w:cs="Times New Roman"/>
          <w:sz w:val="24"/>
          <w:szCs w:val="24"/>
        </w:rPr>
        <w:lastRenderedPageBreak/>
        <w:t>Statistiskās prognozes šādos apstākļos veidojas pārlieku mērenas, bet ekspertu prognozes izteikti straujas. Šādās situācijās gada griezums nereti ir novecojis aktuālu politisku rīcību plānošanai</w:t>
      </w:r>
      <w:r w:rsidR="00753E96">
        <w:rPr>
          <w:rFonts w:ascii="Times New Roman" w:hAnsi="Times New Roman" w:cs="Times New Roman"/>
          <w:sz w:val="24"/>
          <w:szCs w:val="24"/>
        </w:rPr>
        <w:t xml:space="preserve">. </w:t>
      </w:r>
      <w:r w:rsidR="00C92512" w:rsidRPr="0088719C">
        <w:rPr>
          <w:rFonts w:ascii="Times New Roman" w:hAnsi="Times New Roman" w:cs="Times New Roman"/>
          <w:sz w:val="24"/>
          <w:szCs w:val="24"/>
        </w:rPr>
        <w:t>Svarīgi piebilst, ka lielākā daļa intervēto būvniecības ekspertu norāda uz augstu prognožu ticamību tuvāko 12 mēnešu prognozēm, bet, ņemot vērā pašreizējo augsto ekonomikas nenoteiktību, 2-4 gadu prognozes var būt nozīmīgi neprecīzākas.</w:t>
      </w:r>
    </w:p>
    <w:p w14:paraId="39CE0A9C" w14:textId="3079DB50" w:rsidR="001426BE" w:rsidRPr="00AC3AFD" w:rsidRDefault="001426BE" w:rsidP="002219B5">
      <w:pPr>
        <w:pStyle w:val="ListParagraph"/>
        <w:ind w:left="0" w:firstLine="0"/>
        <w:rPr>
          <w:rFonts w:ascii="Times New Roman" w:hAnsi="Times New Roman" w:cs="Times New Roman"/>
          <w:b/>
          <w:bCs/>
          <w:color w:val="009999"/>
          <w:sz w:val="24"/>
          <w:szCs w:val="24"/>
        </w:rPr>
      </w:pPr>
    </w:p>
    <w:p w14:paraId="4DDF6155" w14:textId="3F5F7877" w:rsidR="001426BE" w:rsidRDefault="00AC3AFD" w:rsidP="002801D0">
      <w:pPr>
        <w:pStyle w:val="Heading2"/>
        <w:numPr>
          <w:ilvl w:val="1"/>
          <w:numId w:val="40"/>
        </w:numPr>
        <w:rPr>
          <w:b/>
          <w:bCs/>
          <w:color w:val="009999"/>
        </w:rPr>
      </w:pPr>
      <w:bookmarkStart w:id="6" w:name="_Toc80109860"/>
      <w:r>
        <w:rPr>
          <w:b/>
          <w:bCs/>
          <w:color w:val="009999"/>
        </w:rPr>
        <w:t>Prognozētās būvniecības apjoma un izmaksu izmaiņas</w:t>
      </w:r>
      <w:bookmarkEnd w:id="6"/>
      <w:r>
        <w:rPr>
          <w:b/>
          <w:bCs/>
          <w:color w:val="009999"/>
        </w:rPr>
        <w:t xml:space="preserve"> </w:t>
      </w:r>
    </w:p>
    <w:p w14:paraId="149B956C" w14:textId="1338B461" w:rsidR="00AC3AFD" w:rsidRPr="00AC3AFD" w:rsidRDefault="00AC3AFD" w:rsidP="00E06045">
      <w:pPr>
        <w:pStyle w:val="Heading4"/>
        <w:ind w:firstLine="0"/>
        <w:rPr>
          <w:color w:val="009999"/>
        </w:rPr>
      </w:pPr>
      <w:r>
        <w:rPr>
          <w:color w:val="009999"/>
        </w:rPr>
        <w:t>Būvniecības a</w:t>
      </w:r>
      <w:r w:rsidRPr="00AC3AFD">
        <w:rPr>
          <w:color w:val="009999"/>
        </w:rPr>
        <w:t>pjomi</w:t>
      </w:r>
    </w:p>
    <w:p w14:paraId="3F3C9713" w14:textId="44895DD6"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 xml:space="preserve">Dzīvojamo </w:t>
      </w:r>
      <w:r w:rsidR="00AC3AFD">
        <w:rPr>
          <w:rFonts w:ascii="Times New Roman" w:hAnsi="Times New Roman" w:cs="Times New Roman"/>
          <w:b/>
          <w:bCs/>
          <w:sz w:val="24"/>
          <w:szCs w:val="24"/>
        </w:rPr>
        <w:t xml:space="preserve">un nedzīvojamo </w:t>
      </w:r>
      <w:r w:rsidR="00AC3AFD" w:rsidRPr="00AC3AFD">
        <w:rPr>
          <w:rFonts w:ascii="Times New Roman" w:hAnsi="Times New Roman" w:cs="Times New Roman"/>
          <w:b/>
          <w:bCs/>
          <w:sz w:val="24"/>
          <w:szCs w:val="24"/>
        </w:rPr>
        <w:t xml:space="preserve">ēku </w:t>
      </w:r>
      <w:r w:rsidRPr="00AC3AFD">
        <w:rPr>
          <w:rFonts w:ascii="Times New Roman" w:hAnsi="Times New Roman" w:cs="Times New Roman"/>
          <w:b/>
          <w:bCs/>
          <w:sz w:val="24"/>
          <w:szCs w:val="24"/>
        </w:rPr>
        <w:t>būvniecībā</w:t>
      </w:r>
      <w:r w:rsidRPr="00AC3AFD">
        <w:rPr>
          <w:rFonts w:ascii="Times New Roman" w:hAnsi="Times New Roman" w:cs="Times New Roman"/>
          <w:sz w:val="24"/>
          <w:szCs w:val="24"/>
        </w:rPr>
        <w:t xml:space="preserve"> sagaidāma straujāka apjoma izaugsme nekā nedzīvojamo ēku segmentā. Ēku būvniecības apjoma pieauguma prognoze 2021. gadā ir 5,9% un 2022. gadā 6,0%. Periodā 2023.-2025. gadam izaugsme varētu kļūt straujāka un būt vidēji 8,2%.</w:t>
      </w:r>
      <w:r w:rsidR="00AC3AFD" w:rsidRPr="00AC3AFD">
        <w:rPr>
          <w:rFonts w:ascii="Times New Roman" w:hAnsi="Times New Roman" w:cs="Times New Roman"/>
          <w:sz w:val="24"/>
          <w:szCs w:val="24"/>
        </w:rPr>
        <w:t xml:space="preserve"> </w:t>
      </w:r>
      <w:r w:rsidRPr="00AC3AFD">
        <w:rPr>
          <w:rFonts w:ascii="Times New Roman" w:hAnsi="Times New Roman" w:cs="Times New Roman"/>
          <w:sz w:val="24"/>
          <w:szCs w:val="24"/>
        </w:rPr>
        <w:t>Ēku būvniecībā 2021. gadā tiek prognozēts izteikti straujš izmaksu pieaugums par 11,6% - gandrīz divkārši augstāks par apjoma izaugsmi, kam prognozēts pieaugums arī turpmākajos gados, veidojot vidēji 6,1% pieaugumu gadā līdz 2025. gadam.</w:t>
      </w:r>
    </w:p>
    <w:p w14:paraId="514D8D10" w14:textId="66D12B34"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Transporta objektu būvniecības</w:t>
      </w:r>
      <w:r w:rsidRPr="00AC3AFD">
        <w:rPr>
          <w:rFonts w:ascii="Times New Roman" w:hAnsi="Times New Roman" w:cs="Times New Roman"/>
          <w:sz w:val="24"/>
          <w:szCs w:val="24"/>
        </w:rPr>
        <w:t xml:space="preserve"> nozare īstermiņā saskarsies ar nestabilām tendencēm. Ekspertiem nav relatīva skaidrība un vienprātība par sagaidāmo finansējumu 2022. gadā. Transporta nozares attīstība saistāma ar būtisku pašvaldības, valsts un E</w:t>
      </w:r>
      <w:r w:rsidR="009C0FBA">
        <w:rPr>
          <w:rFonts w:ascii="Times New Roman" w:hAnsi="Times New Roman" w:cs="Times New Roman"/>
          <w:sz w:val="24"/>
          <w:szCs w:val="24"/>
        </w:rPr>
        <w:t>S</w:t>
      </w:r>
      <w:r w:rsidRPr="00AC3AFD">
        <w:rPr>
          <w:rFonts w:ascii="Times New Roman" w:hAnsi="Times New Roman" w:cs="Times New Roman"/>
          <w:sz w:val="24"/>
          <w:szCs w:val="24"/>
        </w:rPr>
        <w:t xml:space="preserve"> projektu realizāciju. 2021. gadā gan pēc ekspertu prognozēm, gan kombinētām prognozēm visās transporta objektu būvniecības apakšnozarēs sagaidāms pieaugums. Tomēr 2022. gadā </w:t>
      </w:r>
      <w:r w:rsidR="009C0FBA" w:rsidRPr="00AC3AFD">
        <w:rPr>
          <w:rFonts w:ascii="Times New Roman" w:hAnsi="Times New Roman" w:cs="Times New Roman"/>
          <w:sz w:val="24"/>
          <w:szCs w:val="24"/>
        </w:rPr>
        <w:t xml:space="preserve">ceļu un maģistrāļu būvniecībā un tiltu un tuneļu būvniecībā </w:t>
      </w:r>
      <w:r w:rsidRPr="00AC3AFD">
        <w:rPr>
          <w:rFonts w:ascii="Times New Roman" w:hAnsi="Times New Roman" w:cs="Times New Roman"/>
          <w:sz w:val="24"/>
          <w:szCs w:val="24"/>
        </w:rPr>
        <w:t>prognozēts kritums. Tas skaidrots ar struktūrfondu līdzekļu fluktuācijām</w:t>
      </w:r>
      <w:r w:rsidR="009C0FBA">
        <w:rPr>
          <w:rFonts w:ascii="Times New Roman" w:hAnsi="Times New Roman" w:cs="Times New Roman"/>
          <w:sz w:val="24"/>
          <w:szCs w:val="24"/>
        </w:rPr>
        <w:t>, kas</w:t>
      </w:r>
      <w:r w:rsidRPr="00AC3AFD">
        <w:rPr>
          <w:rFonts w:ascii="Times New Roman" w:hAnsi="Times New Roman" w:cs="Times New Roman"/>
          <w:sz w:val="24"/>
          <w:szCs w:val="24"/>
        </w:rPr>
        <w:t xml:space="preserve"> </w:t>
      </w:r>
      <w:r w:rsidR="009C0FBA" w:rsidRPr="00AC3AFD">
        <w:rPr>
          <w:rFonts w:ascii="Times New Roman" w:hAnsi="Times New Roman" w:cs="Times New Roman"/>
          <w:sz w:val="24"/>
          <w:szCs w:val="24"/>
        </w:rPr>
        <w:t>ietekm</w:t>
      </w:r>
      <w:r w:rsidR="009C0FBA">
        <w:rPr>
          <w:rFonts w:ascii="Times New Roman" w:hAnsi="Times New Roman" w:cs="Times New Roman"/>
          <w:sz w:val="24"/>
          <w:szCs w:val="24"/>
        </w:rPr>
        <w:t xml:space="preserve">ē </w:t>
      </w:r>
      <w:r w:rsidRPr="00AC3AFD">
        <w:rPr>
          <w:rFonts w:ascii="Times New Roman" w:hAnsi="Times New Roman" w:cs="Times New Roman"/>
          <w:sz w:val="24"/>
          <w:szCs w:val="24"/>
        </w:rPr>
        <w:t>ekspertu viedokļ</w:t>
      </w:r>
      <w:r w:rsidR="009C0FBA">
        <w:rPr>
          <w:rFonts w:ascii="Times New Roman" w:hAnsi="Times New Roman" w:cs="Times New Roman"/>
          <w:sz w:val="24"/>
          <w:szCs w:val="24"/>
        </w:rPr>
        <w:t>us</w:t>
      </w:r>
      <w:r w:rsidRPr="00AC3AFD">
        <w:rPr>
          <w:rFonts w:ascii="Times New Roman" w:hAnsi="Times New Roman" w:cs="Times New Roman"/>
          <w:sz w:val="24"/>
          <w:szCs w:val="24"/>
        </w:rPr>
        <w:t>. Laika periodā no 2023.-2025. gadam ceļu un maģistrāļu būvniecības tendences tiek novērtētas kā mērenas izaugsmes periods ar niecīgu tirgus apjoma pieaugumu. Tajā pašā laika dzelzceļu, tiltu un tuneļu būvniecībai tiek novērtēts straujš lēciens, kas saistāms ar būtiskiem “Rail Baltic” būvdarbiem. Ņemot vērā, ka šī apakšnozare ir ļoti cikliska, šiem lielajiem lēcieniem var sekot tikpat būtiski kritumi ilgtermiņā</w:t>
      </w:r>
      <w:r w:rsidR="009C0FBA">
        <w:rPr>
          <w:rFonts w:ascii="Times New Roman" w:hAnsi="Times New Roman" w:cs="Times New Roman"/>
          <w:sz w:val="24"/>
          <w:szCs w:val="24"/>
        </w:rPr>
        <w:t>.</w:t>
      </w:r>
      <w:r w:rsidRPr="00AC3AFD">
        <w:rPr>
          <w:rFonts w:ascii="Times New Roman" w:hAnsi="Times New Roman" w:cs="Times New Roman"/>
          <w:sz w:val="24"/>
          <w:szCs w:val="24"/>
        </w:rPr>
        <w:t xml:space="preserve"> </w:t>
      </w:r>
    </w:p>
    <w:p w14:paraId="5C125A92" w14:textId="77777777"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Pilsētsaimniecības infrastruktūras</w:t>
      </w:r>
      <w:r w:rsidRPr="00AC3AFD">
        <w:rPr>
          <w:rFonts w:ascii="Times New Roman" w:hAnsi="Times New Roman" w:cs="Times New Roman"/>
          <w:sz w:val="24"/>
          <w:szCs w:val="24"/>
        </w:rPr>
        <w:t xml:space="preserve"> apakšnozarē ekspertu skatījums uz tālāko attīstību ir samērā optimistisks ar strauju izaugsmi virs 10% gadā no 2022. līdz 2024. gadam. Koriģējot šo skatījumu ar statistiskajām prognozēm un tādējādi iegūstot kompleksās prognozes, tiek novērtēts, ka īstermiņā šajā apakšnozarē būtu mērena izaugsme zem 10% robežas, kas laikā no 2022. gada kļūs arvien mērenāka un vidējā termiņā būs vien daži procenti gadā. </w:t>
      </w:r>
    </w:p>
    <w:p w14:paraId="54E060CB" w14:textId="10C6AE51"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Arhitektūras un inženiertehnisko pakalpojumu,</w:t>
      </w:r>
      <w:r w:rsidRPr="00AC3AFD">
        <w:rPr>
          <w:rFonts w:ascii="Times New Roman" w:hAnsi="Times New Roman" w:cs="Times New Roman"/>
          <w:sz w:val="24"/>
          <w:szCs w:val="24"/>
        </w:rPr>
        <w:t xml:space="preserve"> tehniskās pārbaudes un analīzes apakšnozarei  laika periodā no 2021. līdz 2024. gadam tiek prognozēta arvien straujāka nozares izaugsme no 6,4% 2021. gadā līdz par 17,9% pret iepriekšējo gadu 2024. gadā</w:t>
      </w:r>
      <w:r w:rsidR="009C0FBA">
        <w:rPr>
          <w:rFonts w:ascii="Times New Roman" w:hAnsi="Times New Roman" w:cs="Times New Roman"/>
          <w:sz w:val="24"/>
          <w:szCs w:val="24"/>
        </w:rPr>
        <w:t xml:space="preserve">, </w:t>
      </w:r>
      <w:r w:rsidRPr="00AC3AFD">
        <w:rPr>
          <w:rFonts w:ascii="Times New Roman" w:hAnsi="Times New Roman" w:cs="Times New Roman"/>
          <w:sz w:val="24"/>
          <w:szCs w:val="24"/>
        </w:rPr>
        <w:t xml:space="preserve"> izmaksas 2021. un </w:t>
      </w:r>
      <w:r w:rsidRPr="00AC3AFD">
        <w:rPr>
          <w:rFonts w:ascii="Times New Roman" w:hAnsi="Times New Roman" w:cs="Times New Roman"/>
          <w:sz w:val="24"/>
          <w:szCs w:val="24"/>
        </w:rPr>
        <w:lastRenderedPageBreak/>
        <w:t>2022. gadā varētu būtiski pieaug par attiecīgi 13,6% un 15,7%, tomēr vidējā termiņā izmaksu pieaugums novērtēts zemāks vidēji 2023.-2025. gadā kā 5,2% gadā.</w:t>
      </w:r>
    </w:p>
    <w:p w14:paraId="03BABD84" w14:textId="7CBD1DDB" w:rsidR="00AC3AFD" w:rsidRDefault="00AC3AFD" w:rsidP="00AC3AFD">
      <w:pPr>
        <w:ind w:firstLine="0"/>
        <w:rPr>
          <w:rFonts w:ascii="Times New Roman" w:hAnsi="Times New Roman" w:cs="Times New Roman"/>
          <w:sz w:val="24"/>
          <w:szCs w:val="24"/>
        </w:rPr>
      </w:pPr>
    </w:p>
    <w:p w14:paraId="7E2F5C42" w14:textId="51FA44BC" w:rsidR="00AC3AFD" w:rsidRPr="00AC3AFD" w:rsidRDefault="00AC3AFD" w:rsidP="00E06045">
      <w:pPr>
        <w:pStyle w:val="Heading4"/>
        <w:ind w:firstLine="0"/>
        <w:rPr>
          <w:color w:val="009999"/>
        </w:rPr>
      </w:pPr>
      <w:r w:rsidRPr="00AC3AFD">
        <w:rPr>
          <w:color w:val="009999"/>
        </w:rPr>
        <w:t>Būvn</w:t>
      </w:r>
      <w:r>
        <w:rPr>
          <w:color w:val="009999"/>
        </w:rPr>
        <w:t>iecības izmaksas</w:t>
      </w:r>
    </w:p>
    <w:p w14:paraId="121CD5F1" w14:textId="77777777"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Dzīvojamo un nedzīvojamo ēku būvniecībā</w:t>
      </w:r>
      <w:r w:rsidRPr="00AC3AFD">
        <w:rPr>
          <w:rFonts w:ascii="Times New Roman" w:hAnsi="Times New Roman" w:cs="Times New Roman"/>
          <w:sz w:val="24"/>
          <w:szCs w:val="24"/>
        </w:rPr>
        <w:t xml:space="preserve"> 2021. gadā jārēķinās ar būtiskāko būvmateriālu izmaksu pieaugumu 14,7-14,8% apmērā, savukārt darba samaksas pieaugums novērtēts kā 6,9-7,0%.</w:t>
      </w:r>
    </w:p>
    <w:p w14:paraId="2A20EC48" w14:textId="77777777" w:rsidR="001426BE" w:rsidRPr="00AC3AFD" w:rsidRDefault="001426BE" w:rsidP="0088719C">
      <w:pPr>
        <w:rPr>
          <w:rFonts w:ascii="Times New Roman" w:hAnsi="Times New Roman" w:cs="Times New Roman"/>
          <w:sz w:val="24"/>
          <w:szCs w:val="24"/>
        </w:rPr>
      </w:pPr>
      <w:r w:rsidRPr="00AC3AFD">
        <w:rPr>
          <w:rFonts w:ascii="Times New Roman" w:hAnsi="Times New Roman" w:cs="Times New Roman"/>
          <w:b/>
          <w:bCs/>
          <w:sz w:val="24"/>
          <w:szCs w:val="24"/>
        </w:rPr>
        <w:t>Transporta objektu būvniecībā</w:t>
      </w:r>
      <w:r w:rsidRPr="00AC3AFD">
        <w:rPr>
          <w:rFonts w:ascii="Times New Roman" w:hAnsi="Times New Roman" w:cs="Times New Roman"/>
          <w:sz w:val="24"/>
          <w:szCs w:val="24"/>
        </w:rPr>
        <w:t xml:space="preserve"> būtisks izmaksu pieaugums 2021. gadā prognozēts gan būvmateriāliem (10,0%), gan mašīnu un mehānismu uzturēšanai un ekspluatācijai (10,0%), savukārt darba samaksas pieaugums novērtēts 8,0% apjomā, kam tuvu seko arhitektūras un citi pakalpojumi ar 7,8% pieaugumu. Šai nozarei raksturīgas specifiskas prognozes, ka tieši pakalpojumu izmaksas vienīgās pieaugs arvien straujāk un 2023.-2025. gadā vidēji varētu pieaugt par 9,6%.</w:t>
      </w:r>
    </w:p>
    <w:p w14:paraId="69DA1946" w14:textId="77777777" w:rsidR="001426BE" w:rsidRPr="00312B08" w:rsidRDefault="001426BE" w:rsidP="0088719C">
      <w:pPr>
        <w:rPr>
          <w:rFonts w:ascii="Times New Roman" w:hAnsi="Times New Roman" w:cs="Times New Roman"/>
          <w:sz w:val="24"/>
          <w:szCs w:val="24"/>
        </w:rPr>
      </w:pPr>
      <w:r w:rsidRPr="00312B08">
        <w:rPr>
          <w:rFonts w:ascii="Times New Roman" w:hAnsi="Times New Roman" w:cs="Times New Roman"/>
          <w:b/>
          <w:bCs/>
          <w:sz w:val="24"/>
          <w:szCs w:val="24"/>
        </w:rPr>
        <w:t>Pilsētsaimniecības infrastruktūras objektu būvniecībā</w:t>
      </w:r>
      <w:r w:rsidRPr="00312B08">
        <w:rPr>
          <w:rFonts w:ascii="Times New Roman" w:hAnsi="Times New Roman" w:cs="Times New Roman"/>
          <w:sz w:val="24"/>
          <w:szCs w:val="24"/>
        </w:rPr>
        <w:t xml:space="preserve"> lielākais pieaugums prognozēts arī būvmateriāliem ar 15,3% pieaugumu 2021. gadā, pārējiem resursu veidiem pieaugot relatīvi mazāk – strādnieku darba samaksai par 7,6%, mašīnu un mehānismu izdevumiem par 6,6% un pakalpojumu izdevumiem par 7,7%.</w:t>
      </w:r>
    </w:p>
    <w:p w14:paraId="34927DAF" w14:textId="77777777" w:rsidR="001426BE" w:rsidRPr="00312B08" w:rsidRDefault="001426BE" w:rsidP="0088719C">
      <w:pPr>
        <w:rPr>
          <w:rFonts w:ascii="Times New Roman" w:hAnsi="Times New Roman" w:cs="Times New Roman"/>
          <w:sz w:val="24"/>
          <w:szCs w:val="24"/>
        </w:rPr>
      </w:pPr>
      <w:r w:rsidRPr="00312B08">
        <w:rPr>
          <w:rFonts w:ascii="Times New Roman" w:hAnsi="Times New Roman" w:cs="Times New Roman"/>
          <w:b/>
          <w:bCs/>
          <w:sz w:val="24"/>
          <w:szCs w:val="24"/>
        </w:rPr>
        <w:t>Specializēto būvdarbu apakšnozarē</w:t>
      </w:r>
      <w:r w:rsidRPr="00312B08">
        <w:rPr>
          <w:rFonts w:ascii="Times New Roman" w:hAnsi="Times New Roman" w:cs="Times New Roman"/>
          <w:sz w:val="24"/>
          <w:szCs w:val="24"/>
        </w:rPr>
        <w:t xml:space="preserve"> būvmateriālu izmaksu pieaugums 2021. gadā prognozēts 15,8% apmērā, kamēr darba samaksa izmaksu pieaugums novērtēts kā mazākais no resursu veidiem – 5,1%, tomēr joprojām vērtējams augstu.</w:t>
      </w:r>
    </w:p>
    <w:p w14:paraId="1D59D057" w14:textId="77777777" w:rsidR="00312B08" w:rsidRDefault="00312B08" w:rsidP="00312B08">
      <w:pPr>
        <w:ind w:firstLine="0"/>
        <w:rPr>
          <w:rFonts w:ascii="Times New Roman" w:hAnsi="Times New Roman" w:cs="Times New Roman"/>
          <w:b/>
          <w:bCs/>
          <w:sz w:val="24"/>
          <w:szCs w:val="24"/>
        </w:rPr>
      </w:pPr>
    </w:p>
    <w:p w14:paraId="199A5ADF" w14:textId="77777777" w:rsidR="00312B08" w:rsidRPr="00AC3AFD" w:rsidRDefault="00312B08" w:rsidP="00E06045">
      <w:pPr>
        <w:pStyle w:val="Heading4"/>
        <w:ind w:firstLine="0"/>
        <w:rPr>
          <w:color w:val="009999"/>
        </w:rPr>
      </w:pPr>
      <w:r w:rsidRPr="00AC3AFD">
        <w:rPr>
          <w:color w:val="009999"/>
        </w:rPr>
        <w:t>Resursu izmaksas</w:t>
      </w:r>
    </w:p>
    <w:p w14:paraId="519CD881" w14:textId="77777777" w:rsidR="00312B08" w:rsidRPr="00AC3AFD" w:rsidRDefault="00312B08" w:rsidP="0088719C">
      <w:pPr>
        <w:rPr>
          <w:rFonts w:ascii="Times New Roman" w:hAnsi="Times New Roman" w:cs="Times New Roman"/>
          <w:b/>
          <w:bCs/>
          <w:sz w:val="24"/>
          <w:szCs w:val="24"/>
        </w:rPr>
      </w:pPr>
      <w:r w:rsidRPr="009C0FBA">
        <w:rPr>
          <w:rFonts w:ascii="Times New Roman" w:hAnsi="Times New Roman" w:cs="Times New Roman"/>
          <w:sz w:val="24"/>
          <w:szCs w:val="24"/>
        </w:rPr>
        <w:t>Būvniecības resursu jomā,</w:t>
      </w:r>
      <w:r w:rsidRPr="00AC3AFD">
        <w:rPr>
          <w:rFonts w:ascii="Times New Roman" w:hAnsi="Times New Roman" w:cs="Times New Roman"/>
          <w:b/>
          <w:bCs/>
          <w:sz w:val="24"/>
          <w:szCs w:val="24"/>
        </w:rPr>
        <w:t xml:space="preserve"> </w:t>
      </w:r>
      <w:r w:rsidRPr="00AC3AFD">
        <w:rPr>
          <w:rFonts w:ascii="Times New Roman" w:hAnsi="Times New Roman" w:cs="Times New Roman"/>
          <w:sz w:val="24"/>
          <w:szCs w:val="24"/>
        </w:rPr>
        <w:t>būtiskais izmaksu pieaugums 2021. gadā sagaidāms būvmateriāliem, kas gada griezumā tiek novērtēts 7,1% apmērā, 2022. gadā pieaugums tiek prognozēts 4,5%, bet turpmākos gadus līdz 2025. gadam vidēji par 3,1% gadā.</w:t>
      </w:r>
    </w:p>
    <w:p w14:paraId="092AAF3F" w14:textId="77777777" w:rsidR="00312B08" w:rsidRPr="00AC3AFD" w:rsidRDefault="00312B08" w:rsidP="0088719C">
      <w:pPr>
        <w:rPr>
          <w:rFonts w:ascii="Times New Roman" w:hAnsi="Times New Roman" w:cs="Times New Roman"/>
          <w:sz w:val="24"/>
          <w:szCs w:val="24"/>
        </w:rPr>
      </w:pPr>
      <w:r w:rsidRPr="00AC3AFD">
        <w:rPr>
          <w:rFonts w:ascii="Times New Roman" w:hAnsi="Times New Roman" w:cs="Times New Roman"/>
          <w:b/>
          <w:bCs/>
          <w:sz w:val="24"/>
          <w:szCs w:val="24"/>
        </w:rPr>
        <w:t>Strādnieku darba samaksai</w:t>
      </w:r>
      <w:r w:rsidRPr="00AC3AFD">
        <w:rPr>
          <w:rFonts w:ascii="Times New Roman" w:hAnsi="Times New Roman" w:cs="Times New Roman"/>
          <w:sz w:val="24"/>
          <w:szCs w:val="24"/>
        </w:rPr>
        <w:t xml:space="preserve"> prognozēts vienmērīgs pieaugums līdzvērtīgs iepriekšējai piecgadei 2021. gadā pieaugot par 7,1%, bet 2022. gadā par 7,4% . Turpmākajos gados pieaugums varētu samazināties un novērtēts kā vidēji 6,5% gadā.</w:t>
      </w:r>
    </w:p>
    <w:p w14:paraId="4591CA52" w14:textId="77777777" w:rsidR="00312B08" w:rsidRDefault="00312B08" w:rsidP="0088719C">
      <w:pPr>
        <w:rPr>
          <w:rFonts w:ascii="Times New Roman" w:hAnsi="Times New Roman" w:cs="Times New Roman"/>
          <w:sz w:val="24"/>
          <w:szCs w:val="24"/>
        </w:rPr>
      </w:pPr>
      <w:r w:rsidRPr="00AC3AFD">
        <w:rPr>
          <w:rFonts w:ascii="Times New Roman" w:hAnsi="Times New Roman" w:cs="Times New Roman"/>
          <w:b/>
          <w:bCs/>
          <w:sz w:val="24"/>
          <w:szCs w:val="24"/>
        </w:rPr>
        <w:t>Mašīnu un mehānismu izmaksām</w:t>
      </w:r>
      <w:r w:rsidRPr="00AC3AFD">
        <w:rPr>
          <w:rFonts w:ascii="Times New Roman" w:hAnsi="Times New Roman" w:cs="Times New Roman"/>
          <w:sz w:val="24"/>
          <w:szCs w:val="24"/>
        </w:rPr>
        <w:t xml:space="preserve"> prognozēts samērā nebūtisks pieaugums 1,3% 2021. gadā un 1,1% 2022. gadā. Tālākā periodā pieaugums tiek novērtēts kā vēl zemāks un varētu sasniegt 0,2% pieaugumu 2025. gadā.</w:t>
      </w:r>
    </w:p>
    <w:p w14:paraId="1331216F" w14:textId="7FFA4A39" w:rsidR="00312B08" w:rsidRPr="00312B08" w:rsidRDefault="00312B08" w:rsidP="0088719C">
      <w:pPr>
        <w:rPr>
          <w:rFonts w:ascii="Times New Roman" w:hAnsi="Times New Roman" w:cs="Times New Roman"/>
          <w:b/>
          <w:bCs/>
          <w:sz w:val="24"/>
          <w:szCs w:val="24"/>
        </w:rPr>
      </w:pPr>
      <w:r w:rsidRPr="00312B08">
        <w:rPr>
          <w:rFonts w:ascii="Times New Roman" w:hAnsi="Times New Roman" w:cs="Times New Roman"/>
          <w:b/>
          <w:bCs/>
          <w:sz w:val="24"/>
          <w:szCs w:val="24"/>
        </w:rPr>
        <w:t>Būvizstrādājumos</w:t>
      </w:r>
      <w:r w:rsidRPr="00312B08">
        <w:rPr>
          <w:rFonts w:ascii="Times New Roman" w:hAnsi="Times New Roman" w:cs="Times New Roman"/>
          <w:sz w:val="24"/>
          <w:szCs w:val="24"/>
        </w:rPr>
        <w:t xml:space="preserve"> būtiskākais izmaksu pieaugums 2021. gadā tiek prognozēts kokmateriāliem 30,0% apmērā, kas laika periodā no 2022.-2025. gadam varētu sasniegt vidēji 5,3% pieaugumu gadā. Otrs būtiskākais izmaksu pieaugums 2021. gadā prognozēts metālizstrādājumiem 24,3% apmērā, kas turpmākos četrus gadus vidēji novērtēts kā 6,7% ikgadējs pieaugums.</w:t>
      </w:r>
      <w:r w:rsidRPr="00312B08">
        <w:rPr>
          <w:rFonts w:ascii="Times New Roman" w:hAnsi="Times New Roman" w:cs="Times New Roman"/>
          <w:b/>
          <w:bCs/>
          <w:sz w:val="24"/>
          <w:szCs w:val="24"/>
        </w:rPr>
        <w:t xml:space="preserve"> </w:t>
      </w:r>
      <w:r w:rsidRPr="00312B08">
        <w:rPr>
          <w:rFonts w:ascii="Times New Roman" w:hAnsi="Times New Roman" w:cs="Times New Roman"/>
          <w:sz w:val="24"/>
          <w:szCs w:val="24"/>
        </w:rPr>
        <w:t xml:space="preserve">Apdares materiālu kategorijā (ārējā, iekšējā apdare un cita) būtiskākais izmaksu pieaugums 2021. gadā prognozēts iekšējās apdares materiāliem vidēji 11,0%, ar ikgadēju pieaugumu 6,3% nākamajos četros </w:t>
      </w:r>
      <w:r w:rsidRPr="00312B08">
        <w:rPr>
          <w:rFonts w:ascii="Times New Roman" w:hAnsi="Times New Roman" w:cs="Times New Roman"/>
          <w:sz w:val="24"/>
          <w:szCs w:val="24"/>
        </w:rPr>
        <w:lastRenderedPageBreak/>
        <w:t>gados.</w:t>
      </w:r>
      <w:r w:rsidR="005E76C7">
        <w:rPr>
          <w:rFonts w:ascii="Times New Roman" w:hAnsi="Times New Roman" w:cs="Times New Roman"/>
          <w:sz w:val="24"/>
          <w:szCs w:val="24"/>
        </w:rPr>
        <w:t xml:space="preserve"> </w:t>
      </w:r>
      <w:r w:rsidRPr="00312B08">
        <w:rPr>
          <w:rFonts w:ascii="Times New Roman" w:hAnsi="Times New Roman" w:cs="Times New Roman"/>
          <w:sz w:val="24"/>
          <w:szCs w:val="24"/>
        </w:rPr>
        <w:t>Galveno sistēmu iekārtu kategorijā būtiskākais izmaksu pieaugums 2021. gadā tiek prognozēts elektroenerģijas sistēmām 16,0% apmērā, kas no 2021. gada varētu būtiski stabilizēties un līdz 2025. gadam vidēji augt par 3,3% gadā.  Pārējās pozīcijās (automatizācijas, ugunsdzēsības, drošības, santehnikas, apkures, dzesēšanas un apgaismojuma sistēmas, lifti un eskalatori),  izmaksu pieaugumi gaidāmi zem 8% robežas gadā.</w:t>
      </w:r>
    </w:p>
    <w:p w14:paraId="487AB073" w14:textId="2C165E78" w:rsidR="00312B08" w:rsidRPr="00312B08" w:rsidRDefault="00312B08" w:rsidP="0088719C">
      <w:pPr>
        <w:rPr>
          <w:rFonts w:ascii="Times New Roman" w:hAnsi="Times New Roman" w:cs="Times New Roman"/>
          <w:sz w:val="24"/>
          <w:szCs w:val="24"/>
        </w:rPr>
      </w:pPr>
      <w:r w:rsidRPr="00312B08">
        <w:rPr>
          <w:rFonts w:ascii="Times New Roman" w:hAnsi="Times New Roman" w:cs="Times New Roman"/>
          <w:sz w:val="24"/>
          <w:szCs w:val="24"/>
        </w:rPr>
        <w:t xml:space="preserve">Pēc būvizstrādājumu tirdzniecības ekspertu novērtējuma lielākais apjoma pielietojums (īpatsvars) būvniecībā Latvijā ir cementam, betonam, pildvielām, smiltīm, grantij un citiem materiāliem – kopā grupai veidojot 21% patēriņa apmēru, kam seko metālizstrādājumi 17,3% apjomā un apdares materiāli 16% apjomā. </w:t>
      </w:r>
    </w:p>
    <w:p w14:paraId="4E6BE3CC" w14:textId="77777777" w:rsidR="00FC0446" w:rsidRPr="00710304" w:rsidRDefault="00FC0446" w:rsidP="000F4621">
      <w:pPr>
        <w:ind w:firstLine="0"/>
        <w:rPr>
          <w:rFonts w:ascii="Times New Roman" w:hAnsi="Times New Roman" w:cs="Times New Roman"/>
          <w:b/>
          <w:bCs/>
          <w:sz w:val="24"/>
          <w:szCs w:val="24"/>
        </w:rPr>
      </w:pPr>
    </w:p>
    <w:p w14:paraId="7A2B759A" w14:textId="6D8394D0" w:rsidR="003C1627" w:rsidRPr="00FB7A50" w:rsidRDefault="003C1627" w:rsidP="0088719C">
      <w:pPr>
        <w:pStyle w:val="Heading2"/>
        <w:numPr>
          <w:ilvl w:val="1"/>
          <w:numId w:val="40"/>
        </w:numPr>
        <w:rPr>
          <w:b/>
          <w:bCs/>
          <w:color w:val="009999"/>
        </w:rPr>
      </w:pPr>
      <w:bookmarkStart w:id="7" w:name="_Toc80109861"/>
      <w:r w:rsidRPr="00FB7A50">
        <w:rPr>
          <w:b/>
          <w:bCs/>
          <w:color w:val="009999"/>
        </w:rPr>
        <w:t>Iespējamie riski</w:t>
      </w:r>
      <w:bookmarkEnd w:id="7"/>
      <w:r w:rsidRPr="00FB7A50">
        <w:rPr>
          <w:b/>
          <w:bCs/>
          <w:color w:val="009999"/>
        </w:rPr>
        <w:t xml:space="preserve"> </w:t>
      </w:r>
    </w:p>
    <w:p w14:paraId="5B25E018" w14:textId="426A77D7" w:rsidR="00384DC7" w:rsidRPr="00536308" w:rsidRDefault="00384DC7" w:rsidP="0088719C">
      <w:pPr>
        <w:rPr>
          <w:rFonts w:ascii="Times New Roman" w:hAnsi="Times New Roman" w:cs="Times New Roman"/>
          <w:sz w:val="24"/>
          <w:szCs w:val="24"/>
        </w:rPr>
      </w:pPr>
      <w:r w:rsidRPr="00536308">
        <w:rPr>
          <w:rFonts w:ascii="Times New Roman" w:hAnsi="Times New Roman" w:cs="Times New Roman"/>
          <w:sz w:val="24"/>
          <w:szCs w:val="24"/>
        </w:rPr>
        <w:t xml:space="preserve">Aktuāls jautājums ir būvniecības nozares pārkaršanas iespējamība aplūkotajā laika periodā. Pētījuma ietvaros, veicot retrospekciju par būvniecības produkcijas apjomu izmaiņām un būvniecības izmaksu izmaiņām, tika aplūkotas tendences būvniecības nozares burbulī un tirgus pārkaršanā 2007.-2008. gadā, pēc kuras sekoja ekonomiskā lejupslīde un krīze ne tikai būvniecības nozarē, bet visā Latvijas tautsaimniecībā. Atšķirībā no iepriekšējās lejupslīdes, šoreiz tautsaimniecību negatīvi ietekmēja globālā pandēmija un ar tās apkarošanu saistīto pasākumu izraisītās sekas. Arī tuvojoties pandēmijas noslēgumam parādās jauni riski, kas izpaužas kā pārlieku intensīvi ekonomikas atveseļošanas pasākumi, kas var izraisīt pārāk augstu inflāciju. Līdz ar to ir svarīgi novērot, vai nepastāv līdzīgas tendences. </w:t>
      </w:r>
    </w:p>
    <w:p w14:paraId="46ED6210" w14:textId="03E182A7" w:rsidR="00C856E6" w:rsidRDefault="00562372" w:rsidP="0088719C">
      <w:pPr>
        <w:pStyle w:val="Default"/>
        <w:shd w:val="clear" w:color="auto" w:fill="FFFFFF" w:themeFill="background1"/>
        <w:spacing w:line="360" w:lineRule="auto"/>
        <w:ind w:firstLine="720"/>
        <w:jc w:val="both"/>
        <w:rPr>
          <w:rFonts w:ascii="Times New Roman" w:hAnsi="Times New Roman" w:cs="Times New Roman"/>
          <w:b/>
        </w:rPr>
      </w:pPr>
      <w:r w:rsidRPr="00A57667">
        <w:rPr>
          <w:rFonts w:ascii="Times New Roman" w:hAnsi="Times New Roman" w:cs="Times New Roman"/>
          <w:bCs/>
        </w:rPr>
        <w:t>Pētījuma autori, v</w:t>
      </w:r>
      <w:r w:rsidR="00F22E77" w:rsidRPr="00A57667">
        <w:rPr>
          <w:rFonts w:ascii="Times New Roman" w:hAnsi="Times New Roman" w:cs="Times New Roman"/>
          <w:bCs/>
        </w:rPr>
        <w:t xml:space="preserve">adoties pēc </w:t>
      </w:r>
      <w:r w:rsidR="00C25736" w:rsidRPr="00A57667">
        <w:rPr>
          <w:rFonts w:ascii="Times New Roman" w:hAnsi="Times New Roman" w:cs="Times New Roman"/>
        </w:rPr>
        <w:t xml:space="preserve">būvniecības jomas </w:t>
      </w:r>
      <w:r w:rsidR="00F22E77" w:rsidRPr="00A57667">
        <w:rPr>
          <w:rFonts w:ascii="Times New Roman" w:hAnsi="Times New Roman" w:cs="Times New Roman"/>
          <w:bCs/>
        </w:rPr>
        <w:t>ekspertu vidējām prognozēm</w:t>
      </w:r>
      <w:r w:rsidR="00BC6342">
        <w:rPr>
          <w:rFonts w:ascii="Times New Roman" w:hAnsi="Times New Roman" w:cs="Times New Roman"/>
          <w:bCs/>
        </w:rPr>
        <w:t xml:space="preserve"> </w:t>
      </w:r>
      <w:r w:rsidR="00F22E77" w:rsidRPr="00A57667">
        <w:rPr>
          <w:rFonts w:ascii="Times New Roman" w:hAnsi="Times New Roman" w:cs="Times New Roman"/>
          <w:bCs/>
        </w:rPr>
        <w:t xml:space="preserve">2020. un 2021.gadā būvniecības nozarē novēro </w:t>
      </w:r>
      <w:r w:rsidR="00673815" w:rsidRPr="00A57667">
        <w:rPr>
          <w:rFonts w:ascii="Times New Roman" w:hAnsi="Times New Roman" w:cs="Times New Roman"/>
          <w:bCs/>
        </w:rPr>
        <w:t>neraksturīg</w:t>
      </w:r>
      <w:r w:rsidRPr="00A57667">
        <w:rPr>
          <w:rFonts w:ascii="Times New Roman" w:hAnsi="Times New Roman" w:cs="Times New Roman"/>
          <w:bCs/>
        </w:rPr>
        <w:t>u</w:t>
      </w:r>
      <w:r w:rsidR="00673815" w:rsidRPr="00A57667">
        <w:rPr>
          <w:rFonts w:ascii="Times New Roman" w:hAnsi="Times New Roman" w:cs="Times New Roman"/>
          <w:bCs/>
        </w:rPr>
        <w:t xml:space="preserve"> izmaksu un produkcijas apjoma izmaiņu attiecīb</w:t>
      </w:r>
      <w:r w:rsidRPr="00A57667">
        <w:rPr>
          <w:rFonts w:ascii="Times New Roman" w:hAnsi="Times New Roman" w:cs="Times New Roman"/>
          <w:bCs/>
        </w:rPr>
        <w:t>u</w:t>
      </w:r>
      <w:r w:rsidR="00673815" w:rsidRPr="00A57667">
        <w:rPr>
          <w:rFonts w:ascii="Times New Roman" w:hAnsi="Times New Roman" w:cs="Times New Roman"/>
          <w:bCs/>
        </w:rPr>
        <w:t>, kur izmaksu pieaugums ir lielāks nekā produkcijas apjoms</w:t>
      </w:r>
      <w:r w:rsidR="00BC6342">
        <w:rPr>
          <w:rFonts w:ascii="Times New Roman" w:hAnsi="Times New Roman" w:cs="Times New Roman"/>
          <w:bCs/>
        </w:rPr>
        <w:t xml:space="preserve">, kas norāda uz </w:t>
      </w:r>
      <w:r w:rsidR="00673815" w:rsidRPr="00A57667">
        <w:rPr>
          <w:rFonts w:ascii="Times New Roman" w:hAnsi="Times New Roman" w:cs="Times New Roman"/>
          <w:bCs/>
        </w:rPr>
        <w:t xml:space="preserve">tirgus </w:t>
      </w:r>
      <w:r w:rsidR="00D7665A" w:rsidRPr="00A57667">
        <w:rPr>
          <w:rFonts w:ascii="Times New Roman" w:hAnsi="Times New Roman" w:cs="Times New Roman"/>
          <w:bCs/>
        </w:rPr>
        <w:t>nestabilitāt</w:t>
      </w:r>
      <w:r w:rsidR="00BC6342">
        <w:rPr>
          <w:rFonts w:ascii="Times New Roman" w:hAnsi="Times New Roman" w:cs="Times New Roman"/>
          <w:bCs/>
        </w:rPr>
        <w:t xml:space="preserve">i, </w:t>
      </w:r>
      <w:r w:rsidR="00673815" w:rsidRPr="00A57667">
        <w:rPr>
          <w:rFonts w:ascii="Times New Roman" w:hAnsi="Times New Roman" w:cs="Times New Roman"/>
          <w:bCs/>
        </w:rPr>
        <w:t xml:space="preserve">ja ekspertu prognozes piepildīsies. </w:t>
      </w:r>
      <w:r w:rsidR="00D25D93" w:rsidRPr="00A57667">
        <w:rPr>
          <w:rFonts w:ascii="Times New Roman" w:hAnsi="Times New Roman" w:cs="Times New Roman"/>
          <w:bCs/>
        </w:rPr>
        <w:t xml:space="preserve">Periodā no 2022. līdz 2024.gadam pēc ekspertu vidējām prognozēm var novērtēt, ka šis risks samazinās. </w:t>
      </w:r>
      <w:r w:rsidR="00E955F2" w:rsidRPr="0088719C">
        <w:rPr>
          <w:rFonts w:ascii="Times New Roman" w:hAnsi="Times New Roman" w:cs="Times New Roman"/>
          <w:bCs/>
        </w:rPr>
        <w:t xml:space="preserve">Pētnieki iesaka iespēju robežās neļaut būvniecības izmaksu izmaiņām pārsniegt būvniecības produkcijas apjomu vairāk </w:t>
      </w:r>
      <w:r w:rsidR="008D1BFF" w:rsidRPr="0088719C">
        <w:rPr>
          <w:rFonts w:ascii="Times New Roman" w:hAnsi="Times New Roman" w:cs="Times New Roman"/>
          <w:bCs/>
        </w:rPr>
        <w:t xml:space="preserve">kā </w:t>
      </w:r>
      <w:r w:rsidR="00E955F2" w:rsidRPr="0088719C">
        <w:rPr>
          <w:rFonts w:ascii="Times New Roman" w:hAnsi="Times New Roman" w:cs="Times New Roman"/>
          <w:bCs/>
        </w:rPr>
        <w:t>par 30%</w:t>
      </w:r>
      <w:r w:rsidR="00EE6462" w:rsidRPr="0088719C">
        <w:rPr>
          <w:rFonts w:ascii="Times New Roman" w:hAnsi="Times New Roman" w:cs="Times New Roman"/>
          <w:bCs/>
        </w:rPr>
        <w:t xml:space="preserve">. Būvniecības apjomam būtu vēlams augt ne straujāk kā </w:t>
      </w:r>
      <w:r w:rsidR="00F73737" w:rsidRPr="0088719C">
        <w:rPr>
          <w:rFonts w:ascii="Times New Roman" w:hAnsi="Times New Roman" w:cs="Times New Roman"/>
          <w:bCs/>
        </w:rPr>
        <w:t>0,1 miljards eiro faktiskajās cenās gadā</w:t>
      </w:r>
      <w:r w:rsidR="00384DC7" w:rsidRPr="0088719C">
        <w:rPr>
          <w:rFonts w:ascii="Times New Roman" w:hAnsi="Times New Roman" w:cs="Times New Roman"/>
          <w:bCs/>
        </w:rPr>
        <w:t>.</w:t>
      </w:r>
    </w:p>
    <w:p w14:paraId="054E24C3" w14:textId="77777777" w:rsidR="00AF4C4F" w:rsidRPr="00891DE2" w:rsidRDefault="00274DC6" w:rsidP="0088719C">
      <w:pPr>
        <w:rPr>
          <w:rFonts w:ascii="Times New Roman" w:hAnsi="Times New Roman" w:cs="Times New Roman"/>
          <w:sz w:val="24"/>
          <w:szCs w:val="24"/>
        </w:rPr>
      </w:pPr>
      <w:r w:rsidRPr="00891DE2">
        <w:rPr>
          <w:rFonts w:ascii="Times New Roman" w:hAnsi="Times New Roman" w:cs="Times New Roman"/>
          <w:sz w:val="24"/>
          <w:szCs w:val="24"/>
        </w:rPr>
        <w:t>Pēc Pētījumā apkopotās informācijas un dinamikas novērtējumiem no 2020. uz 2021. gadu pieaug būvniecības nozares pārkaršanas riski, tomēr šie riski ir būtiski mazāki nekā 2006.-2008. gadā. Ja 2021. gada beigās samazināsies būtiskie īslaicīgie kokmateriālu un metālizstrādājumu izmaksu lēcieni, tad dinamikā uz 2022. gadu tiek prognozēts būvniecības pārkaršanas riska samazinājums un līdzīga tendence turpināsies līdz 2025. gadam.</w:t>
      </w:r>
      <w:r w:rsidRPr="00891DE2">
        <w:rPr>
          <w:rStyle w:val="FootnoteReference"/>
          <w:rFonts w:ascii="Times New Roman" w:hAnsi="Times New Roman" w:cs="Times New Roman"/>
          <w:color w:val="FFFFFF" w:themeColor="background1"/>
          <w:sz w:val="24"/>
          <w:szCs w:val="24"/>
        </w:rPr>
        <w:footnoteReference w:id="1"/>
      </w:r>
    </w:p>
    <w:p w14:paraId="43E3F0C4" w14:textId="02D2F789" w:rsidR="00F71B16" w:rsidRDefault="00F71B16" w:rsidP="0088719C">
      <w:pPr>
        <w:rPr>
          <w:rFonts w:ascii="Times New Roman" w:hAnsi="Times New Roman" w:cs="Times New Roman"/>
          <w:sz w:val="24"/>
          <w:szCs w:val="24"/>
        </w:rPr>
      </w:pPr>
      <w:r w:rsidRPr="00891DE2">
        <w:rPr>
          <w:rFonts w:ascii="Times New Roman" w:hAnsi="Times New Roman" w:cs="Times New Roman"/>
          <w:sz w:val="24"/>
          <w:szCs w:val="24"/>
        </w:rPr>
        <w:lastRenderedPageBreak/>
        <w:t>Balstoties uz iegūtajām prognozēm laika periodam no 2021. līdz 2025. gadam, tiek novērota tendence virzīties gar pārkāršanas riska robežu un tad attālināties no tās. Laika periodā no 2020. līdz 2021. gadam būvniecības nozarē tiek novērotas salīdzinoši augstas pārkaršanas pazīmes, kas izpaužas kā izmaksu pieaugums pret iepriekšējo gadu straujāk par būvniecības produkcijas apjoma pieaugumu pret iepriekšējo gadu, turpmākos gadus, līdz 2025. gadam, šim riskam ir tendence samazināties, balstoties uz aktuālajām prognozēm</w:t>
      </w:r>
      <w:r w:rsidRPr="00891DE2">
        <w:rPr>
          <w:rStyle w:val="FootnoteReference"/>
          <w:rFonts w:ascii="Times New Roman" w:hAnsi="Times New Roman" w:cs="Times New Roman"/>
          <w:sz w:val="24"/>
          <w:szCs w:val="24"/>
        </w:rPr>
        <w:footnoteReference w:id="2"/>
      </w:r>
      <w:r w:rsidRPr="00891DE2">
        <w:rPr>
          <w:rFonts w:ascii="Times New Roman" w:hAnsi="Times New Roman" w:cs="Times New Roman"/>
          <w:sz w:val="24"/>
          <w:szCs w:val="24"/>
        </w:rPr>
        <w:t xml:space="preserve">. </w:t>
      </w:r>
      <w:r w:rsidRPr="00891DE2">
        <w:rPr>
          <w:rFonts w:ascii="Times New Roman" w:hAnsi="Times New Roman" w:cs="Times New Roman"/>
          <w:color w:val="FF0000"/>
          <w:sz w:val="24"/>
          <w:szCs w:val="24"/>
        </w:rPr>
        <w:t xml:space="preserve"> </w:t>
      </w:r>
      <w:r w:rsidRPr="00891DE2">
        <w:rPr>
          <w:rFonts w:ascii="Times New Roman" w:hAnsi="Times New Roman" w:cs="Times New Roman"/>
          <w:sz w:val="24"/>
          <w:szCs w:val="24"/>
        </w:rPr>
        <w:t xml:space="preserve"> </w:t>
      </w:r>
    </w:p>
    <w:p w14:paraId="726EEBE7" w14:textId="245CF269" w:rsidR="00E06045" w:rsidRPr="00E06045" w:rsidRDefault="00E06045" w:rsidP="00E06045">
      <w:pPr>
        <w:ind w:firstLine="0"/>
        <w:rPr>
          <w:rFonts w:ascii="Times New Roman" w:hAnsi="Times New Roman" w:cs="Times New Roman"/>
          <w:sz w:val="14"/>
          <w:szCs w:val="14"/>
        </w:rPr>
      </w:pPr>
    </w:p>
    <w:p w14:paraId="614A5837" w14:textId="77777777" w:rsidR="006A5A5C" w:rsidRPr="00CA542D" w:rsidRDefault="006A5A5C" w:rsidP="006A5A5C">
      <w:pPr>
        <w:pStyle w:val="Caption"/>
        <w:jc w:val="right"/>
        <w:rPr>
          <w:rFonts w:ascii="Times New Roman" w:hAnsi="Times New Roman" w:cs="Times New Roman"/>
        </w:rPr>
      </w:pPr>
      <w:r w:rsidRPr="00CA542D">
        <w:rPr>
          <w:rFonts w:ascii="Times New Roman" w:hAnsi="Times New Roman" w:cs="Times New Roman"/>
        </w:rPr>
        <w:t xml:space="preserve">Attēls </w:t>
      </w:r>
      <w:r w:rsidRPr="00CA542D">
        <w:rPr>
          <w:rFonts w:ascii="Times New Roman" w:hAnsi="Times New Roman" w:cs="Times New Roman"/>
        </w:rPr>
        <w:fldChar w:fldCharType="begin"/>
      </w:r>
      <w:r w:rsidRPr="00CA542D">
        <w:rPr>
          <w:rFonts w:ascii="Times New Roman" w:hAnsi="Times New Roman" w:cs="Times New Roman"/>
        </w:rPr>
        <w:instrText xml:space="preserve"> SEQ Attēls \* ARABIC </w:instrText>
      </w:r>
      <w:r w:rsidRPr="00CA542D">
        <w:rPr>
          <w:rFonts w:ascii="Times New Roman" w:hAnsi="Times New Roman" w:cs="Times New Roman"/>
        </w:rPr>
        <w:fldChar w:fldCharType="separate"/>
      </w:r>
      <w:r>
        <w:rPr>
          <w:rFonts w:ascii="Times New Roman" w:hAnsi="Times New Roman" w:cs="Times New Roman"/>
          <w:noProof/>
        </w:rPr>
        <w:t>3</w:t>
      </w:r>
      <w:r w:rsidRPr="00CA542D">
        <w:rPr>
          <w:rFonts w:ascii="Times New Roman" w:hAnsi="Times New Roman" w:cs="Times New Roman"/>
          <w:noProof/>
        </w:rPr>
        <w:fldChar w:fldCharType="end"/>
      </w:r>
      <w:r w:rsidRPr="00CA542D">
        <w:rPr>
          <w:rFonts w:ascii="Times New Roman" w:hAnsi="Times New Roman" w:cs="Times New Roman"/>
        </w:rPr>
        <w:t>. Būvniecības nozares pārkaršanas simulācija pie dažādiem būvniecības produkcijas apjoma un izmaksu izmaiņu variantiem ekstrapolējot ekspertu novērtējumus, prognozes un iepriekšējās recesijas situāciju laika periodā no 2005.-2025. gadam. Gadi norādīti atbilstoši kombinētajai prognozei.</w:t>
      </w:r>
    </w:p>
    <w:p w14:paraId="1CCC6982" w14:textId="375C50A6" w:rsidR="00E06045" w:rsidRPr="006A5A5C" w:rsidRDefault="00E06045" w:rsidP="00E06045">
      <w:pPr>
        <w:spacing w:line="240" w:lineRule="auto"/>
        <w:ind w:firstLine="0"/>
        <w:jc w:val="center"/>
        <w:rPr>
          <w:rFonts w:ascii="Times New Roman" w:hAnsi="Times New Roman" w:cs="Times New Roman"/>
          <w:b/>
          <w:bCs/>
          <w:sz w:val="20"/>
          <w:szCs w:val="20"/>
        </w:rPr>
      </w:pPr>
      <w:r w:rsidRPr="006A5A5C">
        <w:rPr>
          <w:rFonts w:ascii="Times New Roman" w:hAnsi="Times New Roman" w:cs="Times New Roman"/>
          <w:b/>
          <w:bCs/>
          <w:sz w:val="20"/>
          <w:szCs w:val="20"/>
        </w:rPr>
        <w:t>PĀRKARŠANAS IESPĒJAMĪBAS SIMULĀCIJA</w:t>
      </w:r>
    </w:p>
    <w:p w14:paraId="57389C58" w14:textId="0338D7E3" w:rsidR="00E06045" w:rsidRPr="006A5A5C" w:rsidRDefault="00E06045" w:rsidP="00E06045">
      <w:pPr>
        <w:spacing w:line="240" w:lineRule="auto"/>
        <w:ind w:firstLine="0"/>
        <w:jc w:val="center"/>
        <w:rPr>
          <w:rFonts w:ascii="Times New Roman" w:hAnsi="Times New Roman" w:cs="Times New Roman"/>
          <w:i/>
          <w:iCs/>
          <w:sz w:val="18"/>
          <w:szCs w:val="18"/>
        </w:rPr>
      </w:pPr>
      <w:r w:rsidRPr="006A5A5C">
        <w:rPr>
          <w:rFonts w:ascii="Times New Roman" w:hAnsi="Times New Roman" w:cs="Times New Roman"/>
          <w:i/>
          <w:iCs/>
          <w:sz w:val="18"/>
          <w:szCs w:val="18"/>
        </w:rPr>
        <w:t>Būvniecības izmaksu izmaiņas procentos pret iepriekšējo gadu</w:t>
      </w:r>
    </w:p>
    <w:p w14:paraId="5F9BD354" w14:textId="10EC513B" w:rsidR="00274DC6" w:rsidRPr="00CA542D" w:rsidRDefault="00274DC6" w:rsidP="006A5A5C">
      <w:pPr>
        <w:spacing w:line="240" w:lineRule="auto"/>
        <w:ind w:firstLine="0"/>
        <w:jc w:val="center"/>
        <w:rPr>
          <w:rFonts w:ascii="Times New Roman" w:hAnsi="Times New Roman" w:cs="Times New Roman"/>
        </w:rPr>
      </w:pPr>
      <w:r w:rsidRPr="00CA542D">
        <w:rPr>
          <w:rFonts w:ascii="Times New Roman" w:hAnsi="Times New Roman" w:cs="Times New Roman"/>
          <w:noProof/>
        </w:rPr>
        <w:drawing>
          <wp:inline distT="0" distB="0" distL="0" distR="0" wp14:anchorId="230F7EE2" wp14:editId="610C83B5">
            <wp:extent cx="4593266" cy="320856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t="12604" r="3027" b="14484"/>
                    <a:stretch/>
                  </pic:blipFill>
                  <pic:spPr bwMode="auto">
                    <a:xfrm>
                      <a:off x="0" y="0"/>
                      <a:ext cx="4612160" cy="3221763"/>
                    </a:xfrm>
                    <a:prstGeom prst="rect">
                      <a:avLst/>
                    </a:prstGeom>
                    <a:noFill/>
                    <a:ln>
                      <a:noFill/>
                    </a:ln>
                    <a:extLst>
                      <a:ext uri="{53640926-AAD7-44D8-BBD7-CCE9431645EC}">
                        <a14:shadowObscured xmlns:a14="http://schemas.microsoft.com/office/drawing/2010/main"/>
                      </a:ext>
                    </a:extLst>
                  </pic:spPr>
                </pic:pic>
              </a:graphicData>
            </a:graphic>
          </wp:inline>
        </w:drawing>
      </w:r>
      <w:r w:rsidR="00E06045" w:rsidRPr="00CA542D">
        <w:rPr>
          <w:rFonts w:ascii="Times New Roman" w:hAnsi="Times New Roman" w:cs="Times New Roman"/>
          <w:noProof/>
        </w:rPr>
        <w:drawing>
          <wp:inline distT="0" distB="0" distL="0" distR="0" wp14:anchorId="54F4FDAE" wp14:editId="3F755710">
            <wp:extent cx="2007981" cy="33972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8440" t="91820" r="50649" b="730"/>
                    <a:stretch/>
                  </pic:blipFill>
                  <pic:spPr bwMode="auto">
                    <a:xfrm>
                      <a:off x="0" y="0"/>
                      <a:ext cx="2063181" cy="349064"/>
                    </a:xfrm>
                    <a:prstGeom prst="rect">
                      <a:avLst/>
                    </a:prstGeom>
                    <a:noFill/>
                    <a:ln>
                      <a:noFill/>
                    </a:ln>
                    <a:extLst>
                      <a:ext uri="{53640926-AAD7-44D8-BBD7-CCE9431645EC}">
                        <a14:shadowObscured xmlns:a14="http://schemas.microsoft.com/office/drawing/2010/main"/>
                      </a:ext>
                    </a:extLst>
                  </pic:spPr>
                </pic:pic>
              </a:graphicData>
            </a:graphic>
          </wp:inline>
        </w:drawing>
      </w:r>
    </w:p>
    <w:p w14:paraId="43F525C6" w14:textId="618B0576" w:rsidR="00274DC6" w:rsidRPr="00891DE2" w:rsidRDefault="00274DC6" w:rsidP="0088719C">
      <w:pPr>
        <w:rPr>
          <w:rFonts w:ascii="Times New Roman" w:hAnsi="Times New Roman" w:cs="Times New Roman"/>
          <w:sz w:val="24"/>
          <w:szCs w:val="24"/>
        </w:rPr>
      </w:pPr>
      <w:r w:rsidRPr="00891DE2">
        <w:rPr>
          <w:rFonts w:ascii="Times New Roman" w:hAnsi="Times New Roman" w:cs="Times New Roman"/>
          <w:sz w:val="24"/>
          <w:szCs w:val="24"/>
        </w:rPr>
        <w:t xml:space="preserve">Viens no nozīmīgākajiem riskiem, kas varētu virzīt būvniecības nozari dziļāk pārkaršanas zonā, ir situācija, ja 2021. gada beigās nenotiek būvmateriālu izmaksu stabilizēšanās vai kritums un kopējais gada būvmateriālu izmaksu pieaugums būtiski pārsniedz kombinētajā prognozē paredzēto 6,6% būvniecības izmaksu pieaugumu un 7,1% būvmateriālu izmaksu pieaugumu, bet šo faktu iestāšanos būs iespējams identificēt </w:t>
      </w:r>
      <w:r w:rsidR="00384DC7" w:rsidRPr="00891DE2">
        <w:rPr>
          <w:rFonts w:ascii="Times New Roman" w:hAnsi="Times New Roman" w:cs="Times New Roman"/>
          <w:sz w:val="24"/>
          <w:szCs w:val="24"/>
        </w:rPr>
        <w:t xml:space="preserve">tikai </w:t>
      </w:r>
      <w:r w:rsidRPr="00891DE2">
        <w:rPr>
          <w:rFonts w:ascii="Times New Roman" w:hAnsi="Times New Roman" w:cs="Times New Roman"/>
          <w:sz w:val="24"/>
          <w:szCs w:val="24"/>
        </w:rPr>
        <w:t>2022. gada sākumā, kad būs pieejami faktiskie dati par būvniecības izdevumiem.</w:t>
      </w:r>
    </w:p>
    <w:p w14:paraId="282FF45C" w14:textId="65AD68F4" w:rsidR="00710304" w:rsidRDefault="008A3998" w:rsidP="0088719C">
      <w:pPr>
        <w:rPr>
          <w:rFonts w:ascii="Times New Roman" w:hAnsi="Times New Roman" w:cs="Times New Roman"/>
          <w:sz w:val="24"/>
          <w:szCs w:val="24"/>
        </w:rPr>
      </w:pPr>
      <w:r w:rsidRPr="00891DE2">
        <w:rPr>
          <w:rFonts w:ascii="Times New Roman" w:hAnsi="Times New Roman" w:cs="Times New Roman"/>
          <w:sz w:val="24"/>
          <w:szCs w:val="24"/>
        </w:rPr>
        <w:t>Vēl viens no indikatoriem, kas varētu liecināt par nozares pārkaršanu</w:t>
      </w:r>
      <w:r w:rsidR="00536308" w:rsidRPr="00891DE2">
        <w:rPr>
          <w:rFonts w:ascii="Times New Roman" w:hAnsi="Times New Roman" w:cs="Times New Roman"/>
          <w:sz w:val="24"/>
          <w:szCs w:val="24"/>
        </w:rPr>
        <w:t xml:space="preserve"> uz ko norāda Pētnieki</w:t>
      </w:r>
      <w:r w:rsidRPr="00891DE2">
        <w:rPr>
          <w:rFonts w:ascii="Times New Roman" w:hAnsi="Times New Roman" w:cs="Times New Roman"/>
          <w:sz w:val="24"/>
          <w:szCs w:val="24"/>
        </w:rPr>
        <w:t xml:space="preserve">, ir nozares īpatsvars valsts IKP. Aplūkojot dinamiku no 2014. līdz 2020. gadam tā ir variējusi starp 5,3% un 7,0% no valsts IKP faktiskajās cenās. </w:t>
      </w:r>
    </w:p>
    <w:p w14:paraId="48A03C25" w14:textId="77777777" w:rsidR="00710304" w:rsidRDefault="00710304">
      <w:pPr>
        <w:spacing w:after="160" w:line="259" w:lineRule="auto"/>
        <w:ind w:firstLine="0"/>
        <w:jc w:val="left"/>
        <w:rPr>
          <w:rFonts w:ascii="Times New Roman" w:hAnsi="Times New Roman" w:cs="Times New Roman"/>
          <w:sz w:val="24"/>
          <w:szCs w:val="24"/>
        </w:rPr>
      </w:pPr>
      <w:r>
        <w:rPr>
          <w:rFonts w:ascii="Times New Roman" w:hAnsi="Times New Roman" w:cs="Times New Roman"/>
          <w:sz w:val="24"/>
          <w:szCs w:val="24"/>
        </w:rPr>
        <w:br w:type="page"/>
      </w:r>
    </w:p>
    <w:p w14:paraId="52BE4875" w14:textId="48BA8BE4" w:rsidR="008A3998" w:rsidRPr="00891DE2" w:rsidRDefault="008A3998" w:rsidP="008A3998">
      <w:pPr>
        <w:pStyle w:val="Caption"/>
        <w:spacing w:after="0"/>
        <w:jc w:val="right"/>
        <w:rPr>
          <w:rFonts w:ascii="Times New Roman" w:hAnsi="Times New Roman" w:cs="Times New Roman"/>
          <w:color w:val="000000" w:themeColor="text1"/>
          <w:sz w:val="24"/>
          <w:szCs w:val="24"/>
        </w:rPr>
      </w:pPr>
      <w:r w:rsidRPr="00891DE2">
        <w:rPr>
          <w:color w:val="000000" w:themeColor="text1"/>
          <w:sz w:val="24"/>
          <w:szCs w:val="24"/>
        </w:rPr>
        <w:lastRenderedPageBreak/>
        <w:t xml:space="preserve">Tabula  </w:t>
      </w:r>
      <w:r w:rsidR="003468FC" w:rsidRPr="00891DE2">
        <w:rPr>
          <w:color w:val="000000" w:themeColor="text1"/>
          <w:sz w:val="24"/>
          <w:szCs w:val="24"/>
        </w:rPr>
        <w:fldChar w:fldCharType="begin"/>
      </w:r>
      <w:r w:rsidR="003468FC" w:rsidRPr="00891DE2">
        <w:rPr>
          <w:color w:val="000000" w:themeColor="text1"/>
          <w:sz w:val="24"/>
          <w:szCs w:val="24"/>
        </w:rPr>
        <w:instrText xml:space="preserve"> SEQ Tab._ \* ARABIC </w:instrText>
      </w:r>
      <w:r w:rsidR="003468FC" w:rsidRPr="00891DE2">
        <w:rPr>
          <w:color w:val="000000" w:themeColor="text1"/>
          <w:sz w:val="24"/>
          <w:szCs w:val="24"/>
        </w:rPr>
        <w:fldChar w:fldCharType="separate"/>
      </w:r>
      <w:r w:rsidR="00D65651" w:rsidRPr="00891DE2">
        <w:rPr>
          <w:noProof/>
          <w:color w:val="000000" w:themeColor="text1"/>
          <w:sz w:val="24"/>
          <w:szCs w:val="24"/>
        </w:rPr>
        <w:t>2</w:t>
      </w:r>
      <w:r w:rsidR="003468FC" w:rsidRPr="00891DE2">
        <w:rPr>
          <w:noProof/>
          <w:color w:val="000000" w:themeColor="text1"/>
          <w:sz w:val="24"/>
          <w:szCs w:val="24"/>
        </w:rPr>
        <w:fldChar w:fldCharType="end"/>
      </w:r>
      <w:r w:rsidRPr="00891DE2">
        <w:rPr>
          <w:color w:val="000000" w:themeColor="text1"/>
          <w:sz w:val="24"/>
          <w:szCs w:val="24"/>
        </w:rPr>
        <w:t>.</w:t>
      </w:r>
      <w:r w:rsidRPr="00891DE2">
        <w:rPr>
          <w:rFonts w:ascii="Times New Roman" w:hAnsi="Times New Roman" w:cs="Times New Roman"/>
          <w:color w:val="000000" w:themeColor="text1"/>
          <w:sz w:val="24"/>
          <w:szCs w:val="24"/>
        </w:rPr>
        <w:t xml:space="preserve"> </w:t>
      </w:r>
    </w:p>
    <w:p w14:paraId="68EEA4F1" w14:textId="38259191" w:rsidR="008A3998" w:rsidRDefault="008A3998" w:rsidP="008A3998">
      <w:pPr>
        <w:pStyle w:val="Caption"/>
        <w:spacing w:after="0"/>
        <w:jc w:val="right"/>
        <w:rPr>
          <w:rFonts w:ascii="Times New Roman" w:hAnsi="Times New Roman" w:cs="Times New Roman"/>
          <w:color w:val="000000" w:themeColor="text1"/>
        </w:rPr>
      </w:pPr>
      <w:r w:rsidRPr="00891DE2">
        <w:rPr>
          <w:rFonts w:ascii="Times New Roman" w:hAnsi="Times New Roman" w:cs="Times New Roman"/>
          <w:color w:val="000000" w:themeColor="text1"/>
        </w:rPr>
        <w:t>Būvniecības nozares īpatsvars Latvijas IKP un IKP dinamika faktiskajās cenās.</w:t>
      </w:r>
    </w:p>
    <w:p w14:paraId="144E4736" w14:textId="77777777" w:rsidR="006A5A5C" w:rsidRPr="006A5A5C" w:rsidRDefault="006A5A5C" w:rsidP="006A5A5C"/>
    <w:tbl>
      <w:tblPr>
        <w:tblStyle w:val="TableGrid"/>
        <w:tblW w:w="0" w:type="auto"/>
        <w:jc w:val="center"/>
        <w:tblLook w:val="04A0" w:firstRow="1" w:lastRow="0" w:firstColumn="1" w:lastColumn="0" w:noHBand="0" w:noVBand="1"/>
      </w:tblPr>
      <w:tblGrid>
        <w:gridCol w:w="3397"/>
        <w:gridCol w:w="828"/>
        <w:gridCol w:w="829"/>
        <w:gridCol w:w="829"/>
        <w:gridCol w:w="829"/>
        <w:gridCol w:w="829"/>
        <w:gridCol w:w="829"/>
        <w:gridCol w:w="829"/>
      </w:tblGrid>
      <w:tr w:rsidR="008A3998" w:rsidRPr="00CA542D" w14:paraId="7C1F30EE" w14:textId="77777777" w:rsidTr="00891DE2">
        <w:trPr>
          <w:jc w:val="center"/>
        </w:trPr>
        <w:tc>
          <w:tcPr>
            <w:tcW w:w="3397" w:type="dxa"/>
            <w:shd w:val="clear" w:color="auto" w:fill="F2F2F2" w:themeFill="background1" w:themeFillShade="F2"/>
            <w:vAlign w:val="center"/>
          </w:tcPr>
          <w:p w14:paraId="263A95BB"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sz w:val="20"/>
                <w:szCs w:val="20"/>
              </w:rPr>
              <w:t>Gads</w:t>
            </w:r>
          </w:p>
        </w:tc>
        <w:tc>
          <w:tcPr>
            <w:tcW w:w="828" w:type="dxa"/>
            <w:shd w:val="clear" w:color="auto" w:fill="F2F2F2" w:themeFill="background1" w:themeFillShade="F2"/>
            <w:vAlign w:val="center"/>
          </w:tcPr>
          <w:p w14:paraId="308EFB27"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2014.</w:t>
            </w:r>
          </w:p>
        </w:tc>
        <w:tc>
          <w:tcPr>
            <w:tcW w:w="829" w:type="dxa"/>
            <w:shd w:val="clear" w:color="auto" w:fill="F2F2F2" w:themeFill="background1" w:themeFillShade="F2"/>
            <w:vAlign w:val="center"/>
          </w:tcPr>
          <w:p w14:paraId="7845E74C"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2015.</w:t>
            </w:r>
          </w:p>
        </w:tc>
        <w:tc>
          <w:tcPr>
            <w:tcW w:w="829" w:type="dxa"/>
            <w:shd w:val="clear" w:color="auto" w:fill="F2F2F2" w:themeFill="background1" w:themeFillShade="F2"/>
            <w:vAlign w:val="center"/>
          </w:tcPr>
          <w:p w14:paraId="2CC75089"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2016.</w:t>
            </w:r>
          </w:p>
        </w:tc>
        <w:tc>
          <w:tcPr>
            <w:tcW w:w="829" w:type="dxa"/>
            <w:shd w:val="clear" w:color="auto" w:fill="F2F2F2" w:themeFill="background1" w:themeFillShade="F2"/>
            <w:vAlign w:val="center"/>
          </w:tcPr>
          <w:p w14:paraId="75697068"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2017.</w:t>
            </w:r>
          </w:p>
        </w:tc>
        <w:tc>
          <w:tcPr>
            <w:tcW w:w="829" w:type="dxa"/>
            <w:shd w:val="clear" w:color="auto" w:fill="F2F2F2" w:themeFill="background1" w:themeFillShade="F2"/>
            <w:vAlign w:val="center"/>
          </w:tcPr>
          <w:p w14:paraId="690A4169"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2018.</w:t>
            </w:r>
          </w:p>
        </w:tc>
        <w:tc>
          <w:tcPr>
            <w:tcW w:w="829" w:type="dxa"/>
            <w:shd w:val="clear" w:color="auto" w:fill="F2F2F2" w:themeFill="background1" w:themeFillShade="F2"/>
            <w:vAlign w:val="center"/>
          </w:tcPr>
          <w:p w14:paraId="497C4E42"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2019.</w:t>
            </w:r>
          </w:p>
        </w:tc>
        <w:tc>
          <w:tcPr>
            <w:tcW w:w="829" w:type="dxa"/>
            <w:shd w:val="clear" w:color="auto" w:fill="F2F2F2" w:themeFill="background1" w:themeFillShade="F2"/>
            <w:vAlign w:val="center"/>
          </w:tcPr>
          <w:p w14:paraId="40D31025"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575757"/>
                <w:sz w:val="20"/>
                <w:szCs w:val="20"/>
              </w:rPr>
              <w:t>2020.</w:t>
            </w:r>
          </w:p>
        </w:tc>
      </w:tr>
      <w:tr w:rsidR="008A3998" w:rsidRPr="00CA542D" w14:paraId="29DE1D6C" w14:textId="77777777" w:rsidTr="00891DE2">
        <w:trPr>
          <w:jc w:val="center"/>
        </w:trPr>
        <w:tc>
          <w:tcPr>
            <w:tcW w:w="3397" w:type="dxa"/>
            <w:vAlign w:val="center"/>
          </w:tcPr>
          <w:p w14:paraId="53A52454" w14:textId="77777777" w:rsidR="008A3998" w:rsidRPr="00CA542D" w:rsidRDefault="008A3998" w:rsidP="00811AB3">
            <w:pPr>
              <w:spacing w:line="276" w:lineRule="auto"/>
              <w:ind w:firstLine="0"/>
              <w:jc w:val="left"/>
              <w:rPr>
                <w:rFonts w:ascii="Times New Roman" w:hAnsi="Times New Roman" w:cs="Times New Roman"/>
                <w:sz w:val="20"/>
                <w:szCs w:val="20"/>
              </w:rPr>
            </w:pPr>
            <w:r w:rsidRPr="00CA542D">
              <w:rPr>
                <w:rFonts w:ascii="Times New Roman" w:hAnsi="Times New Roman" w:cs="Times New Roman"/>
                <w:sz w:val="20"/>
                <w:szCs w:val="20"/>
              </w:rPr>
              <w:t>Būvniecības nozares īpatsvars Latvijas IKP faktiskajās cenās, procentos.</w:t>
            </w:r>
          </w:p>
        </w:tc>
        <w:tc>
          <w:tcPr>
            <w:tcW w:w="828" w:type="dxa"/>
            <w:vAlign w:val="center"/>
          </w:tcPr>
          <w:p w14:paraId="016F8CC0"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6,3</w:t>
            </w:r>
          </w:p>
        </w:tc>
        <w:tc>
          <w:tcPr>
            <w:tcW w:w="829" w:type="dxa"/>
            <w:vAlign w:val="center"/>
          </w:tcPr>
          <w:p w14:paraId="2F775A3F"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6,1</w:t>
            </w:r>
          </w:p>
        </w:tc>
        <w:tc>
          <w:tcPr>
            <w:tcW w:w="829" w:type="dxa"/>
            <w:vAlign w:val="center"/>
          </w:tcPr>
          <w:p w14:paraId="10CDFB15"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5,3</w:t>
            </w:r>
          </w:p>
        </w:tc>
        <w:tc>
          <w:tcPr>
            <w:tcW w:w="829" w:type="dxa"/>
            <w:vAlign w:val="center"/>
          </w:tcPr>
          <w:p w14:paraId="49260B97"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5,8</w:t>
            </w:r>
          </w:p>
        </w:tc>
        <w:tc>
          <w:tcPr>
            <w:tcW w:w="829" w:type="dxa"/>
            <w:vAlign w:val="center"/>
          </w:tcPr>
          <w:p w14:paraId="53976F77"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6,4</w:t>
            </w:r>
          </w:p>
        </w:tc>
        <w:tc>
          <w:tcPr>
            <w:tcW w:w="829" w:type="dxa"/>
            <w:vAlign w:val="center"/>
          </w:tcPr>
          <w:p w14:paraId="739C1506"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6,5</w:t>
            </w:r>
          </w:p>
        </w:tc>
        <w:tc>
          <w:tcPr>
            <w:tcW w:w="829" w:type="dxa"/>
            <w:vAlign w:val="center"/>
          </w:tcPr>
          <w:p w14:paraId="45DF7D7E" w14:textId="77777777" w:rsidR="008A3998" w:rsidRPr="00CA542D" w:rsidRDefault="008A3998" w:rsidP="00811AB3">
            <w:pPr>
              <w:spacing w:line="276" w:lineRule="auto"/>
              <w:ind w:firstLine="0"/>
              <w:jc w:val="center"/>
              <w:rPr>
                <w:rFonts w:ascii="Times New Roman" w:hAnsi="Times New Roman" w:cs="Times New Roman"/>
                <w:sz w:val="20"/>
                <w:szCs w:val="20"/>
              </w:rPr>
            </w:pPr>
            <w:r w:rsidRPr="00CA542D">
              <w:rPr>
                <w:rFonts w:ascii="Times New Roman" w:hAnsi="Times New Roman" w:cs="Times New Roman"/>
                <w:color w:val="000000"/>
                <w:sz w:val="20"/>
                <w:szCs w:val="20"/>
              </w:rPr>
              <w:t>7,0</w:t>
            </w:r>
          </w:p>
        </w:tc>
      </w:tr>
      <w:tr w:rsidR="008A3998" w:rsidRPr="00CA542D" w14:paraId="0901AEB9" w14:textId="77777777" w:rsidTr="00891DE2">
        <w:trPr>
          <w:jc w:val="center"/>
        </w:trPr>
        <w:tc>
          <w:tcPr>
            <w:tcW w:w="3397" w:type="dxa"/>
            <w:vAlign w:val="center"/>
          </w:tcPr>
          <w:p w14:paraId="491B791F" w14:textId="77777777" w:rsidR="008A3998" w:rsidRPr="00CA542D" w:rsidRDefault="008A3998" w:rsidP="00811AB3">
            <w:pPr>
              <w:spacing w:line="276" w:lineRule="auto"/>
              <w:ind w:firstLine="0"/>
              <w:jc w:val="left"/>
              <w:rPr>
                <w:rFonts w:ascii="Times New Roman" w:hAnsi="Times New Roman" w:cs="Times New Roman"/>
                <w:sz w:val="20"/>
                <w:szCs w:val="20"/>
              </w:rPr>
            </w:pPr>
            <w:r w:rsidRPr="00CA542D">
              <w:rPr>
                <w:rFonts w:ascii="Times New Roman" w:hAnsi="Times New Roman" w:cs="Times New Roman"/>
                <w:sz w:val="20"/>
                <w:szCs w:val="20"/>
              </w:rPr>
              <w:t>IKP faktiskajās cenās, mljrd. eiro</w:t>
            </w:r>
          </w:p>
        </w:tc>
        <w:tc>
          <w:tcPr>
            <w:tcW w:w="828" w:type="dxa"/>
            <w:vAlign w:val="center"/>
          </w:tcPr>
          <w:p w14:paraId="3E027FA4"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23,6</w:t>
            </w:r>
          </w:p>
        </w:tc>
        <w:tc>
          <w:tcPr>
            <w:tcW w:w="829" w:type="dxa"/>
            <w:vAlign w:val="center"/>
          </w:tcPr>
          <w:p w14:paraId="00E78735"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24,6</w:t>
            </w:r>
          </w:p>
        </w:tc>
        <w:tc>
          <w:tcPr>
            <w:tcW w:w="829" w:type="dxa"/>
            <w:vAlign w:val="center"/>
          </w:tcPr>
          <w:p w14:paraId="4D3A9A73"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25,4</w:t>
            </w:r>
          </w:p>
        </w:tc>
        <w:tc>
          <w:tcPr>
            <w:tcW w:w="829" w:type="dxa"/>
            <w:vAlign w:val="center"/>
          </w:tcPr>
          <w:p w14:paraId="5C440F55"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27,0</w:t>
            </w:r>
          </w:p>
        </w:tc>
        <w:tc>
          <w:tcPr>
            <w:tcW w:w="829" w:type="dxa"/>
            <w:vAlign w:val="center"/>
          </w:tcPr>
          <w:p w14:paraId="3A0D2837"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29,1</w:t>
            </w:r>
          </w:p>
        </w:tc>
        <w:tc>
          <w:tcPr>
            <w:tcW w:w="829" w:type="dxa"/>
            <w:vAlign w:val="center"/>
          </w:tcPr>
          <w:p w14:paraId="25CC94E2"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30,4</w:t>
            </w:r>
          </w:p>
        </w:tc>
        <w:tc>
          <w:tcPr>
            <w:tcW w:w="829" w:type="dxa"/>
            <w:vAlign w:val="center"/>
          </w:tcPr>
          <w:p w14:paraId="34785FD8" w14:textId="77777777" w:rsidR="008A3998" w:rsidRPr="00CA542D" w:rsidRDefault="008A3998" w:rsidP="00811AB3">
            <w:pPr>
              <w:spacing w:line="276" w:lineRule="auto"/>
              <w:ind w:firstLine="0"/>
              <w:jc w:val="center"/>
              <w:rPr>
                <w:rFonts w:ascii="Times New Roman" w:hAnsi="Times New Roman" w:cs="Times New Roman"/>
                <w:color w:val="000000"/>
                <w:sz w:val="20"/>
                <w:szCs w:val="20"/>
              </w:rPr>
            </w:pPr>
            <w:r w:rsidRPr="00CA542D">
              <w:rPr>
                <w:rFonts w:ascii="Times New Roman" w:hAnsi="Times New Roman" w:cs="Times New Roman"/>
                <w:color w:val="000000"/>
                <w:sz w:val="20"/>
                <w:szCs w:val="20"/>
              </w:rPr>
              <w:t>29,3</w:t>
            </w:r>
          </w:p>
        </w:tc>
      </w:tr>
    </w:tbl>
    <w:p w14:paraId="4007E135" w14:textId="77777777" w:rsidR="006A5A5C" w:rsidRDefault="006A5A5C" w:rsidP="006A5A5C">
      <w:pPr>
        <w:ind w:firstLine="0"/>
        <w:rPr>
          <w:rFonts w:ascii="Times New Roman" w:hAnsi="Times New Roman" w:cs="Times New Roman"/>
          <w:sz w:val="24"/>
          <w:szCs w:val="24"/>
        </w:rPr>
      </w:pPr>
    </w:p>
    <w:p w14:paraId="1C357346" w14:textId="1A0EACCD" w:rsidR="008A3998" w:rsidRPr="00536308" w:rsidRDefault="008A3998" w:rsidP="0088719C">
      <w:pPr>
        <w:rPr>
          <w:rFonts w:ascii="Times New Roman" w:hAnsi="Times New Roman" w:cs="Times New Roman"/>
          <w:b/>
          <w:bCs/>
          <w:sz w:val="24"/>
          <w:szCs w:val="24"/>
        </w:rPr>
      </w:pPr>
      <w:r w:rsidRPr="00AF4C4F">
        <w:rPr>
          <w:rFonts w:ascii="Times New Roman" w:hAnsi="Times New Roman" w:cs="Times New Roman"/>
          <w:sz w:val="24"/>
          <w:szCs w:val="24"/>
        </w:rPr>
        <w:t>Vadoties pēc būvniecības nozares un IKP dinamikas, 2020. gadā, no vienas puses, ir kritiski pieaudzis būvniecības nozares īpatsvars sasniedzot 7%, kas varētu tikt uzskatīts par pārkaršanas signālu. Tomēr ir jāņem vērā situācijas konteksts. 2020. gadā Latvijā</w:t>
      </w:r>
      <w:r w:rsidR="00891DE2">
        <w:rPr>
          <w:rFonts w:ascii="Times New Roman" w:hAnsi="Times New Roman" w:cs="Times New Roman"/>
          <w:sz w:val="24"/>
          <w:szCs w:val="24"/>
        </w:rPr>
        <w:t>,</w:t>
      </w:r>
      <w:r w:rsidRPr="00AF4C4F">
        <w:rPr>
          <w:rFonts w:ascii="Times New Roman" w:hAnsi="Times New Roman" w:cs="Times New Roman"/>
          <w:sz w:val="24"/>
          <w:szCs w:val="24"/>
        </w:rPr>
        <w:t xml:space="preserve"> </w:t>
      </w:r>
      <w:r w:rsidR="00AF4C4F">
        <w:rPr>
          <w:rFonts w:ascii="Times New Roman" w:hAnsi="Times New Roman" w:cs="Times New Roman"/>
          <w:sz w:val="24"/>
          <w:szCs w:val="24"/>
        </w:rPr>
        <w:t>kad</w:t>
      </w:r>
      <w:r w:rsidRPr="00AF4C4F">
        <w:rPr>
          <w:rFonts w:ascii="Times New Roman" w:hAnsi="Times New Roman" w:cs="Times New Roman"/>
          <w:sz w:val="24"/>
          <w:szCs w:val="24"/>
        </w:rPr>
        <w:t xml:space="preserve"> sākās ekonomikas lejupslīde pandēmijas izraisītu seku dēļ, kopējais IKP samazinājies pret 2019. gadu. </w:t>
      </w:r>
      <w:r w:rsidR="00891DE2">
        <w:rPr>
          <w:rFonts w:ascii="Times New Roman" w:hAnsi="Times New Roman" w:cs="Times New Roman"/>
          <w:sz w:val="24"/>
          <w:szCs w:val="24"/>
        </w:rPr>
        <w:t>Š</w:t>
      </w:r>
      <w:r w:rsidRPr="00AF4C4F">
        <w:rPr>
          <w:rFonts w:ascii="Times New Roman" w:hAnsi="Times New Roman" w:cs="Times New Roman"/>
          <w:sz w:val="24"/>
          <w:szCs w:val="24"/>
        </w:rPr>
        <w:t>is samazinājums ir uz to nozaru rēķina, kuras cieta tieši no COVID-19 pandēmijas, kā, piemēram, tūrisms, viesmīlība, sabiedriskā ēdināšana</w:t>
      </w:r>
      <w:r w:rsidR="00891DE2">
        <w:rPr>
          <w:rFonts w:ascii="Times New Roman" w:hAnsi="Times New Roman" w:cs="Times New Roman"/>
          <w:sz w:val="24"/>
          <w:szCs w:val="24"/>
        </w:rPr>
        <w:t>, aviācija</w:t>
      </w:r>
      <w:r w:rsidRPr="00AF4C4F">
        <w:rPr>
          <w:rFonts w:ascii="Times New Roman" w:hAnsi="Times New Roman" w:cs="Times New Roman"/>
          <w:sz w:val="24"/>
          <w:szCs w:val="24"/>
        </w:rPr>
        <w:t>.</w:t>
      </w:r>
      <w:r w:rsidRPr="00536308">
        <w:rPr>
          <w:rFonts w:ascii="Times New Roman" w:hAnsi="Times New Roman" w:cs="Times New Roman"/>
          <w:b/>
          <w:bCs/>
          <w:sz w:val="24"/>
          <w:szCs w:val="24"/>
        </w:rPr>
        <w:t xml:space="preserve"> </w:t>
      </w:r>
      <w:r w:rsidR="00AF4C4F" w:rsidRPr="00AF4C4F">
        <w:rPr>
          <w:rFonts w:ascii="Times New Roman" w:hAnsi="Times New Roman" w:cs="Times New Roman"/>
          <w:sz w:val="24"/>
          <w:szCs w:val="24"/>
        </w:rPr>
        <w:t>B</w:t>
      </w:r>
      <w:r w:rsidRPr="00AF4C4F">
        <w:rPr>
          <w:rFonts w:ascii="Times New Roman" w:hAnsi="Times New Roman" w:cs="Times New Roman"/>
          <w:sz w:val="24"/>
          <w:szCs w:val="24"/>
        </w:rPr>
        <w:t>ūvniecības nozarē netika novērots samazinājums, līdz ar to</w:t>
      </w:r>
      <w:r w:rsidR="00AF4C4F" w:rsidRPr="00AF4C4F">
        <w:rPr>
          <w:rFonts w:ascii="Times New Roman" w:hAnsi="Times New Roman" w:cs="Times New Roman"/>
          <w:sz w:val="24"/>
          <w:szCs w:val="24"/>
        </w:rPr>
        <w:t>,</w:t>
      </w:r>
      <w:r w:rsidRPr="00AF4C4F">
        <w:rPr>
          <w:rFonts w:ascii="Times New Roman" w:hAnsi="Times New Roman" w:cs="Times New Roman"/>
          <w:sz w:val="24"/>
          <w:szCs w:val="24"/>
        </w:rPr>
        <w:t xml:space="preserve"> krītoties kopējam IKP un kādas nozares IKP saglabājoties, tās īpatsvars IKP palielināsies.</w:t>
      </w:r>
      <w:r w:rsidRPr="00536308">
        <w:rPr>
          <w:rFonts w:ascii="Times New Roman" w:hAnsi="Times New Roman" w:cs="Times New Roman"/>
          <w:b/>
          <w:bCs/>
          <w:sz w:val="24"/>
          <w:szCs w:val="24"/>
        </w:rPr>
        <w:t xml:space="preserve"> Līdz ar to šajā 2020. gada kontekstā nevar viennozīmīgi apgalvot, ka šis IKP īpatsvars ir kritisks. Tajā pašā laikā 2021. un 2022. gadā varētu būt gaidāma visu nozaru atgūšanās, kas varētu atkal samazināt būvniecības nozares īpatsvara IKP samazinājumu līdz 6% robežai.</w:t>
      </w:r>
    </w:p>
    <w:p w14:paraId="4993FA14" w14:textId="09577298" w:rsidR="008A3998" w:rsidRDefault="008A3998" w:rsidP="008A3998">
      <w:pPr>
        <w:spacing w:line="276" w:lineRule="auto"/>
        <w:ind w:firstLine="0"/>
        <w:rPr>
          <w:rFonts w:ascii="Times New Roman" w:hAnsi="Times New Roman" w:cs="Times New Roman"/>
        </w:rPr>
      </w:pPr>
    </w:p>
    <w:p w14:paraId="7AD3D781" w14:textId="77777777" w:rsidR="006A5A5C" w:rsidRPr="00CA542D" w:rsidRDefault="006A5A5C" w:rsidP="008A3998">
      <w:pPr>
        <w:spacing w:line="276" w:lineRule="auto"/>
        <w:ind w:firstLine="0"/>
        <w:rPr>
          <w:rFonts w:ascii="Times New Roman" w:hAnsi="Times New Roman" w:cs="Times New Roman"/>
        </w:rPr>
      </w:pPr>
    </w:p>
    <w:p w14:paraId="4C5CBC59" w14:textId="47C6A126" w:rsidR="002219B5" w:rsidRPr="00AF4C4F" w:rsidRDefault="00956696" w:rsidP="002801D0">
      <w:pPr>
        <w:pStyle w:val="Heading2"/>
        <w:numPr>
          <w:ilvl w:val="1"/>
          <w:numId w:val="40"/>
        </w:numPr>
        <w:rPr>
          <w:b/>
          <w:bCs/>
          <w:color w:val="009999"/>
        </w:rPr>
      </w:pPr>
      <w:bookmarkStart w:id="8" w:name="_Toc80109862"/>
      <w:r w:rsidRPr="00AF4C4F">
        <w:rPr>
          <w:b/>
          <w:bCs/>
          <w:color w:val="009999"/>
        </w:rPr>
        <w:t>Būvniecības apjomu un izmaksu prognoze</w:t>
      </w:r>
      <w:r w:rsidR="006A3ED1" w:rsidRPr="00AF4C4F">
        <w:rPr>
          <w:b/>
          <w:bCs/>
          <w:color w:val="009999"/>
        </w:rPr>
        <w:t>s</w:t>
      </w:r>
      <w:bookmarkEnd w:id="8"/>
      <w:r w:rsidR="002219B5" w:rsidRPr="00AF4C4F">
        <w:rPr>
          <w:b/>
          <w:bCs/>
          <w:color w:val="009999"/>
        </w:rPr>
        <w:tab/>
      </w:r>
    </w:p>
    <w:p w14:paraId="0D205DAB" w14:textId="4A87A708" w:rsidR="006A3ED1" w:rsidRPr="00AF4C4F" w:rsidRDefault="006A3ED1" w:rsidP="002801D0">
      <w:pPr>
        <w:pStyle w:val="Heading3"/>
        <w:numPr>
          <w:ilvl w:val="2"/>
          <w:numId w:val="40"/>
        </w:numPr>
        <w:rPr>
          <w:b/>
          <w:bCs/>
          <w:color w:val="009999"/>
        </w:rPr>
      </w:pPr>
      <w:bookmarkStart w:id="9" w:name="_Toc79709834"/>
      <w:bookmarkStart w:id="10" w:name="_Toc80109863"/>
      <w:r w:rsidRPr="00AF4C4F">
        <w:rPr>
          <w:b/>
          <w:bCs/>
          <w:color w:val="009999"/>
        </w:rPr>
        <w:t>Kopējā nozares prognoze</w:t>
      </w:r>
      <w:bookmarkEnd w:id="9"/>
      <w:bookmarkEnd w:id="10"/>
    </w:p>
    <w:p w14:paraId="5C22D753" w14:textId="77777777" w:rsidR="00697618" w:rsidRDefault="00697618" w:rsidP="00FB7A50">
      <w:pPr>
        <w:ind w:firstLine="0"/>
        <w:rPr>
          <w:rFonts w:ascii="Times New Roman" w:hAnsi="Times New Roman" w:cs="Times New Roman"/>
          <w:b/>
          <w:bCs/>
          <w:sz w:val="24"/>
          <w:szCs w:val="24"/>
        </w:rPr>
      </w:pPr>
    </w:p>
    <w:p w14:paraId="734F287D" w14:textId="3E123909" w:rsidR="006A3ED1" w:rsidRPr="00FB7A50" w:rsidRDefault="006A3ED1" w:rsidP="0088719C">
      <w:pPr>
        <w:rPr>
          <w:rFonts w:ascii="Times New Roman" w:hAnsi="Times New Roman" w:cs="Times New Roman"/>
          <w:sz w:val="24"/>
          <w:szCs w:val="24"/>
        </w:rPr>
      </w:pPr>
      <w:r w:rsidRPr="00FB7A50">
        <w:rPr>
          <w:rFonts w:ascii="Times New Roman" w:hAnsi="Times New Roman" w:cs="Times New Roman"/>
          <w:b/>
          <w:bCs/>
          <w:sz w:val="24"/>
          <w:szCs w:val="24"/>
        </w:rPr>
        <w:t>Būvniecības apjoms</w:t>
      </w:r>
      <w:r w:rsidRPr="00FB7A50">
        <w:rPr>
          <w:rFonts w:ascii="Times New Roman" w:hAnsi="Times New Roman" w:cs="Times New Roman"/>
          <w:sz w:val="24"/>
          <w:szCs w:val="24"/>
        </w:rPr>
        <w:t>. Prognozējot būvniecības produkcijas apjoma izmaiņas, vidējais ekspertu vērtējums liecina par mērenu būvniecības produkcijas apjoma pieaugumu 2021. gadā, pēc kura tikai 2022. gadā tiek prognozēts augstāks ikgadējais pieaugums, pēc kura sekos nepārtraukts samazinājums līdz pat 2025. gadam.</w:t>
      </w:r>
    </w:p>
    <w:p w14:paraId="006FBA07" w14:textId="77777777" w:rsidR="006A5A5C" w:rsidRDefault="006A5A5C" w:rsidP="002219B5">
      <w:pPr>
        <w:pStyle w:val="Caption"/>
        <w:spacing w:after="0"/>
        <w:jc w:val="right"/>
        <w:rPr>
          <w:rFonts w:ascii="Times New Roman" w:hAnsi="Times New Roman" w:cs="Times New Roman"/>
        </w:rPr>
      </w:pPr>
    </w:p>
    <w:p w14:paraId="158E64DC" w14:textId="77777777" w:rsidR="006A5A5C" w:rsidRDefault="006A5A5C" w:rsidP="002219B5">
      <w:pPr>
        <w:pStyle w:val="Caption"/>
        <w:spacing w:after="0"/>
        <w:jc w:val="right"/>
        <w:rPr>
          <w:rFonts w:ascii="Times New Roman" w:hAnsi="Times New Roman" w:cs="Times New Roman"/>
        </w:rPr>
      </w:pPr>
    </w:p>
    <w:p w14:paraId="57FC9FE6" w14:textId="09FFCAA1" w:rsidR="002219B5" w:rsidRPr="004A78BC" w:rsidRDefault="002219B5" w:rsidP="002219B5">
      <w:pPr>
        <w:pStyle w:val="Caption"/>
        <w:spacing w:after="0"/>
        <w:jc w:val="right"/>
        <w:rPr>
          <w:rFonts w:ascii="Times New Roman" w:hAnsi="Times New Roman" w:cs="Times New Roman"/>
        </w:rPr>
      </w:pPr>
      <w:r w:rsidRPr="004A78BC">
        <w:rPr>
          <w:rFonts w:ascii="Times New Roman" w:hAnsi="Times New Roman" w:cs="Times New Roman"/>
        </w:rPr>
        <w:t xml:space="preserve">Tabula  </w:t>
      </w:r>
      <w:r w:rsidRPr="004A78BC">
        <w:rPr>
          <w:rFonts w:ascii="Times New Roman" w:hAnsi="Times New Roman" w:cs="Times New Roman"/>
        </w:rPr>
        <w:fldChar w:fldCharType="begin"/>
      </w:r>
      <w:r w:rsidRPr="004A78BC">
        <w:rPr>
          <w:rFonts w:ascii="Times New Roman" w:hAnsi="Times New Roman" w:cs="Times New Roman"/>
        </w:rPr>
        <w:instrText xml:space="preserve"> SEQ Tab._ \* ARABIC </w:instrText>
      </w:r>
      <w:r w:rsidRPr="004A78BC">
        <w:rPr>
          <w:rFonts w:ascii="Times New Roman" w:hAnsi="Times New Roman" w:cs="Times New Roman"/>
        </w:rPr>
        <w:fldChar w:fldCharType="separate"/>
      </w:r>
      <w:r w:rsidR="00D65651">
        <w:rPr>
          <w:rFonts w:ascii="Times New Roman" w:hAnsi="Times New Roman" w:cs="Times New Roman"/>
          <w:noProof/>
        </w:rPr>
        <w:t>3</w:t>
      </w:r>
      <w:r w:rsidRPr="004A78BC">
        <w:rPr>
          <w:rFonts w:ascii="Times New Roman" w:hAnsi="Times New Roman" w:cs="Times New Roman"/>
          <w:noProof/>
        </w:rPr>
        <w:fldChar w:fldCharType="end"/>
      </w:r>
      <w:r w:rsidRPr="004A78BC">
        <w:rPr>
          <w:rFonts w:ascii="Times New Roman" w:hAnsi="Times New Roman" w:cs="Times New Roman"/>
        </w:rPr>
        <w:t>.</w:t>
      </w:r>
    </w:p>
    <w:p w14:paraId="118F1632" w14:textId="77777777" w:rsidR="002219B5" w:rsidRPr="004A78BC" w:rsidRDefault="002219B5" w:rsidP="002219B5">
      <w:pPr>
        <w:pStyle w:val="Caption"/>
        <w:spacing w:after="0"/>
        <w:jc w:val="right"/>
        <w:rPr>
          <w:rFonts w:ascii="Times New Roman" w:hAnsi="Times New Roman" w:cs="Times New Roman"/>
        </w:rPr>
      </w:pPr>
      <w:r w:rsidRPr="004A78BC">
        <w:rPr>
          <w:rFonts w:ascii="Times New Roman" w:hAnsi="Times New Roman" w:cs="Times New Roman"/>
        </w:rPr>
        <w:t xml:space="preserve"> </w:t>
      </w:r>
      <w:bookmarkStart w:id="11" w:name="_Hlk77086197"/>
      <w:r w:rsidRPr="004A78BC">
        <w:rPr>
          <w:rFonts w:ascii="Times New Roman" w:hAnsi="Times New Roman" w:cs="Times New Roman"/>
        </w:rPr>
        <w:t>Būvniecības produkcijas apjoma izmaiņu prognozes pret iepriekšējo gadu 2021.-2025. gadam.</w:t>
      </w:r>
      <w:bookmarkEnd w:id="11"/>
    </w:p>
    <w:tbl>
      <w:tblPr>
        <w:tblStyle w:val="GridTable31"/>
        <w:tblW w:w="9115" w:type="dxa"/>
        <w:tblLook w:val="04A0" w:firstRow="1" w:lastRow="0" w:firstColumn="1" w:lastColumn="0" w:noHBand="0" w:noVBand="1"/>
      </w:tblPr>
      <w:tblGrid>
        <w:gridCol w:w="1344"/>
        <w:gridCol w:w="1345"/>
        <w:gridCol w:w="1842"/>
        <w:gridCol w:w="1843"/>
        <w:gridCol w:w="2741"/>
      </w:tblGrid>
      <w:tr w:rsidR="002219B5" w:rsidRPr="004A78BC" w14:paraId="482F0E8D" w14:textId="77777777" w:rsidTr="00E151D3">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9115" w:type="dxa"/>
            <w:gridSpan w:val="5"/>
            <w:hideMark/>
          </w:tcPr>
          <w:p w14:paraId="39533543" w14:textId="77777777" w:rsidR="002219B5" w:rsidRPr="004A78BC" w:rsidRDefault="002219B5" w:rsidP="00E151D3">
            <w:pPr>
              <w:ind w:firstLine="0"/>
              <w:jc w:val="center"/>
              <w:rPr>
                <w:rFonts w:ascii="Times New Roman" w:hAnsi="Times New Roman" w:cs="Times New Roman"/>
                <w:lang w:val="lv-LV"/>
              </w:rPr>
            </w:pPr>
            <w:r w:rsidRPr="004A78BC">
              <w:rPr>
                <w:rFonts w:ascii="Times New Roman" w:hAnsi="Times New Roman" w:cs="Times New Roman"/>
                <w:lang w:val="lv-LV"/>
              </w:rPr>
              <w:t>Būvniecības produkcijas APJOMA prognozes pret iepriekšējo gadu 2021.-2025. gadam</w:t>
            </w:r>
          </w:p>
        </w:tc>
      </w:tr>
      <w:tr w:rsidR="002219B5" w:rsidRPr="004A78BC" w14:paraId="4D113AF6" w14:textId="77777777" w:rsidTr="00E15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4E0E70" w14:textId="77777777" w:rsidR="002219B5" w:rsidRPr="004A78BC" w:rsidRDefault="002219B5" w:rsidP="00C669CB">
            <w:pPr>
              <w:spacing w:line="240" w:lineRule="auto"/>
              <w:ind w:firstLine="0"/>
              <w:jc w:val="center"/>
              <w:rPr>
                <w:rFonts w:ascii="Times New Roman" w:hAnsi="Times New Roman" w:cs="Times New Roman"/>
                <w:sz w:val="20"/>
                <w:szCs w:val="20"/>
              </w:rPr>
            </w:pPr>
            <w:r w:rsidRPr="004A78BC">
              <w:rPr>
                <w:rFonts w:ascii="Times New Roman" w:hAnsi="Times New Roman" w:cs="Times New Roman"/>
                <w:sz w:val="20"/>
                <w:szCs w:val="20"/>
              </w:rPr>
              <w:t>2019.</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8CC902"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2020.</w:t>
            </w:r>
          </w:p>
        </w:tc>
        <w:tc>
          <w:tcPr>
            <w:tcW w:w="1842" w:type="dxa"/>
            <w:tcBorders>
              <w:left w:val="single" w:sz="4" w:space="0" w:color="auto"/>
            </w:tcBorders>
            <w:shd w:val="clear" w:color="auto" w:fill="D9E2F3" w:themeFill="accent1" w:themeFillTint="33"/>
            <w:vAlign w:val="center"/>
            <w:hideMark/>
          </w:tcPr>
          <w:p w14:paraId="7D084842"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Prognoze 2021.</w:t>
            </w:r>
          </w:p>
        </w:tc>
        <w:tc>
          <w:tcPr>
            <w:tcW w:w="1843" w:type="dxa"/>
            <w:shd w:val="clear" w:color="auto" w:fill="D9E2F3" w:themeFill="accent1" w:themeFillTint="33"/>
            <w:vAlign w:val="center"/>
            <w:hideMark/>
          </w:tcPr>
          <w:p w14:paraId="41C919D1"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Prognoze 2022.</w:t>
            </w:r>
          </w:p>
        </w:tc>
        <w:tc>
          <w:tcPr>
            <w:tcW w:w="2741" w:type="dxa"/>
            <w:shd w:val="clear" w:color="auto" w:fill="D9E2F3" w:themeFill="accent1" w:themeFillTint="33"/>
            <w:vAlign w:val="center"/>
            <w:hideMark/>
          </w:tcPr>
          <w:p w14:paraId="5AF03AEB"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Novērtējums 2023.-2025.</w:t>
            </w:r>
          </w:p>
        </w:tc>
      </w:tr>
      <w:tr w:rsidR="002219B5" w:rsidRPr="004A78BC" w14:paraId="5ADB497B" w14:textId="77777777" w:rsidTr="00E151D3">
        <w:trPr>
          <w:trHeight w:val="34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0FD74B" w14:textId="77777777" w:rsidR="002219B5" w:rsidRPr="004A78BC" w:rsidRDefault="002219B5" w:rsidP="00C669CB">
            <w:pPr>
              <w:spacing w:line="240" w:lineRule="auto"/>
              <w:ind w:firstLine="0"/>
              <w:jc w:val="center"/>
              <w:rPr>
                <w:rFonts w:ascii="Times New Roman" w:hAnsi="Times New Roman" w:cs="Times New Roman"/>
              </w:rPr>
            </w:pPr>
            <w:r w:rsidRPr="004A78BC">
              <w:rPr>
                <w:rFonts w:ascii="Times New Roman" w:hAnsi="Times New Roman" w:cs="Times New Roman"/>
              </w:rPr>
              <w:t>+2,9%</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C32F9C" w14:textId="77777777" w:rsidR="002219B5" w:rsidRPr="004A78BC" w:rsidRDefault="002219B5" w:rsidP="00C669C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A78BC">
              <w:rPr>
                <w:rFonts w:ascii="Times New Roman" w:hAnsi="Times New Roman" w:cs="Times New Roman"/>
              </w:rPr>
              <w:t>+2,7%</w:t>
            </w:r>
          </w:p>
        </w:tc>
        <w:tc>
          <w:tcPr>
            <w:tcW w:w="1842" w:type="dxa"/>
            <w:tcBorders>
              <w:left w:val="single" w:sz="4" w:space="0" w:color="auto"/>
            </w:tcBorders>
            <w:vAlign w:val="center"/>
            <w:hideMark/>
          </w:tcPr>
          <w:p w14:paraId="5E066BEE" w14:textId="77777777" w:rsidR="002219B5" w:rsidRPr="004A78BC" w:rsidRDefault="002219B5" w:rsidP="00C669CB">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43" w:type="dxa"/>
            <w:vAlign w:val="center"/>
            <w:hideMark/>
          </w:tcPr>
          <w:p w14:paraId="376777C2" w14:textId="77777777" w:rsidR="002219B5" w:rsidRPr="004A78BC" w:rsidRDefault="002219B5" w:rsidP="00C669CB">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741" w:type="dxa"/>
            <w:vAlign w:val="center"/>
            <w:hideMark/>
          </w:tcPr>
          <w:p w14:paraId="176A0F57" w14:textId="77777777" w:rsidR="002219B5" w:rsidRPr="004A78BC" w:rsidRDefault="002219B5" w:rsidP="00C669CB">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219B5" w:rsidRPr="004A78BC" w14:paraId="54477DBB" w14:textId="77777777" w:rsidTr="00C669C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89" w:type="dxa"/>
            <w:gridSpan w:val="2"/>
            <w:tcBorders>
              <w:top w:val="single" w:sz="4" w:space="0" w:color="auto"/>
            </w:tcBorders>
            <w:vAlign w:val="center"/>
            <w:hideMark/>
          </w:tcPr>
          <w:p w14:paraId="299EDB76" w14:textId="77777777" w:rsidR="002219B5" w:rsidRPr="004A78BC" w:rsidRDefault="002219B5" w:rsidP="00C669CB">
            <w:pPr>
              <w:spacing w:line="240" w:lineRule="auto"/>
              <w:ind w:firstLine="0"/>
              <w:jc w:val="right"/>
              <w:rPr>
                <w:rFonts w:ascii="Times New Roman" w:hAnsi="Times New Roman" w:cs="Times New Roman"/>
              </w:rPr>
            </w:pPr>
            <w:r w:rsidRPr="004A78BC">
              <w:rPr>
                <w:rFonts w:ascii="Times New Roman" w:hAnsi="Times New Roman" w:cs="Times New Roman"/>
              </w:rPr>
              <w:t xml:space="preserve">Kombinētā prognoze </w:t>
            </w:r>
            <w:r w:rsidRPr="004A78BC">
              <w:rPr>
                <w:rFonts w:ascii="Times New Roman" w:hAnsi="Times New Roman" w:cs="Times New Roman"/>
              </w:rPr>
              <w:sym w:font="Wingdings" w:char="F0E0"/>
            </w:r>
          </w:p>
        </w:tc>
        <w:tc>
          <w:tcPr>
            <w:tcW w:w="1842" w:type="dxa"/>
            <w:shd w:val="clear" w:color="auto" w:fill="D9E2F3" w:themeFill="accent1" w:themeFillTint="33"/>
            <w:vAlign w:val="center"/>
            <w:hideMark/>
          </w:tcPr>
          <w:p w14:paraId="4E56074C"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4A78BC">
              <w:rPr>
                <w:rFonts w:ascii="Times New Roman" w:hAnsi="Times New Roman" w:cs="Times New Roman"/>
                <w:b/>
                <w:bCs/>
                <w:sz w:val="24"/>
                <w:szCs w:val="24"/>
              </w:rPr>
              <w:t>+6,6%</w:t>
            </w:r>
          </w:p>
        </w:tc>
        <w:tc>
          <w:tcPr>
            <w:tcW w:w="1843" w:type="dxa"/>
            <w:shd w:val="clear" w:color="auto" w:fill="D9E2F3" w:themeFill="accent1" w:themeFillTint="33"/>
            <w:vAlign w:val="center"/>
            <w:hideMark/>
          </w:tcPr>
          <w:p w14:paraId="5562C8BF"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78BC">
              <w:rPr>
                <w:rFonts w:ascii="Times New Roman" w:hAnsi="Times New Roman" w:cs="Times New Roman"/>
              </w:rPr>
              <w:t>+7,1%</w:t>
            </w:r>
          </w:p>
        </w:tc>
        <w:tc>
          <w:tcPr>
            <w:tcW w:w="2741" w:type="dxa"/>
            <w:shd w:val="clear" w:color="auto" w:fill="D9E2F3" w:themeFill="accent1" w:themeFillTint="33"/>
            <w:vAlign w:val="center"/>
            <w:hideMark/>
          </w:tcPr>
          <w:p w14:paraId="49BC34EE" w14:textId="77777777" w:rsidR="002219B5" w:rsidRPr="004A78BC" w:rsidRDefault="002219B5" w:rsidP="00C669CB">
            <w:pPr>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A78BC">
              <w:rPr>
                <w:rFonts w:ascii="Times New Roman" w:hAnsi="Times New Roman" w:cs="Times New Roman"/>
              </w:rPr>
              <w:t>+6,5% līdz +4,9%</w:t>
            </w:r>
          </w:p>
        </w:tc>
      </w:tr>
      <w:tr w:rsidR="002219B5" w:rsidRPr="00EE1A1F" w14:paraId="27A4CF89" w14:textId="77777777" w:rsidTr="00C669CB">
        <w:trPr>
          <w:trHeight w:val="227"/>
        </w:trPr>
        <w:tc>
          <w:tcPr>
            <w:cnfStyle w:val="001000000000" w:firstRow="0" w:lastRow="0" w:firstColumn="1" w:lastColumn="0" w:oddVBand="0" w:evenVBand="0" w:oddHBand="0" w:evenHBand="0" w:firstRowFirstColumn="0" w:firstRowLastColumn="0" w:lastRowFirstColumn="0" w:lastRowLastColumn="0"/>
            <w:tcW w:w="2689" w:type="dxa"/>
            <w:gridSpan w:val="2"/>
            <w:vAlign w:val="center"/>
            <w:hideMark/>
          </w:tcPr>
          <w:p w14:paraId="55AF3EA8" w14:textId="77777777" w:rsidR="002219B5" w:rsidRPr="004A78BC" w:rsidRDefault="002219B5" w:rsidP="00C669CB">
            <w:pPr>
              <w:spacing w:line="240" w:lineRule="auto"/>
              <w:ind w:firstLine="0"/>
              <w:jc w:val="right"/>
              <w:rPr>
                <w:rFonts w:ascii="Times New Roman" w:hAnsi="Times New Roman" w:cs="Times New Roman"/>
                <w:sz w:val="20"/>
                <w:szCs w:val="20"/>
              </w:rPr>
            </w:pPr>
            <w:r w:rsidRPr="004A78BC">
              <w:rPr>
                <w:rFonts w:ascii="Times New Roman" w:hAnsi="Times New Roman" w:cs="Times New Roman"/>
                <w:sz w:val="20"/>
                <w:szCs w:val="20"/>
              </w:rPr>
              <w:t xml:space="preserve">Ekspertu prognoze </w:t>
            </w:r>
            <w:r w:rsidRPr="004A78BC">
              <w:rPr>
                <w:rFonts w:ascii="Times New Roman" w:hAnsi="Times New Roman" w:cs="Times New Roman"/>
                <w:sz w:val="20"/>
                <w:szCs w:val="20"/>
              </w:rPr>
              <w:sym w:font="Wingdings" w:char="F0E0"/>
            </w:r>
          </w:p>
        </w:tc>
        <w:tc>
          <w:tcPr>
            <w:tcW w:w="1842" w:type="dxa"/>
            <w:vAlign w:val="center"/>
            <w:hideMark/>
          </w:tcPr>
          <w:p w14:paraId="3F039710" w14:textId="77777777" w:rsidR="002219B5" w:rsidRPr="004A78BC" w:rsidRDefault="002219B5" w:rsidP="00C669C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+8,7%</w:t>
            </w:r>
          </w:p>
        </w:tc>
        <w:tc>
          <w:tcPr>
            <w:tcW w:w="1843" w:type="dxa"/>
            <w:vAlign w:val="center"/>
            <w:hideMark/>
          </w:tcPr>
          <w:p w14:paraId="07C70719" w14:textId="77777777" w:rsidR="002219B5" w:rsidRPr="004A78BC" w:rsidRDefault="002219B5" w:rsidP="00C669C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+10,1%</w:t>
            </w:r>
          </w:p>
        </w:tc>
        <w:tc>
          <w:tcPr>
            <w:tcW w:w="2741" w:type="dxa"/>
            <w:vAlign w:val="center"/>
            <w:hideMark/>
          </w:tcPr>
          <w:p w14:paraId="79680C17" w14:textId="77777777" w:rsidR="002219B5" w:rsidRPr="004A78BC" w:rsidRDefault="002219B5" w:rsidP="00C669C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4A78BC">
              <w:rPr>
                <w:rFonts w:ascii="Times New Roman" w:hAnsi="Times New Roman" w:cs="Times New Roman"/>
                <w:i/>
                <w:iCs/>
                <w:sz w:val="20"/>
                <w:szCs w:val="20"/>
              </w:rPr>
              <w:t>+9,1% līdz +6,4%</w:t>
            </w:r>
          </w:p>
        </w:tc>
      </w:tr>
    </w:tbl>
    <w:p w14:paraId="78BA73F0" w14:textId="2DA3D006" w:rsidR="002219B5" w:rsidRPr="006A5A5C" w:rsidRDefault="002219B5" w:rsidP="002219B5">
      <w:pPr>
        <w:spacing w:line="276" w:lineRule="auto"/>
        <w:ind w:firstLine="0"/>
        <w:rPr>
          <w:rFonts w:ascii="Times New Roman" w:hAnsi="Times New Roman" w:cs="Times New Roman"/>
          <w:sz w:val="10"/>
          <w:szCs w:val="10"/>
          <w:highlight w:val="yellow"/>
        </w:rPr>
      </w:pPr>
    </w:p>
    <w:p w14:paraId="007050EC" w14:textId="77777777" w:rsidR="006A5A5C" w:rsidRPr="00EE1A1F" w:rsidRDefault="006A5A5C" w:rsidP="002219B5">
      <w:pPr>
        <w:spacing w:line="276" w:lineRule="auto"/>
        <w:ind w:firstLine="0"/>
        <w:rPr>
          <w:rFonts w:ascii="Times New Roman" w:hAnsi="Times New Roman" w:cs="Times New Roman"/>
          <w:highlight w:val="yellow"/>
        </w:rPr>
      </w:pPr>
    </w:p>
    <w:p w14:paraId="248D29FC" w14:textId="02ECBDE6" w:rsidR="002219B5" w:rsidRDefault="002219B5" w:rsidP="002219B5">
      <w:pPr>
        <w:keepNext/>
        <w:rPr>
          <w:rFonts w:ascii="Times New Roman" w:hAnsi="Times New Roman" w:cs="Times New Roman"/>
          <w:highlight w:val="yellow"/>
        </w:rPr>
      </w:pPr>
      <w:r w:rsidRPr="001648B5">
        <w:rPr>
          <w:rFonts w:ascii="Times New Roman" w:hAnsi="Times New Roman" w:cs="Times New Roman"/>
          <w:noProof/>
          <w:highlight w:val="yellow"/>
        </w:rPr>
        <w:lastRenderedPageBreak/>
        <w:drawing>
          <wp:inline distT="0" distB="0" distL="0" distR="0" wp14:anchorId="28EDCC45" wp14:editId="4D0F40C0">
            <wp:extent cx="5358765" cy="2062716"/>
            <wp:effectExtent l="0" t="0" r="13335" b="13970"/>
            <wp:docPr id="34" name="Chart 34">
              <a:extLst xmlns:a="http://schemas.openxmlformats.org/drawingml/2006/main">
                <a:ext uri="{FF2B5EF4-FFF2-40B4-BE49-F238E27FC236}">
                  <a16:creationId xmlns:a16="http://schemas.microsoft.com/office/drawing/2014/main" id="{C0570B01-44A4-4FBF-9A47-491F651E8B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bl>
      <w:tblPr>
        <w:tblW w:w="7938" w:type="dxa"/>
        <w:tblInd w:w="709" w:type="dxa"/>
        <w:tblLayout w:type="fixed"/>
        <w:tblLook w:val="04A0" w:firstRow="1" w:lastRow="0" w:firstColumn="1" w:lastColumn="0" w:noHBand="0" w:noVBand="1"/>
      </w:tblPr>
      <w:tblGrid>
        <w:gridCol w:w="2527"/>
        <w:gridCol w:w="1149"/>
        <w:gridCol w:w="1149"/>
        <w:gridCol w:w="1149"/>
        <w:gridCol w:w="1149"/>
        <w:gridCol w:w="815"/>
      </w:tblGrid>
      <w:tr w:rsidR="00A15A4E" w:rsidRPr="00CA542D" w14:paraId="7EDEF51B" w14:textId="77777777" w:rsidTr="00811AB3">
        <w:trPr>
          <w:trHeight w:val="288"/>
        </w:trPr>
        <w:tc>
          <w:tcPr>
            <w:tcW w:w="2527" w:type="dxa"/>
            <w:shd w:val="clear" w:color="auto" w:fill="auto"/>
            <w:noWrap/>
            <w:vAlign w:val="bottom"/>
            <w:hideMark/>
          </w:tcPr>
          <w:p w14:paraId="11948D3D" w14:textId="77777777" w:rsidR="00A15A4E" w:rsidRPr="00CA542D" w:rsidRDefault="00A15A4E" w:rsidP="00811AB3">
            <w:pPr>
              <w:spacing w:line="240"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w:t>
            </w:r>
          </w:p>
        </w:tc>
        <w:tc>
          <w:tcPr>
            <w:tcW w:w="1149" w:type="dxa"/>
            <w:tcBorders>
              <w:bottom w:val="single" w:sz="4" w:space="0" w:color="808080" w:themeColor="background1" w:themeShade="80"/>
            </w:tcBorders>
            <w:shd w:val="clear" w:color="000000" w:fill="FFFFFF"/>
            <w:noWrap/>
            <w:vAlign w:val="center"/>
            <w:hideMark/>
          </w:tcPr>
          <w:p w14:paraId="0AFB2219"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2021.</w:t>
            </w:r>
          </w:p>
        </w:tc>
        <w:tc>
          <w:tcPr>
            <w:tcW w:w="1149" w:type="dxa"/>
            <w:tcBorders>
              <w:bottom w:val="single" w:sz="4" w:space="0" w:color="808080" w:themeColor="background1" w:themeShade="80"/>
            </w:tcBorders>
            <w:shd w:val="clear" w:color="000000" w:fill="FFFFFF"/>
            <w:noWrap/>
            <w:vAlign w:val="center"/>
            <w:hideMark/>
          </w:tcPr>
          <w:p w14:paraId="5F57D0C1"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2022.</w:t>
            </w:r>
          </w:p>
        </w:tc>
        <w:tc>
          <w:tcPr>
            <w:tcW w:w="1149" w:type="dxa"/>
            <w:tcBorders>
              <w:bottom w:val="single" w:sz="4" w:space="0" w:color="808080" w:themeColor="background1" w:themeShade="80"/>
            </w:tcBorders>
            <w:shd w:val="clear" w:color="000000" w:fill="FFFFFF"/>
            <w:noWrap/>
            <w:vAlign w:val="center"/>
            <w:hideMark/>
          </w:tcPr>
          <w:p w14:paraId="46F05461"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2023.</w:t>
            </w:r>
          </w:p>
        </w:tc>
        <w:tc>
          <w:tcPr>
            <w:tcW w:w="1149" w:type="dxa"/>
            <w:tcBorders>
              <w:bottom w:val="single" w:sz="4" w:space="0" w:color="808080" w:themeColor="background1" w:themeShade="80"/>
            </w:tcBorders>
            <w:shd w:val="clear" w:color="000000" w:fill="FFFFFF"/>
            <w:noWrap/>
            <w:vAlign w:val="center"/>
            <w:hideMark/>
          </w:tcPr>
          <w:p w14:paraId="0CE1E608"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2024.</w:t>
            </w:r>
          </w:p>
        </w:tc>
        <w:tc>
          <w:tcPr>
            <w:tcW w:w="815" w:type="dxa"/>
            <w:tcBorders>
              <w:bottom w:val="single" w:sz="4" w:space="0" w:color="808080" w:themeColor="background1" w:themeShade="80"/>
            </w:tcBorders>
            <w:shd w:val="clear" w:color="000000" w:fill="FFFFFF"/>
            <w:noWrap/>
            <w:vAlign w:val="center"/>
            <w:hideMark/>
          </w:tcPr>
          <w:p w14:paraId="51427DBF"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2025.</w:t>
            </w:r>
          </w:p>
        </w:tc>
      </w:tr>
      <w:tr w:rsidR="00A15A4E" w:rsidRPr="00CA542D" w14:paraId="6BDC0100"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4A6DFC27" w14:textId="77777777" w:rsidR="00A15A4E" w:rsidRPr="00CA542D" w:rsidRDefault="00A15A4E" w:rsidP="00811AB3">
            <w:pPr>
              <w:spacing w:line="240" w:lineRule="auto"/>
              <w:ind w:firstLine="0"/>
              <w:jc w:val="left"/>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Statistiskā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786F3B02"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4,5</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5E37A992"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4,2</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18712AF8"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3,9</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488A3945"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3,6</w:t>
            </w:r>
          </w:p>
        </w:tc>
        <w:tc>
          <w:tcPr>
            <w:tcW w:w="8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79C3E959"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3,3</w:t>
            </w:r>
          </w:p>
        </w:tc>
      </w:tr>
      <w:tr w:rsidR="00A15A4E" w:rsidRPr="00CA542D" w14:paraId="5E275416"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721F5EFF" w14:textId="77777777" w:rsidR="00A15A4E" w:rsidRPr="00CA542D" w:rsidRDefault="00A15A4E" w:rsidP="00811AB3">
            <w:pPr>
              <w:spacing w:line="240" w:lineRule="auto"/>
              <w:ind w:firstLine="0"/>
              <w:jc w:val="left"/>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Kombinētā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388C6289"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6,6</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7CACEC05"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7,1</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10E77C3F"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6,5</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1B963D41"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5,1</w:t>
            </w:r>
          </w:p>
        </w:tc>
        <w:tc>
          <w:tcPr>
            <w:tcW w:w="8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6DB89B36"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4,9</w:t>
            </w:r>
          </w:p>
        </w:tc>
      </w:tr>
      <w:tr w:rsidR="00A15A4E" w:rsidRPr="00CA542D" w14:paraId="77F89C49"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25D1B85F" w14:textId="77777777" w:rsidR="00A15A4E" w:rsidRPr="00CA542D" w:rsidRDefault="00A15A4E" w:rsidP="00811AB3">
            <w:pPr>
              <w:spacing w:line="240" w:lineRule="auto"/>
              <w:ind w:firstLine="0"/>
              <w:jc w:val="left"/>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Ekspertu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799AC8F5"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8,7</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421C64E7"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10,1</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5657BC2C"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9,1</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7EDABE0B"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6,6</w:t>
            </w:r>
          </w:p>
        </w:tc>
        <w:tc>
          <w:tcPr>
            <w:tcW w:w="8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center"/>
            <w:hideMark/>
          </w:tcPr>
          <w:p w14:paraId="28B9B8F0"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6,4</w:t>
            </w:r>
          </w:p>
        </w:tc>
      </w:tr>
    </w:tbl>
    <w:p w14:paraId="4F3DD155" w14:textId="77777777" w:rsidR="00A15A4E" w:rsidRPr="006A5A5C" w:rsidRDefault="00A15A4E" w:rsidP="002219B5">
      <w:pPr>
        <w:keepNext/>
        <w:rPr>
          <w:rFonts w:ascii="Times New Roman" w:hAnsi="Times New Roman" w:cs="Times New Roman"/>
          <w:sz w:val="14"/>
          <w:szCs w:val="14"/>
          <w:highlight w:val="yellow"/>
        </w:rPr>
      </w:pPr>
    </w:p>
    <w:p w14:paraId="56906D1B" w14:textId="0FFCA850" w:rsidR="002219B5" w:rsidRPr="004A78BC" w:rsidRDefault="002219B5" w:rsidP="00C669CB">
      <w:pPr>
        <w:pStyle w:val="Caption"/>
        <w:ind w:firstLine="0"/>
        <w:rPr>
          <w:rFonts w:ascii="Times New Roman" w:hAnsi="Times New Roman" w:cs="Times New Roman"/>
        </w:rPr>
      </w:pPr>
      <w:r w:rsidRPr="004A78BC">
        <w:t xml:space="preserve">Attēls </w:t>
      </w:r>
      <w:r w:rsidR="00F43189">
        <w:fldChar w:fldCharType="begin"/>
      </w:r>
      <w:r w:rsidR="00F43189">
        <w:instrText xml:space="preserve"> SEQ Attēls \* ARABIC </w:instrText>
      </w:r>
      <w:r w:rsidR="00F43189">
        <w:fldChar w:fldCharType="separate"/>
      </w:r>
      <w:r w:rsidR="00D65651">
        <w:rPr>
          <w:noProof/>
        </w:rPr>
        <w:t>4</w:t>
      </w:r>
      <w:r w:rsidR="00F43189">
        <w:rPr>
          <w:noProof/>
        </w:rPr>
        <w:fldChar w:fldCharType="end"/>
      </w:r>
      <w:r w:rsidRPr="004A78BC">
        <w:t xml:space="preserve">. </w:t>
      </w:r>
      <w:r w:rsidRPr="004A78BC">
        <w:rPr>
          <w:rFonts w:ascii="Times New Roman" w:hAnsi="Times New Roman" w:cs="Times New Roman"/>
        </w:rPr>
        <w:t>Būvniecības produkcijas apjoma izmaiņu prognozes 2021.-2025. gadam procentos pret iepriekšējo gadu.</w:t>
      </w:r>
    </w:p>
    <w:p w14:paraId="58220EEF" w14:textId="77777777" w:rsidR="006A5A5C" w:rsidRPr="006A5A5C" w:rsidRDefault="006A5A5C" w:rsidP="00C669CB">
      <w:pPr>
        <w:shd w:val="clear" w:color="auto" w:fill="FFFFFF" w:themeFill="background1"/>
        <w:ind w:firstLine="0"/>
        <w:rPr>
          <w:rFonts w:ascii="Times New Roman" w:hAnsi="Times New Roman" w:cs="Times New Roman"/>
          <w:sz w:val="16"/>
          <w:szCs w:val="16"/>
        </w:rPr>
      </w:pPr>
    </w:p>
    <w:p w14:paraId="728104EF" w14:textId="57AB0D17" w:rsidR="006A3ED1" w:rsidRDefault="006A3ED1" w:rsidP="0088719C">
      <w:pPr>
        <w:shd w:val="clear" w:color="auto" w:fill="FFFFFF" w:themeFill="background1"/>
        <w:rPr>
          <w:rFonts w:ascii="Times New Roman" w:hAnsi="Times New Roman" w:cs="Times New Roman"/>
          <w:sz w:val="24"/>
          <w:szCs w:val="24"/>
        </w:rPr>
      </w:pPr>
      <w:r w:rsidRPr="00FB7A50">
        <w:rPr>
          <w:rFonts w:ascii="Times New Roman" w:hAnsi="Times New Roman" w:cs="Times New Roman"/>
          <w:sz w:val="24"/>
          <w:szCs w:val="24"/>
        </w:rPr>
        <w:t xml:space="preserve">2021. gada iegūtās prognozes norāda, ka </w:t>
      </w:r>
      <w:r w:rsidRPr="00FB7A50">
        <w:rPr>
          <w:rFonts w:ascii="Times New Roman" w:hAnsi="Times New Roman" w:cs="Times New Roman"/>
          <w:b/>
          <w:bCs/>
          <w:sz w:val="24"/>
          <w:szCs w:val="24"/>
        </w:rPr>
        <w:t xml:space="preserve">būvniecības apjoms 2021. gadā  pret 2020. gadu pieaugs par +6,6%, turpinot pieaugt arī 2022. gadā +7,1%. </w:t>
      </w:r>
      <w:r w:rsidRPr="00FB7A50">
        <w:rPr>
          <w:rFonts w:ascii="Times New Roman" w:hAnsi="Times New Roman" w:cs="Times New Roman"/>
          <w:sz w:val="24"/>
          <w:szCs w:val="24"/>
        </w:rPr>
        <w:t>Laika posmā no 2023. gadam līdz 2025. gadam prognozēts, ka pieaugums turpināsies relatīvi vienmērīgā tempā</w:t>
      </w:r>
      <w:r w:rsidR="00AA38FA">
        <w:rPr>
          <w:rFonts w:ascii="Times New Roman" w:hAnsi="Times New Roman" w:cs="Times New Roman"/>
          <w:sz w:val="24"/>
          <w:szCs w:val="24"/>
        </w:rPr>
        <w:t>.</w:t>
      </w:r>
      <w:r w:rsidRPr="00FB7A50">
        <w:rPr>
          <w:rFonts w:ascii="Times New Roman" w:hAnsi="Times New Roman" w:cs="Times New Roman"/>
          <w:sz w:val="24"/>
          <w:szCs w:val="24"/>
        </w:rPr>
        <w:t xml:space="preserve"> </w:t>
      </w:r>
    </w:p>
    <w:p w14:paraId="77051910" w14:textId="3FAB68D0" w:rsidR="00C47FAA" w:rsidRPr="00C47FAA" w:rsidRDefault="00C47FAA" w:rsidP="0088719C">
      <w:pPr>
        <w:ind w:firstLine="709"/>
        <w:rPr>
          <w:rFonts w:ascii="Times New Roman" w:hAnsi="Times New Roman" w:cs="Times New Roman"/>
          <w:sz w:val="24"/>
          <w:szCs w:val="24"/>
        </w:rPr>
      </w:pPr>
      <w:r w:rsidRPr="00C47FAA">
        <w:rPr>
          <w:rFonts w:ascii="Times New Roman" w:hAnsi="Times New Roman" w:cs="Times New Roman"/>
          <w:sz w:val="24"/>
          <w:szCs w:val="24"/>
        </w:rPr>
        <w:t>Pētījuma noslēguma posmā pieejamie dati par būvniecības nozares īstermiņa attīstību liecina par būvniecības produkcijas kritumu 2021. gada 1. ceturksnī par 12% un kāpumu 2. ceturksnī par 1%. Šāda situācijas attīstība var tikt uztverta kā pretrun</w:t>
      </w:r>
      <w:r>
        <w:rPr>
          <w:rFonts w:ascii="Times New Roman" w:hAnsi="Times New Roman" w:cs="Times New Roman"/>
          <w:sz w:val="24"/>
          <w:szCs w:val="24"/>
        </w:rPr>
        <w:t>a</w:t>
      </w:r>
      <w:r w:rsidRPr="00C47FAA">
        <w:rPr>
          <w:rFonts w:ascii="Times New Roman" w:hAnsi="Times New Roman" w:cs="Times New Roman"/>
          <w:sz w:val="24"/>
          <w:szCs w:val="24"/>
        </w:rPr>
        <w:t xml:space="preserve"> ar ekspertu skatījumu uz nozares attīstību. Tomēr pētnieki uzskata, ka ir divi argumenti tam, ka 2021. gada otrā pusgada rādītāji varētu nozīmēt kopumā pozitīvu būvniecības nozares produkcijas apjomu:</w:t>
      </w:r>
    </w:p>
    <w:p w14:paraId="199F81E9" w14:textId="7A2899FD" w:rsidR="00C47FAA" w:rsidRPr="006A5A5C" w:rsidRDefault="00C47FAA" w:rsidP="006A5A5C">
      <w:pPr>
        <w:pStyle w:val="ListParagraph"/>
        <w:numPr>
          <w:ilvl w:val="0"/>
          <w:numId w:val="37"/>
        </w:numPr>
        <w:ind w:left="709"/>
        <w:rPr>
          <w:rFonts w:ascii="Times New Roman" w:hAnsi="Times New Roman" w:cs="Times New Roman"/>
          <w:sz w:val="24"/>
          <w:szCs w:val="24"/>
        </w:rPr>
      </w:pPr>
      <w:r w:rsidRPr="006A5A5C">
        <w:rPr>
          <w:rFonts w:ascii="Times New Roman" w:hAnsi="Times New Roman" w:cs="Times New Roman"/>
          <w:sz w:val="24"/>
          <w:szCs w:val="24"/>
        </w:rPr>
        <w:t>Būvniecības nozarē Latvijā vēsturiski ceturkšņu pieaugums pret iepriekšējo gadu ir bijis ļoti nekonsekvents, līdz ar to nevar apgalvot, ka slikta situācija pirmajā pusgadā korelētu ar sliktu situāciju otrajā pusgadā;</w:t>
      </w:r>
    </w:p>
    <w:p w14:paraId="17478E4E" w14:textId="5A2259FC" w:rsidR="00C47FAA" w:rsidRPr="006A5A5C" w:rsidRDefault="00C47FAA" w:rsidP="006A5A5C">
      <w:pPr>
        <w:pStyle w:val="ListParagraph"/>
        <w:numPr>
          <w:ilvl w:val="0"/>
          <w:numId w:val="37"/>
        </w:numPr>
        <w:ind w:left="709"/>
        <w:rPr>
          <w:rFonts w:ascii="Times New Roman" w:hAnsi="Times New Roman" w:cs="Times New Roman"/>
          <w:sz w:val="24"/>
          <w:szCs w:val="24"/>
        </w:rPr>
      </w:pPr>
      <w:r w:rsidRPr="006A5A5C">
        <w:rPr>
          <w:rFonts w:ascii="Times New Roman" w:hAnsi="Times New Roman" w:cs="Times New Roman"/>
          <w:sz w:val="24"/>
          <w:szCs w:val="24"/>
        </w:rPr>
        <w:t>Kopējais IKP 2021. gada pirmajā pusgadā uzrāda pozitīvu pieauguma tendenci (pieaugums 10,3% 2.cet</w:t>
      </w:r>
      <w:r w:rsidR="00DB4557">
        <w:rPr>
          <w:rFonts w:ascii="Times New Roman" w:hAnsi="Times New Roman" w:cs="Times New Roman"/>
          <w:sz w:val="24"/>
          <w:szCs w:val="24"/>
        </w:rPr>
        <w:t xml:space="preserve">urksnī </w:t>
      </w:r>
      <w:r w:rsidRPr="006A5A5C">
        <w:rPr>
          <w:rFonts w:ascii="Times New Roman" w:hAnsi="Times New Roman" w:cs="Times New Roman"/>
          <w:sz w:val="24"/>
          <w:szCs w:val="24"/>
        </w:rPr>
        <w:t>pret iepriekšējā gada atbilstošo periodu), kas, visdrīzāk, atsauksies arī būvniecības nozares attīstība, jo šī nozare gala produktu sniedz ar lielāku laika nobīdi, nekā citas nozares.</w:t>
      </w:r>
    </w:p>
    <w:p w14:paraId="7ED51D07" w14:textId="77777777" w:rsidR="00AA38FA" w:rsidRPr="00C47FAA" w:rsidRDefault="00AA38FA" w:rsidP="000C3D14">
      <w:pPr>
        <w:ind w:firstLine="0"/>
        <w:rPr>
          <w:rFonts w:ascii="Times New Roman" w:hAnsi="Times New Roman" w:cs="Times New Roman"/>
          <w:b/>
          <w:bCs/>
          <w:sz w:val="24"/>
          <w:szCs w:val="24"/>
        </w:rPr>
      </w:pPr>
    </w:p>
    <w:p w14:paraId="7FF4331C" w14:textId="7193BA28" w:rsidR="00710304" w:rsidRDefault="006A3ED1" w:rsidP="0088719C">
      <w:pPr>
        <w:ind w:firstLine="709"/>
        <w:rPr>
          <w:rFonts w:ascii="Times New Roman" w:hAnsi="Times New Roman" w:cs="Times New Roman"/>
          <w:sz w:val="24"/>
          <w:szCs w:val="24"/>
        </w:rPr>
      </w:pPr>
      <w:r w:rsidRPr="00FB7A50">
        <w:rPr>
          <w:rFonts w:ascii="Times New Roman" w:hAnsi="Times New Roman" w:cs="Times New Roman"/>
          <w:b/>
          <w:bCs/>
          <w:sz w:val="24"/>
          <w:szCs w:val="24"/>
        </w:rPr>
        <w:t>Būvniecības izmaksas.</w:t>
      </w:r>
      <w:r w:rsidRPr="00FB7A50">
        <w:rPr>
          <w:rFonts w:ascii="Times New Roman" w:hAnsi="Times New Roman" w:cs="Times New Roman"/>
          <w:sz w:val="24"/>
          <w:szCs w:val="24"/>
        </w:rPr>
        <w:t xml:space="preserve"> </w:t>
      </w:r>
      <w:r w:rsidR="00A15A4E" w:rsidRPr="00FB7A50">
        <w:rPr>
          <w:rFonts w:ascii="Times New Roman" w:hAnsi="Times New Roman" w:cs="Times New Roman"/>
          <w:sz w:val="24"/>
          <w:szCs w:val="24"/>
        </w:rPr>
        <w:t xml:space="preserve">Prognozējot būvniecības izmaksu izmaiņas </w:t>
      </w:r>
      <w:r w:rsidR="00AA38FA">
        <w:rPr>
          <w:rFonts w:ascii="Times New Roman" w:hAnsi="Times New Roman" w:cs="Times New Roman"/>
          <w:sz w:val="24"/>
          <w:szCs w:val="24"/>
        </w:rPr>
        <w:t xml:space="preserve">tika </w:t>
      </w:r>
      <w:r w:rsidR="00A15A4E" w:rsidRPr="00FB7A50">
        <w:rPr>
          <w:rFonts w:ascii="Times New Roman" w:hAnsi="Times New Roman" w:cs="Times New Roman"/>
          <w:sz w:val="24"/>
          <w:szCs w:val="24"/>
        </w:rPr>
        <w:t xml:space="preserve">novērots ļoti izteikts viedoklis, ka 2021. gadā sagaidāms straujš izmaksu pieaugums. Visus nākamos prognozējamos gadus arī tiek paredzēts izmaksu pieaugums, kas pakāpeniski samazinās, līdz 2025. gada prognozē sasniedz 2019. un 2020.  gadu vidējo līmeni. </w:t>
      </w:r>
    </w:p>
    <w:p w14:paraId="4B5988B7" w14:textId="77777777" w:rsidR="00710304" w:rsidRDefault="00710304">
      <w:pPr>
        <w:spacing w:after="160" w:line="259" w:lineRule="auto"/>
        <w:ind w:firstLine="0"/>
        <w:jc w:val="left"/>
        <w:rPr>
          <w:rFonts w:ascii="Times New Roman" w:hAnsi="Times New Roman" w:cs="Times New Roman"/>
          <w:sz w:val="24"/>
          <w:szCs w:val="24"/>
        </w:rPr>
      </w:pPr>
      <w:r>
        <w:rPr>
          <w:rFonts w:ascii="Times New Roman" w:hAnsi="Times New Roman" w:cs="Times New Roman"/>
          <w:sz w:val="24"/>
          <w:szCs w:val="24"/>
        </w:rPr>
        <w:br w:type="page"/>
      </w:r>
    </w:p>
    <w:p w14:paraId="5FCD2605" w14:textId="5EABCE4B" w:rsidR="002219B5" w:rsidRPr="004A78BC" w:rsidRDefault="002219B5" w:rsidP="002219B5">
      <w:pPr>
        <w:pStyle w:val="Caption"/>
        <w:spacing w:after="0"/>
        <w:jc w:val="right"/>
        <w:rPr>
          <w:rFonts w:ascii="Times New Roman" w:hAnsi="Times New Roman" w:cs="Times New Roman"/>
        </w:rPr>
      </w:pPr>
      <w:r w:rsidRPr="004A78BC">
        <w:rPr>
          <w:rFonts w:ascii="Times New Roman" w:hAnsi="Times New Roman" w:cs="Times New Roman"/>
        </w:rPr>
        <w:lastRenderedPageBreak/>
        <w:t xml:space="preserve">Tabula  </w:t>
      </w:r>
      <w:r w:rsidRPr="004A78BC">
        <w:rPr>
          <w:rFonts w:ascii="Times New Roman" w:hAnsi="Times New Roman" w:cs="Times New Roman"/>
        </w:rPr>
        <w:fldChar w:fldCharType="begin"/>
      </w:r>
      <w:r w:rsidRPr="004A78BC">
        <w:rPr>
          <w:rFonts w:ascii="Times New Roman" w:hAnsi="Times New Roman" w:cs="Times New Roman"/>
        </w:rPr>
        <w:instrText xml:space="preserve"> SEQ Tab._ \* ARABIC </w:instrText>
      </w:r>
      <w:r w:rsidRPr="004A78BC">
        <w:rPr>
          <w:rFonts w:ascii="Times New Roman" w:hAnsi="Times New Roman" w:cs="Times New Roman"/>
        </w:rPr>
        <w:fldChar w:fldCharType="separate"/>
      </w:r>
      <w:r w:rsidR="00D65651">
        <w:rPr>
          <w:rFonts w:ascii="Times New Roman" w:hAnsi="Times New Roman" w:cs="Times New Roman"/>
          <w:noProof/>
        </w:rPr>
        <w:t>4</w:t>
      </w:r>
      <w:r w:rsidRPr="004A78BC">
        <w:rPr>
          <w:rFonts w:ascii="Times New Roman" w:hAnsi="Times New Roman" w:cs="Times New Roman"/>
          <w:noProof/>
        </w:rPr>
        <w:fldChar w:fldCharType="end"/>
      </w:r>
      <w:r w:rsidRPr="004A78BC">
        <w:rPr>
          <w:rFonts w:ascii="Times New Roman" w:hAnsi="Times New Roman" w:cs="Times New Roman"/>
        </w:rPr>
        <w:t>.</w:t>
      </w:r>
    </w:p>
    <w:p w14:paraId="5C388999" w14:textId="77777777" w:rsidR="002219B5" w:rsidRPr="004A78BC" w:rsidRDefault="002219B5" w:rsidP="002219B5">
      <w:pPr>
        <w:pStyle w:val="Caption"/>
        <w:spacing w:after="0"/>
        <w:jc w:val="right"/>
        <w:rPr>
          <w:rFonts w:ascii="Times New Roman" w:hAnsi="Times New Roman" w:cs="Times New Roman"/>
        </w:rPr>
      </w:pPr>
      <w:r w:rsidRPr="004A78BC">
        <w:rPr>
          <w:rFonts w:ascii="Times New Roman" w:hAnsi="Times New Roman" w:cs="Times New Roman"/>
        </w:rPr>
        <w:t xml:space="preserve"> Būvniecības izmaksu izmaiņu prognozes pret iepriekšējo gadu 2021.-2025. gadam.</w:t>
      </w:r>
    </w:p>
    <w:tbl>
      <w:tblPr>
        <w:tblStyle w:val="GridTable31"/>
        <w:tblW w:w="9115" w:type="dxa"/>
        <w:tblLook w:val="04A0" w:firstRow="1" w:lastRow="0" w:firstColumn="1" w:lastColumn="0" w:noHBand="0" w:noVBand="1"/>
      </w:tblPr>
      <w:tblGrid>
        <w:gridCol w:w="1344"/>
        <w:gridCol w:w="1345"/>
        <w:gridCol w:w="1842"/>
        <w:gridCol w:w="1843"/>
        <w:gridCol w:w="2741"/>
      </w:tblGrid>
      <w:tr w:rsidR="002219B5" w:rsidRPr="004A78BC" w14:paraId="23965841" w14:textId="77777777" w:rsidTr="00E151D3">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9115" w:type="dxa"/>
            <w:gridSpan w:val="5"/>
            <w:hideMark/>
          </w:tcPr>
          <w:p w14:paraId="00038F1F" w14:textId="77777777" w:rsidR="002219B5" w:rsidRPr="004A78BC" w:rsidRDefault="002219B5" w:rsidP="00E151D3">
            <w:pPr>
              <w:jc w:val="center"/>
              <w:rPr>
                <w:rFonts w:ascii="Times New Roman" w:hAnsi="Times New Roman" w:cs="Times New Roman"/>
                <w:lang w:val="lv-LV"/>
              </w:rPr>
            </w:pPr>
            <w:r w:rsidRPr="004A78BC">
              <w:rPr>
                <w:rFonts w:ascii="Times New Roman" w:hAnsi="Times New Roman" w:cs="Times New Roman"/>
                <w:lang w:val="lv-LV"/>
              </w:rPr>
              <w:t>Būvniecības IZMAKSU izmaiņu prognozes pret iepriekšējo gadu 2021.-2025. gadam</w:t>
            </w:r>
          </w:p>
        </w:tc>
      </w:tr>
      <w:tr w:rsidR="002219B5" w:rsidRPr="004A78BC" w14:paraId="0B55B72F" w14:textId="77777777" w:rsidTr="00E15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C46DBC" w14:textId="77777777" w:rsidR="002219B5" w:rsidRPr="004A78BC" w:rsidRDefault="002219B5" w:rsidP="00E151D3">
            <w:pPr>
              <w:ind w:firstLine="0"/>
              <w:jc w:val="center"/>
              <w:rPr>
                <w:rFonts w:ascii="Times New Roman" w:hAnsi="Times New Roman" w:cs="Times New Roman"/>
                <w:lang w:val="lv-LV"/>
              </w:rPr>
            </w:pPr>
            <w:r w:rsidRPr="004A78BC">
              <w:rPr>
                <w:rFonts w:ascii="Times New Roman" w:hAnsi="Times New Roman" w:cs="Times New Roman"/>
                <w:lang w:val="lv-LV"/>
              </w:rPr>
              <w:t>2019.</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B2AED5"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lang w:val="lv-LV"/>
              </w:rPr>
              <w:t>2020.</w:t>
            </w:r>
          </w:p>
        </w:tc>
        <w:tc>
          <w:tcPr>
            <w:tcW w:w="1842" w:type="dxa"/>
            <w:tcBorders>
              <w:left w:val="single" w:sz="4" w:space="0" w:color="auto"/>
            </w:tcBorders>
            <w:shd w:val="clear" w:color="auto" w:fill="E2EFD9" w:themeFill="accent6" w:themeFillTint="33"/>
            <w:vAlign w:val="center"/>
            <w:hideMark/>
          </w:tcPr>
          <w:p w14:paraId="64EA0854"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i/>
                <w:iCs/>
                <w:sz w:val="20"/>
                <w:szCs w:val="20"/>
                <w:lang w:val="lv-LV"/>
              </w:rPr>
              <w:t>Prognoze 2021.</w:t>
            </w:r>
          </w:p>
        </w:tc>
        <w:tc>
          <w:tcPr>
            <w:tcW w:w="1843" w:type="dxa"/>
            <w:shd w:val="clear" w:color="auto" w:fill="E2EFD9" w:themeFill="accent6" w:themeFillTint="33"/>
            <w:vAlign w:val="center"/>
            <w:hideMark/>
          </w:tcPr>
          <w:p w14:paraId="014E6E63"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i/>
                <w:iCs/>
                <w:sz w:val="20"/>
                <w:szCs w:val="20"/>
                <w:lang w:val="lv-LV"/>
              </w:rPr>
              <w:t>Prognoze 2022.</w:t>
            </w:r>
          </w:p>
        </w:tc>
        <w:tc>
          <w:tcPr>
            <w:tcW w:w="2741" w:type="dxa"/>
            <w:shd w:val="clear" w:color="auto" w:fill="E2EFD9" w:themeFill="accent6" w:themeFillTint="33"/>
            <w:vAlign w:val="center"/>
            <w:hideMark/>
          </w:tcPr>
          <w:p w14:paraId="38ED86B6"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i/>
                <w:iCs/>
                <w:sz w:val="20"/>
                <w:szCs w:val="20"/>
                <w:lang w:val="lv-LV"/>
              </w:rPr>
              <w:t>Novērtējums 2023.-2025.</w:t>
            </w:r>
          </w:p>
        </w:tc>
      </w:tr>
      <w:tr w:rsidR="002219B5" w:rsidRPr="004A78BC" w14:paraId="5DE6A34E" w14:textId="77777777" w:rsidTr="00E151D3">
        <w:trPr>
          <w:trHeight w:val="340"/>
        </w:trPr>
        <w:tc>
          <w:tcPr>
            <w:cnfStyle w:val="001000000000" w:firstRow="0" w:lastRow="0" w:firstColumn="1" w:lastColumn="0" w:oddVBand="0" w:evenVBand="0" w:oddHBand="0" w:evenHBand="0" w:firstRowFirstColumn="0" w:firstRowLastColumn="0" w:lastRowFirstColumn="0" w:lastRowLastColumn="0"/>
            <w:tcW w:w="13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613474" w14:textId="77777777" w:rsidR="002219B5" w:rsidRPr="004A78BC" w:rsidRDefault="002219B5" w:rsidP="00E151D3">
            <w:pPr>
              <w:ind w:firstLine="0"/>
              <w:jc w:val="center"/>
              <w:rPr>
                <w:rFonts w:ascii="Times New Roman" w:hAnsi="Times New Roman" w:cs="Times New Roman"/>
                <w:lang w:val="lv-LV"/>
              </w:rPr>
            </w:pPr>
            <w:r w:rsidRPr="004A78BC">
              <w:rPr>
                <w:rFonts w:ascii="Times New Roman" w:hAnsi="Times New Roman" w:cs="Times New Roman"/>
                <w:lang w:val="lv-LV"/>
              </w:rPr>
              <w:t>+4,1%</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2630B1" w14:textId="77777777" w:rsidR="002219B5" w:rsidRPr="004A78BC" w:rsidRDefault="002219B5" w:rsidP="00E151D3">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lang w:val="lv-LV"/>
              </w:rPr>
              <w:t>+1,3%</w:t>
            </w:r>
          </w:p>
        </w:tc>
        <w:tc>
          <w:tcPr>
            <w:tcW w:w="1842" w:type="dxa"/>
            <w:tcBorders>
              <w:left w:val="single" w:sz="4" w:space="0" w:color="auto"/>
            </w:tcBorders>
            <w:vAlign w:val="center"/>
            <w:hideMark/>
          </w:tcPr>
          <w:p w14:paraId="5226B52A" w14:textId="77777777" w:rsidR="002219B5" w:rsidRPr="004A78BC" w:rsidRDefault="002219B5" w:rsidP="00E151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lv-LV"/>
              </w:rPr>
            </w:pPr>
          </w:p>
        </w:tc>
        <w:tc>
          <w:tcPr>
            <w:tcW w:w="1843" w:type="dxa"/>
            <w:vAlign w:val="center"/>
            <w:hideMark/>
          </w:tcPr>
          <w:p w14:paraId="3200F54F" w14:textId="77777777" w:rsidR="002219B5" w:rsidRPr="004A78BC" w:rsidRDefault="002219B5" w:rsidP="00E151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lv-LV"/>
              </w:rPr>
            </w:pPr>
          </w:p>
        </w:tc>
        <w:tc>
          <w:tcPr>
            <w:tcW w:w="2741" w:type="dxa"/>
            <w:vAlign w:val="center"/>
            <w:hideMark/>
          </w:tcPr>
          <w:p w14:paraId="69CFA480" w14:textId="77777777" w:rsidR="002219B5" w:rsidRPr="004A78BC" w:rsidRDefault="002219B5" w:rsidP="00E151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lv-LV"/>
              </w:rPr>
            </w:pPr>
          </w:p>
        </w:tc>
      </w:tr>
      <w:tr w:rsidR="002219B5" w:rsidRPr="004A78BC" w14:paraId="2A7FB7C8" w14:textId="77777777" w:rsidTr="00E151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89" w:type="dxa"/>
            <w:gridSpan w:val="2"/>
            <w:tcBorders>
              <w:top w:val="single" w:sz="4" w:space="0" w:color="auto"/>
            </w:tcBorders>
            <w:vAlign w:val="center"/>
            <w:hideMark/>
          </w:tcPr>
          <w:p w14:paraId="7413DB3F" w14:textId="77777777" w:rsidR="002219B5" w:rsidRPr="004A78BC" w:rsidRDefault="002219B5" w:rsidP="00E151D3">
            <w:pPr>
              <w:ind w:firstLine="0"/>
              <w:jc w:val="right"/>
              <w:rPr>
                <w:rFonts w:ascii="Times New Roman" w:hAnsi="Times New Roman" w:cs="Times New Roman"/>
                <w:lang w:val="lv-LV"/>
              </w:rPr>
            </w:pPr>
            <w:r w:rsidRPr="004A78BC">
              <w:rPr>
                <w:rFonts w:ascii="Times New Roman" w:hAnsi="Times New Roman" w:cs="Times New Roman"/>
                <w:lang w:val="lv-LV"/>
              </w:rPr>
              <w:t xml:space="preserve">Kombinētā prognoze </w:t>
            </w:r>
            <w:r w:rsidRPr="004A78BC">
              <w:rPr>
                <w:rFonts w:ascii="Times New Roman" w:hAnsi="Times New Roman" w:cs="Times New Roman"/>
                <w:lang w:val="lv-LV"/>
              </w:rPr>
              <w:sym w:font="Wingdings" w:char="F0E0"/>
            </w:r>
          </w:p>
        </w:tc>
        <w:tc>
          <w:tcPr>
            <w:tcW w:w="1842" w:type="dxa"/>
            <w:shd w:val="clear" w:color="auto" w:fill="E2EFD9" w:themeFill="accent6" w:themeFillTint="33"/>
            <w:vAlign w:val="center"/>
            <w:hideMark/>
          </w:tcPr>
          <w:p w14:paraId="38CF0004"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lv-LV"/>
              </w:rPr>
            </w:pPr>
            <w:r w:rsidRPr="004A78BC">
              <w:rPr>
                <w:rFonts w:ascii="Times New Roman" w:hAnsi="Times New Roman" w:cs="Times New Roman"/>
                <w:b/>
                <w:bCs/>
                <w:sz w:val="24"/>
                <w:szCs w:val="24"/>
                <w:lang w:val="lv-LV"/>
              </w:rPr>
              <w:t>+6,6%</w:t>
            </w:r>
          </w:p>
        </w:tc>
        <w:tc>
          <w:tcPr>
            <w:tcW w:w="1843" w:type="dxa"/>
            <w:shd w:val="clear" w:color="auto" w:fill="E2EFD9" w:themeFill="accent6" w:themeFillTint="33"/>
            <w:vAlign w:val="center"/>
            <w:hideMark/>
          </w:tcPr>
          <w:p w14:paraId="7840644E"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lang w:val="lv-LV"/>
              </w:rPr>
              <w:t>+5,6%</w:t>
            </w:r>
          </w:p>
        </w:tc>
        <w:tc>
          <w:tcPr>
            <w:tcW w:w="2741" w:type="dxa"/>
            <w:shd w:val="clear" w:color="auto" w:fill="E2EFD9" w:themeFill="accent6" w:themeFillTint="33"/>
            <w:vAlign w:val="center"/>
            <w:hideMark/>
          </w:tcPr>
          <w:p w14:paraId="5954EFC8" w14:textId="77777777" w:rsidR="002219B5" w:rsidRPr="004A78BC" w:rsidRDefault="002219B5" w:rsidP="00E151D3">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lv-LV"/>
              </w:rPr>
            </w:pPr>
            <w:r w:rsidRPr="004A78BC">
              <w:rPr>
                <w:rFonts w:ascii="Times New Roman" w:hAnsi="Times New Roman" w:cs="Times New Roman"/>
                <w:lang w:val="lv-LV"/>
              </w:rPr>
              <w:t>+3,7% līdz +2,6%</w:t>
            </w:r>
          </w:p>
        </w:tc>
      </w:tr>
      <w:tr w:rsidR="002219B5" w:rsidRPr="00EE1A1F" w14:paraId="319459EF" w14:textId="77777777" w:rsidTr="00E151D3">
        <w:trPr>
          <w:trHeight w:val="340"/>
        </w:trPr>
        <w:tc>
          <w:tcPr>
            <w:cnfStyle w:val="001000000000" w:firstRow="0" w:lastRow="0" w:firstColumn="1" w:lastColumn="0" w:oddVBand="0" w:evenVBand="0" w:oddHBand="0" w:evenHBand="0" w:firstRowFirstColumn="0" w:firstRowLastColumn="0" w:lastRowFirstColumn="0" w:lastRowLastColumn="0"/>
            <w:tcW w:w="2689" w:type="dxa"/>
            <w:gridSpan w:val="2"/>
            <w:vAlign w:val="center"/>
            <w:hideMark/>
          </w:tcPr>
          <w:p w14:paraId="00BA2B42" w14:textId="77777777" w:rsidR="002219B5" w:rsidRPr="004A78BC" w:rsidRDefault="002219B5" w:rsidP="00E151D3">
            <w:pPr>
              <w:ind w:firstLine="0"/>
              <w:jc w:val="right"/>
              <w:rPr>
                <w:rFonts w:ascii="Times New Roman" w:hAnsi="Times New Roman" w:cs="Times New Roman"/>
                <w:sz w:val="20"/>
                <w:szCs w:val="20"/>
                <w:lang w:val="lv-LV"/>
              </w:rPr>
            </w:pPr>
            <w:r w:rsidRPr="004A78BC">
              <w:rPr>
                <w:rFonts w:ascii="Times New Roman" w:hAnsi="Times New Roman" w:cs="Times New Roman"/>
                <w:sz w:val="20"/>
                <w:szCs w:val="20"/>
                <w:lang w:val="lv-LV"/>
              </w:rPr>
              <w:t xml:space="preserve">Ekspertu prognoze </w:t>
            </w:r>
            <w:r w:rsidRPr="004A78BC">
              <w:rPr>
                <w:rFonts w:ascii="Times New Roman" w:hAnsi="Times New Roman" w:cs="Times New Roman"/>
                <w:sz w:val="20"/>
                <w:szCs w:val="20"/>
                <w:lang w:val="lv-LV"/>
              </w:rPr>
              <w:sym w:font="Wingdings" w:char="F0E0"/>
            </w:r>
          </w:p>
        </w:tc>
        <w:tc>
          <w:tcPr>
            <w:tcW w:w="1842" w:type="dxa"/>
            <w:vAlign w:val="center"/>
            <w:hideMark/>
          </w:tcPr>
          <w:p w14:paraId="011A2DEA" w14:textId="77777777" w:rsidR="002219B5" w:rsidRPr="004A78BC" w:rsidRDefault="002219B5" w:rsidP="00E151D3">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lv-LV"/>
              </w:rPr>
            </w:pPr>
            <w:r w:rsidRPr="004A78BC">
              <w:rPr>
                <w:rFonts w:ascii="Times New Roman" w:hAnsi="Times New Roman" w:cs="Times New Roman"/>
                <w:sz w:val="20"/>
                <w:szCs w:val="20"/>
                <w:lang w:val="lv-LV"/>
              </w:rPr>
              <w:t>+11,4%</w:t>
            </w:r>
          </w:p>
        </w:tc>
        <w:tc>
          <w:tcPr>
            <w:tcW w:w="1843" w:type="dxa"/>
            <w:vAlign w:val="center"/>
            <w:hideMark/>
          </w:tcPr>
          <w:p w14:paraId="6460208E" w14:textId="77777777" w:rsidR="002219B5" w:rsidRPr="004A78BC" w:rsidRDefault="002219B5" w:rsidP="00E151D3">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lv-LV"/>
              </w:rPr>
            </w:pPr>
            <w:r w:rsidRPr="004A78BC">
              <w:rPr>
                <w:rFonts w:ascii="Times New Roman" w:hAnsi="Times New Roman" w:cs="Times New Roman"/>
                <w:sz w:val="20"/>
                <w:szCs w:val="20"/>
                <w:lang w:val="lv-LV"/>
              </w:rPr>
              <w:t>+9,5%</w:t>
            </w:r>
          </w:p>
        </w:tc>
        <w:tc>
          <w:tcPr>
            <w:tcW w:w="2741" w:type="dxa"/>
            <w:vAlign w:val="center"/>
            <w:hideMark/>
          </w:tcPr>
          <w:p w14:paraId="56CDD5EA" w14:textId="77777777" w:rsidR="002219B5" w:rsidRPr="004A78BC" w:rsidRDefault="002219B5" w:rsidP="00E151D3">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lv-LV"/>
              </w:rPr>
            </w:pPr>
            <w:r w:rsidRPr="004A78BC">
              <w:rPr>
                <w:rFonts w:ascii="Times New Roman" w:hAnsi="Times New Roman" w:cs="Times New Roman"/>
                <w:sz w:val="20"/>
                <w:szCs w:val="20"/>
                <w:lang w:val="lv-LV"/>
              </w:rPr>
              <w:t>+5,7% līdz +3,6%</w:t>
            </w:r>
          </w:p>
        </w:tc>
      </w:tr>
    </w:tbl>
    <w:p w14:paraId="234AFD31" w14:textId="77777777" w:rsidR="002219B5" w:rsidRDefault="002219B5" w:rsidP="002219B5">
      <w:pPr>
        <w:spacing w:line="276" w:lineRule="auto"/>
        <w:ind w:firstLine="0"/>
        <w:rPr>
          <w:rFonts w:ascii="Times New Roman" w:hAnsi="Times New Roman" w:cs="Times New Roman"/>
          <w:highlight w:val="yellow"/>
        </w:rPr>
      </w:pPr>
    </w:p>
    <w:p w14:paraId="0EE012B3" w14:textId="77777777" w:rsidR="002219B5" w:rsidRPr="006A5A5C" w:rsidRDefault="002219B5" w:rsidP="002219B5">
      <w:pPr>
        <w:spacing w:line="276" w:lineRule="auto"/>
        <w:ind w:firstLine="0"/>
        <w:rPr>
          <w:rFonts w:ascii="Times New Roman" w:hAnsi="Times New Roman" w:cs="Times New Roman"/>
          <w:sz w:val="6"/>
          <w:szCs w:val="6"/>
          <w:highlight w:val="yellow"/>
        </w:rPr>
      </w:pPr>
    </w:p>
    <w:p w14:paraId="453A24F5" w14:textId="77777777" w:rsidR="002219B5" w:rsidRDefault="002219B5" w:rsidP="006A5A5C">
      <w:pPr>
        <w:spacing w:line="276" w:lineRule="auto"/>
        <w:ind w:firstLine="0"/>
        <w:jc w:val="center"/>
        <w:rPr>
          <w:rFonts w:ascii="Times New Roman" w:hAnsi="Times New Roman" w:cs="Times New Roman"/>
          <w:highlight w:val="yellow"/>
        </w:rPr>
      </w:pPr>
      <w:r w:rsidRPr="00CA542D">
        <w:rPr>
          <w:rFonts w:ascii="Times New Roman" w:hAnsi="Times New Roman" w:cs="Times New Roman"/>
          <w:noProof/>
        </w:rPr>
        <w:drawing>
          <wp:inline distT="0" distB="0" distL="0" distR="0" wp14:anchorId="45759259" wp14:editId="4A7C45EF">
            <wp:extent cx="5732145" cy="2322830"/>
            <wp:effectExtent l="0" t="0" r="1905" b="1270"/>
            <wp:docPr id="9" name="Chart 9">
              <a:extLst xmlns:a="http://schemas.openxmlformats.org/drawingml/2006/main">
                <a:ext uri="{FF2B5EF4-FFF2-40B4-BE49-F238E27FC236}">
                  <a16:creationId xmlns:a16="http://schemas.microsoft.com/office/drawing/2014/main" id="{19C95B63-9D36-4D90-9BE9-7EA136035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bl>
      <w:tblPr>
        <w:tblW w:w="8273" w:type="dxa"/>
        <w:tblInd w:w="709" w:type="dxa"/>
        <w:tblLayout w:type="fixed"/>
        <w:tblLook w:val="04A0" w:firstRow="1" w:lastRow="0" w:firstColumn="1" w:lastColumn="0" w:noHBand="0" w:noVBand="1"/>
      </w:tblPr>
      <w:tblGrid>
        <w:gridCol w:w="2527"/>
        <w:gridCol w:w="1149"/>
        <w:gridCol w:w="1149"/>
        <w:gridCol w:w="1149"/>
        <w:gridCol w:w="1149"/>
        <w:gridCol w:w="1150"/>
      </w:tblGrid>
      <w:tr w:rsidR="00A15A4E" w:rsidRPr="00CA542D" w14:paraId="75B08206" w14:textId="77777777" w:rsidTr="00811AB3">
        <w:trPr>
          <w:trHeight w:val="288"/>
        </w:trPr>
        <w:tc>
          <w:tcPr>
            <w:tcW w:w="2527" w:type="dxa"/>
            <w:shd w:val="clear" w:color="auto" w:fill="auto"/>
            <w:noWrap/>
            <w:vAlign w:val="bottom"/>
            <w:hideMark/>
          </w:tcPr>
          <w:p w14:paraId="27FF3CFD" w14:textId="77777777" w:rsidR="00A15A4E" w:rsidRPr="00CA542D" w:rsidRDefault="00A15A4E" w:rsidP="00811AB3">
            <w:pPr>
              <w:spacing w:line="240"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w:t>
            </w:r>
          </w:p>
        </w:tc>
        <w:tc>
          <w:tcPr>
            <w:tcW w:w="1149" w:type="dxa"/>
            <w:tcBorders>
              <w:bottom w:val="single" w:sz="4" w:space="0" w:color="808080" w:themeColor="background1" w:themeShade="80"/>
            </w:tcBorders>
            <w:shd w:val="clear" w:color="000000" w:fill="FFFFFF"/>
            <w:noWrap/>
            <w:vAlign w:val="center"/>
            <w:hideMark/>
          </w:tcPr>
          <w:p w14:paraId="05D37381"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2021.</w:t>
            </w:r>
          </w:p>
        </w:tc>
        <w:tc>
          <w:tcPr>
            <w:tcW w:w="1149" w:type="dxa"/>
            <w:tcBorders>
              <w:bottom w:val="single" w:sz="4" w:space="0" w:color="808080" w:themeColor="background1" w:themeShade="80"/>
            </w:tcBorders>
            <w:shd w:val="clear" w:color="000000" w:fill="FFFFFF"/>
            <w:noWrap/>
            <w:vAlign w:val="center"/>
            <w:hideMark/>
          </w:tcPr>
          <w:p w14:paraId="1C02DB2E"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2022.</w:t>
            </w:r>
          </w:p>
        </w:tc>
        <w:tc>
          <w:tcPr>
            <w:tcW w:w="1149" w:type="dxa"/>
            <w:tcBorders>
              <w:bottom w:val="single" w:sz="4" w:space="0" w:color="808080" w:themeColor="background1" w:themeShade="80"/>
            </w:tcBorders>
            <w:shd w:val="clear" w:color="000000" w:fill="FFFFFF"/>
            <w:noWrap/>
            <w:vAlign w:val="center"/>
            <w:hideMark/>
          </w:tcPr>
          <w:p w14:paraId="349F39D8"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2023.</w:t>
            </w:r>
          </w:p>
        </w:tc>
        <w:tc>
          <w:tcPr>
            <w:tcW w:w="1149" w:type="dxa"/>
            <w:tcBorders>
              <w:bottom w:val="single" w:sz="4" w:space="0" w:color="808080" w:themeColor="background1" w:themeShade="80"/>
            </w:tcBorders>
            <w:shd w:val="clear" w:color="000000" w:fill="FFFFFF"/>
            <w:noWrap/>
            <w:vAlign w:val="center"/>
            <w:hideMark/>
          </w:tcPr>
          <w:p w14:paraId="5B7AEDE8"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2024.</w:t>
            </w:r>
          </w:p>
        </w:tc>
        <w:tc>
          <w:tcPr>
            <w:tcW w:w="1150" w:type="dxa"/>
            <w:tcBorders>
              <w:bottom w:val="single" w:sz="4" w:space="0" w:color="808080" w:themeColor="background1" w:themeShade="80"/>
            </w:tcBorders>
            <w:shd w:val="clear" w:color="000000" w:fill="FFFFFF"/>
            <w:noWrap/>
            <w:vAlign w:val="center"/>
            <w:hideMark/>
          </w:tcPr>
          <w:p w14:paraId="1605C057"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20"/>
                <w:szCs w:val="20"/>
                <w:lang w:eastAsia="lv-LV"/>
              </w:rPr>
            </w:pPr>
            <w:r w:rsidRPr="00CA542D">
              <w:rPr>
                <w:rFonts w:ascii="Times New Roman" w:eastAsia="Times New Roman" w:hAnsi="Times New Roman" w:cs="Times New Roman"/>
                <w:color w:val="000000"/>
                <w:sz w:val="20"/>
                <w:szCs w:val="20"/>
                <w:lang w:eastAsia="lv-LV"/>
              </w:rPr>
              <w:t>2025.</w:t>
            </w:r>
          </w:p>
        </w:tc>
      </w:tr>
      <w:tr w:rsidR="00A15A4E" w:rsidRPr="00CA542D" w14:paraId="27D4E9F2"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0F7917C5" w14:textId="77777777" w:rsidR="00A15A4E" w:rsidRPr="00CA542D" w:rsidRDefault="00A15A4E" w:rsidP="00811AB3">
            <w:pPr>
              <w:spacing w:line="240" w:lineRule="auto"/>
              <w:ind w:firstLine="0"/>
              <w:jc w:val="left"/>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Statistiskā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33919026"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1,8</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7253C264"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1,7</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12556633"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1,7</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713E6D58"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1,6</w:t>
            </w:r>
          </w:p>
        </w:tc>
        <w:tc>
          <w:tcPr>
            <w:tcW w:w="1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02F5B95E"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1,6</w:t>
            </w:r>
          </w:p>
        </w:tc>
      </w:tr>
      <w:tr w:rsidR="00A15A4E" w:rsidRPr="00CA542D" w14:paraId="2EB83E08"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2E1FB57F" w14:textId="77777777" w:rsidR="00A15A4E" w:rsidRPr="00CA542D" w:rsidRDefault="00A15A4E" w:rsidP="00811AB3">
            <w:pPr>
              <w:spacing w:line="240" w:lineRule="auto"/>
              <w:ind w:firstLine="0"/>
              <w:jc w:val="left"/>
              <w:rPr>
                <w:rFonts w:ascii="Times New Roman" w:eastAsia="Times New Roman" w:hAnsi="Times New Roman" w:cs="Times New Roman"/>
                <w:b/>
                <w:bCs/>
                <w:color w:val="000000"/>
                <w:sz w:val="20"/>
                <w:szCs w:val="20"/>
                <w:lang w:eastAsia="lv-LV"/>
              </w:rPr>
            </w:pPr>
            <w:r w:rsidRPr="00CA542D">
              <w:rPr>
                <w:rFonts w:ascii="Times New Roman" w:eastAsia="Times New Roman" w:hAnsi="Times New Roman" w:cs="Times New Roman"/>
                <w:b/>
                <w:bCs/>
                <w:color w:val="000000"/>
                <w:sz w:val="20"/>
                <w:szCs w:val="20"/>
                <w:lang w:eastAsia="lv-LV"/>
              </w:rPr>
              <w:t>Kombinētā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118285AF"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hAnsi="Times New Roman" w:cs="Times New Roman"/>
                <w:b/>
                <w:bCs/>
                <w:color w:val="000000"/>
                <w:sz w:val="20"/>
                <w:szCs w:val="20"/>
              </w:rPr>
              <w:t>6,6</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574F350F"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hAnsi="Times New Roman" w:cs="Times New Roman"/>
                <w:b/>
                <w:bCs/>
                <w:color w:val="000000"/>
                <w:sz w:val="20"/>
                <w:szCs w:val="20"/>
              </w:rPr>
              <w:t>5,6</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14B359EB"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hAnsi="Times New Roman" w:cs="Times New Roman"/>
                <w:b/>
                <w:bCs/>
                <w:color w:val="000000"/>
                <w:sz w:val="20"/>
                <w:szCs w:val="20"/>
              </w:rPr>
              <w:t>3,7</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3F8D3B34"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hAnsi="Times New Roman" w:cs="Times New Roman"/>
                <w:b/>
                <w:bCs/>
                <w:color w:val="000000"/>
                <w:sz w:val="20"/>
                <w:szCs w:val="20"/>
              </w:rPr>
              <w:t>3,5</w:t>
            </w:r>
          </w:p>
        </w:tc>
        <w:tc>
          <w:tcPr>
            <w:tcW w:w="1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28250186" w14:textId="77777777" w:rsidR="00A15A4E" w:rsidRPr="00CA542D" w:rsidRDefault="00A15A4E" w:rsidP="00811AB3">
            <w:pPr>
              <w:spacing w:line="240" w:lineRule="auto"/>
              <w:ind w:firstLine="0"/>
              <w:jc w:val="center"/>
              <w:rPr>
                <w:rFonts w:ascii="Times New Roman" w:eastAsia="Times New Roman" w:hAnsi="Times New Roman" w:cs="Times New Roman"/>
                <w:b/>
                <w:bCs/>
                <w:color w:val="000000"/>
                <w:sz w:val="20"/>
                <w:szCs w:val="20"/>
                <w:lang w:eastAsia="lv-LV"/>
              </w:rPr>
            </w:pPr>
            <w:r w:rsidRPr="00CA542D">
              <w:rPr>
                <w:rFonts w:ascii="Times New Roman" w:hAnsi="Times New Roman" w:cs="Times New Roman"/>
                <w:b/>
                <w:bCs/>
                <w:color w:val="000000"/>
                <w:sz w:val="20"/>
                <w:szCs w:val="20"/>
              </w:rPr>
              <w:t>2,6</w:t>
            </w:r>
          </w:p>
        </w:tc>
      </w:tr>
      <w:tr w:rsidR="00A15A4E" w:rsidRPr="00CA542D" w14:paraId="60C3FBBA" w14:textId="77777777" w:rsidTr="00811AB3">
        <w:trPr>
          <w:trHeight w:val="288"/>
        </w:trPr>
        <w:tc>
          <w:tcPr>
            <w:tcW w:w="2527" w:type="dxa"/>
            <w:tcBorders>
              <w:right w:val="single" w:sz="4" w:space="0" w:color="808080" w:themeColor="background1" w:themeShade="80"/>
            </w:tcBorders>
            <w:shd w:val="clear" w:color="000000" w:fill="FFFFFF"/>
            <w:noWrap/>
            <w:vAlign w:val="bottom"/>
            <w:hideMark/>
          </w:tcPr>
          <w:p w14:paraId="6D309644" w14:textId="77777777" w:rsidR="00A15A4E" w:rsidRPr="00CA542D" w:rsidRDefault="00A15A4E" w:rsidP="00811AB3">
            <w:pPr>
              <w:spacing w:line="240" w:lineRule="auto"/>
              <w:ind w:firstLine="0"/>
              <w:jc w:val="left"/>
              <w:rPr>
                <w:rFonts w:ascii="Times New Roman" w:eastAsia="Times New Roman" w:hAnsi="Times New Roman" w:cs="Times New Roman"/>
                <w:color w:val="000000"/>
                <w:sz w:val="18"/>
                <w:szCs w:val="18"/>
                <w:lang w:eastAsia="lv-LV"/>
              </w:rPr>
            </w:pPr>
            <w:r w:rsidRPr="00CA542D">
              <w:rPr>
                <w:rFonts w:ascii="Times New Roman" w:eastAsia="Times New Roman" w:hAnsi="Times New Roman" w:cs="Times New Roman"/>
                <w:color w:val="000000"/>
                <w:sz w:val="18"/>
                <w:szCs w:val="18"/>
                <w:lang w:eastAsia="lv-LV"/>
              </w:rPr>
              <w:t>Ekspertu prognoze</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7C0194FA"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11,4</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63BD38C6"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9,5</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6D37EACE"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5,7</w:t>
            </w:r>
          </w:p>
        </w:tc>
        <w:tc>
          <w:tcPr>
            <w:tcW w:w="11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1537C9BD"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5,3</w:t>
            </w:r>
          </w:p>
        </w:tc>
        <w:tc>
          <w:tcPr>
            <w:tcW w:w="11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000000" w:fill="FFFFFF"/>
            <w:noWrap/>
            <w:vAlign w:val="bottom"/>
            <w:hideMark/>
          </w:tcPr>
          <w:p w14:paraId="18431687" w14:textId="77777777" w:rsidR="00A15A4E" w:rsidRPr="00CA542D" w:rsidRDefault="00A15A4E" w:rsidP="00811AB3">
            <w:pPr>
              <w:spacing w:line="240" w:lineRule="auto"/>
              <w:ind w:firstLine="0"/>
              <w:jc w:val="center"/>
              <w:rPr>
                <w:rFonts w:ascii="Times New Roman" w:eastAsia="Times New Roman" w:hAnsi="Times New Roman" w:cs="Times New Roman"/>
                <w:color w:val="000000"/>
                <w:sz w:val="18"/>
                <w:szCs w:val="18"/>
                <w:lang w:eastAsia="lv-LV"/>
              </w:rPr>
            </w:pPr>
            <w:r w:rsidRPr="00CA542D">
              <w:rPr>
                <w:rFonts w:ascii="Times New Roman" w:hAnsi="Times New Roman" w:cs="Times New Roman"/>
                <w:color w:val="000000"/>
                <w:sz w:val="18"/>
                <w:szCs w:val="18"/>
              </w:rPr>
              <w:t>3,6</w:t>
            </w:r>
          </w:p>
        </w:tc>
      </w:tr>
    </w:tbl>
    <w:p w14:paraId="599D01BC" w14:textId="77777777" w:rsidR="00A15A4E" w:rsidRPr="00CA542D" w:rsidRDefault="00A15A4E" w:rsidP="00A15A4E">
      <w:pPr>
        <w:spacing w:line="276" w:lineRule="auto"/>
        <w:ind w:firstLine="0"/>
        <w:rPr>
          <w:rFonts w:ascii="Times New Roman" w:hAnsi="Times New Roman" w:cs="Times New Roman"/>
        </w:rPr>
      </w:pPr>
    </w:p>
    <w:p w14:paraId="44EF8603" w14:textId="60C6991E" w:rsidR="00A15A4E" w:rsidRPr="00CA542D" w:rsidRDefault="00A15A4E" w:rsidP="00A15A4E">
      <w:pPr>
        <w:pStyle w:val="Caption"/>
        <w:jc w:val="center"/>
        <w:rPr>
          <w:rFonts w:ascii="Times New Roman" w:hAnsi="Times New Roman" w:cs="Times New Roman"/>
        </w:rPr>
      </w:pPr>
      <w:r w:rsidRPr="0088719C">
        <w:rPr>
          <w:color w:val="auto"/>
        </w:rPr>
        <w:t xml:space="preserve">Attēls </w:t>
      </w:r>
      <w:r w:rsidRPr="0088719C">
        <w:rPr>
          <w:color w:val="auto"/>
        </w:rPr>
        <w:fldChar w:fldCharType="begin"/>
      </w:r>
      <w:r w:rsidRPr="0088719C">
        <w:rPr>
          <w:color w:val="auto"/>
        </w:rPr>
        <w:instrText xml:space="preserve"> SEQ Attēls \* ARABIC </w:instrText>
      </w:r>
      <w:r w:rsidRPr="0088719C">
        <w:rPr>
          <w:color w:val="auto"/>
        </w:rPr>
        <w:fldChar w:fldCharType="separate"/>
      </w:r>
      <w:r w:rsidR="00D65651" w:rsidRPr="0088719C">
        <w:rPr>
          <w:noProof/>
          <w:color w:val="auto"/>
        </w:rPr>
        <w:t>5</w:t>
      </w:r>
      <w:r w:rsidRPr="0088719C">
        <w:rPr>
          <w:noProof/>
          <w:color w:val="auto"/>
        </w:rPr>
        <w:fldChar w:fldCharType="end"/>
      </w:r>
      <w:r w:rsidRPr="0088719C">
        <w:rPr>
          <w:color w:val="auto"/>
        </w:rPr>
        <w:t xml:space="preserve">. </w:t>
      </w:r>
      <w:r w:rsidRPr="0088719C">
        <w:rPr>
          <w:rFonts w:ascii="Times New Roman" w:hAnsi="Times New Roman" w:cs="Times New Roman"/>
          <w:color w:val="auto"/>
        </w:rPr>
        <w:t xml:space="preserve">Būvniecības </w:t>
      </w:r>
      <w:r w:rsidRPr="00CA542D">
        <w:rPr>
          <w:rFonts w:ascii="Times New Roman" w:hAnsi="Times New Roman" w:cs="Times New Roman"/>
        </w:rPr>
        <w:t>izmaksu izmaiņu prognozes 2021.-2025. gadam procentos pret iepriekšējo periodu.</w:t>
      </w:r>
    </w:p>
    <w:p w14:paraId="0F011323" w14:textId="25778379" w:rsidR="00A15A4E" w:rsidRPr="0088719C" w:rsidRDefault="00A15A4E" w:rsidP="0088719C">
      <w:pPr>
        <w:rPr>
          <w:rFonts w:ascii="Times New Roman" w:hAnsi="Times New Roman" w:cs="Times New Roman"/>
          <w:sz w:val="24"/>
          <w:szCs w:val="24"/>
        </w:rPr>
      </w:pPr>
      <w:r w:rsidRPr="00FB7A50">
        <w:rPr>
          <w:rFonts w:ascii="Times New Roman" w:hAnsi="Times New Roman" w:cs="Times New Roman"/>
          <w:b/>
          <w:bCs/>
          <w:sz w:val="24"/>
          <w:szCs w:val="24"/>
        </w:rPr>
        <w:t>Iegūtās prognozes norāda, ka būvniecības izmaksas 2021. gadā  pret 2020. gadu pieaugs rekordaugsti par +6,6%, sasniedzot pēdējo deviņu gadu laikā augstāko pieaugumu</w:t>
      </w:r>
      <w:r w:rsidR="009D0E85">
        <w:rPr>
          <w:rFonts w:ascii="Times New Roman" w:hAnsi="Times New Roman" w:cs="Times New Roman"/>
          <w:b/>
          <w:bCs/>
          <w:sz w:val="24"/>
          <w:szCs w:val="24"/>
        </w:rPr>
        <w:t xml:space="preserve"> (</w:t>
      </w:r>
      <w:r w:rsidRPr="0088719C">
        <w:rPr>
          <w:rFonts w:ascii="Times New Roman" w:hAnsi="Times New Roman" w:cs="Times New Roman"/>
          <w:sz w:val="24"/>
          <w:szCs w:val="24"/>
        </w:rPr>
        <w:t xml:space="preserve">Tabula </w:t>
      </w:r>
      <w:r w:rsidR="009D0E85" w:rsidRPr="0088719C">
        <w:rPr>
          <w:rFonts w:ascii="Times New Roman" w:hAnsi="Times New Roman" w:cs="Times New Roman"/>
          <w:sz w:val="24"/>
          <w:szCs w:val="24"/>
        </w:rPr>
        <w:t>4)</w:t>
      </w:r>
      <w:r w:rsidRPr="0088719C">
        <w:rPr>
          <w:rFonts w:ascii="Times New Roman" w:hAnsi="Times New Roman" w:cs="Times New Roman"/>
          <w:sz w:val="24"/>
          <w:szCs w:val="24"/>
        </w:rPr>
        <w:t>.</w:t>
      </w:r>
      <w:r w:rsidRPr="0088719C">
        <w:rPr>
          <w:rFonts w:ascii="Times New Roman" w:hAnsi="Times New Roman" w:cs="Times New Roman"/>
          <w:b/>
          <w:bCs/>
          <w:sz w:val="24"/>
          <w:szCs w:val="24"/>
        </w:rPr>
        <w:t xml:space="preserve">  </w:t>
      </w:r>
      <w:r w:rsidRPr="00FB7A50">
        <w:rPr>
          <w:rFonts w:ascii="Times New Roman" w:hAnsi="Times New Roman" w:cs="Times New Roman"/>
          <w:sz w:val="24"/>
          <w:szCs w:val="24"/>
        </w:rPr>
        <w:t>Nelabvēlīgas globālās situācijas gadījumā (loģistikas problēmas, augsts tirgus pieprasījums, ražotāju jaudu nepieaugšana, u.c.) varētu sasniegt arī 11,4% pieaugumu.  Laika periodā no 2022. līdz 2025. gadam būvniecības izmaksu pieaugums samazināsies, tomēr 2022. gadā joprojām pieaugums prognozēts 5,5% - nozīmīgi augstāks nekā pirms-pandēmijas periodā. 2023.-2025. periodā paredzams, ka izmaksu pieaugums atgriezīsies pie pēdējās desmitgades vidējā līmeņa ar vidējo ikgadējo pieaugumu 3,3% gadā, kas ir zemāks nekā 2018. un 2019. gadā</w:t>
      </w:r>
      <w:r w:rsidRPr="0088719C">
        <w:rPr>
          <w:rFonts w:ascii="Times New Roman" w:hAnsi="Times New Roman" w:cs="Times New Roman"/>
          <w:sz w:val="24"/>
          <w:szCs w:val="24"/>
        </w:rPr>
        <w:t xml:space="preserve">. </w:t>
      </w:r>
      <w:r w:rsidR="001877E1" w:rsidRPr="0088719C">
        <w:rPr>
          <w:rFonts w:ascii="Times New Roman" w:hAnsi="Times New Roman" w:cs="Times New Roman"/>
          <w:sz w:val="24"/>
          <w:szCs w:val="24"/>
        </w:rPr>
        <w:t>(attēls 5)</w:t>
      </w:r>
      <w:r w:rsidRPr="0088719C">
        <w:rPr>
          <w:rFonts w:ascii="Times New Roman" w:hAnsi="Times New Roman" w:cs="Times New Roman"/>
          <w:sz w:val="24"/>
          <w:szCs w:val="24"/>
        </w:rPr>
        <w:t>.</w:t>
      </w:r>
    </w:p>
    <w:p w14:paraId="1F0308E4" w14:textId="5278D3CA" w:rsidR="006A3ED1" w:rsidRPr="0088719C" w:rsidRDefault="006A3ED1" w:rsidP="00A15A4E">
      <w:pPr>
        <w:spacing w:line="240" w:lineRule="auto"/>
        <w:ind w:firstLine="0"/>
        <w:rPr>
          <w:rFonts w:ascii="Times New Roman" w:hAnsi="Times New Roman" w:cs="Times New Roman"/>
        </w:rPr>
      </w:pPr>
    </w:p>
    <w:p w14:paraId="29C3F858" w14:textId="77777777" w:rsidR="00A06442" w:rsidRPr="0088719C" w:rsidRDefault="00A06442" w:rsidP="0088719C">
      <w:pPr>
        <w:pStyle w:val="Heading4"/>
        <w:ind w:firstLine="0"/>
        <w:rPr>
          <w:color w:val="009999"/>
        </w:rPr>
      </w:pPr>
      <w:r w:rsidRPr="0088719C">
        <w:rPr>
          <w:color w:val="009999"/>
        </w:rPr>
        <w:t>Būvniecības produkcijas apjoma ietekme uz izmaksām un nozares vidējo peļņas normu</w:t>
      </w:r>
    </w:p>
    <w:p w14:paraId="5B3043FA" w14:textId="77777777" w:rsidR="006A5A5C" w:rsidRDefault="006A5A5C" w:rsidP="006A5A5C">
      <w:pPr>
        <w:ind w:firstLine="0"/>
        <w:rPr>
          <w:rFonts w:ascii="Times New Roman" w:hAnsi="Times New Roman" w:cs="Times New Roman"/>
          <w:sz w:val="24"/>
          <w:szCs w:val="24"/>
        </w:rPr>
      </w:pPr>
    </w:p>
    <w:p w14:paraId="61DA1CD1" w14:textId="5C845150" w:rsidR="00EA7D2E" w:rsidRDefault="002219B5" w:rsidP="0088719C">
      <w:pPr>
        <w:rPr>
          <w:rFonts w:ascii="Times New Roman" w:hAnsi="Times New Roman" w:cs="Times New Roman"/>
        </w:rPr>
      </w:pPr>
      <w:r w:rsidRPr="00FB7A50">
        <w:rPr>
          <w:rFonts w:ascii="Times New Roman" w:hAnsi="Times New Roman" w:cs="Times New Roman"/>
          <w:sz w:val="24"/>
          <w:szCs w:val="24"/>
        </w:rPr>
        <w:t xml:space="preserve">Aplūkojot laika periodu no 2011. līdz 2020. gadam, ir novērojama vidēji spēcīga sakarība starp būvniecības produkcijas apjoma un būvniecības izmaksu izmaiņām Latvijā. Tiek novērota vispārīga sakarība, ka gados ar lielāku būvniecība apjomu izaugsmi, ir arī lielāks izmaksu pieaugums </w:t>
      </w:r>
      <w:r w:rsidRPr="00FB7A50">
        <w:rPr>
          <w:rFonts w:ascii="Times New Roman" w:hAnsi="Times New Roman" w:cs="Times New Roman"/>
          <w:sz w:val="24"/>
          <w:szCs w:val="24"/>
        </w:rPr>
        <w:lastRenderedPageBreak/>
        <w:t>un pretēji. Tomēr 2021. gada iegūtās ekspertu prognozes liecina, ka izmaksas pieaugs ar līdzvērtīgu tempu būvniecības produkcijai, kas gan turpmākos gadus atgriezīsies pie līdzšinējās tendences.</w:t>
      </w:r>
    </w:p>
    <w:p w14:paraId="45FA31C2" w14:textId="31D8BC5D" w:rsidR="002219B5" w:rsidRPr="006A5A5C" w:rsidRDefault="002219B5" w:rsidP="006A5A5C">
      <w:pPr>
        <w:spacing w:line="276" w:lineRule="auto"/>
        <w:ind w:firstLine="0"/>
        <w:jc w:val="center"/>
        <w:rPr>
          <w:i/>
          <w:iCs/>
          <w:color w:val="44546A" w:themeColor="text2"/>
          <w:sz w:val="18"/>
          <w:szCs w:val="18"/>
        </w:rPr>
      </w:pPr>
      <w:r w:rsidRPr="006A5A5C">
        <w:rPr>
          <w:i/>
          <w:iCs/>
          <w:noProof/>
          <w:color w:val="44546A" w:themeColor="text2"/>
          <w:sz w:val="18"/>
          <w:szCs w:val="18"/>
        </w:rPr>
        <w:drawing>
          <wp:inline distT="0" distB="0" distL="0" distR="0" wp14:anchorId="1C93C75B" wp14:editId="590CD641">
            <wp:extent cx="5454015" cy="2806700"/>
            <wp:effectExtent l="0" t="0" r="13335" b="12700"/>
            <wp:docPr id="48" name="Chart 48">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A53C8E7" w14:textId="361B93AF" w:rsidR="002219B5" w:rsidRPr="00CA542D" w:rsidRDefault="002219B5" w:rsidP="002219B5">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6</w:t>
      </w:r>
      <w:r w:rsidR="00F43189">
        <w:rPr>
          <w:noProof/>
        </w:rPr>
        <w:fldChar w:fldCharType="end"/>
      </w:r>
      <w:r>
        <w:t xml:space="preserve">. </w:t>
      </w:r>
      <w:r w:rsidRPr="00CA542D">
        <w:rPr>
          <w:rFonts w:ascii="Times New Roman" w:hAnsi="Times New Roman" w:cs="Times New Roman"/>
        </w:rPr>
        <w:t>Būvniecības izmaksu izmaiņas mainoties, būvniecības produkcijas apjomam un kombinētā prognoze.</w:t>
      </w:r>
    </w:p>
    <w:p w14:paraId="6B4F0F32" w14:textId="77777777" w:rsidR="002219B5" w:rsidRDefault="002219B5" w:rsidP="002219B5">
      <w:pPr>
        <w:spacing w:line="276" w:lineRule="auto"/>
        <w:ind w:firstLine="0"/>
        <w:rPr>
          <w:rFonts w:ascii="Times New Roman" w:hAnsi="Times New Roman" w:cs="Times New Roman"/>
          <w:highlight w:val="yellow"/>
        </w:rPr>
      </w:pPr>
    </w:p>
    <w:p w14:paraId="0118A13A" w14:textId="245C537C" w:rsidR="002219B5" w:rsidRPr="00FB7A50" w:rsidRDefault="002219B5" w:rsidP="0088719C">
      <w:pPr>
        <w:rPr>
          <w:rFonts w:ascii="Times New Roman" w:hAnsi="Times New Roman" w:cs="Times New Roman"/>
          <w:sz w:val="24"/>
          <w:szCs w:val="24"/>
        </w:rPr>
      </w:pPr>
      <w:r w:rsidRPr="00FB7A50">
        <w:rPr>
          <w:rFonts w:ascii="Times New Roman" w:hAnsi="Times New Roman" w:cs="Times New Roman"/>
          <w:sz w:val="24"/>
          <w:szCs w:val="24"/>
        </w:rPr>
        <w:t xml:space="preserve">Aplūkojot faktisko situācijas attīstību ilgākā laika periodā no 2006. gada līdz 2020. gadam, var novērot, ka saglabājas vispārīgā tendence, ka gados ar pieaugošu būvniecības produkcijas apjomu ir arī pieaugošas būvniecības izmaksas. Šajā plašajā dinamikā faktiskais 2020. gada izmaksu pieauguma līmenis atbilst normālām tendencēm un nav novērojama anomāla nozares attīstība. Tomēr prognozes 2021. gadam liecina par īslaicīgu atkāpi no šīs normālās tendences un izmaksu pieaugumu tikpat lielu, kā produkcijas apjoma pieaugumu. Periodā pēc 2021. gada prognozes liecina par situācijas atgriešanos pie normālākas proporcijas. </w:t>
      </w:r>
    </w:p>
    <w:p w14:paraId="2B7AD223" w14:textId="77777777" w:rsidR="006A5A5C" w:rsidRDefault="006A5A5C">
      <w:pPr>
        <w:spacing w:after="160" w:line="259" w:lineRule="auto"/>
        <w:ind w:firstLine="0"/>
        <w:jc w:val="left"/>
        <w:rPr>
          <w:rFonts w:ascii="Times New Roman" w:hAnsi="Times New Roman" w:cs="Times New Roman"/>
          <w:sz w:val="24"/>
          <w:szCs w:val="24"/>
        </w:rPr>
      </w:pPr>
      <w:r>
        <w:rPr>
          <w:rFonts w:ascii="Times New Roman" w:hAnsi="Times New Roman" w:cs="Times New Roman"/>
          <w:sz w:val="24"/>
          <w:szCs w:val="24"/>
        </w:rPr>
        <w:br w:type="page"/>
      </w:r>
    </w:p>
    <w:p w14:paraId="48DFB517" w14:textId="65ACA675" w:rsidR="00AA5827" w:rsidRPr="00FB7A50" w:rsidRDefault="00A06442" w:rsidP="0088719C">
      <w:pPr>
        <w:rPr>
          <w:rFonts w:ascii="Times New Roman" w:hAnsi="Times New Roman" w:cs="Times New Roman"/>
          <w:sz w:val="24"/>
          <w:szCs w:val="24"/>
        </w:rPr>
      </w:pPr>
      <w:r w:rsidRPr="00FB7A50">
        <w:rPr>
          <w:rFonts w:ascii="Times New Roman" w:hAnsi="Times New Roman" w:cs="Times New Roman"/>
          <w:sz w:val="24"/>
          <w:szCs w:val="24"/>
        </w:rPr>
        <w:lastRenderedPageBreak/>
        <w:t>Pētījuma ietvaros e</w:t>
      </w:r>
      <w:r w:rsidR="00AA5827" w:rsidRPr="00FB7A50">
        <w:rPr>
          <w:rFonts w:ascii="Times New Roman" w:hAnsi="Times New Roman" w:cs="Times New Roman"/>
          <w:sz w:val="24"/>
          <w:szCs w:val="24"/>
        </w:rPr>
        <w:t>ksperti veica iespējamo izmaksu simulāciju atkarībā no būvniecības produkcijas apjoma</w:t>
      </w:r>
      <w:r w:rsidRPr="00FB7A50">
        <w:rPr>
          <w:rFonts w:ascii="Times New Roman" w:hAnsi="Times New Roman" w:cs="Times New Roman"/>
          <w:sz w:val="24"/>
          <w:szCs w:val="24"/>
        </w:rPr>
        <w:t>.</w:t>
      </w:r>
      <w:r w:rsidR="00AA5827" w:rsidRPr="00FB7A50">
        <w:rPr>
          <w:rFonts w:ascii="Times New Roman" w:hAnsi="Times New Roman" w:cs="Times New Roman"/>
          <w:sz w:val="24"/>
          <w:szCs w:val="24"/>
        </w:rPr>
        <w:t xml:space="preserve"> </w:t>
      </w:r>
    </w:p>
    <w:p w14:paraId="49332073" w14:textId="6E578E74" w:rsidR="00AA5827" w:rsidRDefault="00AA5827" w:rsidP="00AA5827">
      <w:pPr>
        <w:pStyle w:val="Caption"/>
        <w:spacing w:after="0"/>
        <w:jc w:val="right"/>
        <w:rPr>
          <w:rFonts w:ascii="Times New Roman" w:hAnsi="Times New Roman" w:cs="Times New Roman"/>
        </w:rPr>
      </w:pPr>
      <w:r>
        <w:t xml:space="preserve">Tabula  </w:t>
      </w:r>
      <w:r w:rsidR="00F43189">
        <w:fldChar w:fldCharType="begin"/>
      </w:r>
      <w:r w:rsidR="00F43189">
        <w:instrText xml:space="preserve"> SEQ Tab._ \* ARABIC </w:instrText>
      </w:r>
      <w:r w:rsidR="00F43189">
        <w:fldChar w:fldCharType="separate"/>
      </w:r>
      <w:r w:rsidR="00D65651">
        <w:rPr>
          <w:noProof/>
        </w:rPr>
        <w:t>5</w:t>
      </w:r>
      <w:r w:rsidR="00F43189">
        <w:rPr>
          <w:noProof/>
        </w:rPr>
        <w:fldChar w:fldCharType="end"/>
      </w:r>
      <w:r>
        <w:t>.</w:t>
      </w:r>
      <w:r w:rsidRPr="00CA542D">
        <w:rPr>
          <w:rFonts w:ascii="Times New Roman" w:hAnsi="Times New Roman" w:cs="Times New Roman"/>
        </w:rPr>
        <w:t xml:space="preserve"> </w:t>
      </w:r>
    </w:p>
    <w:p w14:paraId="4970C799" w14:textId="09FBE097" w:rsidR="00AA5827" w:rsidRDefault="00AA5827" w:rsidP="006A5A5C">
      <w:pPr>
        <w:pStyle w:val="Caption"/>
        <w:spacing w:after="0"/>
        <w:ind w:firstLine="0"/>
        <w:jc w:val="right"/>
        <w:rPr>
          <w:rFonts w:ascii="Times New Roman" w:hAnsi="Times New Roman" w:cs="Times New Roman"/>
        </w:rPr>
      </w:pPr>
      <w:r w:rsidRPr="00CA542D">
        <w:rPr>
          <w:rFonts w:ascii="Times New Roman" w:hAnsi="Times New Roman" w:cs="Times New Roman"/>
        </w:rPr>
        <w:t xml:space="preserve">Būvniecība izmaksu izmaiņu un peļņas normas ekspertu novērtējumi pie dažādiem būvniecības nozares izaugsmes </w:t>
      </w:r>
      <w:r w:rsidR="006A5A5C">
        <w:rPr>
          <w:rFonts w:ascii="Times New Roman" w:hAnsi="Times New Roman" w:cs="Times New Roman"/>
        </w:rPr>
        <w:t>s</w:t>
      </w:r>
      <w:r w:rsidRPr="00CA542D">
        <w:rPr>
          <w:rFonts w:ascii="Times New Roman" w:hAnsi="Times New Roman" w:cs="Times New Roman"/>
        </w:rPr>
        <w:t>cenārijiem.</w:t>
      </w:r>
    </w:p>
    <w:p w14:paraId="1EE3B3E2" w14:textId="77777777" w:rsidR="006A5A5C" w:rsidRPr="006A5A5C" w:rsidRDefault="006A5A5C" w:rsidP="006A5A5C"/>
    <w:tbl>
      <w:tblPr>
        <w:tblW w:w="9063" w:type="dxa"/>
        <w:jc w:val="center"/>
        <w:tblCellMar>
          <w:left w:w="0" w:type="dxa"/>
          <w:right w:w="0" w:type="dxa"/>
        </w:tblCellMar>
        <w:tblLook w:val="0600" w:firstRow="0" w:lastRow="0" w:firstColumn="0" w:lastColumn="0" w:noHBand="1" w:noVBand="1"/>
      </w:tblPr>
      <w:tblGrid>
        <w:gridCol w:w="2967"/>
        <w:gridCol w:w="3119"/>
        <w:gridCol w:w="2977"/>
      </w:tblGrid>
      <w:tr w:rsidR="00AA5827" w:rsidRPr="00CA542D" w14:paraId="77F50F3F" w14:textId="77777777" w:rsidTr="006A5A5C">
        <w:trPr>
          <w:trHeight w:val="340"/>
          <w:jc w:val="center"/>
        </w:trPr>
        <w:tc>
          <w:tcPr>
            <w:tcW w:w="29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2" w:type="dxa"/>
              <w:left w:w="12" w:type="dxa"/>
              <w:bottom w:w="0" w:type="dxa"/>
              <w:right w:w="12" w:type="dxa"/>
            </w:tcMar>
            <w:vAlign w:val="center"/>
            <w:hideMark/>
          </w:tcPr>
          <w:p w14:paraId="06A62109"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Būvniecības apjoma izmaiņu scenāriji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44" w:type="dxa"/>
              <w:bottom w:w="72" w:type="dxa"/>
              <w:right w:w="144" w:type="dxa"/>
            </w:tcMar>
            <w:vAlign w:val="center"/>
            <w:hideMark/>
          </w:tcPr>
          <w:p w14:paraId="2E4E11B0"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Būvniecības izmaksu izmaiņas</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44" w:type="dxa"/>
              <w:bottom w:w="72" w:type="dxa"/>
              <w:right w:w="144" w:type="dxa"/>
            </w:tcMar>
            <w:vAlign w:val="center"/>
            <w:hideMark/>
          </w:tcPr>
          <w:p w14:paraId="0409685B"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Peļņas norma* %, kas būtu pieņemama Latv. būvuzņ.</w:t>
            </w:r>
          </w:p>
        </w:tc>
      </w:tr>
      <w:tr w:rsidR="00AA5827" w:rsidRPr="00CA542D" w14:paraId="30BC900E" w14:textId="77777777" w:rsidTr="006A5A5C">
        <w:trPr>
          <w:trHeight w:val="340"/>
          <w:jc w:val="center"/>
        </w:trPr>
        <w:tc>
          <w:tcPr>
            <w:tcW w:w="2967" w:type="dxa"/>
            <w:tcBorders>
              <w:top w:val="single" w:sz="4" w:space="0" w:color="auto"/>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F56D9D4"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-20% līdz -10%</w:t>
            </w:r>
          </w:p>
        </w:tc>
        <w:tc>
          <w:tcPr>
            <w:tcW w:w="3119" w:type="dxa"/>
            <w:tcBorders>
              <w:top w:val="single" w:sz="4" w:space="0" w:color="auto"/>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EF49E6"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3,21</w:t>
            </w:r>
          </w:p>
        </w:tc>
        <w:tc>
          <w:tcPr>
            <w:tcW w:w="2977" w:type="dxa"/>
            <w:tcBorders>
              <w:top w:val="single" w:sz="4" w:space="0" w:color="auto"/>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F2B2A8"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5,81</w:t>
            </w:r>
          </w:p>
        </w:tc>
      </w:tr>
      <w:tr w:rsidR="00AA5827" w:rsidRPr="00CA542D" w14:paraId="71B9F222" w14:textId="77777777" w:rsidTr="006A5A5C">
        <w:trPr>
          <w:trHeight w:val="340"/>
          <w:jc w:val="center"/>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CEF2554"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-10% līdz -0%</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D77E2DB"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4,30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B46AF25"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6,19</w:t>
            </w:r>
          </w:p>
        </w:tc>
      </w:tr>
      <w:tr w:rsidR="00AA5827" w:rsidRPr="00CA542D" w14:paraId="1987FD39" w14:textId="77777777" w:rsidTr="006A5A5C">
        <w:trPr>
          <w:trHeight w:val="340"/>
          <w:jc w:val="center"/>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8AFE70"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0% līdz +10%</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4FBA5F"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6,05</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DADA461"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8,53</w:t>
            </w:r>
          </w:p>
        </w:tc>
      </w:tr>
      <w:tr w:rsidR="00AA5827" w:rsidRPr="00CA542D" w14:paraId="18C30E49" w14:textId="77777777" w:rsidTr="006A5A5C">
        <w:trPr>
          <w:trHeight w:val="340"/>
          <w:jc w:val="center"/>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0A4156"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+10% līdz +20%</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1793A9C"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10,06</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2CA5F9E"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10,46</w:t>
            </w:r>
          </w:p>
        </w:tc>
      </w:tr>
      <w:tr w:rsidR="00AA5827" w:rsidRPr="00CA542D" w14:paraId="54BBA36C" w14:textId="77777777" w:rsidTr="006A5A5C">
        <w:trPr>
          <w:trHeight w:val="340"/>
          <w:jc w:val="center"/>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07D0DA"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+20% līdz +30%</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CE3F5DD"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14,90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05C01BE" w14:textId="77777777" w:rsidR="00AA5827" w:rsidRPr="00CA542D" w:rsidRDefault="00AA5827" w:rsidP="00811AB3">
            <w:pPr>
              <w:spacing w:line="276" w:lineRule="auto"/>
              <w:ind w:firstLine="0"/>
              <w:jc w:val="center"/>
              <w:rPr>
                <w:rFonts w:ascii="Times New Roman" w:hAnsi="Times New Roman" w:cs="Times New Roman"/>
                <w:sz w:val="18"/>
                <w:szCs w:val="18"/>
              </w:rPr>
            </w:pPr>
            <w:r w:rsidRPr="00CA542D">
              <w:rPr>
                <w:rFonts w:ascii="Times New Roman" w:hAnsi="Times New Roman" w:cs="Times New Roman"/>
                <w:sz w:val="18"/>
                <w:szCs w:val="18"/>
              </w:rPr>
              <w:t>12,40</w:t>
            </w:r>
          </w:p>
        </w:tc>
      </w:tr>
    </w:tbl>
    <w:p w14:paraId="1571681C" w14:textId="77777777" w:rsidR="006A5A5C" w:rsidRDefault="006A5A5C" w:rsidP="006A5A5C">
      <w:pPr>
        <w:ind w:firstLine="0"/>
        <w:rPr>
          <w:rFonts w:ascii="Times New Roman" w:hAnsi="Times New Roman" w:cs="Times New Roman"/>
          <w:sz w:val="24"/>
          <w:szCs w:val="24"/>
        </w:rPr>
      </w:pPr>
    </w:p>
    <w:p w14:paraId="27252606" w14:textId="3D698DCB" w:rsidR="00AA5827" w:rsidRPr="00A06442" w:rsidRDefault="00AA5827" w:rsidP="0088719C">
      <w:pPr>
        <w:rPr>
          <w:rFonts w:ascii="Times New Roman" w:hAnsi="Times New Roman" w:cs="Times New Roman"/>
          <w:sz w:val="24"/>
          <w:szCs w:val="24"/>
        </w:rPr>
      </w:pPr>
      <w:r w:rsidRPr="00A06442">
        <w:rPr>
          <w:rFonts w:ascii="Times New Roman" w:hAnsi="Times New Roman" w:cs="Times New Roman"/>
          <w:sz w:val="24"/>
          <w:szCs w:val="24"/>
        </w:rPr>
        <w:t>2021. gada Pētījumā eksperti pie jebkādiem tirgus izaugsmes scenārijiem saredz būvniecības izmaksu izmaiņas pozitīvā griezumā</w:t>
      </w:r>
      <w:r w:rsidR="00A06442">
        <w:rPr>
          <w:rFonts w:ascii="Times New Roman" w:hAnsi="Times New Roman" w:cs="Times New Roman"/>
          <w:sz w:val="24"/>
          <w:szCs w:val="24"/>
        </w:rPr>
        <w:t xml:space="preserve">, </w:t>
      </w:r>
      <w:r w:rsidRPr="00A06442">
        <w:rPr>
          <w:rFonts w:ascii="Times New Roman" w:hAnsi="Times New Roman" w:cs="Times New Roman"/>
          <w:sz w:val="24"/>
          <w:szCs w:val="24"/>
        </w:rPr>
        <w:t>tas ir saistīts ar būvniecības izmaksu būtisku atkarību no starptautiskās tirdzniecības tendencēm, nevis no Latvijas iekšējā tirgus tendencēm. Līdz ar to, ja Latvijā būtu sagaidāms būvniecības produkcijas apjoma samazinājums, ekspertu skatījumā izmaksas vienalga turpinātu pieaugt.</w:t>
      </w:r>
      <w:r w:rsidR="00A06442">
        <w:rPr>
          <w:rFonts w:ascii="Times New Roman" w:hAnsi="Times New Roman" w:cs="Times New Roman"/>
          <w:sz w:val="24"/>
          <w:szCs w:val="24"/>
        </w:rPr>
        <w:t xml:space="preserve"> </w:t>
      </w:r>
      <w:r w:rsidRPr="00A06442">
        <w:rPr>
          <w:rFonts w:ascii="Times New Roman" w:hAnsi="Times New Roman" w:cs="Times New Roman"/>
          <w:sz w:val="24"/>
          <w:szCs w:val="24"/>
        </w:rPr>
        <w:t xml:space="preserve">Situācija nedaudz atšķirīgāka, ja to aplūko būvniecības apakšnozaru griezumā, jo tās pārstāvošajiem ekspertiem ir dažādi skatījumi uz savas apakšnozares peļņas normu. </w:t>
      </w:r>
    </w:p>
    <w:p w14:paraId="57306DE0" w14:textId="77777777" w:rsidR="00AA5827" w:rsidRDefault="00AA5827" w:rsidP="00AA5827">
      <w:pPr>
        <w:spacing w:line="276" w:lineRule="auto"/>
        <w:ind w:firstLine="0"/>
        <w:rPr>
          <w:rFonts w:ascii="Times New Roman" w:hAnsi="Times New Roman" w:cs="Times New Roman"/>
        </w:rPr>
      </w:pPr>
    </w:p>
    <w:p w14:paraId="36A2FCC5" w14:textId="646A4A74" w:rsidR="00AA5827" w:rsidRDefault="00AA5827" w:rsidP="00AA5827">
      <w:pPr>
        <w:pStyle w:val="Caption"/>
        <w:spacing w:after="0"/>
        <w:jc w:val="right"/>
      </w:pPr>
      <w:r>
        <w:t xml:space="preserve">Tabula  </w:t>
      </w:r>
      <w:r w:rsidR="00F43189">
        <w:fldChar w:fldCharType="begin"/>
      </w:r>
      <w:r w:rsidR="00F43189">
        <w:instrText xml:space="preserve"> SEQ Tab._ \* ARABIC </w:instrText>
      </w:r>
      <w:r w:rsidR="00F43189">
        <w:fldChar w:fldCharType="separate"/>
      </w:r>
      <w:r w:rsidR="00D65651">
        <w:rPr>
          <w:noProof/>
        </w:rPr>
        <w:t>6</w:t>
      </w:r>
      <w:r w:rsidR="00F43189">
        <w:rPr>
          <w:noProof/>
        </w:rPr>
        <w:fldChar w:fldCharType="end"/>
      </w:r>
      <w:r>
        <w:t>.</w:t>
      </w:r>
    </w:p>
    <w:p w14:paraId="25C7F48C" w14:textId="61956CDB" w:rsidR="00AA5827" w:rsidRDefault="00AA5827" w:rsidP="006A5A5C">
      <w:pPr>
        <w:pStyle w:val="Caption"/>
        <w:spacing w:after="0"/>
        <w:ind w:firstLine="0"/>
        <w:jc w:val="right"/>
        <w:rPr>
          <w:rFonts w:ascii="Times New Roman" w:hAnsi="Times New Roman" w:cs="Times New Roman"/>
        </w:rPr>
      </w:pPr>
      <w:r w:rsidRPr="00CA542D">
        <w:rPr>
          <w:rFonts w:ascii="Times New Roman" w:hAnsi="Times New Roman" w:cs="Times New Roman"/>
        </w:rPr>
        <w:t xml:space="preserve"> Peļņas normas ekspertvērtējums, kas būtu pieņemams Latvijas uzņēmējiem dažādās apakšnozarēs pie noteiktiem būvniecības produkcijas apjoma izaugsmes scenārijiem.</w:t>
      </w:r>
    </w:p>
    <w:p w14:paraId="3C7DF230" w14:textId="77777777" w:rsidR="006A5A5C" w:rsidRPr="006A5A5C" w:rsidRDefault="006A5A5C" w:rsidP="006A5A5C"/>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1134"/>
        <w:gridCol w:w="1559"/>
        <w:gridCol w:w="1276"/>
        <w:gridCol w:w="1984"/>
      </w:tblGrid>
      <w:tr w:rsidR="00AA5827" w:rsidRPr="00CA542D" w14:paraId="3AFB0BAD" w14:textId="77777777" w:rsidTr="006A5A5C">
        <w:trPr>
          <w:trHeight w:val="288"/>
          <w:jc w:val="center"/>
        </w:trPr>
        <w:tc>
          <w:tcPr>
            <w:tcW w:w="1838" w:type="dxa"/>
            <w:shd w:val="clear" w:color="auto" w:fill="D9D9D9" w:themeFill="background1" w:themeFillShade="D9"/>
            <w:noWrap/>
            <w:vAlign w:val="center"/>
            <w:hideMark/>
          </w:tcPr>
          <w:p w14:paraId="02FD76AE"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hAnsi="Times New Roman" w:cs="Times New Roman"/>
                <w:sz w:val="18"/>
                <w:szCs w:val="18"/>
              </w:rPr>
              <w:t>Būvniecības apjoma izmaiņu scenāriji</w:t>
            </w:r>
          </w:p>
        </w:tc>
        <w:tc>
          <w:tcPr>
            <w:tcW w:w="1276" w:type="dxa"/>
            <w:shd w:val="clear" w:color="auto" w:fill="D9D9D9" w:themeFill="background1" w:themeFillShade="D9"/>
            <w:noWrap/>
            <w:vAlign w:val="center"/>
            <w:hideMark/>
          </w:tcPr>
          <w:p w14:paraId="50BEA031"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Ēku būvniecības apakšnozare</w:t>
            </w:r>
          </w:p>
        </w:tc>
        <w:tc>
          <w:tcPr>
            <w:tcW w:w="1134" w:type="dxa"/>
            <w:shd w:val="clear" w:color="auto" w:fill="D9D9D9" w:themeFill="background1" w:themeFillShade="D9"/>
            <w:noWrap/>
            <w:vAlign w:val="center"/>
            <w:hideMark/>
          </w:tcPr>
          <w:p w14:paraId="3C144D5F"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Transporta objektu būvn. noz.</w:t>
            </w:r>
          </w:p>
        </w:tc>
        <w:tc>
          <w:tcPr>
            <w:tcW w:w="1559" w:type="dxa"/>
            <w:shd w:val="clear" w:color="auto" w:fill="D9D9D9" w:themeFill="background1" w:themeFillShade="D9"/>
            <w:noWrap/>
            <w:vAlign w:val="center"/>
            <w:hideMark/>
          </w:tcPr>
          <w:p w14:paraId="71E9109F"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Pilsētsaimn. infrastruktūras objektu būvn. noz.</w:t>
            </w:r>
          </w:p>
        </w:tc>
        <w:tc>
          <w:tcPr>
            <w:tcW w:w="1276" w:type="dxa"/>
            <w:shd w:val="clear" w:color="auto" w:fill="D9D9D9" w:themeFill="background1" w:themeFillShade="D9"/>
            <w:noWrap/>
            <w:vAlign w:val="center"/>
            <w:hideMark/>
          </w:tcPr>
          <w:p w14:paraId="152F9F2C"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Specializētie būvd. noz.</w:t>
            </w:r>
          </w:p>
        </w:tc>
        <w:tc>
          <w:tcPr>
            <w:tcW w:w="1984" w:type="dxa"/>
            <w:shd w:val="clear" w:color="auto" w:fill="D9D9D9" w:themeFill="background1" w:themeFillShade="D9"/>
            <w:noWrap/>
            <w:vAlign w:val="center"/>
            <w:hideMark/>
          </w:tcPr>
          <w:p w14:paraId="5EFA14C1"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Arhitektūras un inženiertehnisko pakalpojumu, tehniskās pārbaudes un analīzes būv. noz.</w:t>
            </w:r>
          </w:p>
        </w:tc>
      </w:tr>
      <w:tr w:rsidR="00AA5827" w:rsidRPr="00CA542D" w14:paraId="7505B385" w14:textId="77777777" w:rsidTr="006A5A5C">
        <w:trPr>
          <w:trHeight w:val="288"/>
          <w:jc w:val="center"/>
        </w:trPr>
        <w:tc>
          <w:tcPr>
            <w:tcW w:w="1838" w:type="dxa"/>
            <w:noWrap/>
            <w:vAlign w:val="center"/>
            <w:hideMark/>
          </w:tcPr>
          <w:p w14:paraId="4BFBC456"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-20% līdz -10%</w:t>
            </w:r>
          </w:p>
        </w:tc>
        <w:tc>
          <w:tcPr>
            <w:tcW w:w="1276" w:type="dxa"/>
            <w:noWrap/>
            <w:vAlign w:val="center"/>
            <w:hideMark/>
          </w:tcPr>
          <w:p w14:paraId="14A804F1"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3,8</w:t>
            </w:r>
          </w:p>
        </w:tc>
        <w:tc>
          <w:tcPr>
            <w:tcW w:w="1134" w:type="dxa"/>
            <w:noWrap/>
            <w:vAlign w:val="center"/>
            <w:hideMark/>
          </w:tcPr>
          <w:p w14:paraId="0CD24208"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2,2</w:t>
            </w:r>
          </w:p>
        </w:tc>
        <w:tc>
          <w:tcPr>
            <w:tcW w:w="1559" w:type="dxa"/>
            <w:noWrap/>
            <w:vAlign w:val="center"/>
            <w:hideMark/>
          </w:tcPr>
          <w:p w14:paraId="793BF462"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4,2</w:t>
            </w:r>
          </w:p>
        </w:tc>
        <w:tc>
          <w:tcPr>
            <w:tcW w:w="1276" w:type="dxa"/>
            <w:noWrap/>
            <w:vAlign w:val="center"/>
            <w:hideMark/>
          </w:tcPr>
          <w:p w14:paraId="0C1B5EBF"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7,4</w:t>
            </w:r>
          </w:p>
        </w:tc>
        <w:tc>
          <w:tcPr>
            <w:tcW w:w="1984" w:type="dxa"/>
            <w:noWrap/>
            <w:vAlign w:val="center"/>
            <w:hideMark/>
          </w:tcPr>
          <w:p w14:paraId="110E84B4"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7,5</w:t>
            </w:r>
          </w:p>
        </w:tc>
      </w:tr>
      <w:tr w:rsidR="00AA5827" w:rsidRPr="00CA542D" w14:paraId="019D7DF4" w14:textId="77777777" w:rsidTr="006A5A5C">
        <w:trPr>
          <w:trHeight w:val="288"/>
          <w:jc w:val="center"/>
        </w:trPr>
        <w:tc>
          <w:tcPr>
            <w:tcW w:w="1838" w:type="dxa"/>
            <w:noWrap/>
            <w:vAlign w:val="center"/>
            <w:hideMark/>
          </w:tcPr>
          <w:p w14:paraId="76C4F61D"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-10% līdz -0%</w:t>
            </w:r>
          </w:p>
        </w:tc>
        <w:tc>
          <w:tcPr>
            <w:tcW w:w="1276" w:type="dxa"/>
            <w:noWrap/>
            <w:vAlign w:val="center"/>
            <w:hideMark/>
          </w:tcPr>
          <w:p w14:paraId="7D22C006"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4,5</w:t>
            </w:r>
          </w:p>
        </w:tc>
        <w:tc>
          <w:tcPr>
            <w:tcW w:w="1134" w:type="dxa"/>
            <w:noWrap/>
            <w:vAlign w:val="center"/>
            <w:hideMark/>
          </w:tcPr>
          <w:p w14:paraId="392DB25F"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3,2</w:t>
            </w:r>
          </w:p>
        </w:tc>
        <w:tc>
          <w:tcPr>
            <w:tcW w:w="1559" w:type="dxa"/>
            <w:noWrap/>
            <w:vAlign w:val="center"/>
            <w:hideMark/>
          </w:tcPr>
          <w:p w14:paraId="2920BAA8"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4,6</w:t>
            </w:r>
          </w:p>
        </w:tc>
        <w:tc>
          <w:tcPr>
            <w:tcW w:w="1276" w:type="dxa"/>
            <w:noWrap/>
            <w:vAlign w:val="center"/>
            <w:hideMark/>
          </w:tcPr>
          <w:p w14:paraId="67A59832"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5,8</w:t>
            </w:r>
          </w:p>
        </w:tc>
        <w:tc>
          <w:tcPr>
            <w:tcW w:w="1984" w:type="dxa"/>
            <w:noWrap/>
            <w:vAlign w:val="center"/>
            <w:hideMark/>
          </w:tcPr>
          <w:p w14:paraId="56CC95D9"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7,5</w:t>
            </w:r>
          </w:p>
        </w:tc>
      </w:tr>
      <w:tr w:rsidR="00AA5827" w:rsidRPr="00CA542D" w14:paraId="7C271F7A" w14:textId="77777777" w:rsidTr="006A5A5C">
        <w:trPr>
          <w:trHeight w:val="288"/>
          <w:jc w:val="center"/>
        </w:trPr>
        <w:tc>
          <w:tcPr>
            <w:tcW w:w="1838" w:type="dxa"/>
            <w:noWrap/>
            <w:vAlign w:val="center"/>
            <w:hideMark/>
          </w:tcPr>
          <w:p w14:paraId="11F59E22"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0% līdz +10%</w:t>
            </w:r>
          </w:p>
        </w:tc>
        <w:tc>
          <w:tcPr>
            <w:tcW w:w="1276" w:type="dxa"/>
            <w:noWrap/>
            <w:vAlign w:val="center"/>
            <w:hideMark/>
          </w:tcPr>
          <w:p w14:paraId="16C04371"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7,0</w:t>
            </w:r>
          </w:p>
        </w:tc>
        <w:tc>
          <w:tcPr>
            <w:tcW w:w="1134" w:type="dxa"/>
            <w:noWrap/>
            <w:vAlign w:val="center"/>
            <w:hideMark/>
          </w:tcPr>
          <w:p w14:paraId="68E7F0CC"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3,8</w:t>
            </w:r>
          </w:p>
        </w:tc>
        <w:tc>
          <w:tcPr>
            <w:tcW w:w="1559" w:type="dxa"/>
            <w:noWrap/>
            <w:vAlign w:val="center"/>
            <w:hideMark/>
          </w:tcPr>
          <w:p w14:paraId="250DA0C9"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5,4</w:t>
            </w:r>
          </w:p>
        </w:tc>
        <w:tc>
          <w:tcPr>
            <w:tcW w:w="1276" w:type="dxa"/>
            <w:noWrap/>
            <w:vAlign w:val="center"/>
            <w:hideMark/>
          </w:tcPr>
          <w:p w14:paraId="16DDF293"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8,8</w:t>
            </w:r>
          </w:p>
        </w:tc>
        <w:tc>
          <w:tcPr>
            <w:tcW w:w="1984" w:type="dxa"/>
            <w:noWrap/>
            <w:vAlign w:val="center"/>
            <w:hideMark/>
          </w:tcPr>
          <w:p w14:paraId="5BAFA3AE"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16,7</w:t>
            </w:r>
          </w:p>
        </w:tc>
      </w:tr>
      <w:tr w:rsidR="00AA5827" w:rsidRPr="00CA542D" w14:paraId="1E703412" w14:textId="77777777" w:rsidTr="006A5A5C">
        <w:trPr>
          <w:trHeight w:val="288"/>
          <w:jc w:val="center"/>
        </w:trPr>
        <w:tc>
          <w:tcPr>
            <w:tcW w:w="1838" w:type="dxa"/>
            <w:noWrap/>
            <w:vAlign w:val="center"/>
            <w:hideMark/>
          </w:tcPr>
          <w:p w14:paraId="03EF804A"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+10% līdz +20%</w:t>
            </w:r>
          </w:p>
        </w:tc>
        <w:tc>
          <w:tcPr>
            <w:tcW w:w="1276" w:type="dxa"/>
            <w:noWrap/>
            <w:vAlign w:val="center"/>
            <w:hideMark/>
          </w:tcPr>
          <w:p w14:paraId="161938D4"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8,8</w:t>
            </w:r>
          </w:p>
        </w:tc>
        <w:tc>
          <w:tcPr>
            <w:tcW w:w="1134" w:type="dxa"/>
            <w:noWrap/>
            <w:vAlign w:val="center"/>
            <w:hideMark/>
          </w:tcPr>
          <w:p w14:paraId="60A5DB5B"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5,5</w:t>
            </w:r>
          </w:p>
        </w:tc>
        <w:tc>
          <w:tcPr>
            <w:tcW w:w="1559" w:type="dxa"/>
            <w:noWrap/>
            <w:vAlign w:val="center"/>
            <w:hideMark/>
          </w:tcPr>
          <w:p w14:paraId="55DD10B1"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9,7</w:t>
            </w:r>
          </w:p>
        </w:tc>
        <w:tc>
          <w:tcPr>
            <w:tcW w:w="1276" w:type="dxa"/>
            <w:noWrap/>
            <w:vAlign w:val="center"/>
            <w:hideMark/>
          </w:tcPr>
          <w:p w14:paraId="1CD63FF4"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10,2</w:t>
            </w:r>
          </w:p>
        </w:tc>
        <w:tc>
          <w:tcPr>
            <w:tcW w:w="1984" w:type="dxa"/>
            <w:noWrap/>
            <w:vAlign w:val="center"/>
            <w:hideMark/>
          </w:tcPr>
          <w:p w14:paraId="62602B76"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20,0</w:t>
            </w:r>
          </w:p>
        </w:tc>
      </w:tr>
      <w:tr w:rsidR="00AA5827" w:rsidRPr="00CA542D" w14:paraId="2DFEBE91" w14:textId="77777777" w:rsidTr="006A5A5C">
        <w:trPr>
          <w:trHeight w:val="288"/>
          <w:jc w:val="center"/>
        </w:trPr>
        <w:tc>
          <w:tcPr>
            <w:tcW w:w="1838" w:type="dxa"/>
            <w:noWrap/>
            <w:vAlign w:val="center"/>
            <w:hideMark/>
          </w:tcPr>
          <w:p w14:paraId="518A6716"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+20% līdz +30%</w:t>
            </w:r>
          </w:p>
        </w:tc>
        <w:tc>
          <w:tcPr>
            <w:tcW w:w="1276" w:type="dxa"/>
            <w:noWrap/>
            <w:vAlign w:val="center"/>
            <w:hideMark/>
          </w:tcPr>
          <w:p w14:paraId="45A19AF2"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10,8</w:t>
            </w:r>
          </w:p>
        </w:tc>
        <w:tc>
          <w:tcPr>
            <w:tcW w:w="1134" w:type="dxa"/>
            <w:noWrap/>
            <w:vAlign w:val="center"/>
            <w:hideMark/>
          </w:tcPr>
          <w:p w14:paraId="63C21B97"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7,7</w:t>
            </w:r>
          </w:p>
        </w:tc>
        <w:tc>
          <w:tcPr>
            <w:tcW w:w="1559" w:type="dxa"/>
            <w:noWrap/>
            <w:vAlign w:val="center"/>
            <w:hideMark/>
          </w:tcPr>
          <w:p w14:paraId="28A95C5A"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9,4</w:t>
            </w:r>
          </w:p>
        </w:tc>
        <w:tc>
          <w:tcPr>
            <w:tcW w:w="1276" w:type="dxa"/>
            <w:noWrap/>
            <w:vAlign w:val="center"/>
            <w:hideMark/>
          </w:tcPr>
          <w:p w14:paraId="0448C323"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12,2</w:t>
            </w:r>
          </w:p>
        </w:tc>
        <w:tc>
          <w:tcPr>
            <w:tcW w:w="1984" w:type="dxa"/>
            <w:noWrap/>
            <w:vAlign w:val="center"/>
            <w:hideMark/>
          </w:tcPr>
          <w:p w14:paraId="7672D267" w14:textId="77777777" w:rsidR="00AA5827" w:rsidRPr="00CA542D" w:rsidRDefault="00AA5827" w:rsidP="00811AB3">
            <w:pPr>
              <w:spacing w:line="276" w:lineRule="auto"/>
              <w:ind w:firstLine="0"/>
              <w:jc w:val="center"/>
              <w:rPr>
                <w:rFonts w:ascii="Times New Roman" w:eastAsia="Times New Roman" w:hAnsi="Times New Roman" w:cs="Times New Roman"/>
                <w:sz w:val="18"/>
                <w:szCs w:val="18"/>
                <w:lang w:eastAsia="lv-LV"/>
              </w:rPr>
            </w:pPr>
            <w:r w:rsidRPr="00CA542D">
              <w:rPr>
                <w:rFonts w:ascii="Times New Roman" w:eastAsia="Times New Roman" w:hAnsi="Times New Roman" w:cs="Times New Roman"/>
                <w:sz w:val="18"/>
                <w:szCs w:val="18"/>
                <w:lang w:eastAsia="lv-LV"/>
              </w:rPr>
              <w:t>21,7</w:t>
            </w:r>
          </w:p>
        </w:tc>
      </w:tr>
    </w:tbl>
    <w:p w14:paraId="733B1A36" w14:textId="77777777" w:rsidR="006A5A5C" w:rsidRDefault="006A5A5C" w:rsidP="006A5A5C">
      <w:pPr>
        <w:ind w:firstLine="0"/>
        <w:rPr>
          <w:rFonts w:ascii="Times New Roman" w:hAnsi="Times New Roman" w:cs="Times New Roman"/>
        </w:rPr>
      </w:pPr>
    </w:p>
    <w:p w14:paraId="13A5E6CB" w14:textId="46C0F31A" w:rsidR="00A06442" w:rsidRPr="00A06442" w:rsidRDefault="00A06442" w:rsidP="0088719C">
      <w:pPr>
        <w:rPr>
          <w:rFonts w:ascii="Times New Roman" w:hAnsi="Times New Roman" w:cs="Times New Roman"/>
          <w:sz w:val="24"/>
          <w:szCs w:val="24"/>
        </w:rPr>
      </w:pPr>
      <w:r w:rsidRPr="00A06442">
        <w:rPr>
          <w:rFonts w:ascii="Times New Roman" w:hAnsi="Times New Roman" w:cs="Times New Roman"/>
          <w:sz w:val="24"/>
          <w:szCs w:val="24"/>
        </w:rPr>
        <w:t>A</w:t>
      </w:r>
      <w:r w:rsidR="00AA5827" w:rsidRPr="00A06442">
        <w:rPr>
          <w:rFonts w:ascii="Times New Roman" w:hAnsi="Times New Roman" w:cs="Times New Roman"/>
          <w:sz w:val="24"/>
          <w:szCs w:val="24"/>
        </w:rPr>
        <w:t>pakšnozare, kas ir gatava tirgus lejupslīdes gadījumā samierināties ar zemāko peļņas normu, ir transporta objektu būvniecības apakšnozare</w:t>
      </w:r>
      <w:r w:rsidRPr="00A06442">
        <w:rPr>
          <w:rFonts w:ascii="Times New Roman" w:hAnsi="Times New Roman" w:cs="Times New Roman"/>
          <w:sz w:val="24"/>
          <w:szCs w:val="24"/>
        </w:rPr>
        <w:t>, kas pie negatīvas tirgus izaugsmes rēķinātos ar 2,2% līdz 3,2% peļņas normu, kamēr tirgus izaugsmes gadījumā gaidītu 3,8% līdz 7,7% peļņas normu. Hipotētiskais iemesls šādai gatavībai uz zemāku peļņas procentu varētu būt lielāks publiskā iepirkuma īpatsvars, kas sniedz mazākas spekulatīvas iespējas, bet tajā pašā laikā sniedz zināmu garantijas apjomu. Kā arī nozīme būtu lielākam apgrozījuma apjomam lielākajiem transporta objektu būves nozares spēlētājiem.</w:t>
      </w:r>
    </w:p>
    <w:p w14:paraId="08A9DA5F" w14:textId="42F21AB7" w:rsidR="00AA5827" w:rsidRPr="00A06442" w:rsidRDefault="00AA5827" w:rsidP="0088719C">
      <w:pPr>
        <w:rPr>
          <w:rFonts w:ascii="Times New Roman" w:hAnsi="Times New Roman" w:cs="Times New Roman"/>
          <w:sz w:val="24"/>
          <w:szCs w:val="24"/>
        </w:rPr>
      </w:pPr>
      <w:r w:rsidRPr="00A06442">
        <w:rPr>
          <w:rFonts w:ascii="Times New Roman" w:hAnsi="Times New Roman" w:cs="Times New Roman"/>
          <w:sz w:val="24"/>
          <w:szCs w:val="24"/>
        </w:rPr>
        <w:lastRenderedPageBreak/>
        <w:t xml:space="preserve">Visaugstāko peļņas normu pie visiem scenārijiem sagaida arhitektūras un inženiertehnisko pakalpojumu, tehniskās pārbaudes un analīzes apakšnozares, kas vidēji pie negatīviem izaugsmes rādītājiem sagaida 7,5% peļņas normu, bet pie pozitīviem no 16,7% līdz 21,7%. Pretstatā transporta objektu būvniecības </w:t>
      </w:r>
    </w:p>
    <w:p w14:paraId="2D3ECD5C" w14:textId="77777777" w:rsidR="008A3998" w:rsidRDefault="008A3998" w:rsidP="002219B5">
      <w:pPr>
        <w:spacing w:line="276" w:lineRule="auto"/>
        <w:ind w:firstLine="0"/>
        <w:rPr>
          <w:rFonts w:ascii="Times New Roman" w:hAnsi="Times New Roman" w:cs="Times New Roman"/>
        </w:rPr>
      </w:pPr>
    </w:p>
    <w:p w14:paraId="4D696BF6" w14:textId="67A4B448" w:rsidR="00274DC6" w:rsidRPr="00CF4DE8" w:rsidRDefault="00274DC6" w:rsidP="002801D0">
      <w:pPr>
        <w:pStyle w:val="Heading3"/>
        <w:numPr>
          <w:ilvl w:val="2"/>
          <w:numId w:val="40"/>
        </w:numPr>
        <w:rPr>
          <w:b/>
          <w:bCs/>
          <w:color w:val="009999"/>
        </w:rPr>
      </w:pPr>
      <w:bookmarkStart w:id="12" w:name="_Toc79709835"/>
      <w:bookmarkStart w:id="13" w:name="_Toc80109864"/>
      <w:r w:rsidRPr="00CF4DE8">
        <w:rPr>
          <w:b/>
          <w:bCs/>
          <w:color w:val="009999"/>
        </w:rPr>
        <w:t>Apakšnozar</w:t>
      </w:r>
      <w:r w:rsidR="006A3ED1" w:rsidRPr="00CF4DE8">
        <w:rPr>
          <w:b/>
          <w:bCs/>
          <w:color w:val="009999"/>
        </w:rPr>
        <w:t>u prognozes</w:t>
      </w:r>
      <w:bookmarkEnd w:id="12"/>
      <w:bookmarkEnd w:id="13"/>
    </w:p>
    <w:p w14:paraId="553FE3C3" w14:textId="77777777" w:rsidR="006A3ED1" w:rsidRPr="006A3ED1" w:rsidRDefault="006A3ED1" w:rsidP="006A3ED1"/>
    <w:p w14:paraId="619E75E5"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Ēku būvniecības apakšnozarē</w:t>
      </w:r>
      <w:r w:rsidRPr="0074305A">
        <w:rPr>
          <w:rFonts w:ascii="Times New Roman" w:hAnsi="Times New Roman" w:cs="Times New Roman"/>
          <w:sz w:val="24"/>
          <w:szCs w:val="24"/>
        </w:rPr>
        <w:t xml:space="preserve"> tiek prognozēts mērens būvniecības produkcijas apjoms 2021. un 2022. gadā, tomēr novērtējot 2023.-2025. gada periodu sagaidāmi straujāki ēku būvniecības apjomi. Kopumā ekspertu novērtējumā dzīvojamo ēku segmentā paredzams straujāks būvniecības apjomu pieaugums nekā nedzīvojamo ēku segmentā.</w:t>
      </w:r>
    </w:p>
    <w:p w14:paraId="6A434AB8" w14:textId="0CC7C10A"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Transporta nozares</w:t>
      </w:r>
      <w:r w:rsidRPr="0074305A">
        <w:rPr>
          <w:rFonts w:ascii="Times New Roman" w:hAnsi="Times New Roman" w:cs="Times New Roman"/>
          <w:sz w:val="24"/>
          <w:szCs w:val="24"/>
        </w:rPr>
        <w:t xml:space="preserve"> attīstība saistāma ar būtisku pašvaldības, valsts un Eiropas Savienības projektu realizāciju. 2021. gadā gan pēc ekspertu prognozēm, gan kombinētām prognozēm visās transporta objektu būvniecības apakšnozarēs sagaidāms pieaugums. Tomēr 2022. gadā atsevišķās apakšnozarēs sagaidāms kritums – ceļu un maģistrāļu būvniecībā un tiltu un tuneļu būvniecībā. Tas skaidrots ar struktūrfondu līdzekļu fluktuācijām un attiecīgi ekspertu viedokļa ietekmi. Laika periodā no 2023.-2025. gadam ceļu un maģistrāļu būvniecības tendences tiek novērtētas kā mērenas izaugsmes periods ar niecīgu tirgus apjoma pieaugumu. Tajā pašā laika dzelzceļu, tiltu un tuneļu būvniecībai tiek novērtēts straujš lēciens, kas saistāms ar būtiskiem projekta “Rail Baltic” būvdarbiem. Ņemot vērā, ka šī apakšnozare ir ļoti cikliska, šiem lielajiem lēcieniem var sekot tikpat būtiski kritumi ilgtermiņā. </w:t>
      </w:r>
    </w:p>
    <w:p w14:paraId="32966EAE" w14:textId="46241AEC" w:rsidR="0004180A" w:rsidRDefault="0004180A" w:rsidP="0004180A">
      <w:pPr>
        <w:pStyle w:val="Caption"/>
        <w:spacing w:after="0"/>
        <w:jc w:val="right"/>
        <w:rPr>
          <w:rFonts w:ascii="Times New Roman" w:hAnsi="Times New Roman" w:cs="Times New Roman"/>
        </w:rPr>
      </w:pPr>
      <w:r>
        <w:t xml:space="preserve">Tabula  </w:t>
      </w:r>
      <w:r w:rsidR="00F43189">
        <w:fldChar w:fldCharType="begin"/>
      </w:r>
      <w:r w:rsidR="00F43189">
        <w:instrText xml:space="preserve"> SEQ Tab._ \* ARABIC </w:instrText>
      </w:r>
      <w:r w:rsidR="00F43189">
        <w:fldChar w:fldCharType="separate"/>
      </w:r>
      <w:r w:rsidR="00D65651">
        <w:rPr>
          <w:noProof/>
        </w:rPr>
        <w:t>7</w:t>
      </w:r>
      <w:r w:rsidR="00F43189">
        <w:rPr>
          <w:noProof/>
        </w:rPr>
        <w:fldChar w:fldCharType="end"/>
      </w:r>
      <w:r>
        <w:t>.</w:t>
      </w:r>
      <w:r w:rsidRPr="00CA542D">
        <w:rPr>
          <w:rFonts w:ascii="Times New Roman" w:hAnsi="Times New Roman" w:cs="Times New Roman"/>
        </w:rPr>
        <w:t xml:space="preserve"> </w:t>
      </w:r>
    </w:p>
    <w:p w14:paraId="5020CA06" w14:textId="5A0A33DF" w:rsidR="0004180A" w:rsidRDefault="0004180A" w:rsidP="006A5A5C">
      <w:pPr>
        <w:pStyle w:val="Caption"/>
        <w:spacing w:after="0"/>
        <w:ind w:firstLine="0"/>
        <w:jc w:val="right"/>
        <w:rPr>
          <w:rFonts w:ascii="Times New Roman" w:hAnsi="Times New Roman" w:cs="Times New Roman"/>
        </w:rPr>
      </w:pPr>
      <w:r w:rsidRPr="00CA542D">
        <w:rPr>
          <w:rFonts w:ascii="Times New Roman" w:hAnsi="Times New Roman" w:cs="Times New Roman"/>
        </w:rPr>
        <w:t>Būvniecības produkcijas apjoma izmaiņu prognozes procentos pret iepriekšējo gadu pēc apakšnozaru ekspertu vidējā vērtējuma 2021.-2025. gadam.</w:t>
      </w:r>
    </w:p>
    <w:p w14:paraId="5474DA63" w14:textId="77777777" w:rsidR="006A5A5C" w:rsidRPr="006A5A5C" w:rsidRDefault="006A5A5C" w:rsidP="006A5A5C"/>
    <w:tbl>
      <w:tblPr>
        <w:tblStyle w:val="ListTable4-Accent31"/>
        <w:tblW w:w="9781" w:type="dxa"/>
        <w:jc w:val="center"/>
        <w:tblLayout w:type="fixed"/>
        <w:tblLook w:val="0620" w:firstRow="1" w:lastRow="0" w:firstColumn="0" w:lastColumn="0" w:noHBand="1" w:noVBand="1"/>
      </w:tblPr>
      <w:tblGrid>
        <w:gridCol w:w="5949"/>
        <w:gridCol w:w="766"/>
        <w:gridCol w:w="766"/>
        <w:gridCol w:w="767"/>
        <w:gridCol w:w="766"/>
        <w:gridCol w:w="767"/>
      </w:tblGrid>
      <w:tr w:rsidR="0004180A" w:rsidRPr="00CA542D" w14:paraId="3FC03428" w14:textId="77777777" w:rsidTr="006A5A5C">
        <w:trPr>
          <w:cnfStyle w:val="100000000000" w:firstRow="1" w:lastRow="0" w:firstColumn="0" w:lastColumn="0" w:oddVBand="0" w:evenVBand="0" w:oddHBand="0" w:evenHBand="0" w:firstRowFirstColumn="0" w:firstRowLastColumn="0" w:lastRowFirstColumn="0" w:lastRowLastColumn="0"/>
          <w:trHeight w:val="288"/>
          <w:jc w:val="center"/>
        </w:trPr>
        <w:tc>
          <w:tcPr>
            <w:tcW w:w="5949" w:type="dxa"/>
            <w:noWrap/>
            <w:hideMark/>
          </w:tcPr>
          <w:p w14:paraId="14F32698"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bookmarkStart w:id="14" w:name="_Hlk77190300"/>
            <w:r w:rsidRPr="00CA542D">
              <w:rPr>
                <w:rFonts w:ascii="Times New Roman" w:eastAsia="Times New Roman" w:hAnsi="Times New Roman" w:cs="Times New Roman"/>
                <w:color w:val="000000"/>
                <w:lang w:eastAsia="lv-LV"/>
              </w:rPr>
              <w:t> </w:t>
            </w:r>
          </w:p>
        </w:tc>
        <w:tc>
          <w:tcPr>
            <w:tcW w:w="766" w:type="dxa"/>
            <w:noWrap/>
            <w:hideMark/>
          </w:tcPr>
          <w:p w14:paraId="4F1C4399"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2021.</w:t>
            </w:r>
          </w:p>
        </w:tc>
        <w:tc>
          <w:tcPr>
            <w:tcW w:w="766" w:type="dxa"/>
            <w:noWrap/>
            <w:hideMark/>
          </w:tcPr>
          <w:p w14:paraId="0A5A2F22"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2022.</w:t>
            </w:r>
          </w:p>
        </w:tc>
        <w:tc>
          <w:tcPr>
            <w:tcW w:w="767" w:type="dxa"/>
            <w:noWrap/>
            <w:hideMark/>
          </w:tcPr>
          <w:p w14:paraId="40CEEA11"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2023.</w:t>
            </w:r>
          </w:p>
        </w:tc>
        <w:tc>
          <w:tcPr>
            <w:tcW w:w="766" w:type="dxa"/>
            <w:noWrap/>
            <w:hideMark/>
          </w:tcPr>
          <w:p w14:paraId="5CF6694A"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2024.</w:t>
            </w:r>
          </w:p>
        </w:tc>
        <w:tc>
          <w:tcPr>
            <w:tcW w:w="767" w:type="dxa"/>
            <w:noWrap/>
            <w:hideMark/>
          </w:tcPr>
          <w:p w14:paraId="743210EC"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2025.</w:t>
            </w:r>
          </w:p>
        </w:tc>
      </w:tr>
      <w:tr w:rsidR="0004180A" w:rsidRPr="00CA542D" w14:paraId="7C8CE2F9" w14:textId="77777777" w:rsidTr="006A5A5C">
        <w:trPr>
          <w:trHeight w:val="288"/>
          <w:jc w:val="center"/>
        </w:trPr>
        <w:tc>
          <w:tcPr>
            <w:tcW w:w="9781" w:type="dxa"/>
            <w:gridSpan w:val="6"/>
            <w:noWrap/>
          </w:tcPr>
          <w:p w14:paraId="4B9DB746"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b/>
                <w:bCs/>
                <w:color w:val="000000"/>
              </w:rPr>
              <w:t>Ēku būvniecības prognozes</w:t>
            </w:r>
          </w:p>
        </w:tc>
      </w:tr>
      <w:tr w:rsidR="0004180A" w:rsidRPr="00CA542D" w14:paraId="60EE9CD3" w14:textId="77777777" w:rsidTr="006A5A5C">
        <w:trPr>
          <w:trHeight w:val="288"/>
          <w:jc w:val="center"/>
        </w:trPr>
        <w:tc>
          <w:tcPr>
            <w:tcW w:w="5949" w:type="dxa"/>
            <w:noWrap/>
            <w:hideMark/>
          </w:tcPr>
          <w:p w14:paraId="43EC75E6"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Dzīvojamo ēku būvniecības produkcijas apjoma izmaiņu ekspertprognoze</w:t>
            </w:r>
          </w:p>
        </w:tc>
        <w:tc>
          <w:tcPr>
            <w:tcW w:w="766" w:type="dxa"/>
            <w:noWrap/>
            <w:hideMark/>
          </w:tcPr>
          <w:p w14:paraId="6173D3BE"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6,64</w:t>
            </w:r>
          </w:p>
        </w:tc>
        <w:tc>
          <w:tcPr>
            <w:tcW w:w="766" w:type="dxa"/>
            <w:noWrap/>
            <w:hideMark/>
          </w:tcPr>
          <w:p w14:paraId="338EFC0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6,14</w:t>
            </w:r>
          </w:p>
        </w:tc>
        <w:tc>
          <w:tcPr>
            <w:tcW w:w="767" w:type="dxa"/>
            <w:noWrap/>
            <w:hideMark/>
          </w:tcPr>
          <w:p w14:paraId="0F67C13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11,29</w:t>
            </w:r>
          </w:p>
        </w:tc>
        <w:tc>
          <w:tcPr>
            <w:tcW w:w="766" w:type="dxa"/>
            <w:noWrap/>
            <w:hideMark/>
          </w:tcPr>
          <w:p w14:paraId="1A6BE33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12,57</w:t>
            </w:r>
          </w:p>
        </w:tc>
        <w:tc>
          <w:tcPr>
            <w:tcW w:w="767" w:type="dxa"/>
            <w:noWrap/>
            <w:hideMark/>
          </w:tcPr>
          <w:p w14:paraId="37F8DAC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11,86</w:t>
            </w:r>
          </w:p>
        </w:tc>
      </w:tr>
      <w:tr w:rsidR="0004180A" w:rsidRPr="00CA542D" w14:paraId="6ED5FD7E" w14:textId="77777777" w:rsidTr="006A5A5C">
        <w:trPr>
          <w:trHeight w:val="288"/>
          <w:jc w:val="center"/>
        </w:trPr>
        <w:tc>
          <w:tcPr>
            <w:tcW w:w="5949" w:type="dxa"/>
            <w:noWrap/>
            <w:hideMark/>
          </w:tcPr>
          <w:p w14:paraId="3D0326E4"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Nedzīvojamo ēku būvniecības produkcijas apjoma izmaiņu ekspertprognoze</w:t>
            </w:r>
          </w:p>
        </w:tc>
        <w:tc>
          <w:tcPr>
            <w:tcW w:w="766" w:type="dxa"/>
            <w:noWrap/>
            <w:hideMark/>
          </w:tcPr>
          <w:p w14:paraId="3CF7C34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3,29</w:t>
            </w:r>
          </w:p>
        </w:tc>
        <w:tc>
          <w:tcPr>
            <w:tcW w:w="766" w:type="dxa"/>
            <w:noWrap/>
            <w:hideMark/>
          </w:tcPr>
          <w:p w14:paraId="080C764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4,57</w:t>
            </w:r>
          </w:p>
        </w:tc>
        <w:tc>
          <w:tcPr>
            <w:tcW w:w="767" w:type="dxa"/>
            <w:noWrap/>
            <w:hideMark/>
          </w:tcPr>
          <w:p w14:paraId="6123688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7,86</w:t>
            </w:r>
          </w:p>
        </w:tc>
        <w:tc>
          <w:tcPr>
            <w:tcW w:w="766" w:type="dxa"/>
            <w:noWrap/>
            <w:hideMark/>
          </w:tcPr>
          <w:p w14:paraId="266EB760"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9,71</w:t>
            </w:r>
          </w:p>
        </w:tc>
        <w:tc>
          <w:tcPr>
            <w:tcW w:w="767" w:type="dxa"/>
            <w:noWrap/>
            <w:hideMark/>
          </w:tcPr>
          <w:p w14:paraId="007DA2A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8,86</w:t>
            </w:r>
          </w:p>
        </w:tc>
      </w:tr>
      <w:tr w:rsidR="0004180A" w:rsidRPr="00CA542D" w14:paraId="2748B8EB" w14:textId="77777777" w:rsidTr="006A5A5C">
        <w:trPr>
          <w:trHeight w:val="288"/>
          <w:jc w:val="center"/>
        </w:trPr>
        <w:tc>
          <w:tcPr>
            <w:tcW w:w="5949" w:type="dxa"/>
            <w:noWrap/>
            <w:hideMark/>
          </w:tcPr>
          <w:p w14:paraId="226AAB49"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Ēku būvniecības produkcijas apjoma izmaiņu kombinētā prognoze</w:t>
            </w:r>
          </w:p>
        </w:tc>
        <w:tc>
          <w:tcPr>
            <w:tcW w:w="766" w:type="dxa"/>
            <w:noWrap/>
            <w:hideMark/>
          </w:tcPr>
          <w:p w14:paraId="7139CCB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5,94</w:t>
            </w:r>
          </w:p>
        </w:tc>
        <w:tc>
          <w:tcPr>
            <w:tcW w:w="766" w:type="dxa"/>
            <w:noWrap/>
            <w:hideMark/>
          </w:tcPr>
          <w:p w14:paraId="5170317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5,96</w:t>
            </w:r>
          </w:p>
        </w:tc>
        <w:tc>
          <w:tcPr>
            <w:tcW w:w="767" w:type="dxa"/>
            <w:noWrap/>
            <w:hideMark/>
          </w:tcPr>
          <w:p w14:paraId="5827AFE0"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7,91</w:t>
            </w:r>
          </w:p>
        </w:tc>
        <w:tc>
          <w:tcPr>
            <w:tcW w:w="766" w:type="dxa"/>
            <w:noWrap/>
            <w:hideMark/>
          </w:tcPr>
          <w:p w14:paraId="0592FCF2"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8,54</w:t>
            </w:r>
          </w:p>
        </w:tc>
        <w:tc>
          <w:tcPr>
            <w:tcW w:w="767" w:type="dxa"/>
            <w:noWrap/>
            <w:hideMark/>
          </w:tcPr>
          <w:p w14:paraId="72FE77D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8,01</w:t>
            </w:r>
          </w:p>
        </w:tc>
      </w:tr>
      <w:tr w:rsidR="0004180A" w:rsidRPr="00CA542D" w14:paraId="6B4FAD53" w14:textId="77777777" w:rsidTr="006A5A5C">
        <w:trPr>
          <w:trHeight w:val="288"/>
          <w:jc w:val="center"/>
        </w:trPr>
        <w:tc>
          <w:tcPr>
            <w:tcW w:w="9781" w:type="dxa"/>
            <w:gridSpan w:val="6"/>
            <w:noWrap/>
          </w:tcPr>
          <w:p w14:paraId="2BEAD73B"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b/>
                <w:bCs/>
                <w:color w:val="000000"/>
              </w:rPr>
              <w:t>Transporta objektu būvniecības prognozes</w:t>
            </w:r>
          </w:p>
        </w:tc>
      </w:tr>
      <w:tr w:rsidR="0004180A" w:rsidRPr="00CA542D" w14:paraId="50A1D2D0" w14:textId="77777777" w:rsidTr="006A5A5C">
        <w:trPr>
          <w:trHeight w:val="288"/>
          <w:jc w:val="center"/>
        </w:trPr>
        <w:tc>
          <w:tcPr>
            <w:tcW w:w="5949" w:type="dxa"/>
            <w:noWrap/>
            <w:hideMark/>
          </w:tcPr>
          <w:p w14:paraId="6AB94083"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Ceļu un maģistrāļu būvniecības produkcijas apjoma izmaiņu ekspertprognoze</w:t>
            </w:r>
          </w:p>
        </w:tc>
        <w:tc>
          <w:tcPr>
            <w:tcW w:w="766" w:type="dxa"/>
            <w:noWrap/>
            <w:hideMark/>
          </w:tcPr>
          <w:p w14:paraId="5FECC910"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7,00</w:t>
            </w:r>
          </w:p>
        </w:tc>
        <w:tc>
          <w:tcPr>
            <w:tcW w:w="766" w:type="dxa"/>
            <w:noWrap/>
            <w:hideMark/>
          </w:tcPr>
          <w:p w14:paraId="19EA651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-10,83</w:t>
            </w:r>
          </w:p>
        </w:tc>
        <w:tc>
          <w:tcPr>
            <w:tcW w:w="767" w:type="dxa"/>
            <w:noWrap/>
            <w:hideMark/>
          </w:tcPr>
          <w:p w14:paraId="5035345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3,20</w:t>
            </w:r>
          </w:p>
        </w:tc>
        <w:tc>
          <w:tcPr>
            <w:tcW w:w="766" w:type="dxa"/>
            <w:noWrap/>
            <w:hideMark/>
          </w:tcPr>
          <w:p w14:paraId="2425D9A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3,20</w:t>
            </w:r>
          </w:p>
        </w:tc>
        <w:tc>
          <w:tcPr>
            <w:tcW w:w="767" w:type="dxa"/>
            <w:noWrap/>
            <w:hideMark/>
          </w:tcPr>
          <w:p w14:paraId="5B1BB2A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2,20</w:t>
            </w:r>
          </w:p>
        </w:tc>
      </w:tr>
      <w:tr w:rsidR="0004180A" w:rsidRPr="00CA542D" w14:paraId="66937DCE" w14:textId="77777777" w:rsidTr="006A5A5C">
        <w:trPr>
          <w:trHeight w:val="288"/>
          <w:jc w:val="center"/>
        </w:trPr>
        <w:tc>
          <w:tcPr>
            <w:tcW w:w="5949" w:type="dxa"/>
            <w:noWrap/>
            <w:hideMark/>
          </w:tcPr>
          <w:p w14:paraId="6B215219"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Ceļu un maģistrāļu būvniecības produkcijas apjoma izmaiņu kombinētā prognoze</w:t>
            </w:r>
          </w:p>
        </w:tc>
        <w:tc>
          <w:tcPr>
            <w:tcW w:w="766" w:type="dxa"/>
            <w:noWrap/>
            <w:hideMark/>
          </w:tcPr>
          <w:p w14:paraId="78576F6E"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4,66</w:t>
            </w:r>
          </w:p>
        </w:tc>
        <w:tc>
          <w:tcPr>
            <w:tcW w:w="766" w:type="dxa"/>
            <w:noWrap/>
            <w:hideMark/>
          </w:tcPr>
          <w:p w14:paraId="4D5AD3F5"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-4,64</w:t>
            </w:r>
          </w:p>
        </w:tc>
        <w:tc>
          <w:tcPr>
            <w:tcW w:w="767" w:type="dxa"/>
            <w:noWrap/>
            <w:hideMark/>
          </w:tcPr>
          <w:p w14:paraId="308247BB"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2,02</w:t>
            </w:r>
          </w:p>
        </w:tc>
        <w:tc>
          <w:tcPr>
            <w:tcW w:w="766" w:type="dxa"/>
            <w:noWrap/>
            <w:hideMark/>
          </w:tcPr>
          <w:p w14:paraId="11068FB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1,70</w:t>
            </w:r>
          </w:p>
        </w:tc>
        <w:tc>
          <w:tcPr>
            <w:tcW w:w="767" w:type="dxa"/>
            <w:noWrap/>
            <w:hideMark/>
          </w:tcPr>
          <w:p w14:paraId="43C48E4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0,90</w:t>
            </w:r>
          </w:p>
        </w:tc>
      </w:tr>
      <w:tr w:rsidR="0004180A" w:rsidRPr="00CA542D" w14:paraId="63D3EFBB" w14:textId="77777777" w:rsidTr="006A5A5C">
        <w:trPr>
          <w:trHeight w:val="288"/>
          <w:jc w:val="center"/>
        </w:trPr>
        <w:tc>
          <w:tcPr>
            <w:tcW w:w="5949" w:type="dxa"/>
            <w:noWrap/>
            <w:hideMark/>
          </w:tcPr>
          <w:p w14:paraId="434E2845"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Dzelzceļu un metro būvniecības produkcijas apjoma izmaiņu ekspertprognoze</w:t>
            </w:r>
          </w:p>
        </w:tc>
        <w:tc>
          <w:tcPr>
            <w:tcW w:w="766" w:type="dxa"/>
            <w:noWrap/>
            <w:hideMark/>
          </w:tcPr>
          <w:p w14:paraId="286BB02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7,50</w:t>
            </w:r>
          </w:p>
        </w:tc>
        <w:tc>
          <w:tcPr>
            <w:tcW w:w="766" w:type="dxa"/>
            <w:noWrap/>
            <w:hideMark/>
          </w:tcPr>
          <w:p w14:paraId="46511D1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23,75</w:t>
            </w:r>
          </w:p>
        </w:tc>
        <w:tc>
          <w:tcPr>
            <w:tcW w:w="767" w:type="dxa"/>
            <w:noWrap/>
            <w:hideMark/>
          </w:tcPr>
          <w:p w14:paraId="30D59DD3"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30,67</w:t>
            </w:r>
          </w:p>
        </w:tc>
        <w:tc>
          <w:tcPr>
            <w:tcW w:w="766" w:type="dxa"/>
            <w:noWrap/>
            <w:hideMark/>
          </w:tcPr>
          <w:p w14:paraId="0E14706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40,67</w:t>
            </w:r>
          </w:p>
        </w:tc>
        <w:tc>
          <w:tcPr>
            <w:tcW w:w="767" w:type="dxa"/>
            <w:noWrap/>
            <w:hideMark/>
          </w:tcPr>
          <w:p w14:paraId="41292DE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50,33</w:t>
            </w:r>
          </w:p>
        </w:tc>
      </w:tr>
      <w:tr w:rsidR="0004180A" w:rsidRPr="00CA542D" w14:paraId="7672ACB1" w14:textId="77777777" w:rsidTr="006A5A5C">
        <w:trPr>
          <w:trHeight w:val="288"/>
          <w:jc w:val="center"/>
        </w:trPr>
        <w:tc>
          <w:tcPr>
            <w:tcW w:w="5949" w:type="dxa"/>
            <w:noWrap/>
            <w:hideMark/>
          </w:tcPr>
          <w:p w14:paraId="54A0C4D4"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Tiltu un tuneļu būvniecības produkcijas apjoma izmaiņu ekspertprognoze</w:t>
            </w:r>
          </w:p>
        </w:tc>
        <w:tc>
          <w:tcPr>
            <w:tcW w:w="766" w:type="dxa"/>
            <w:noWrap/>
            <w:hideMark/>
          </w:tcPr>
          <w:p w14:paraId="36ABE86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7,00</w:t>
            </w:r>
          </w:p>
        </w:tc>
        <w:tc>
          <w:tcPr>
            <w:tcW w:w="766" w:type="dxa"/>
            <w:noWrap/>
            <w:hideMark/>
          </w:tcPr>
          <w:p w14:paraId="7C00C7FB"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1,00</w:t>
            </w:r>
          </w:p>
        </w:tc>
        <w:tc>
          <w:tcPr>
            <w:tcW w:w="767" w:type="dxa"/>
            <w:noWrap/>
            <w:hideMark/>
          </w:tcPr>
          <w:p w14:paraId="4504EA5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26,75</w:t>
            </w:r>
          </w:p>
        </w:tc>
        <w:tc>
          <w:tcPr>
            <w:tcW w:w="766" w:type="dxa"/>
            <w:noWrap/>
            <w:hideMark/>
          </w:tcPr>
          <w:p w14:paraId="689EAC5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40,50</w:t>
            </w:r>
          </w:p>
        </w:tc>
        <w:tc>
          <w:tcPr>
            <w:tcW w:w="767" w:type="dxa"/>
            <w:noWrap/>
            <w:hideMark/>
          </w:tcPr>
          <w:p w14:paraId="2A46BAA2"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49,25</w:t>
            </w:r>
          </w:p>
        </w:tc>
      </w:tr>
      <w:tr w:rsidR="0004180A" w:rsidRPr="00CA542D" w14:paraId="1A9D2E3A" w14:textId="77777777" w:rsidTr="006A5A5C">
        <w:trPr>
          <w:trHeight w:val="288"/>
          <w:jc w:val="center"/>
        </w:trPr>
        <w:tc>
          <w:tcPr>
            <w:tcW w:w="5949" w:type="dxa"/>
            <w:noWrap/>
            <w:hideMark/>
          </w:tcPr>
          <w:p w14:paraId="28580C52" w14:textId="77777777" w:rsidR="0004180A" w:rsidRPr="00CA542D" w:rsidRDefault="0004180A" w:rsidP="00811AB3">
            <w:pPr>
              <w:spacing w:line="276" w:lineRule="auto"/>
              <w:ind w:firstLine="0"/>
              <w:jc w:val="left"/>
              <w:rPr>
                <w:rFonts w:ascii="Times New Roman" w:hAnsi="Times New Roman" w:cs="Times New Roman"/>
                <w:color w:val="000000"/>
              </w:rPr>
            </w:pPr>
            <w:r w:rsidRPr="00CA542D">
              <w:rPr>
                <w:rFonts w:ascii="Times New Roman" w:hAnsi="Times New Roman" w:cs="Times New Roman"/>
                <w:color w:val="000000"/>
              </w:rPr>
              <w:lastRenderedPageBreak/>
              <w:t>Tiltu un tuneļu būvniecības produkcijas apjoma izmaiņu kombinētā prognoze</w:t>
            </w:r>
          </w:p>
          <w:p w14:paraId="54DD6FBE"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p>
        </w:tc>
        <w:tc>
          <w:tcPr>
            <w:tcW w:w="766" w:type="dxa"/>
            <w:noWrap/>
            <w:hideMark/>
          </w:tcPr>
          <w:p w14:paraId="4E14B09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2,35</w:t>
            </w:r>
          </w:p>
        </w:tc>
        <w:tc>
          <w:tcPr>
            <w:tcW w:w="766" w:type="dxa"/>
            <w:noWrap/>
            <w:hideMark/>
          </w:tcPr>
          <w:p w14:paraId="0AC6EE7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-0,25</w:t>
            </w:r>
          </w:p>
        </w:tc>
        <w:tc>
          <w:tcPr>
            <w:tcW w:w="767" w:type="dxa"/>
            <w:noWrap/>
            <w:hideMark/>
          </w:tcPr>
          <w:p w14:paraId="0CB716C3"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12,99</w:t>
            </w:r>
          </w:p>
        </w:tc>
        <w:tc>
          <w:tcPr>
            <w:tcW w:w="766" w:type="dxa"/>
            <w:noWrap/>
            <w:hideMark/>
          </w:tcPr>
          <w:p w14:paraId="66F0EDE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20,20</w:t>
            </w:r>
          </w:p>
        </w:tc>
        <w:tc>
          <w:tcPr>
            <w:tcW w:w="767" w:type="dxa"/>
            <w:noWrap/>
            <w:hideMark/>
          </w:tcPr>
          <w:p w14:paraId="43E3F0E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24,89</w:t>
            </w:r>
          </w:p>
        </w:tc>
      </w:tr>
      <w:tr w:rsidR="0004180A" w:rsidRPr="00CA542D" w14:paraId="62129389" w14:textId="77777777" w:rsidTr="006A5A5C">
        <w:trPr>
          <w:trHeight w:val="288"/>
          <w:jc w:val="center"/>
        </w:trPr>
        <w:tc>
          <w:tcPr>
            <w:tcW w:w="9781" w:type="dxa"/>
            <w:gridSpan w:val="6"/>
            <w:noWrap/>
          </w:tcPr>
          <w:p w14:paraId="1B0320EB"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b/>
                <w:bCs/>
                <w:color w:val="000000"/>
              </w:rPr>
              <w:t>Pilsētsaimniecības infrastruktūras objektu būvniecības prognozes</w:t>
            </w:r>
          </w:p>
        </w:tc>
      </w:tr>
      <w:tr w:rsidR="0004180A" w:rsidRPr="00CA542D" w14:paraId="5589BACE" w14:textId="77777777" w:rsidTr="006A5A5C">
        <w:trPr>
          <w:trHeight w:val="288"/>
          <w:jc w:val="center"/>
        </w:trPr>
        <w:tc>
          <w:tcPr>
            <w:tcW w:w="5949" w:type="dxa"/>
            <w:noWrap/>
          </w:tcPr>
          <w:p w14:paraId="7DB2E980"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Pilsētsaimniecības infrastruktūras objektu būvniecības produkcijas apjoma izmaiņu ekspertprognozes</w:t>
            </w:r>
          </w:p>
        </w:tc>
        <w:tc>
          <w:tcPr>
            <w:tcW w:w="766" w:type="dxa"/>
            <w:noWrap/>
          </w:tcPr>
          <w:p w14:paraId="53B4C192"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6,86</w:t>
            </w:r>
          </w:p>
        </w:tc>
        <w:tc>
          <w:tcPr>
            <w:tcW w:w="766" w:type="dxa"/>
            <w:noWrap/>
          </w:tcPr>
          <w:p w14:paraId="5872D16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12,14</w:t>
            </w:r>
          </w:p>
        </w:tc>
        <w:tc>
          <w:tcPr>
            <w:tcW w:w="767" w:type="dxa"/>
            <w:noWrap/>
          </w:tcPr>
          <w:p w14:paraId="47D96F88"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10,57</w:t>
            </w:r>
          </w:p>
        </w:tc>
        <w:tc>
          <w:tcPr>
            <w:tcW w:w="766" w:type="dxa"/>
            <w:noWrap/>
          </w:tcPr>
          <w:p w14:paraId="7B9896E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10,14</w:t>
            </w:r>
          </w:p>
        </w:tc>
        <w:tc>
          <w:tcPr>
            <w:tcW w:w="767" w:type="dxa"/>
            <w:noWrap/>
          </w:tcPr>
          <w:p w14:paraId="27E3498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7,29</w:t>
            </w:r>
          </w:p>
        </w:tc>
      </w:tr>
      <w:tr w:rsidR="0004180A" w:rsidRPr="00CA542D" w14:paraId="4FA18FFC" w14:textId="77777777" w:rsidTr="006A5A5C">
        <w:trPr>
          <w:trHeight w:val="288"/>
          <w:jc w:val="center"/>
        </w:trPr>
        <w:tc>
          <w:tcPr>
            <w:tcW w:w="5949" w:type="dxa"/>
            <w:noWrap/>
          </w:tcPr>
          <w:p w14:paraId="1FD05218" w14:textId="77777777" w:rsidR="0004180A" w:rsidRPr="00CA542D" w:rsidRDefault="0004180A" w:rsidP="00811AB3">
            <w:pPr>
              <w:spacing w:line="276" w:lineRule="auto"/>
              <w:ind w:firstLine="0"/>
              <w:jc w:val="left"/>
              <w:rPr>
                <w:rFonts w:ascii="Times New Roman" w:hAnsi="Times New Roman" w:cs="Times New Roman"/>
                <w:color w:val="000000"/>
              </w:rPr>
            </w:pPr>
            <w:r w:rsidRPr="00CA542D">
              <w:rPr>
                <w:rFonts w:ascii="Times New Roman" w:hAnsi="Times New Roman" w:cs="Times New Roman"/>
                <w:color w:val="000000"/>
              </w:rPr>
              <w:t>Pilsētsaimniecības infrastruktūras objektu būvniecības produkcijas apjoma izmaiņu kombinētā prognoze</w:t>
            </w:r>
          </w:p>
          <w:p w14:paraId="15EA33B8"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p>
        </w:tc>
        <w:tc>
          <w:tcPr>
            <w:tcW w:w="766" w:type="dxa"/>
            <w:noWrap/>
          </w:tcPr>
          <w:p w14:paraId="54CEDAE1"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2,74</w:t>
            </w:r>
          </w:p>
        </w:tc>
        <w:tc>
          <w:tcPr>
            <w:tcW w:w="766" w:type="dxa"/>
            <w:noWrap/>
          </w:tcPr>
          <w:p w14:paraId="1EAFDD0E"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4,98</w:t>
            </w:r>
          </w:p>
        </w:tc>
        <w:tc>
          <w:tcPr>
            <w:tcW w:w="767" w:type="dxa"/>
            <w:noWrap/>
          </w:tcPr>
          <w:p w14:paraId="5BC02A77"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3,81</w:t>
            </w:r>
          </w:p>
        </w:tc>
        <w:tc>
          <w:tcPr>
            <w:tcW w:w="766" w:type="dxa"/>
            <w:noWrap/>
          </w:tcPr>
          <w:p w14:paraId="762A02E6"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3,26</w:t>
            </w:r>
          </w:p>
        </w:tc>
        <w:tc>
          <w:tcPr>
            <w:tcW w:w="767" w:type="dxa"/>
            <w:noWrap/>
          </w:tcPr>
          <w:p w14:paraId="44BE326E"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1,51</w:t>
            </w:r>
          </w:p>
        </w:tc>
      </w:tr>
      <w:tr w:rsidR="0004180A" w:rsidRPr="00CA542D" w14:paraId="7D589636" w14:textId="77777777" w:rsidTr="006A5A5C">
        <w:trPr>
          <w:trHeight w:val="288"/>
          <w:jc w:val="center"/>
        </w:trPr>
        <w:tc>
          <w:tcPr>
            <w:tcW w:w="9781" w:type="dxa"/>
            <w:gridSpan w:val="6"/>
            <w:noWrap/>
          </w:tcPr>
          <w:p w14:paraId="041D9137"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b/>
                <w:bCs/>
                <w:color w:val="000000"/>
              </w:rPr>
              <w:t>Specializēto būvdarbu produkcijas prognozes</w:t>
            </w:r>
          </w:p>
        </w:tc>
      </w:tr>
      <w:tr w:rsidR="0004180A" w:rsidRPr="00CA542D" w14:paraId="31DEFA77" w14:textId="77777777" w:rsidTr="006A5A5C">
        <w:trPr>
          <w:trHeight w:val="288"/>
          <w:jc w:val="center"/>
        </w:trPr>
        <w:tc>
          <w:tcPr>
            <w:tcW w:w="5949" w:type="dxa"/>
            <w:noWrap/>
          </w:tcPr>
          <w:p w14:paraId="4A878E67"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Specializēto būvdarbu produkcijas apjoma izmaiņu ekspertprognoze</w:t>
            </w:r>
          </w:p>
        </w:tc>
        <w:tc>
          <w:tcPr>
            <w:tcW w:w="766" w:type="dxa"/>
            <w:noWrap/>
          </w:tcPr>
          <w:p w14:paraId="4D6ED7C3"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9,86</w:t>
            </w:r>
          </w:p>
        </w:tc>
        <w:tc>
          <w:tcPr>
            <w:tcW w:w="766" w:type="dxa"/>
            <w:noWrap/>
          </w:tcPr>
          <w:p w14:paraId="30584595"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12,29</w:t>
            </w:r>
          </w:p>
        </w:tc>
        <w:tc>
          <w:tcPr>
            <w:tcW w:w="767" w:type="dxa"/>
            <w:noWrap/>
          </w:tcPr>
          <w:p w14:paraId="457234A1"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8,86</w:t>
            </w:r>
          </w:p>
        </w:tc>
        <w:tc>
          <w:tcPr>
            <w:tcW w:w="766" w:type="dxa"/>
            <w:noWrap/>
          </w:tcPr>
          <w:p w14:paraId="4959D39D"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5,86</w:t>
            </w:r>
          </w:p>
        </w:tc>
        <w:tc>
          <w:tcPr>
            <w:tcW w:w="767" w:type="dxa"/>
            <w:noWrap/>
          </w:tcPr>
          <w:p w14:paraId="161800A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6,00</w:t>
            </w:r>
          </w:p>
        </w:tc>
      </w:tr>
      <w:tr w:rsidR="0004180A" w:rsidRPr="00CA542D" w14:paraId="68BA7F69" w14:textId="77777777" w:rsidTr="006A5A5C">
        <w:trPr>
          <w:trHeight w:val="288"/>
          <w:jc w:val="center"/>
        </w:trPr>
        <w:tc>
          <w:tcPr>
            <w:tcW w:w="5949" w:type="dxa"/>
            <w:noWrap/>
          </w:tcPr>
          <w:p w14:paraId="523B663F" w14:textId="77777777" w:rsidR="0004180A" w:rsidRPr="00CA542D" w:rsidRDefault="0004180A" w:rsidP="00811AB3">
            <w:pPr>
              <w:spacing w:line="276" w:lineRule="auto"/>
              <w:ind w:firstLine="0"/>
              <w:jc w:val="left"/>
              <w:rPr>
                <w:rFonts w:ascii="Times New Roman" w:hAnsi="Times New Roman" w:cs="Times New Roman"/>
                <w:color w:val="000000"/>
              </w:rPr>
            </w:pPr>
            <w:r w:rsidRPr="00CA542D">
              <w:rPr>
                <w:rFonts w:ascii="Times New Roman" w:hAnsi="Times New Roman" w:cs="Times New Roman"/>
                <w:color w:val="000000"/>
              </w:rPr>
              <w:t>Specializēto būvdarbu produkcijas apjoma izmaiņu kombinētā prognoze</w:t>
            </w:r>
          </w:p>
          <w:p w14:paraId="4BCE4F82"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p>
        </w:tc>
        <w:tc>
          <w:tcPr>
            <w:tcW w:w="766" w:type="dxa"/>
            <w:noWrap/>
          </w:tcPr>
          <w:p w14:paraId="44CD1926"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8,17</w:t>
            </w:r>
          </w:p>
        </w:tc>
        <w:tc>
          <w:tcPr>
            <w:tcW w:w="766" w:type="dxa"/>
            <w:noWrap/>
          </w:tcPr>
          <w:p w14:paraId="0B4AA85D"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9,31</w:t>
            </w:r>
          </w:p>
        </w:tc>
        <w:tc>
          <w:tcPr>
            <w:tcW w:w="767" w:type="dxa"/>
            <w:noWrap/>
          </w:tcPr>
          <w:p w14:paraId="4A29BE4B"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7,52</w:t>
            </w:r>
          </w:p>
        </w:tc>
        <w:tc>
          <w:tcPr>
            <w:tcW w:w="766" w:type="dxa"/>
            <w:noWrap/>
          </w:tcPr>
          <w:p w14:paraId="3E761A2A"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5,96</w:t>
            </w:r>
          </w:p>
        </w:tc>
        <w:tc>
          <w:tcPr>
            <w:tcW w:w="767" w:type="dxa"/>
            <w:noWrap/>
          </w:tcPr>
          <w:p w14:paraId="53D68BB5"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5,97</w:t>
            </w:r>
          </w:p>
        </w:tc>
      </w:tr>
      <w:tr w:rsidR="0004180A" w:rsidRPr="00CA542D" w14:paraId="5FB51844" w14:textId="77777777" w:rsidTr="006A5A5C">
        <w:trPr>
          <w:trHeight w:val="288"/>
          <w:jc w:val="center"/>
        </w:trPr>
        <w:tc>
          <w:tcPr>
            <w:tcW w:w="9781" w:type="dxa"/>
            <w:gridSpan w:val="6"/>
            <w:noWrap/>
          </w:tcPr>
          <w:p w14:paraId="55B6C51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b/>
                <w:bCs/>
                <w:color w:val="000000"/>
              </w:rPr>
              <w:t>Arhitektūras un inženiertehnisko pakalpojumu, tehniskās pārbaudes un analīzes prognozes</w:t>
            </w:r>
          </w:p>
        </w:tc>
      </w:tr>
      <w:tr w:rsidR="0004180A" w:rsidRPr="00CA542D" w14:paraId="40720607" w14:textId="77777777" w:rsidTr="006A5A5C">
        <w:trPr>
          <w:trHeight w:val="288"/>
          <w:jc w:val="center"/>
        </w:trPr>
        <w:tc>
          <w:tcPr>
            <w:tcW w:w="5949" w:type="dxa"/>
            <w:noWrap/>
          </w:tcPr>
          <w:p w14:paraId="4170D905"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hAnsi="Times New Roman" w:cs="Times New Roman"/>
                <w:color w:val="000000"/>
              </w:rPr>
              <w:t>Arhitektūras un inženiertehnisko pakalpojumu, tehniskās pārbaudes un analīzes produkcijas apjoma izmaiņu ekspertprognoze</w:t>
            </w:r>
          </w:p>
        </w:tc>
        <w:tc>
          <w:tcPr>
            <w:tcW w:w="766" w:type="dxa"/>
            <w:noWrap/>
          </w:tcPr>
          <w:p w14:paraId="2142795F"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6,43</w:t>
            </w:r>
          </w:p>
        </w:tc>
        <w:tc>
          <w:tcPr>
            <w:tcW w:w="766" w:type="dxa"/>
            <w:noWrap/>
          </w:tcPr>
          <w:p w14:paraId="0E370236"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11,43</w:t>
            </w:r>
          </w:p>
        </w:tc>
        <w:tc>
          <w:tcPr>
            <w:tcW w:w="767" w:type="dxa"/>
            <w:noWrap/>
          </w:tcPr>
          <w:p w14:paraId="6F5C9D24"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14,29</w:t>
            </w:r>
          </w:p>
        </w:tc>
        <w:tc>
          <w:tcPr>
            <w:tcW w:w="766" w:type="dxa"/>
            <w:noWrap/>
          </w:tcPr>
          <w:p w14:paraId="4F0571E0"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17,86</w:t>
            </w:r>
          </w:p>
        </w:tc>
        <w:tc>
          <w:tcPr>
            <w:tcW w:w="767" w:type="dxa"/>
            <w:noWrap/>
          </w:tcPr>
          <w:p w14:paraId="1EEE8BB3"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12,14</w:t>
            </w:r>
          </w:p>
        </w:tc>
      </w:tr>
      <w:bookmarkEnd w:id="14"/>
    </w:tbl>
    <w:p w14:paraId="715E16A1" w14:textId="77777777" w:rsidR="0004180A" w:rsidRPr="00CA542D" w:rsidRDefault="0004180A" w:rsidP="0004180A">
      <w:pPr>
        <w:spacing w:line="276" w:lineRule="auto"/>
        <w:rPr>
          <w:rFonts w:ascii="Times New Roman" w:hAnsi="Times New Roman" w:cs="Times New Roman"/>
        </w:rPr>
      </w:pPr>
    </w:p>
    <w:p w14:paraId="41970165" w14:textId="77777777" w:rsidR="0004180A" w:rsidRPr="000C3D14" w:rsidRDefault="0004180A" w:rsidP="0088719C">
      <w:pPr>
        <w:rPr>
          <w:rFonts w:ascii="Times New Roman" w:hAnsi="Times New Roman" w:cs="Times New Roman"/>
          <w:sz w:val="24"/>
          <w:szCs w:val="24"/>
        </w:rPr>
      </w:pPr>
      <w:r w:rsidRPr="000C3D14">
        <w:rPr>
          <w:rFonts w:ascii="Times New Roman" w:hAnsi="Times New Roman" w:cs="Times New Roman"/>
          <w:b/>
          <w:bCs/>
          <w:sz w:val="24"/>
          <w:szCs w:val="24"/>
        </w:rPr>
        <w:t>Pilsētsaimniecības infrastruktūras apakšnozarē</w:t>
      </w:r>
      <w:r w:rsidRPr="000C3D14">
        <w:rPr>
          <w:rFonts w:ascii="Times New Roman" w:hAnsi="Times New Roman" w:cs="Times New Roman"/>
          <w:sz w:val="24"/>
          <w:szCs w:val="24"/>
        </w:rPr>
        <w:t xml:space="preserve"> ekspertu skatījums uz tālāko attīstību ir samērā optimistisks ar strauju izaugsmi virs 10% gadā no 2022. līdz 2024. gadam. Koriģējot šo skatījumu ar statistiskajām prognozēm un tādējādi iegūstot kompleksās prognozes tiek novērtēts, ka īstermiņā šajā apakšnozarē būtu mērena izaugsme zem 10% robežas, kas laikā no 2022. gadā kļūs arvien mērenāka un vidējā termiņā būs vien daži procenti gadā. </w:t>
      </w:r>
    </w:p>
    <w:p w14:paraId="54A79799" w14:textId="7FC45A8E" w:rsidR="0004180A" w:rsidRDefault="00571373" w:rsidP="0088719C">
      <w:pPr>
        <w:rPr>
          <w:rFonts w:ascii="Times New Roman" w:hAnsi="Times New Roman" w:cs="Times New Roman"/>
          <w:sz w:val="24"/>
          <w:szCs w:val="24"/>
        </w:rPr>
      </w:pPr>
      <w:r w:rsidRPr="000C3D14">
        <w:rPr>
          <w:rFonts w:ascii="Times New Roman" w:hAnsi="Times New Roman" w:cs="Times New Roman"/>
          <w:sz w:val="24"/>
          <w:szCs w:val="24"/>
        </w:rPr>
        <w:t>Prognozējot apjomu izma</w:t>
      </w:r>
      <w:r w:rsidR="000C3D14">
        <w:rPr>
          <w:rFonts w:ascii="Times New Roman" w:hAnsi="Times New Roman" w:cs="Times New Roman"/>
          <w:sz w:val="24"/>
          <w:szCs w:val="24"/>
        </w:rPr>
        <w:t>i</w:t>
      </w:r>
      <w:r w:rsidRPr="000C3D14">
        <w:rPr>
          <w:rFonts w:ascii="Times New Roman" w:hAnsi="Times New Roman" w:cs="Times New Roman"/>
          <w:sz w:val="24"/>
          <w:szCs w:val="24"/>
        </w:rPr>
        <w:t xml:space="preserve">ņas </w:t>
      </w:r>
      <w:r w:rsidR="0004180A" w:rsidRPr="000C3D14">
        <w:rPr>
          <w:rFonts w:ascii="Times New Roman" w:hAnsi="Times New Roman" w:cs="Times New Roman"/>
          <w:b/>
          <w:bCs/>
          <w:sz w:val="24"/>
          <w:szCs w:val="24"/>
        </w:rPr>
        <w:t>Arhitektūras un inženiertehnisko pakalpojumu, tehniskās pārbaudes un analīzes apakšnozarē</w:t>
      </w:r>
      <w:r w:rsidR="0004180A" w:rsidRPr="000C3D14">
        <w:rPr>
          <w:rFonts w:ascii="Times New Roman" w:hAnsi="Times New Roman" w:cs="Times New Roman"/>
          <w:sz w:val="24"/>
          <w:szCs w:val="24"/>
        </w:rPr>
        <w:t xml:space="preserve"> ti</w:t>
      </w:r>
      <w:r w:rsidRPr="000C3D14">
        <w:rPr>
          <w:rFonts w:ascii="Times New Roman" w:hAnsi="Times New Roman" w:cs="Times New Roman"/>
          <w:sz w:val="24"/>
          <w:szCs w:val="24"/>
        </w:rPr>
        <w:t>ka</w:t>
      </w:r>
      <w:r w:rsidR="0004180A" w:rsidRPr="000C3D14">
        <w:rPr>
          <w:rFonts w:ascii="Times New Roman" w:hAnsi="Times New Roman" w:cs="Times New Roman"/>
          <w:sz w:val="24"/>
          <w:szCs w:val="24"/>
        </w:rPr>
        <w:t xml:space="preserve"> izmantots tikai ekspertvērtējums, jo šīs nozares statistisko datu uzskaitē nav pietiekamas informācijas statistiskās analīzes veikšanai. Līdz ar to </w:t>
      </w:r>
      <w:r w:rsidRPr="000C3D14">
        <w:rPr>
          <w:rFonts w:ascii="Times New Roman" w:hAnsi="Times New Roman" w:cs="Times New Roman"/>
          <w:sz w:val="24"/>
          <w:szCs w:val="24"/>
        </w:rPr>
        <w:t xml:space="preserve">varētu secināt, ka </w:t>
      </w:r>
      <w:r w:rsidR="0004180A" w:rsidRPr="000C3D14">
        <w:rPr>
          <w:rFonts w:ascii="Times New Roman" w:hAnsi="Times New Roman" w:cs="Times New Roman"/>
          <w:sz w:val="24"/>
          <w:szCs w:val="24"/>
        </w:rPr>
        <w:t>hipotētiska kombinētā prognoze būtu zemāka par iegūto</w:t>
      </w:r>
      <w:r w:rsidRPr="000C3D14">
        <w:rPr>
          <w:rFonts w:ascii="Times New Roman" w:hAnsi="Times New Roman" w:cs="Times New Roman"/>
          <w:sz w:val="24"/>
          <w:szCs w:val="24"/>
        </w:rPr>
        <w:t>.</w:t>
      </w:r>
      <w:r w:rsidR="0004180A" w:rsidRPr="000C3D14">
        <w:rPr>
          <w:rFonts w:ascii="Times New Roman" w:hAnsi="Times New Roman" w:cs="Times New Roman"/>
          <w:sz w:val="24"/>
          <w:szCs w:val="24"/>
        </w:rPr>
        <w:t xml:space="preserve"> Kopumā eksperti prognozē apakšnozares pieauguma virsotni 2024. gadā. Laika periodā no 2022. gada līdz 2025. gadam tiek prognozēts ikgadējs apjoma pieaugums virs 10%, kas ir vērtējams kā salīdzinoši augsts.</w:t>
      </w:r>
    </w:p>
    <w:p w14:paraId="2AD2F9CA" w14:textId="77777777" w:rsidR="0088719C" w:rsidRPr="000C3D14" w:rsidRDefault="0088719C" w:rsidP="0088719C">
      <w:pPr>
        <w:rPr>
          <w:rFonts w:ascii="Times New Roman" w:hAnsi="Times New Roman" w:cs="Times New Roman"/>
          <w:sz w:val="24"/>
          <w:szCs w:val="24"/>
        </w:rPr>
      </w:pPr>
    </w:p>
    <w:p w14:paraId="2104A2ED" w14:textId="21EAE2C8" w:rsidR="0004180A" w:rsidRDefault="0004180A" w:rsidP="006A5A5C">
      <w:pPr>
        <w:pStyle w:val="Heading4"/>
        <w:ind w:firstLine="0"/>
        <w:rPr>
          <w:color w:val="009999"/>
        </w:rPr>
      </w:pPr>
      <w:r w:rsidRPr="00CF4DE8">
        <w:rPr>
          <w:color w:val="009999"/>
        </w:rPr>
        <w:t>Būvniecības izmaksu izmaiņu prognozes apakšnozarēs</w:t>
      </w:r>
    </w:p>
    <w:p w14:paraId="2E86FB7B" w14:textId="77777777" w:rsidR="000C3D14" w:rsidRPr="000C3D14" w:rsidRDefault="000C3D14" w:rsidP="000C3D14"/>
    <w:p w14:paraId="5DC85B23"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sz w:val="24"/>
          <w:szCs w:val="24"/>
        </w:rPr>
        <w:t xml:space="preserve">Kopumā apakšnozaru ekspertu izvirzītās prognozes būvniecības izmaksu izmaiņām saglabā līdzīgas tendences kā būvniecības produkcijas apjoma izmaņu prognozes. Laika periodā no 2021.-2025. gadam lielākais izmaksu pieaugums tiek prognozēts transporta objektu (ceļi, dzelzceļi, tilti, tuneļi u.c.) būvniecības apakšnozarei. Pārējās apakšnozarēs tieši 2021. gadā gandrīz visās apakšnozarēs prognozē vairāk kā 10% izmaksu pieaugumu, kas tālākos gados konsekventi samazināsies. </w:t>
      </w:r>
    </w:p>
    <w:p w14:paraId="6FD6A742" w14:textId="77777777" w:rsidR="006A5A5C" w:rsidRDefault="006A5A5C">
      <w:pPr>
        <w:spacing w:after="160" w:line="259" w:lineRule="auto"/>
        <w:ind w:firstLine="0"/>
        <w:jc w:val="left"/>
        <w:rPr>
          <w:i/>
          <w:iCs/>
          <w:color w:val="44546A" w:themeColor="text2"/>
          <w:sz w:val="18"/>
          <w:szCs w:val="18"/>
        </w:rPr>
      </w:pPr>
      <w:r>
        <w:br w:type="page"/>
      </w:r>
    </w:p>
    <w:p w14:paraId="6A5D33FD" w14:textId="783A4E31" w:rsidR="0004180A" w:rsidRDefault="0004180A" w:rsidP="0004180A">
      <w:pPr>
        <w:pStyle w:val="Caption"/>
        <w:spacing w:after="0"/>
        <w:jc w:val="right"/>
      </w:pPr>
      <w:r>
        <w:lastRenderedPageBreak/>
        <w:t xml:space="preserve">Tabula  </w:t>
      </w:r>
      <w:r w:rsidR="00F43189">
        <w:fldChar w:fldCharType="begin"/>
      </w:r>
      <w:r w:rsidR="00F43189">
        <w:instrText xml:space="preserve"> SEQ Tab._ \* ARABIC </w:instrText>
      </w:r>
      <w:r w:rsidR="00F43189">
        <w:fldChar w:fldCharType="separate"/>
      </w:r>
      <w:r w:rsidR="00D65651">
        <w:rPr>
          <w:noProof/>
        </w:rPr>
        <w:t>8</w:t>
      </w:r>
      <w:r w:rsidR="00F43189">
        <w:rPr>
          <w:noProof/>
        </w:rPr>
        <w:fldChar w:fldCharType="end"/>
      </w:r>
      <w:r>
        <w:t>.</w:t>
      </w:r>
    </w:p>
    <w:p w14:paraId="14A06ECB" w14:textId="77777777" w:rsidR="0004180A" w:rsidRPr="00CA542D" w:rsidRDefault="0004180A" w:rsidP="0004180A">
      <w:pPr>
        <w:pStyle w:val="Caption"/>
        <w:spacing w:after="0"/>
        <w:jc w:val="right"/>
        <w:rPr>
          <w:rFonts w:ascii="Times New Roman" w:hAnsi="Times New Roman" w:cs="Times New Roman"/>
        </w:rPr>
      </w:pPr>
      <w:r>
        <w:t xml:space="preserve"> </w:t>
      </w:r>
      <w:r w:rsidRPr="00CA542D">
        <w:rPr>
          <w:rFonts w:ascii="Times New Roman" w:hAnsi="Times New Roman" w:cs="Times New Roman"/>
        </w:rPr>
        <w:t>Būvniecības izmaksu izmaiņu prognozes procentos pret iepriekšējo gadu pēc apakšnozaru ekspertu vidējā vērtējuma 2021.-2025. gadam.</w:t>
      </w:r>
    </w:p>
    <w:tbl>
      <w:tblPr>
        <w:tblStyle w:val="ListTable4-Accent31"/>
        <w:tblW w:w="9067" w:type="dxa"/>
        <w:tblLayout w:type="fixed"/>
        <w:tblLook w:val="0620" w:firstRow="1" w:lastRow="0" w:firstColumn="0" w:lastColumn="0" w:noHBand="1" w:noVBand="1"/>
      </w:tblPr>
      <w:tblGrid>
        <w:gridCol w:w="3681"/>
        <w:gridCol w:w="650"/>
        <w:gridCol w:w="64"/>
        <w:gridCol w:w="858"/>
        <w:gridCol w:w="857"/>
        <w:gridCol w:w="64"/>
        <w:gridCol w:w="665"/>
        <w:gridCol w:w="128"/>
        <w:gridCol w:w="825"/>
        <w:gridCol w:w="1275"/>
      </w:tblGrid>
      <w:tr w:rsidR="0004180A" w:rsidRPr="00CA542D" w14:paraId="29378BEE" w14:textId="77777777" w:rsidTr="00811AB3">
        <w:trPr>
          <w:cnfStyle w:val="100000000000" w:firstRow="1" w:lastRow="0" w:firstColumn="0" w:lastColumn="0" w:oddVBand="0" w:evenVBand="0" w:oddHBand="0" w:evenHBand="0" w:firstRowFirstColumn="0" w:firstRowLastColumn="0" w:lastRowFirstColumn="0" w:lastRowLastColumn="0"/>
          <w:trHeight w:val="288"/>
        </w:trPr>
        <w:tc>
          <w:tcPr>
            <w:tcW w:w="3681" w:type="dxa"/>
            <w:tcBorders>
              <w:bottom w:val="single" w:sz="4" w:space="0" w:color="BFBFBF" w:themeColor="background1" w:themeShade="BF"/>
            </w:tcBorders>
            <w:noWrap/>
            <w:hideMark/>
          </w:tcPr>
          <w:p w14:paraId="69C71B37" w14:textId="7777777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w:t>
            </w:r>
          </w:p>
        </w:tc>
        <w:tc>
          <w:tcPr>
            <w:tcW w:w="714" w:type="dxa"/>
            <w:gridSpan w:val="2"/>
            <w:tcBorders>
              <w:bottom w:val="single" w:sz="4" w:space="0" w:color="BFBFBF" w:themeColor="background1" w:themeShade="BF"/>
            </w:tcBorders>
            <w:noWrap/>
            <w:vAlign w:val="center"/>
            <w:hideMark/>
          </w:tcPr>
          <w:p w14:paraId="166BF30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2021.</w:t>
            </w:r>
          </w:p>
        </w:tc>
        <w:tc>
          <w:tcPr>
            <w:tcW w:w="858" w:type="dxa"/>
            <w:tcBorders>
              <w:bottom w:val="single" w:sz="4" w:space="0" w:color="BFBFBF" w:themeColor="background1" w:themeShade="BF"/>
            </w:tcBorders>
            <w:noWrap/>
            <w:vAlign w:val="center"/>
            <w:hideMark/>
          </w:tcPr>
          <w:p w14:paraId="465762E1"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2022.</w:t>
            </w:r>
          </w:p>
        </w:tc>
        <w:tc>
          <w:tcPr>
            <w:tcW w:w="857" w:type="dxa"/>
            <w:tcBorders>
              <w:bottom w:val="single" w:sz="4" w:space="0" w:color="BFBFBF" w:themeColor="background1" w:themeShade="BF"/>
            </w:tcBorders>
            <w:noWrap/>
            <w:vAlign w:val="center"/>
            <w:hideMark/>
          </w:tcPr>
          <w:p w14:paraId="21793DF0"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2023.</w:t>
            </w:r>
          </w:p>
        </w:tc>
        <w:tc>
          <w:tcPr>
            <w:tcW w:w="857" w:type="dxa"/>
            <w:gridSpan w:val="3"/>
            <w:tcBorders>
              <w:bottom w:val="single" w:sz="4" w:space="0" w:color="BFBFBF" w:themeColor="background1" w:themeShade="BF"/>
            </w:tcBorders>
            <w:noWrap/>
            <w:vAlign w:val="center"/>
            <w:hideMark/>
          </w:tcPr>
          <w:p w14:paraId="4349DEC1"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2024.</w:t>
            </w:r>
          </w:p>
        </w:tc>
        <w:tc>
          <w:tcPr>
            <w:tcW w:w="825" w:type="dxa"/>
            <w:tcBorders>
              <w:bottom w:val="single" w:sz="4" w:space="0" w:color="BFBFBF" w:themeColor="background1" w:themeShade="BF"/>
            </w:tcBorders>
            <w:noWrap/>
            <w:vAlign w:val="center"/>
            <w:hideMark/>
          </w:tcPr>
          <w:p w14:paraId="03F35F4B"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2025.</w:t>
            </w:r>
          </w:p>
        </w:tc>
        <w:tc>
          <w:tcPr>
            <w:tcW w:w="1275" w:type="dxa"/>
            <w:tcBorders>
              <w:bottom w:val="single" w:sz="4" w:space="0" w:color="BFBFBF" w:themeColor="background1" w:themeShade="BF"/>
            </w:tcBorders>
            <w:vAlign w:val="center"/>
          </w:tcPr>
          <w:p w14:paraId="2A9B772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Vidēji gadā</w:t>
            </w:r>
          </w:p>
        </w:tc>
      </w:tr>
      <w:tr w:rsidR="0004180A" w:rsidRPr="00CA542D" w14:paraId="2EED6BE1"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000519" w14:textId="5CB42693"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Dzīvojamo ēku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42D06F8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11,6</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5153EAB5"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6,7</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1B5FF8F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5,5</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4BDF2C6B"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4,8</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BB7D50B"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8,6</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674EE78"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7,4</w:t>
            </w:r>
          </w:p>
        </w:tc>
      </w:tr>
      <w:tr w:rsidR="0004180A" w:rsidRPr="00CA542D" w14:paraId="08AA4B70"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505AFF" w14:textId="35873A33"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Nedzīvojamo ēku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56BFD4A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11,6</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184F1492"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6,6</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2CD4D41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5,0</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7BD97940"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4,4</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610D98F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8,2</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B21A5D"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7,1</w:t>
            </w:r>
          </w:p>
        </w:tc>
      </w:tr>
      <w:tr w:rsidR="0004180A" w:rsidRPr="00CA542D" w14:paraId="20E11549"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1CBF83" w14:textId="1D25B002"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Ceļu un maģistrāļu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51EBC46E"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10,0</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5CDB8082"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7,8</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6BDDDF2E"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6,4</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39C7CD6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7,6</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11F3B8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6,8</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63BD82D"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7,7</w:t>
            </w:r>
          </w:p>
        </w:tc>
      </w:tr>
      <w:tr w:rsidR="0004180A" w:rsidRPr="00CA542D" w14:paraId="33077F83"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FA4A50" w14:textId="62C4E784"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Dzelzceļu un metro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1E01D321"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11,3</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470D5A6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11,0</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6651EAD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12,8</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6FAB60F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15,3</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CB3F7A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15,3</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3017A2"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13,1</w:t>
            </w:r>
          </w:p>
        </w:tc>
      </w:tr>
      <w:tr w:rsidR="0004180A" w:rsidRPr="00CA542D" w14:paraId="2027AE6F"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B3A061" w14:textId="16A7C487"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Tiltu un tuneļu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231C704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4,0</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150BE86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12,0</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04DF690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14,3</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09CCC81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15,5</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025346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13,0</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586500"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11,7</w:t>
            </w:r>
          </w:p>
        </w:tc>
      </w:tr>
      <w:tr w:rsidR="0004180A" w:rsidRPr="00CA542D" w14:paraId="1C4B3975"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5B8E80" w14:textId="3B25B67F"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Pilsētsaimniecības infrastruktūras objektu būvniecības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71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noWrap/>
            <w:vAlign w:val="center"/>
            <w:hideMark/>
          </w:tcPr>
          <w:p w14:paraId="2C76847E"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9,6</w:t>
            </w:r>
          </w:p>
        </w:tc>
        <w:tc>
          <w:tcPr>
            <w:tcW w:w="858" w:type="dxa"/>
            <w:tcBorders>
              <w:top w:val="single" w:sz="4" w:space="0" w:color="BFBFBF" w:themeColor="background1" w:themeShade="BF"/>
              <w:bottom w:val="single" w:sz="4" w:space="0" w:color="BFBFBF" w:themeColor="background1" w:themeShade="BF"/>
            </w:tcBorders>
            <w:noWrap/>
            <w:vAlign w:val="center"/>
            <w:hideMark/>
          </w:tcPr>
          <w:p w14:paraId="59C58DE5"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8,6</w:t>
            </w:r>
          </w:p>
        </w:tc>
        <w:tc>
          <w:tcPr>
            <w:tcW w:w="857" w:type="dxa"/>
            <w:tcBorders>
              <w:top w:val="single" w:sz="4" w:space="0" w:color="BFBFBF" w:themeColor="background1" w:themeShade="BF"/>
              <w:bottom w:val="single" w:sz="4" w:space="0" w:color="BFBFBF" w:themeColor="background1" w:themeShade="BF"/>
            </w:tcBorders>
            <w:noWrap/>
            <w:vAlign w:val="center"/>
            <w:hideMark/>
          </w:tcPr>
          <w:p w14:paraId="0AE165E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7,6</w:t>
            </w:r>
          </w:p>
        </w:tc>
        <w:tc>
          <w:tcPr>
            <w:tcW w:w="857" w:type="dxa"/>
            <w:gridSpan w:val="3"/>
            <w:tcBorders>
              <w:top w:val="single" w:sz="4" w:space="0" w:color="BFBFBF" w:themeColor="background1" w:themeShade="BF"/>
              <w:bottom w:val="single" w:sz="4" w:space="0" w:color="BFBFBF" w:themeColor="background1" w:themeShade="BF"/>
            </w:tcBorders>
            <w:noWrap/>
            <w:vAlign w:val="center"/>
            <w:hideMark/>
          </w:tcPr>
          <w:p w14:paraId="040F3559"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5,8</w:t>
            </w:r>
          </w:p>
        </w:tc>
        <w:tc>
          <w:tcPr>
            <w:tcW w:w="825" w:type="dxa"/>
            <w:tcBorders>
              <w:top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67E566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5,6</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C644D3"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7,4</w:t>
            </w:r>
          </w:p>
        </w:tc>
      </w:tr>
      <w:tr w:rsidR="0004180A" w:rsidRPr="00CA542D" w14:paraId="57771A6E"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E7F913" w14:textId="2985B73F"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Specializēto būvdarbu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r w:rsidR="0074305A">
              <w:rPr>
                <w:rFonts w:ascii="Times New Roman" w:eastAsia="Times New Roman" w:hAnsi="Times New Roman" w:cs="Times New Roman"/>
                <w:color w:val="000000"/>
                <w:lang w:eastAsia="lv-LV"/>
              </w:rPr>
              <w:t xml:space="preserve"> </w:t>
            </w:r>
          </w:p>
        </w:tc>
        <w:tc>
          <w:tcPr>
            <w:tcW w:w="650" w:type="dxa"/>
            <w:tcBorders>
              <w:left w:val="single" w:sz="4" w:space="0" w:color="BFBFBF" w:themeColor="background1" w:themeShade="BF"/>
            </w:tcBorders>
            <w:noWrap/>
            <w:vAlign w:val="center"/>
            <w:hideMark/>
          </w:tcPr>
          <w:p w14:paraId="3A4B10E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15,7</w:t>
            </w:r>
          </w:p>
        </w:tc>
        <w:tc>
          <w:tcPr>
            <w:tcW w:w="922" w:type="dxa"/>
            <w:gridSpan w:val="2"/>
            <w:noWrap/>
            <w:vAlign w:val="center"/>
            <w:hideMark/>
          </w:tcPr>
          <w:p w14:paraId="6CD3BD23"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6,9</w:t>
            </w:r>
          </w:p>
        </w:tc>
        <w:tc>
          <w:tcPr>
            <w:tcW w:w="921" w:type="dxa"/>
            <w:gridSpan w:val="2"/>
            <w:noWrap/>
            <w:vAlign w:val="center"/>
            <w:hideMark/>
          </w:tcPr>
          <w:p w14:paraId="120BDE68"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5,7</w:t>
            </w:r>
          </w:p>
        </w:tc>
        <w:tc>
          <w:tcPr>
            <w:tcW w:w="665" w:type="dxa"/>
            <w:noWrap/>
            <w:vAlign w:val="center"/>
            <w:hideMark/>
          </w:tcPr>
          <w:p w14:paraId="6C5FE477"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5,0</w:t>
            </w:r>
          </w:p>
        </w:tc>
        <w:tc>
          <w:tcPr>
            <w:tcW w:w="953" w:type="dxa"/>
            <w:gridSpan w:val="2"/>
            <w:tcBorders>
              <w:right w:val="single" w:sz="4" w:space="0" w:color="BFBFBF" w:themeColor="background1" w:themeShade="BF"/>
            </w:tcBorders>
            <w:noWrap/>
            <w:vAlign w:val="center"/>
            <w:hideMark/>
          </w:tcPr>
          <w:p w14:paraId="35CC9B46"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3,7</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6D9198"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7,3</w:t>
            </w:r>
          </w:p>
        </w:tc>
      </w:tr>
      <w:tr w:rsidR="0004180A" w:rsidRPr="00CA542D" w14:paraId="7C200927" w14:textId="77777777" w:rsidTr="00811AB3">
        <w:trPr>
          <w:trHeight w:val="288"/>
        </w:trPr>
        <w:tc>
          <w:tcPr>
            <w:tcW w:w="3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3DE03B" w14:textId="175EBB68" w:rsidR="0004180A" w:rsidRPr="00CA542D" w:rsidRDefault="0004180A" w:rsidP="00811AB3">
            <w:pPr>
              <w:spacing w:line="276" w:lineRule="auto"/>
              <w:ind w:firstLine="0"/>
              <w:jc w:val="left"/>
              <w:rPr>
                <w:rFonts w:ascii="Times New Roman" w:eastAsia="Times New Roman" w:hAnsi="Times New Roman" w:cs="Times New Roman"/>
                <w:color w:val="000000"/>
                <w:lang w:eastAsia="lv-LV"/>
              </w:rPr>
            </w:pPr>
            <w:r w:rsidRPr="00CA542D">
              <w:rPr>
                <w:rFonts w:ascii="Times New Roman" w:eastAsia="Times New Roman" w:hAnsi="Times New Roman" w:cs="Times New Roman"/>
                <w:color w:val="000000"/>
                <w:lang w:eastAsia="lv-LV"/>
              </w:rPr>
              <w:t xml:space="preserve">Arhitektūras un inženiertehnisko pakalpojumu, tehniskās pārbaudes un analīzes produkcijas </w:t>
            </w:r>
            <w:r w:rsidR="0074305A">
              <w:rPr>
                <w:rFonts w:ascii="Times New Roman" w:eastAsia="Times New Roman" w:hAnsi="Times New Roman" w:cs="Times New Roman"/>
                <w:color w:val="000000"/>
                <w:lang w:eastAsia="lv-LV"/>
              </w:rPr>
              <w:t>izmaksu</w:t>
            </w:r>
            <w:r w:rsidRPr="00CA542D">
              <w:rPr>
                <w:rFonts w:ascii="Times New Roman" w:eastAsia="Times New Roman" w:hAnsi="Times New Roman" w:cs="Times New Roman"/>
                <w:color w:val="000000"/>
                <w:lang w:eastAsia="lv-LV"/>
              </w:rPr>
              <w:t xml:space="preserve"> izmaiņas</w:t>
            </w:r>
          </w:p>
        </w:tc>
        <w:tc>
          <w:tcPr>
            <w:tcW w:w="650" w:type="dxa"/>
            <w:tcBorders>
              <w:left w:val="single" w:sz="4" w:space="0" w:color="BFBFBF" w:themeColor="background1" w:themeShade="BF"/>
            </w:tcBorders>
            <w:noWrap/>
            <w:vAlign w:val="center"/>
            <w:hideMark/>
          </w:tcPr>
          <w:p w14:paraId="53CFEAFC"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13,6</w:t>
            </w:r>
          </w:p>
        </w:tc>
        <w:tc>
          <w:tcPr>
            <w:tcW w:w="922" w:type="dxa"/>
            <w:gridSpan w:val="2"/>
            <w:noWrap/>
            <w:vAlign w:val="center"/>
            <w:hideMark/>
          </w:tcPr>
          <w:p w14:paraId="6A769E2F"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15,7</w:t>
            </w:r>
          </w:p>
        </w:tc>
        <w:tc>
          <w:tcPr>
            <w:tcW w:w="921" w:type="dxa"/>
            <w:gridSpan w:val="2"/>
            <w:noWrap/>
            <w:vAlign w:val="center"/>
            <w:hideMark/>
          </w:tcPr>
          <w:p w14:paraId="639F6CB4"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4,9</w:t>
            </w:r>
          </w:p>
        </w:tc>
        <w:tc>
          <w:tcPr>
            <w:tcW w:w="665" w:type="dxa"/>
            <w:noWrap/>
            <w:vAlign w:val="center"/>
            <w:hideMark/>
          </w:tcPr>
          <w:p w14:paraId="761A2A5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6,1</w:t>
            </w:r>
          </w:p>
        </w:tc>
        <w:tc>
          <w:tcPr>
            <w:tcW w:w="953" w:type="dxa"/>
            <w:gridSpan w:val="2"/>
            <w:tcBorders>
              <w:right w:val="single" w:sz="4" w:space="0" w:color="BFBFBF" w:themeColor="background1" w:themeShade="BF"/>
            </w:tcBorders>
            <w:noWrap/>
            <w:vAlign w:val="center"/>
            <w:hideMark/>
          </w:tcPr>
          <w:p w14:paraId="64D7AD4A" w14:textId="77777777" w:rsidR="0004180A" w:rsidRPr="00CA542D" w:rsidRDefault="0004180A" w:rsidP="00811AB3">
            <w:pPr>
              <w:spacing w:line="276" w:lineRule="auto"/>
              <w:ind w:firstLine="0"/>
              <w:jc w:val="center"/>
              <w:rPr>
                <w:rFonts w:ascii="Times New Roman" w:eastAsia="Times New Roman" w:hAnsi="Times New Roman" w:cs="Times New Roman"/>
                <w:color w:val="000000"/>
                <w:lang w:eastAsia="lv-LV"/>
              </w:rPr>
            </w:pPr>
            <w:r w:rsidRPr="00CA542D">
              <w:rPr>
                <w:rFonts w:ascii="Times New Roman" w:hAnsi="Times New Roman" w:cs="Times New Roman"/>
                <w:color w:val="000000"/>
              </w:rPr>
              <w:t>4,6</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1FCD9E" w14:textId="77777777" w:rsidR="0004180A" w:rsidRPr="00CA542D" w:rsidRDefault="0004180A" w:rsidP="00811AB3">
            <w:pPr>
              <w:spacing w:line="276" w:lineRule="auto"/>
              <w:ind w:firstLine="0"/>
              <w:jc w:val="center"/>
              <w:rPr>
                <w:rFonts w:ascii="Times New Roman" w:hAnsi="Times New Roman" w:cs="Times New Roman"/>
                <w:color w:val="000000"/>
              </w:rPr>
            </w:pPr>
            <w:r w:rsidRPr="00CA542D">
              <w:rPr>
                <w:rFonts w:ascii="Times New Roman" w:hAnsi="Times New Roman" w:cs="Times New Roman"/>
                <w:color w:val="000000"/>
              </w:rPr>
              <w:t>8,9</w:t>
            </w:r>
          </w:p>
        </w:tc>
      </w:tr>
    </w:tbl>
    <w:p w14:paraId="740C0670" w14:textId="77777777" w:rsidR="0004180A" w:rsidRPr="00CA542D" w:rsidRDefault="0004180A" w:rsidP="0004180A">
      <w:pPr>
        <w:spacing w:line="276" w:lineRule="auto"/>
        <w:ind w:firstLine="0"/>
        <w:rPr>
          <w:rFonts w:ascii="Times New Roman" w:hAnsi="Times New Roman" w:cs="Times New Roman"/>
        </w:rPr>
      </w:pPr>
    </w:p>
    <w:p w14:paraId="0C5FFED6"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Ēku būvniecības apakšnozarē</w:t>
      </w:r>
      <w:r w:rsidRPr="0074305A">
        <w:rPr>
          <w:rFonts w:ascii="Times New Roman" w:hAnsi="Times New Roman" w:cs="Times New Roman"/>
          <w:sz w:val="24"/>
          <w:szCs w:val="24"/>
        </w:rPr>
        <w:t xml:space="preserve"> izmaksu pieaugums visvairāk ietekmēs 2021. gadā, kad tiek prognozēts 11,6% pieaugums pret 2020. gadu. Tālākos gados tas samazināsies un būs līdzīgs pirms-pandēmijas līmenim un četros gados no 2022. gada būs vidēji 6,4% gadā pret iepriekšējo gadu.</w:t>
      </w:r>
    </w:p>
    <w:p w14:paraId="37BA722C"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Transporta objektu būvniecībā</w:t>
      </w:r>
      <w:r w:rsidRPr="0074305A">
        <w:rPr>
          <w:rFonts w:ascii="Times New Roman" w:hAnsi="Times New Roman" w:cs="Times New Roman"/>
          <w:sz w:val="24"/>
          <w:szCs w:val="24"/>
        </w:rPr>
        <w:t xml:space="preserve"> tiek prognozēts lielākais izmaksu pieaugums vidējā termiņā, kaut arī īstermiņā 2021. gadā šī apakšnozare ir ar salīdzinoši zemu prognozēto izmaksu pieaugumu. Ceļu un maģistrāļu būvniecībā 2021. gadā tiek prognozēts augsts izmaksu pieaugums 10,0%, bet turpmākos gados tas samazināsies zem 10% robežas. Tajā pašā laikā tiltu un tuneļu būvniecībai 2021. gadā tiek prognozēts zemākais izmaksu pieaugums 4,0%, kas turpmākajos gados būtiski pieaugs jau 2022. gadā sasniedzot 12,0% pēc ekspertu prognozēm un novērtējumā 2023.-2025. gadam tiek prognozēts vidēji 14,3% pieaugums gadā. Dzelzceļu un metro būvniecības produkcijai tiek prognozēts vislielākais izmaksu pieaugums 11,0% un 15,3% ikgadējā pieauguma robežās visā aplūkojamajā laika periodā.</w:t>
      </w:r>
    </w:p>
    <w:p w14:paraId="47681828"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Pilsētsaimniecības infrastruktūras objektu</w:t>
      </w:r>
      <w:r w:rsidRPr="0074305A">
        <w:rPr>
          <w:rFonts w:ascii="Times New Roman" w:hAnsi="Times New Roman" w:cs="Times New Roman"/>
          <w:sz w:val="24"/>
          <w:szCs w:val="24"/>
        </w:rPr>
        <w:t xml:space="preserve"> būvniecībā arī tiek prognozēts izmaksu pieaugums, kas nevienu gadu nepārsniegs 10% robežu aplūkotajā periodā. 2021. gadā tiek prognozēts lielākais izmaksu pieaugums 9,6%, bet turpmākos gadus tas būs arvien mazāks un pēc novērtējuma 2025. gadā varētu būt 5,5% pret iepriekšējo gadu.</w:t>
      </w:r>
    </w:p>
    <w:p w14:paraId="0D3D37CB"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t>Specializēto būvdarbu apakšnozarē</w:t>
      </w:r>
      <w:r w:rsidRPr="0074305A">
        <w:rPr>
          <w:rFonts w:ascii="Times New Roman" w:hAnsi="Times New Roman" w:cs="Times New Roman"/>
          <w:sz w:val="24"/>
          <w:szCs w:val="24"/>
        </w:rPr>
        <w:t xml:space="preserve"> tiek prognozēts visstraujākais izmaksu pieaugums no visām apakšnozarēm 2021. gadā ar 15,7% lēcienu, kam gan sekos lēciena samazinājums līdz 6,9% 2022. gadā un novērtējums paredz tālāku arvien lēnāku izmaksu pieaugumu līdz pat pieaugumam 3,7% 2025. gadā.</w:t>
      </w:r>
    </w:p>
    <w:p w14:paraId="0092241E" w14:textId="77777777" w:rsidR="0004180A" w:rsidRPr="0074305A" w:rsidRDefault="0004180A" w:rsidP="0074305A">
      <w:pPr>
        <w:ind w:firstLine="0"/>
        <w:rPr>
          <w:rFonts w:ascii="Times New Roman" w:hAnsi="Times New Roman" w:cs="Times New Roman"/>
          <w:sz w:val="24"/>
          <w:szCs w:val="24"/>
        </w:rPr>
      </w:pPr>
    </w:p>
    <w:p w14:paraId="01803D50" w14:textId="77777777" w:rsidR="0004180A" w:rsidRPr="0074305A" w:rsidRDefault="0004180A" w:rsidP="0088719C">
      <w:pPr>
        <w:rPr>
          <w:rFonts w:ascii="Times New Roman" w:hAnsi="Times New Roman" w:cs="Times New Roman"/>
          <w:sz w:val="24"/>
          <w:szCs w:val="24"/>
        </w:rPr>
      </w:pPr>
      <w:r w:rsidRPr="0074305A">
        <w:rPr>
          <w:rFonts w:ascii="Times New Roman" w:hAnsi="Times New Roman" w:cs="Times New Roman"/>
          <w:b/>
          <w:bCs/>
          <w:sz w:val="24"/>
          <w:szCs w:val="24"/>
        </w:rPr>
        <w:lastRenderedPageBreak/>
        <w:t>Arhitektūras un inženiertehnisko pakalpojumu, tehniskās pārbaudes un analīzes apakšnozarē</w:t>
      </w:r>
      <w:r w:rsidRPr="0074305A">
        <w:rPr>
          <w:rFonts w:ascii="Times New Roman" w:hAnsi="Times New Roman" w:cs="Times New Roman"/>
          <w:sz w:val="24"/>
          <w:szCs w:val="24"/>
        </w:rPr>
        <w:t xml:space="preserve"> 2021. un 2022. gads iezīmējas ar prognozētu augstu izmaksu pieaugumu 13,6% un 15,7% pret iepriekšējo gadu. Tālākos periodos 2023.-2025. gadā vidēji izmaksu pieaugums tiek vērtēts kā 5,2% pret iepriekšējo gadu.</w:t>
      </w:r>
    </w:p>
    <w:p w14:paraId="0BE5DEF8" w14:textId="77777777" w:rsidR="000C3D14" w:rsidRPr="000C3D14" w:rsidRDefault="000C3D14" w:rsidP="000C3D14"/>
    <w:p w14:paraId="54E5F5E0" w14:textId="38213752" w:rsidR="00571373" w:rsidRPr="00CF4DE8" w:rsidRDefault="00571373" w:rsidP="002801D0">
      <w:pPr>
        <w:pStyle w:val="Heading3"/>
        <w:numPr>
          <w:ilvl w:val="2"/>
          <w:numId w:val="40"/>
        </w:numPr>
        <w:rPr>
          <w:b/>
          <w:bCs/>
          <w:color w:val="009999"/>
          <w:sz w:val="24"/>
          <w:szCs w:val="28"/>
        </w:rPr>
      </w:pPr>
      <w:bookmarkStart w:id="15" w:name="_Toc79709836"/>
      <w:bookmarkStart w:id="16" w:name="_Toc80109865"/>
      <w:r w:rsidRPr="00CF4DE8">
        <w:rPr>
          <w:b/>
          <w:bCs/>
          <w:color w:val="009999"/>
          <w:sz w:val="24"/>
          <w:szCs w:val="28"/>
        </w:rPr>
        <w:t>Būvniecības izmaksu izmaiņas pa resursu veidiem</w:t>
      </w:r>
      <w:bookmarkEnd w:id="15"/>
      <w:bookmarkEnd w:id="16"/>
    </w:p>
    <w:p w14:paraId="1516743C" w14:textId="0DE1AFAC" w:rsidR="00571373" w:rsidRPr="00CA542D" w:rsidRDefault="00571373" w:rsidP="00571373">
      <w:pPr>
        <w:spacing w:line="276" w:lineRule="auto"/>
        <w:rPr>
          <w:rFonts w:ascii="Times New Roman" w:hAnsi="Times New Roman" w:cs="Times New Roman"/>
        </w:rPr>
      </w:pPr>
    </w:p>
    <w:p w14:paraId="59199A9A" w14:textId="2D2E5047" w:rsidR="00571373" w:rsidRPr="0074305A" w:rsidRDefault="00571373" w:rsidP="0088719C">
      <w:pPr>
        <w:rPr>
          <w:rFonts w:ascii="Times New Roman" w:hAnsi="Times New Roman" w:cs="Times New Roman"/>
          <w:sz w:val="24"/>
          <w:szCs w:val="24"/>
        </w:rPr>
      </w:pPr>
      <w:r w:rsidRPr="0074305A">
        <w:rPr>
          <w:rFonts w:ascii="Times New Roman" w:hAnsi="Times New Roman" w:cs="Times New Roman"/>
          <w:sz w:val="24"/>
          <w:szCs w:val="24"/>
        </w:rPr>
        <w:t>Lielākais pieaugums tiek prognozēts būvmateriālu izmaksām, kas apsteidz iepriekšējos gados dominējošo strādnieku darba samaksas līderpozīciju. Tomēr, pēc ekspertu skatījuma, tas drīzāk būs 2021. gada fenomens, jo 2022. gada prognozēs būvmateriālu izmaksu izmaiņas samazinās otrajā pozīcijā klasiski pirmajā vietā izvirzoties strādnieku darba samaksas izmaiņām. Līdz pat 2025. gadam tiek prognozēts arvien mazāks būvmateriālu izmaksu pieaugums.</w:t>
      </w:r>
    </w:p>
    <w:p w14:paraId="464CED6C" w14:textId="614E8FC3" w:rsidR="00571373" w:rsidRPr="00CA542D" w:rsidRDefault="006A5A5C" w:rsidP="006A5A5C">
      <w:pPr>
        <w:keepNext/>
        <w:spacing w:line="276" w:lineRule="auto"/>
        <w:ind w:firstLine="0"/>
        <w:jc w:val="center"/>
        <w:rPr>
          <w:rFonts w:ascii="Times New Roman" w:hAnsi="Times New Roman" w:cs="Times New Roman"/>
        </w:rPr>
      </w:pPr>
      <w:r w:rsidRPr="00CA542D">
        <w:rPr>
          <w:rFonts w:ascii="Times New Roman" w:hAnsi="Times New Roman" w:cs="Times New Roman"/>
          <w:noProof/>
        </w:rPr>
        <w:drawing>
          <wp:inline distT="0" distB="0" distL="0" distR="0" wp14:anchorId="1DEE1DF5" wp14:editId="0A93ACC8">
            <wp:extent cx="4902200" cy="2762250"/>
            <wp:effectExtent l="0" t="0" r="0" b="0"/>
            <wp:docPr id="13" name="Chart 13">
              <a:extLst xmlns:a="http://schemas.openxmlformats.org/drawingml/2006/main">
                <a:ext uri="{FF2B5EF4-FFF2-40B4-BE49-F238E27FC236}">
                  <a16:creationId xmlns:a16="http://schemas.microsoft.com/office/drawing/2014/main" id="{613D127C-4E14-4AC2-A79E-FFCCB2726F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03D3329" w14:textId="384755C2" w:rsidR="00571373" w:rsidRPr="00CA542D" w:rsidRDefault="00571373" w:rsidP="00571373">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7</w:t>
      </w:r>
      <w:r w:rsidR="00F43189">
        <w:rPr>
          <w:noProof/>
        </w:rPr>
        <w:fldChar w:fldCharType="end"/>
      </w:r>
      <w:r>
        <w:t xml:space="preserve">. </w:t>
      </w:r>
      <w:r w:rsidRPr="00CA542D">
        <w:rPr>
          <w:rFonts w:ascii="Times New Roman" w:hAnsi="Times New Roman" w:cs="Times New Roman"/>
        </w:rPr>
        <w:t>Resursu veidu izmaksu izmaiņu prognozes pēc vispārīgo un tirdzniecības ekspertu novērtējumiem.</w:t>
      </w:r>
    </w:p>
    <w:p w14:paraId="16E06717" w14:textId="77777777" w:rsidR="00571373" w:rsidRPr="00CA542D" w:rsidRDefault="00571373" w:rsidP="00571373">
      <w:pPr>
        <w:spacing w:line="276" w:lineRule="auto"/>
        <w:rPr>
          <w:rFonts w:ascii="Times New Roman" w:hAnsi="Times New Roman" w:cs="Times New Roman"/>
        </w:rPr>
      </w:pPr>
    </w:p>
    <w:p w14:paraId="539E2C33" w14:textId="11995F2F" w:rsidR="00571373" w:rsidRPr="00DB4557" w:rsidRDefault="00571373" w:rsidP="0088719C">
      <w:pPr>
        <w:rPr>
          <w:rFonts w:ascii="Times New Roman" w:hAnsi="Times New Roman" w:cs="Times New Roman"/>
          <w:sz w:val="24"/>
          <w:szCs w:val="24"/>
        </w:rPr>
      </w:pPr>
      <w:r w:rsidRPr="00DB4557">
        <w:rPr>
          <w:rFonts w:ascii="Times New Roman" w:hAnsi="Times New Roman" w:cs="Times New Roman"/>
          <w:sz w:val="24"/>
          <w:szCs w:val="24"/>
        </w:rPr>
        <w:t xml:space="preserve">2021. gadā pirmo reizi novērots būvmateriālu izmaksu lēciens augstāk, nekā darba samaksas lēciens. </w:t>
      </w:r>
      <w:r w:rsidR="006B7134" w:rsidRPr="00DB4557">
        <w:rPr>
          <w:rFonts w:ascii="Times New Roman" w:hAnsi="Times New Roman" w:cs="Times New Roman"/>
          <w:sz w:val="24"/>
          <w:szCs w:val="24"/>
        </w:rPr>
        <w:t>V</w:t>
      </w:r>
      <w:r w:rsidRPr="00DB4557">
        <w:rPr>
          <w:rFonts w:ascii="Times New Roman" w:hAnsi="Times New Roman" w:cs="Times New Roman"/>
          <w:sz w:val="24"/>
          <w:szCs w:val="24"/>
        </w:rPr>
        <w:t>adoties pēc 2021. gada pirmo 6 mēnešu straujajiem kokmateriālu un metālizstrādājumu cenu lēcieniem, arī eksperti ņēma vērā aktuāli notiekošo neordināro cenu pieaugumu un tādēļ ekspertu prognozes pārsniedz 12% robežu izmaksu pieaugumu gadā. Pastāv bažas, ka ekspertu vērtējums bija balstīts uz 2021. gada pirmās puses situāciju, jo jau 2021. gada otrās puses sākumā tika novērota kokmateriālu cenu krišanās atsevišķos pasaules tirgos, kas varētu atsaukties kā cenu kritums arī Latvijā ar vairāku mēnešu aizkavēšanos</w:t>
      </w:r>
      <w:r w:rsidR="006B7134" w:rsidRPr="00DB4557">
        <w:rPr>
          <w:rFonts w:ascii="Times New Roman" w:hAnsi="Times New Roman" w:cs="Times New Roman"/>
          <w:sz w:val="24"/>
          <w:szCs w:val="24"/>
        </w:rPr>
        <w:t>, tāpēc Pētnieki par ticamāku uzskata kombinēto prognozi (statistiski-ekspertu), attiecīgi kas identificē 2021. gadā būvmateriālu izmaksu pieaugumus 7,1% un 2022. gadā 4,5%.</w:t>
      </w:r>
    </w:p>
    <w:p w14:paraId="76129556" w14:textId="77777777" w:rsidR="00571373" w:rsidRPr="00CA542D" w:rsidRDefault="00571373" w:rsidP="006A5A5C">
      <w:pPr>
        <w:keepNext/>
        <w:spacing w:line="276" w:lineRule="auto"/>
        <w:ind w:firstLine="0"/>
        <w:jc w:val="center"/>
        <w:rPr>
          <w:rFonts w:ascii="Times New Roman" w:hAnsi="Times New Roman" w:cs="Times New Roman"/>
        </w:rPr>
      </w:pPr>
      <w:r>
        <w:rPr>
          <w:noProof/>
        </w:rPr>
        <w:lastRenderedPageBreak/>
        <w:drawing>
          <wp:inline distT="0" distB="0" distL="0" distR="0" wp14:anchorId="1A4CADA0" wp14:editId="525CD594">
            <wp:extent cx="4620602" cy="2753832"/>
            <wp:effectExtent l="0" t="0" r="889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73001" cy="2785061"/>
                    </a:xfrm>
                    <a:prstGeom prst="rect">
                      <a:avLst/>
                    </a:prstGeom>
                  </pic:spPr>
                </pic:pic>
              </a:graphicData>
            </a:graphic>
          </wp:inline>
        </w:drawing>
      </w:r>
    </w:p>
    <w:p w14:paraId="41F80B43" w14:textId="77777777" w:rsidR="00571373" w:rsidRDefault="00571373" w:rsidP="00571373">
      <w:pPr>
        <w:pStyle w:val="Caption"/>
        <w:jc w:val="center"/>
      </w:pPr>
    </w:p>
    <w:p w14:paraId="63D4EF77" w14:textId="4A3B048F" w:rsidR="00571373" w:rsidRPr="00CA542D" w:rsidRDefault="00571373" w:rsidP="00571373">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8</w:t>
      </w:r>
      <w:r w:rsidR="00F43189">
        <w:rPr>
          <w:noProof/>
        </w:rPr>
        <w:fldChar w:fldCharType="end"/>
      </w:r>
      <w:r>
        <w:t xml:space="preserve">. </w:t>
      </w:r>
      <w:r w:rsidRPr="00CA542D">
        <w:rPr>
          <w:rFonts w:ascii="Times New Roman" w:hAnsi="Times New Roman" w:cs="Times New Roman"/>
        </w:rPr>
        <w:t>Būvmateriālu izmaksu izmaiņas procentos pret iepriekšējo gadu kopš 2011.</w:t>
      </w:r>
      <w:r>
        <w:rPr>
          <w:rFonts w:ascii="Times New Roman" w:hAnsi="Times New Roman" w:cs="Times New Roman"/>
        </w:rPr>
        <w:t xml:space="preserve"> </w:t>
      </w:r>
      <w:r w:rsidRPr="00CA542D">
        <w:rPr>
          <w:rFonts w:ascii="Times New Roman" w:hAnsi="Times New Roman" w:cs="Times New Roman"/>
        </w:rPr>
        <w:t>gada un prognozes 2021.-2025. gadam.</w:t>
      </w:r>
    </w:p>
    <w:p w14:paraId="4ED3DB97" w14:textId="6F4CFAF8" w:rsidR="006B7134" w:rsidRPr="006B7134" w:rsidRDefault="00571373" w:rsidP="0088719C">
      <w:pPr>
        <w:rPr>
          <w:rFonts w:ascii="Times New Roman" w:hAnsi="Times New Roman" w:cs="Times New Roman"/>
          <w:sz w:val="24"/>
          <w:szCs w:val="24"/>
        </w:rPr>
      </w:pPr>
      <w:r w:rsidRPr="006B7134">
        <w:rPr>
          <w:rFonts w:ascii="Times New Roman" w:hAnsi="Times New Roman" w:cs="Times New Roman"/>
          <w:sz w:val="24"/>
          <w:szCs w:val="24"/>
        </w:rPr>
        <w:t>Pretēja situācija tiek novērota strādnieku darba izmaksu kontekstā</w:t>
      </w:r>
      <w:r w:rsidR="006B7134" w:rsidRPr="006B7134">
        <w:rPr>
          <w:rFonts w:ascii="Times New Roman" w:hAnsi="Times New Roman" w:cs="Times New Roman"/>
          <w:sz w:val="24"/>
          <w:szCs w:val="24"/>
        </w:rPr>
        <w:t>, līdz ar to var samērā vienprātīgi izvirzīt pieņēmumu, ka strādnieku darba izmaksas varētu pieaugt par 7,1% 2021. gadā un 7,4% 2022. gadā. Tālākajos periodos ikgadējās strādnieku samaksas pieaugums nepārsniegs 7% gadā. Pēc būtības var apgalvot, ka tuvākajos piecos gados, pēc šī brīža novērtējuma, sagaidāmas līdzīgas tendences, kādas valdīja strādnieku darba samaksas jomā kopā 2013. gada.</w:t>
      </w:r>
    </w:p>
    <w:p w14:paraId="6E21B80F" w14:textId="77777777" w:rsidR="00571373" w:rsidRPr="00CA542D" w:rsidRDefault="00571373" w:rsidP="006A5A5C">
      <w:pPr>
        <w:keepNext/>
        <w:spacing w:line="276" w:lineRule="auto"/>
        <w:ind w:firstLine="0"/>
        <w:jc w:val="center"/>
        <w:rPr>
          <w:rFonts w:ascii="Times New Roman" w:hAnsi="Times New Roman" w:cs="Times New Roman"/>
        </w:rPr>
      </w:pPr>
      <w:r w:rsidRPr="00521077">
        <w:rPr>
          <w:noProof/>
        </w:rPr>
        <w:drawing>
          <wp:inline distT="0" distB="0" distL="0" distR="0" wp14:anchorId="3D7EFA37" wp14:editId="2D7653DE">
            <wp:extent cx="4442352" cy="261560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01497" cy="2650433"/>
                    </a:xfrm>
                    <a:prstGeom prst="rect">
                      <a:avLst/>
                    </a:prstGeom>
                  </pic:spPr>
                </pic:pic>
              </a:graphicData>
            </a:graphic>
          </wp:inline>
        </w:drawing>
      </w:r>
    </w:p>
    <w:p w14:paraId="1E9EFCD4" w14:textId="77777777" w:rsidR="00571373" w:rsidRPr="00DB4557" w:rsidRDefault="00571373" w:rsidP="00571373">
      <w:pPr>
        <w:keepNext/>
        <w:spacing w:line="276" w:lineRule="auto"/>
        <w:ind w:firstLine="0"/>
        <w:rPr>
          <w:rFonts w:ascii="Times New Roman" w:hAnsi="Times New Roman" w:cs="Times New Roman"/>
          <w:sz w:val="14"/>
          <w:szCs w:val="14"/>
        </w:rPr>
      </w:pPr>
    </w:p>
    <w:p w14:paraId="545621B6" w14:textId="4E2C0055" w:rsidR="00571373" w:rsidRPr="00CA542D" w:rsidRDefault="00571373" w:rsidP="00571373">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9</w:t>
      </w:r>
      <w:r w:rsidR="00F43189">
        <w:rPr>
          <w:noProof/>
        </w:rPr>
        <w:fldChar w:fldCharType="end"/>
      </w:r>
      <w:r>
        <w:t xml:space="preserve">. </w:t>
      </w:r>
      <w:r w:rsidRPr="00CA542D">
        <w:rPr>
          <w:rFonts w:ascii="Times New Roman" w:hAnsi="Times New Roman" w:cs="Times New Roman"/>
        </w:rPr>
        <w:t>Strādnieku darba samaksas izmaksu izmaiņas procentos pret iepriekšējo gadu kopš 2011.</w:t>
      </w:r>
      <w:r>
        <w:rPr>
          <w:rFonts w:ascii="Times New Roman" w:hAnsi="Times New Roman" w:cs="Times New Roman"/>
        </w:rPr>
        <w:t xml:space="preserve"> </w:t>
      </w:r>
      <w:r w:rsidRPr="00CA542D">
        <w:rPr>
          <w:rFonts w:ascii="Times New Roman" w:hAnsi="Times New Roman" w:cs="Times New Roman"/>
        </w:rPr>
        <w:t>gada un prognozes 2021.-2025. gadam.</w:t>
      </w:r>
    </w:p>
    <w:p w14:paraId="07583503" w14:textId="2500CCC9" w:rsidR="00571373" w:rsidRPr="00CF4DE8" w:rsidRDefault="00571373" w:rsidP="0088719C">
      <w:pPr>
        <w:rPr>
          <w:rFonts w:ascii="Times New Roman" w:hAnsi="Times New Roman" w:cs="Times New Roman"/>
          <w:sz w:val="24"/>
          <w:szCs w:val="24"/>
        </w:rPr>
      </w:pPr>
      <w:r w:rsidRPr="00CF4DE8">
        <w:rPr>
          <w:rFonts w:ascii="Times New Roman" w:hAnsi="Times New Roman" w:cs="Times New Roman"/>
          <w:b/>
          <w:bCs/>
          <w:sz w:val="24"/>
          <w:szCs w:val="24"/>
        </w:rPr>
        <w:t>Mašīnu un mehānismu izmaksu</w:t>
      </w:r>
      <w:r w:rsidRPr="00CF4DE8">
        <w:rPr>
          <w:rFonts w:ascii="Times New Roman" w:hAnsi="Times New Roman" w:cs="Times New Roman"/>
          <w:sz w:val="24"/>
          <w:szCs w:val="24"/>
        </w:rPr>
        <w:t xml:space="preserve"> ziņā kopš 2013. gada ir novērotas ļoti niecīgas izmaksu izmaiņas. Arī iegūtās prognozes, liecina par turpmāku šādu tendenču saglabāšanos. Tuvākajos gados – 2021. un 2022. gadā, tiek prognozēts izmaksu pieaugums 1,3% un 1,1% pret iepriekšējo gadu. </w:t>
      </w:r>
    </w:p>
    <w:p w14:paraId="222ECB39" w14:textId="0435C5F8" w:rsidR="00CF4DE8" w:rsidRPr="00CF4DE8" w:rsidRDefault="00CF4DE8" w:rsidP="006A5A5C">
      <w:pPr>
        <w:pStyle w:val="Heading4"/>
        <w:ind w:firstLine="0"/>
        <w:rPr>
          <w:color w:val="009999"/>
        </w:rPr>
      </w:pPr>
      <w:r>
        <w:rPr>
          <w:color w:val="009999"/>
        </w:rPr>
        <w:lastRenderedPageBreak/>
        <w:t>Apakšnozares</w:t>
      </w:r>
    </w:p>
    <w:p w14:paraId="42F2F0FA" w14:textId="10E4521D" w:rsidR="00571373" w:rsidRPr="00CF4DE8" w:rsidRDefault="00571373" w:rsidP="0088719C">
      <w:pPr>
        <w:rPr>
          <w:rFonts w:ascii="Times New Roman" w:hAnsi="Times New Roman" w:cs="Times New Roman"/>
          <w:sz w:val="24"/>
          <w:szCs w:val="24"/>
        </w:rPr>
      </w:pPr>
      <w:r w:rsidRPr="00CF4DE8">
        <w:rPr>
          <w:rFonts w:ascii="Times New Roman" w:hAnsi="Times New Roman" w:cs="Times New Roman"/>
          <w:sz w:val="24"/>
          <w:szCs w:val="24"/>
        </w:rPr>
        <w:t xml:space="preserve">Izmaksu prognozes pēc resursu veidiem tika aplūkotas arī apakšnozaru griezumā katras apakšnozares ekspertiem prognozējot izmaksas savas kompetences ietvaros. Rezultātā tika iegūti dažādi griezumi, kas tika padziļināti izvērtēti. </w:t>
      </w:r>
    </w:p>
    <w:p w14:paraId="7D13726B" w14:textId="77777777" w:rsidR="00571373" w:rsidRPr="006A5A5C" w:rsidRDefault="00571373" w:rsidP="00CF4DE8">
      <w:pPr>
        <w:ind w:firstLine="0"/>
        <w:rPr>
          <w:rFonts w:ascii="Times New Roman" w:hAnsi="Times New Roman" w:cs="Times New Roman"/>
          <w:sz w:val="12"/>
          <w:szCs w:val="12"/>
        </w:rPr>
      </w:pPr>
    </w:p>
    <w:p w14:paraId="6E197DA3" w14:textId="77777777" w:rsidR="00571373" w:rsidRPr="00CF4DE8" w:rsidRDefault="00571373" w:rsidP="0088719C">
      <w:pPr>
        <w:rPr>
          <w:rFonts w:ascii="Times New Roman" w:hAnsi="Times New Roman" w:cs="Times New Roman"/>
          <w:sz w:val="24"/>
          <w:szCs w:val="24"/>
        </w:rPr>
      </w:pPr>
      <w:r w:rsidRPr="00CF4DE8">
        <w:rPr>
          <w:rFonts w:ascii="Times New Roman" w:hAnsi="Times New Roman" w:cs="Times New Roman"/>
          <w:b/>
          <w:bCs/>
          <w:sz w:val="24"/>
          <w:szCs w:val="24"/>
        </w:rPr>
        <w:t>Dzīvojamo ēku būvniecības</w:t>
      </w:r>
      <w:r w:rsidRPr="00CF4DE8">
        <w:rPr>
          <w:rFonts w:ascii="Times New Roman" w:hAnsi="Times New Roman" w:cs="Times New Roman"/>
          <w:sz w:val="24"/>
          <w:szCs w:val="24"/>
        </w:rPr>
        <w:t xml:space="preserve"> gadījumā lielākais izmaksu pieaugums 2021. gadā tiek prognozēts būvmateriālu izmaksām 14,71% apmērā, kas pēc prognozēm jau nākamajā gadā būtiski samazināsies. </w:t>
      </w:r>
    </w:p>
    <w:p w14:paraId="08BA4074" w14:textId="7C0CDEAA" w:rsidR="00571373" w:rsidRPr="00CF4DE8" w:rsidRDefault="00571373" w:rsidP="0088719C">
      <w:pPr>
        <w:spacing w:line="276" w:lineRule="auto"/>
        <w:rPr>
          <w:rFonts w:ascii="Times New Roman" w:hAnsi="Times New Roman" w:cs="Times New Roman"/>
          <w:sz w:val="24"/>
          <w:szCs w:val="24"/>
        </w:rPr>
      </w:pPr>
      <w:r w:rsidRPr="00CF4DE8">
        <w:rPr>
          <w:rFonts w:ascii="Times New Roman" w:hAnsi="Times New Roman" w:cs="Times New Roman"/>
          <w:sz w:val="24"/>
          <w:szCs w:val="24"/>
        </w:rPr>
        <w:t xml:space="preserve">Atkārtots būvmateriālu </w:t>
      </w:r>
      <w:r w:rsidR="001653FA" w:rsidRPr="00CF4DE8">
        <w:rPr>
          <w:rFonts w:ascii="Times New Roman" w:hAnsi="Times New Roman" w:cs="Times New Roman"/>
          <w:sz w:val="24"/>
          <w:szCs w:val="24"/>
        </w:rPr>
        <w:t xml:space="preserve">izmaksu </w:t>
      </w:r>
      <w:r w:rsidRPr="00CF4DE8">
        <w:rPr>
          <w:rFonts w:ascii="Times New Roman" w:hAnsi="Times New Roman" w:cs="Times New Roman"/>
          <w:sz w:val="24"/>
          <w:szCs w:val="24"/>
        </w:rPr>
        <w:t>pieaugums tiek prognozēts 2024. un 2025. gadā. Strādnieku darba samaksu pieaugums tiek prognozēts ar pieaugumu 3,43% un 7,00% amplitūdā.</w:t>
      </w:r>
    </w:p>
    <w:p w14:paraId="2A76D80C" w14:textId="14C71E51" w:rsidR="00CF4DE8" w:rsidRDefault="00CF4DE8" w:rsidP="00571373">
      <w:pPr>
        <w:spacing w:line="276" w:lineRule="auto"/>
        <w:ind w:firstLine="0"/>
        <w:rPr>
          <w:rFonts w:ascii="Times New Roman" w:hAnsi="Times New Roman" w:cs="Times New Roman"/>
        </w:rPr>
      </w:pPr>
      <w:r w:rsidRPr="00CA542D">
        <w:rPr>
          <w:rFonts w:ascii="Times New Roman" w:hAnsi="Times New Roman" w:cs="Times New Roman"/>
          <w:noProof/>
        </w:rPr>
        <w:drawing>
          <wp:anchor distT="0" distB="0" distL="114300" distR="114300" simplePos="0" relativeHeight="251666432" behindDoc="0" locked="0" layoutInCell="1" allowOverlap="1" wp14:anchorId="59275558" wp14:editId="33D7EB33">
            <wp:simplePos x="0" y="0"/>
            <wp:positionH relativeFrom="margin">
              <wp:posOffset>446405</wp:posOffset>
            </wp:positionH>
            <wp:positionV relativeFrom="paragraph">
              <wp:posOffset>207645</wp:posOffset>
            </wp:positionV>
            <wp:extent cx="5667375" cy="3391535"/>
            <wp:effectExtent l="0" t="0" r="9525" b="18415"/>
            <wp:wrapTopAndBottom/>
            <wp:docPr id="16" name="Chart 16">
              <a:extLst xmlns:a="http://schemas.openxmlformats.org/drawingml/2006/main">
                <a:ext uri="{FF2B5EF4-FFF2-40B4-BE49-F238E27FC236}">
                  <a16:creationId xmlns:a16="http://schemas.microsoft.com/office/drawing/2014/main" id="{9D9D9707-51AC-4A63-966D-7D49B55941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6C475F6E" w14:textId="77777777" w:rsidR="00571373" w:rsidRPr="00CA542D" w:rsidRDefault="00571373" w:rsidP="00571373">
      <w:pPr>
        <w:keepNext/>
        <w:spacing w:line="276" w:lineRule="auto"/>
        <w:rPr>
          <w:rFonts w:ascii="Times New Roman" w:hAnsi="Times New Roman" w:cs="Times New Roman"/>
        </w:rPr>
      </w:pPr>
    </w:p>
    <w:p w14:paraId="0924EF22" w14:textId="55D86E0F" w:rsidR="00571373" w:rsidRPr="00CA542D" w:rsidRDefault="00571373" w:rsidP="00571373">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10</w:t>
      </w:r>
      <w:r w:rsidR="00F43189">
        <w:rPr>
          <w:noProof/>
        </w:rPr>
        <w:fldChar w:fldCharType="end"/>
      </w:r>
      <w:r>
        <w:t xml:space="preserve">. </w:t>
      </w:r>
      <w:r w:rsidRPr="00CA542D">
        <w:rPr>
          <w:rFonts w:ascii="Times New Roman" w:hAnsi="Times New Roman" w:cs="Times New Roman"/>
        </w:rPr>
        <w:t>Dzīvojamo ēku izmaksu izmaiņu prognozes pa resursu veidiem 2021.-2025. gadam.</w:t>
      </w:r>
    </w:p>
    <w:p w14:paraId="4BB0F308" w14:textId="77777777" w:rsidR="006A5A5C" w:rsidRPr="006A5A5C" w:rsidRDefault="006A5A5C" w:rsidP="0021657F">
      <w:pPr>
        <w:ind w:firstLine="0"/>
        <w:rPr>
          <w:rFonts w:ascii="Times New Roman" w:hAnsi="Times New Roman" w:cs="Times New Roman"/>
          <w:b/>
          <w:bCs/>
          <w:sz w:val="12"/>
          <w:szCs w:val="12"/>
        </w:rPr>
      </w:pPr>
    </w:p>
    <w:p w14:paraId="68F69BAE" w14:textId="2F7C395A" w:rsidR="00571373" w:rsidRPr="0021657F" w:rsidRDefault="00571373" w:rsidP="0088719C">
      <w:pPr>
        <w:rPr>
          <w:rFonts w:ascii="Times New Roman" w:hAnsi="Times New Roman" w:cs="Times New Roman"/>
          <w:sz w:val="24"/>
          <w:szCs w:val="24"/>
        </w:rPr>
      </w:pPr>
      <w:r w:rsidRPr="0021657F">
        <w:rPr>
          <w:rFonts w:ascii="Times New Roman" w:hAnsi="Times New Roman" w:cs="Times New Roman"/>
          <w:b/>
          <w:bCs/>
          <w:sz w:val="24"/>
          <w:szCs w:val="24"/>
        </w:rPr>
        <w:t>Nedzīvojamo ēku izmaksu izmaiņām</w:t>
      </w:r>
      <w:r w:rsidRPr="0021657F">
        <w:rPr>
          <w:rFonts w:ascii="Times New Roman" w:hAnsi="Times New Roman" w:cs="Times New Roman"/>
          <w:sz w:val="24"/>
          <w:szCs w:val="24"/>
        </w:rPr>
        <w:t xml:space="preserve"> ir raksturīgas kopumā tādas pašas tendences kā dzīvojamo ēku būvniecībā. Arī šajā gadījumā būvmateriāli 2021. gadā drīzāk būs pozīcija ar straujāko pieaugumu, kas tiek prognozēta 14,86% apmērā. Tālākā laika periodā tiek prognozēts zemāks izmaksu pieaugums, kas viszemākais varētu būt 2023. gadā 2,4% apmērā, bet varētu atkal pieaugt līdz 2025. gadam līdz 8,6% gadā.</w:t>
      </w:r>
    </w:p>
    <w:p w14:paraId="57BF421E" w14:textId="77777777" w:rsidR="00571373" w:rsidRPr="0021657F" w:rsidRDefault="00571373" w:rsidP="0021657F">
      <w:pPr>
        <w:rPr>
          <w:rFonts w:ascii="Times New Roman" w:hAnsi="Times New Roman" w:cs="Times New Roman"/>
          <w:sz w:val="24"/>
          <w:szCs w:val="24"/>
        </w:rPr>
      </w:pPr>
    </w:p>
    <w:p w14:paraId="19AFF048" w14:textId="77777777" w:rsidR="00571373" w:rsidRPr="0021657F" w:rsidRDefault="00571373" w:rsidP="0088719C">
      <w:pPr>
        <w:rPr>
          <w:rFonts w:ascii="Times New Roman" w:hAnsi="Times New Roman" w:cs="Times New Roman"/>
          <w:sz w:val="24"/>
          <w:szCs w:val="24"/>
        </w:rPr>
      </w:pPr>
      <w:r w:rsidRPr="0021657F">
        <w:rPr>
          <w:rFonts w:ascii="Times New Roman" w:hAnsi="Times New Roman" w:cs="Times New Roman"/>
          <w:b/>
          <w:bCs/>
          <w:sz w:val="24"/>
          <w:szCs w:val="24"/>
        </w:rPr>
        <w:t>Transporta objektu būvniecības apakšnozare</w:t>
      </w:r>
      <w:r w:rsidRPr="0021657F">
        <w:rPr>
          <w:rFonts w:ascii="Times New Roman" w:hAnsi="Times New Roman" w:cs="Times New Roman"/>
          <w:sz w:val="24"/>
          <w:szCs w:val="24"/>
        </w:rPr>
        <w:t xml:space="preserve"> izceļas ar salīdzinoši pesimistiskiem novērtējumiem un augstu ekspertu prognozēto izmaksu pieaugumu visās pozīcijas. Gan būvmateriālu izmaksām, gan mašīnu un mehānismu izmaksām 2021. gadā tiek prognozēts 10,0% pieaugums. Vēlākos gados gan šīs prognozes samazinās šajās pozīcijās sasniedzot pirms-pandēmijas līmeņus </w:t>
      </w:r>
      <w:r w:rsidRPr="0021657F">
        <w:rPr>
          <w:rFonts w:ascii="Times New Roman" w:hAnsi="Times New Roman" w:cs="Times New Roman"/>
          <w:sz w:val="24"/>
          <w:szCs w:val="24"/>
        </w:rPr>
        <w:lastRenderedPageBreak/>
        <w:t xml:space="preserve">2023.-2025. gada novērtējumos. Tomēr specifiska situācija rodas ar arhitektūras un inženiertehnisko pakalpojumu, tehniskās pārbaudes un analīzes izdevumiem, kur otrādi – 2021. un 2022. gadā tiek prognozēts mērenāks izmaksu pieaugums 7,8% un 7,2% pret iepriekšējo gadu, bet laika periodā 2023.-2025. gadā vidēji gadā pieaugums novērtēts ar 9,6% gadā. Šāda situācija varētu tikt saistīta ar lielu šīs apakšnozares speciālistu noslodzi Latvijā tieši transporta objektu būvniecībā “Rail Baltica” projekta kontekstā. </w:t>
      </w:r>
    </w:p>
    <w:p w14:paraId="0DA1B534" w14:textId="77777777" w:rsidR="00571373" w:rsidRPr="006A5A5C" w:rsidRDefault="00571373" w:rsidP="00571373">
      <w:pPr>
        <w:spacing w:line="276" w:lineRule="auto"/>
        <w:ind w:firstLine="0"/>
        <w:rPr>
          <w:rFonts w:ascii="Times New Roman" w:hAnsi="Times New Roman" w:cs="Times New Roman"/>
          <w:sz w:val="10"/>
          <w:szCs w:val="10"/>
        </w:rPr>
      </w:pPr>
    </w:p>
    <w:p w14:paraId="0FB14477" w14:textId="77777777" w:rsidR="00571373" w:rsidRPr="00CA542D" w:rsidRDefault="00571373" w:rsidP="006A5A5C">
      <w:pPr>
        <w:keepNext/>
        <w:spacing w:line="276" w:lineRule="auto"/>
        <w:ind w:firstLine="0"/>
        <w:rPr>
          <w:rFonts w:ascii="Times New Roman" w:hAnsi="Times New Roman" w:cs="Times New Roman"/>
        </w:rPr>
      </w:pPr>
      <w:r w:rsidRPr="00CA542D">
        <w:rPr>
          <w:rFonts w:ascii="Times New Roman" w:hAnsi="Times New Roman" w:cs="Times New Roman"/>
          <w:noProof/>
        </w:rPr>
        <w:drawing>
          <wp:inline distT="0" distB="0" distL="0" distR="0" wp14:anchorId="4E18C1A0" wp14:editId="10E43DD0">
            <wp:extent cx="6049926" cy="2940050"/>
            <wp:effectExtent l="0" t="0" r="8255" b="12700"/>
            <wp:docPr id="12" name="Chart 12">
              <a:extLst xmlns:a="http://schemas.openxmlformats.org/drawingml/2006/main">
                <a:ext uri="{FF2B5EF4-FFF2-40B4-BE49-F238E27FC236}">
                  <a16:creationId xmlns:a16="http://schemas.microsoft.com/office/drawing/2014/main" id="{1FB8945A-3985-4451-A45F-14AC7BAB5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E9C4207" w14:textId="3FFCFCEA" w:rsidR="00571373" w:rsidRPr="00CA542D" w:rsidRDefault="00571373" w:rsidP="00571373">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11</w:t>
      </w:r>
      <w:r w:rsidR="00F43189">
        <w:rPr>
          <w:noProof/>
        </w:rPr>
        <w:fldChar w:fldCharType="end"/>
      </w:r>
      <w:r>
        <w:t xml:space="preserve">. </w:t>
      </w:r>
      <w:r w:rsidRPr="00CA542D">
        <w:rPr>
          <w:rFonts w:ascii="Times New Roman" w:hAnsi="Times New Roman" w:cs="Times New Roman"/>
        </w:rPr>
        <w:t>Transporta objektu izmaksu izmaiņu prognozes pa resursu veidiem 2021.-2025. gadam.</w:t>
      </w:r>
    </w:p>
    <w:p w14:paraId="1C489B93" w14:textId="05EB4ADE" w:rsidR="0021657F" w:rsidRDefault="00571373" w:rsidP="0088719C">
      <w:pPr>
        <w:rPr>
          <w:rFonts w:ascii="Times New Roman" w:hAnsi="Times New Roman" w:cs="Times New Roman"/>
          <w:sz w:val="24"/>
          <w:szCs w:val="24"/>
        </w:rPr>
      </w:pPr>
      <w:r w:rsidRPr="0021657F">
        <w:rPr>
          <w:rFonts w:ascii="Times New Roman" w:hAnsi="Times New Roman" w:cs="Times New Roman"/>
          <w:sz w:val="24"/>
          <w:szCs w:val="24"/>
        </w:rPr>
        <w:t xml:space="preserve">Arī </w:t>
      </w:r>
      <w:r w:rsidRPr="0021657F">
        <w:rPr>
          <w:rFonts w:ascii="Times New Roman" w:hAnsi="Times New Roman" w:cs="Times New Roman"/>
          <w:b/>
          <w:bCs/>
          <w:sz w:val="24"/>
          <w:szCs w:val="24"/>
        </w:rPr>
        <w:t>pilsētsaimniecības infrastruktūras apakšnozarē</w:t>
      </w:r>
      <w:r w:rsidRPr="0021657F">
        <w:rPr>
          <w:rFonts w:ascii="Times New Roman" w:hAnsi="Times New Roman" w:cs="Times New Roman"/>
          <w:sz w:val="24"/>
          <w:szCs w:val="24"/>
        </w:rPr>
        <w:t xml:space="preserve"> prognozēts būtisks izmaksu pieaugumu tieši būvmateriālu kontekstā. 2021. gadā šis pieaugums prognozēts 15,3% apjomā, kas vēlākos gados nebūs tik liels bet arī 2022. gadā būs būtiskākā izmaksu pozīcija. </w:t>
      </w:r>
    </w:p>
    <w:p w14:paraId="140C6093" w14:textId="0F81AED1" w:rsidR="0021657F" w:rsidRDefault="006A5A5C" w:rsidP="0021657F">
      <w:pPr>
        <w:ind w:firstLine="0"/>
        <w:rPr>
          <w:rFonts w:ascii="Times New Roman" w:hAnsi="Times New Roman" w:cs="Times New Roman"/>
          <w:sz w:val="24"/>
          <w:szCs w:val="24"/>
        </w:rPr>
      </w:pPr>
      <w:r w:rsidRPr="0021657F">
        <w:rPr>
          <w:rFonts w:ascii="Times New Roman" w:hAnsi="Times New Roman" w:cs="Times New Roman"/>
          <w:noProof/>
          <w:sz w:val="24"/>
          <w:szCs w:val="24"/>
        </w:rPr>
        <w:drawing>
          <wp:inline distT="0" distB="0" distL="0" distR="0" wp14:anchorId="7D1C52C7" wp14:editId="42A087BE">
            <wp:extent cx="5996305" cy="3117850"/>
            <wp:effectExtent l="0" t="0" r="4445" b="6350"/>
            <wp:docPr id="17" name="Chart 17">
              <a:extLst xmlns:a="http://schemas.openxmlformats.org/drawingml/2006/main">
                <a:ext uri="{FF2B5EF4-FFF2-40B4-BE49-F238E27FC236}">
                  <a16:creationId xmlns:a16="http://schemas.microsoft.com/office/drawing/2014/main" id="{8E75B40B-7C82-4A88-B99A-8C91870489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32E0E02" w14:textId="67EAABAE" w:rsidR="0021657F" w:rsidRPr="00CA542D" w:rsidRDefault="0021657F" w:rsidP="0021657F">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12</w:t>
      </w:r>
      <w:r w:rsidR="00F43189">
        <w:rPr>
          <w:noProof/>
        </w:rPr>
        <w:fldChar w:fldCharType="end"/>
      </w:r>
      <w:r>
        <w:t xml:space="preserve">. </w:t>
      </w:r>
      <w:r w:rsidRPr="00CA542D">
        <w:rPr>
          <w:rFonts w:ascii="Times New Roman" w:hAnsi="Times New Roman" w:cs="Times New Roman"/>
        </w:rPr>
        <w:t>Pilsētsaimniecības infrastruktūras izmaksu izmaiņu prognozes pa resursu veidiem 2021.-2025. gadam.</w:t>
      </w:r>
    </w:p>
    <w:p w14:paraId="21D6BAB1" w14:textId="77777777" w:rsidR="0021657F" w:rsidRDefault="0021657F" w:rsidP="0021657F">
      <w:pPr>
        <w:ind w:firstLine="0"/>
        <w:rPr>
          <w:rFonts w:ascii="Times New Roman" w:hAnsi="Times New Roman" w:cs="Times New Roman"/>
          <w:sz w:val="24"/>
          <w:szCs w:val="24"/>
        </w:rPr>
      </w:pPr>
    </w:p>
    <w:p w14:paraId="20E4363A" w14:textId="78FE5D94" w:rsidR="00571373" w:rsidRPr="00CA542D" w:rsidRDefault="00571373" w:rsidP="00AB3D20">
      <w:pPr>
        <w:ind w:firstLine="0"/>
        <w:rPr>
          <w:rFonts w:ascii="Times New Roman" w:hAnsi="Times New Roman" w:cs="Times New Roman"/>
        </w:rPr>
      </w:pPr>
      <w:r w:rsidRPr="0021657F">
        <w:rPr>
          <w:rFonts w:ascii="Times New Roman" w:hAnsi="Times New Roman" w:cs="Times New Roman"/>
          <w:sz w:val="24"/>
          <w:szCs w:val="24"/>
        </w:rPr>
        <w:t>Strādnieku darba samaksas izmaksas 2021. gadā varētu pieaugt par 7,6% un 2022. gadā vēl vairāk par 10,0%, bet vēlākos gados pieaugums nebūs tik liels</w:t>
      </w:r>
      <w:r w:rsidRPr="00CA542D">
        <w:rPr>
          <w:rFonts w:ascii="Times New Roman" w:hAnsi="Times New Roman" w:cs="Times New Roman"/>
        </w:rPr>
        <w:t xml:space="preserve">. </w:t>
      </w:r>
    </w:p>
    <w:p w14:paraId="3BBFDECC" w14:textId="36811E4B" w:rsidR="0021657F" w:rsidRDefault="00571373" w:rsidP="0088719C">
      <w:pPr>
        <w:rPr>
          <w:rFonts w:ascii="Times New Roman" w:hAnsi="Times New Roman" w:cs="Times New Roman"/>
          <w:sz w:val="24"/>
          <w:szCs w:val="24"/>
        </w:rPr>
      </w:pPr>
      <w:r w:rsidRPr="0021657F">
        <w:rPr>
          <w:rFonts w:ascii="Times New Roman" w:hAnsi="Times New Roman" w:cs="Times New Roman"/>
          <w:b/>
          <w:bCs/>
          <w:noProof/>
          <w:sz w:val="24"/>
          <w:szCs w:val="24"/>
        </w:rPr>
        <w:drawing>
          <wp:anchor distT="0" distB="0" distL="114300" distR="114300" simplePos="0" relativeHeight="251669504" behindDoc="0" locked="0" layoutInCell="1" allowOverlap="1" wp14:anchorId="0FCB1D17" wp14:editId="7E359304">
            <wp:simplePos x="0" y="0"/>
            <wp:positionH relativeFrom="margin">
              <wp:align>left</wp:align>
            </wp:positionH>
            <wp:positionV relativeFrom="paragraph">
              <wp:posOffset>1104900</wp:posOffset>
            </wp:positionV>
            <wp:extent cx="6294120" cy="3837305"/>
            <wp:effectExtent l="0" t="0" r="11430" b="10795"/>
            <wp:wrapTopAndBottom/>
            <wp:docPr id="39" name="Chart 39">
              <a:extLst xmlns:a="http://schemas.openxmlformats.org/drawingml/2006/main">
                <a:ext uri="{FF2B5EF4-FFF2-40B4-BE49-F238E27FC236}">
                  <a16:creationId xmlns:a16="http://schemas.microsoft.com/office/drawing/2014/main" id="{0409DC40-EBF2-49B5-A611-CCB2E3D683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anchor>
        </w:drawing>
      </w:r>
      <w:r w:rsidRPr="0021657F">
        <w:rPr>
          <w:rFonts w:ascii="Times New Roman" w:hAnsi="Times New Roman" w:cs="Times New Roman"/>
          <w:b/>
          <w:bCs/>
          <w:sz w:val="24"/>
          <w:szCs w:val="24"/>
        </w:rPr>
        <w:t>Arī specializēto būvdarbu apakšnozarē</w:t>
      </w:r>
      <w:r w:rsidRPr="0021657F">
        <w:rPr>
          <w:rFonts w:ascii="Times New Roman" w:hAnsi="Times New Roman" w:cs="Times New Roman"/>
          <w:sz w:val="24"/>
          <w:szCs w:val="24"/>
        </w:rPr>
        <w:t xml:space="preserve"> valda līdzīgas tendences citām apakšnozarēm, kur būvmateriālu izmaksas ir kļuvušas par būtiskāko pozīciju 2021. gadā un varētu pieaug par 15,8%, un jau nākamajā gadā tikai par 6,7% un arvien zemāk tālākajos gados. Netipiski citām apakšnozarēm šeit ir prognozēts zem</w:t>
      </w:r>
      <w:r w:rsidR="00BF7F37" w:rsidRPr="0021657F">
        <w:rPr>
          <w:rFonts w:ascii="Times New Roman" w:hAnsi="Times New Roman" w:cs="Times New Roman"/>
          <w:sz w:val="24"/>
          <w:szCs w:val="24"/>
        </w:rPr>
        <w:t>s</w:t>
      </w:r>
      <w:r w:rsidRPr="0021657F">
        <w:rPr>
          <w:rFonts w:ascii="Times New Roman" w:hAnsi="Times New Roman" w:cs="Times New Roman"/>
          <w:sz w:val="24"/>
          <w:szCs w:val="24"/>
        </w:rPr>
        <w:t xml:space="preserve"> strādnieku darba samaksas pieaugums tikai par 5,1% </w:t>
      </w:r>
    </w:p>
    <w:p w14:paraId="5085A98E" w14:textId="07ABC121" w:rsidR="0021657F" w:rsidRPr="00CA542D" w:rsidRDefault="0021657F" w:rsidP="0021657F">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13</w:t>
      </w:r>
      <w:r w:rsidR="00F43189">
        <w:rPr>
          <w:noProof/>
        </w:rPr>
        <w:fldChar w:fldCharType="end"/>
      </w:r>
      <w:r>
        <w:t xml:space="preserve">. </w:t>
      </w:r>
      <w:r w:rsidRPr="00CA542D">
        <w:rPr>
          <w:rFonts w:ascii="Times New Roman" w:hAnsi="Times New Roman" w:cs="Times New Roman"/>
        </w:rPr>
        <w:t>Specializēto būvdarbu izmaksu izmaiņu prognozes pa resursu veidiem 2021.-2025. gadam.</w:t>
      </w:r>
    </w:p>
    <w:p w14:paraId="3A0A6CAB" w14:textId="4AD31026" w:rsidR="00571373" w:rsidRPr="00CA542D" w:rsidRDefault="00571373" w:rsidP="0021657F">
      <w:pPr>
        <w:ind w:firstLine="0"/>
        <w:rPr>
          <w:rFonts w:ascii="Times New Roman" w:hAnsi="Times New Roman" w:cs="Times New Roman"/>
        </w:rPr>
      </w:pPr>
      <w:r w:rsidRPr="0021657F">
        <w:rPr>
          <w:rFonts w:ascii="Times New Roman" w:hAnsi="Times New Roman" w:cs="Times New Roman"/>
          <w:sz w:val="24"/>
          <w:szCs w:val="24"/>
        </w:rPr>
        <w:t>2021. gadā, kas varētu pieaugt nedaudz straujāk 2022. gadā par 8.3%, bet turpmāk atgriezties 2021. gada prognozes līmenī un 2023.-2025. gada periodā pieaugt vidēji par 5,1% gadā</w:t>
      </w:r>
      <w:r w:rsidRPr="00CA542D">
        <w:rPr>
          <w:rFonts w:ascii="Times New Roman" w:hAnsi="Times New Roman" w:cs="Times New Roman"/>
        </w:rPr>
        <w:t xml:space="preserve">. </w:t>
      </w:r>
    </w:p>
    <w:p w14:paraId="3CF7A314" w14:textId="77777777" w:rsidR="00571373" w:rsidRPr="00CA542D" w:rsidRDefault="00571373" w:rsidP="00571373">
      <w:pPr>
        <w:keepNext/>
        <w:spacing w:line="276" w:lineRule="auto"/>
        <w:rPr>
          <w:rFonts w:ascii="Times New Roman" w:hAnsi="Times New Roman" w:cs="Times New Roman"/>
        </w:rPr>
      </w:pPr>
    </w:p>
    <w:p w14:paraId="18E2CC94" w14:textId="77777777" w:rsidR="00571373" w:rsidRDefault="00571373" w:rsidP="0088719C">
      <w:pPr>
        <w:rPr>
          <w:rFonts w:ascii="Times New Roman" w:hAnsi="Times New Roman" w:cs="Times New Roman"/>
        </w:rPr>
      </w:pPr>
      <w:r w:rsidRPr="0021657F">
        <w:rPr>
          <w:rFonts w:ascii="Times New Roman" w:hAnsi="Times New Roman" w:cs="Times New Roman"/>
          <w:sz w:val="24"/>
          <w:szCs w:val="24"/>
        </w:rPr>
        <w:t>Izpētē iezīmējas spilgta tendence, ka 2021. gadā tieši būvmateriālu izmaksas būs galvenā pozīcija, kas veidos izmaksu pieaugumu visās ar būvniecību saistītajās apakšnozarēs. Līdz ar to Pētījumā pirmo reizi tika veikta arī būvmateriālu ražotāju un tirgotāju aptauja, lai novērtētu tendences dažādu būvmateriālu izmaksu izmaiņu raksturā</w:t>
      </w:r>
      <w:r w:rsidRPr="00CA542D">
        <w:rPr>
          <w:rFonts w:ascii="Times New Roman" w:hAnsi="Times New Roman" w:cs="Times New Roman"/>
        </w:rPr>
        <w:t xml:space="preserve">. </w:t>
      </w:r>
    </w:p>
    <w:p w14:paraId="56A6188E" w14:textId="3D08D455" w:rsidR="0021657F" w:rsidRDefault="0021657F" w:rsidP="0021657F">
      <w:pPr>
        <w:ind w:firstLine="0"/>
        <w:rPr>
          <w:rFonts w:ascii="Times New Roman" w:hAnsi="Times New Roman" w:cs="Times New Roman"/>
        </w:rPr>
      </w:pPr>
    </w:p>
    <w:p w14:paraId="16C68511" w14:textId="77777777" w:rsidR="0021657F" w:rsidRPr="00CA542D" w:rsidRDefault="0021657F" w:rsidP="0021657F">
      <w:pPr>
        <w:ind w:firstLine="0"/>
        <w:rPr>
          <w:rFonts w:ascii="Times New Roman" w:hAnsi="Times New Roman" w:cs="Times New Roman"/>
        </w:rPr>
      </w:pPr>
    </w:p>
    <w:p w14:paraId="220D9348" w14:textId="2CD60992" w:rsidR="00274DC6" w:rsidRDefault="00274DC6" w:rsidP="00274DC6"/>
    <w:p w14:paraId="2A3A01B7" w14:textId="77777777" w:rsidR="0021657F" w:rsidRPr="00274DC6" w:rsidRDefault="0021657F" w:rsidP="00274DC6"/>
    <w:p w14:paraId="43814017" w14:textId="77777777" w:rsidR="006A5A5C" w:rsidRDefault="006A5A5C">
      <w:pPr>
        <w:spacing w:after="160" w:line="259" w:lineRule="auto"/>
        <w:ind w:firstLine="0"/>
        <w:jc w:val="left"/>
        <w:rPr>
          <w:rFonts w:asciiTheme="majorHAnsi" w:eastAsiaTheme="majorEastAsia" w:hAnsiTheme="majorHAnsi" w:cstheme="majorBidi"/>
          <w:b/>
          <w:bCs/>
          <w:color w:val="009999"/>
          <w:sz w:val="26"/>
          <w:szCs w:val="26"/>
        </w:rPr>
      </w:pPr>
      <w:r>
        <w:rPr>
          <w:b/>
          <w:bCs/>
          <w:color w:val="009999"/>
        </w:rPr>
        <w:br w:type="page"/>
      </w:r>
    </w:p>
    <w:p w14:paraId="2445FCE7" w14:textId="0DCF780F" w:rsidR="0030151E" w:rsidRPr="000C3D14" w:rsidRDefault="0056681F" w:rsidP="002801D0">
      <w:pPr>
        <w:pStyle w:val="Heading2"/>
        <w:numPr>
          <w:ilvl w:val="1"/>
          <w:numId w:val="40"/>
        </w:numPr>
        <w:spacing w:line="240" w:lineRule="auto"/>
        <w:jc w:val="left"/>
        <w:rPr>
          <w:b/>
          <w:bCs/>
          <w:color w:val="009999"/>
        </w:rPr>
      </w:pPr>
      <w:bookmarkStart w:id="17" w:name="_Toc80109866"/>
      <w:r w:rsidRPr="000C3D14">
        <w:rPr>
          <w:b/>
          <w:bCs/>
          <w:color w:val="009999"/>
        </w:rPr>
        <w:lastRenderedPageBreak/>
        <w:t>Darbaspēka</w:t>
      </w:r>
      <w:r w:rsidR="00647AA5" w:rsidRPr="000C3D14">
        <w:rPr>
          <w:b/>
          <w:bCs/>
          <w:color w:val="009999"/>
        </w:rPr>
        <w:t xml:space="preserve"> un būvmateriālu</w:t>
      </w:r>
      <w:r w:rsidRPr="000C3D14">
        <w:rPr>
          <w:b/>
          <w:bCs/>
          <w:color w:val="009999"/>
        </w:rPr>
        <w:t xml:space="preserve"> izmaksu izmaiņas ietekmējošie faktori</w:t>
      </w:r>
      <w:r w:rsidR="00603649" w:rsidRPr="000C3D14">
        <w:rPr>
          <w:b/>
          <w:bCs/>
          <w:color w:val="009999"/>
        </w:rPr>
        <w:t xml:space="preserve"> būvniecības nozarē kopumā</w:t>
      </w:r>
      <w:bookmarkEnd w:id="17"/>
    </w:p>
    <w:p w14:paraId="4D26A5C4" w14:textId="77777777" w:rsidR="0021657F" w:rsidRPr="000C3D14" w:rsidRDefault="0021657F" w:rsidP="0021657F">
      <w:pPr>
        <w:pStyle w:val="ListParagraph"/>
        <w:spacing w:line="240" w:lineRule="auto"/>
        <w:ind w:left="420" w:firstLine="0"/>
        <w:rPr>
          <w:rFonts w:ascii="Times New Roman" w:hAnsi="Times New Roman" w:cs="Times New Roman"/>
          <w:color w:val="009999"/>
        </w:rPr>
      </w:pPr>
    </w:p>
    <w:p w14:paraId="6D93E55E" w14:textId="77F60245" w:rsidR="00536308" w:rsidRPr="000C3D14" w:rsidRDefault="00536308" w:rsidP="002801D0">
      <w:pPr>
        <w:pStyle w:val="Heading3"/>
        <w:numPr>
          <w:ilvl w:val="2"/>
          <w:numId w:val="40"/>
        </w:numPr>
        <w:jc w:val="left"/>
        <w:rPr>
          <w:b/>
          <w:bCs/>
          <w:color w:val="009999"/>
        </w:rPr>
      </w:pPr>
      <w:bookmarkStart w:id="18" w:name="_Toc79709838"/>
      <w:bookmarkStart w:id="19" w:name="_Toc80109867"/>
      <w:r w:rsidRPr="000C3D14">
        <w:rPr>
          <w:b/>
          <w:bCs/>
          <w:color w:val="009999"/>
        </w:rPr>
        <w:t>Izmaksas ietekmējošie faktori</w:t>
      </w:r>
      <w:r w:rsidR="0021657F" w:rsidRPr="000C3D14">
        <w:rPr>
          <w:b/>
          <w:bCs/>
          <w:color w:val="009999"/>
        </w:rPr>
        <w:t xml:space="preserve"> </w:t>
      </w:r>
      <w:r w:rsidRPr="000C3D14">
        <w:rPr>
          <w:b/>
          <w:bCs/>
          <w:color w:val="009999"/>
        </w:rPr>
        <w:t>.</w:t>
      </w:r>
      <w:bookmarkEnd w:id="18"/>
      <w:bookmarkEnd w:id="19"/>
    </w:p>
    <w:p w14:paraId="0DA4569A" w14:textId="77777777" w:rsidR="00536308" w:rsidRPr="0021657F" w:rsidRDefault="00536308" w:rsidP="0088719C">
      <w:pPr>
        <w:rPr>
          <w:rFonts w:ascii="Times New Roman" w:hAnsi="Times New Roman" w:cs="Times New Roman"/>
          <w:sz w:val="24"/>
          <w:szCs w:val="24"/>
        </w:rPr>
      </w:pPr>
      <w:r w:rsidRPr="0021657F">
        <w:rPr>
          <w:rFonts w:ascii="Times New Roman" w:hAnsi="Times New Roman" w:cs="Times New Roman"/>
          <w:b/>
          <w:bCs/>
          <w:sz w:val="24"/>
          <w:szCs w:val="24"/>
        </w:rPr>
        <w:t xml:space="preserve">Darbaspēka samaksu </w:t>
      </w:r>
      <w:r w:rsidRPr="0021657F">
        <w:rPr>
          <w:rFonts w:ascii="Times New Roman" w:hAnsi="Times New Roman" w:cs="Times New Roman"/>
          <w:sz w:val="24"/>
          <w:szCs w:val="24"/>
        </w:rPr>
        <w:t>būvniecības nozarē visbūtiskāk ietekmē būvniecības apjoms Latvijā, kā arī darbaspēka samaksas līmenis un būvniecības nozares  pieprasījums citās ES valstīs.</w:t>
      </w:r>
    </w:p>
    <w:p w14:paraId="790F3EB5" w14:textId="77777777" w:rsidR="00536308" w:rsidRPr="0021657F" w:rsidRDefault="00536308" w:rsidP="0088719C">
      <w:pPr>
        <w:rPr>
          <w:rFonts w:ascii="Times New Roman" w:hAnsi="Times New Roman" w:cs="Times New Roman"/>
          <w:sz w:val="24"/>
          <w:szCs w:val="24"/>
        </w:rPr>
      </w:pPr>
      <w:r w:rsidRPr="0021657F">
        <w:rPr>
          <w:rFonts w:ascii="Times New Roman" w:hAnsi="Times New Roman" w:cs="Times New Roman"/>
          <w:sz w:val="24"/>
          <w:szCs w:val="24"/>
        </w:rPr>
        <w:t xml:space="preserve">Nozīmīgi ietekmējoši faktori ir arī darbaspēka nodokļu līmenis Latvijā, ES darbaspēka pieprasījums būvniecības nozarē un būvniecības ieceru skaits, kas tiek īstenots par publiskajiem līdzekļiem. </w:t>
      </w:r>
    </w:p>
    <w:p w14:paraId="7AF49294" w14:textId="77777777" w:rsidR="00536308" w:rsidRPr="0021657F" w:rsidRDefault="00536308" w:rsidP="0088719C">
      <w:pPr>
        <w:rPr>
          <w:rFonts w:ascii="Times New Roman" w:hAnsi="Times New Roman" w:cs="Times New Roman"/>
          <w:sz w:val="24"/>
          <w:szCs w:val="24"/>
        </w:rPr>
      </w:pPr>
      <w:r w:rsidRPr="0021657F">
        <w:rPr>
          <w:rFonts w:ascii="Times New Roman" w:hAnsi="Times New Roman" w:cs="Times New Roman"/>
          <w:b/>
          <w:bCs/>
          <w:sz w:val="24"/>
          <w:szCs w:val="24"/>
        </w:rPr>
        <w:t>Arhitektūras un inženiertehnisko pakalpojumu, tehniskās pārbaudes un analīzes apakšnozarēs</w:t>
      </w:r>
      <w:r w:rsidRPr="0021657F">
        <w:rPr>
          <w:rFonts w:ascii="Times New Roman" w:hAnsi="Times New Roman" w:cs="Times New Roman"/>
          <w:sz w:val="24"/>
          <w:szCs w:val="24"/>
        </w:rPr>
        <w:t xml:space="preserve"> darbaspēka izmaksas būtiski ietekmē būvniecības procesu digitalizācijas intensitāte.</w:t>
      </w:r>
    </w:p>
    <w:p w14:paraId="364A247F" w14:textId="77777777" w:rsidR="00536308" w:rsidRPr="0021657F" w:rsidRDefault="00536308" w:rsidP="0088719C">
      <w:pPr>
        <w:rPr>
          <w:rFonts w:ascii="Times New Roman" w:hAnsi="Times New Roman" w:cs="Times New Roman"/>
          <w:sz w:val="24"/>
          <w:szCs w:val="24"/>
        </w:rPr>
      </w:pPr>
      <w:r w:rsidRPr="0021657F">
        <w:rPr>
          <w:rFonts w:ascii="Times New Roman" w:hAnsi="Times New Roman" w:cs="Times New Roman"/>
          <w:b/>
          <w:bCs/>
          <w:sz w:val="24"/>
          <w:szCs w:val="24"/>
        </w:rPr>
        <w:t>Transporta objektu būvniecības nozare</w:t>
      </w:r>
      <w:r w:rsidRPr="0021657F">
        <w:rPr>
          <w:rFonts w:ascii="Times New Roman" w:hAnsi="Times New Roman" w:cs="Times New Roman"/>
          <w:sz w:val="24"/>
          <w:szCs w:val="24"/>
        </w:rPr>
        <w:t xml:space="preserve"> ir jutīgākā pret izglītota darbaspēka daudzumu (pieejamību) un kā otrs būtiskākais darba izmaksas ietekmējošs faktors apakšnozarē ir izglītojamo skaits ar būvniecību saistītās izglītības programmās.</w:t>
      </w:r>
    </w:p>
    <w:p w14:paraId="7EFD3DA6" w14:textId="77777777" w:rsidR="0021657F" w:rsidRDefault="00536308" w:rsidP="0088719C">
      <w:pPr>
        <w:rPr>
          <w:rFonts w:ascii="Times New Roman" w:hAnsi="Times New Roman" w:cs="Times New Roman"/>
          <w:sz w:val="24"/>
          <w:szCs w:val="24"/>
        </w:rPr>
      </w:pPr>
      <w:r w:rsidRPr="0021657F">
        <w:rPr>
          <w:rFonts w:ascii="Times New Roman" w:hAnsi="Times New Roman" w:cs="Times New Roman"/>
          <w:sz w:val="24"/>
          <w:szCs w:val="24"/>
        </w:rPr>
        <w:t xml:space="preserve">Būvmateriālu izmaksas visbūtiskāk ietekmē vidējā gada metāla izstrādājumu cena, būvniecības apjoms Latvijā un vidējā gada kokmateriālu cena. Vidējā degvielas cena Latvijā nozīmīgi ietekmē transporta objektu būvniecības apakšnozari. Savukārt epidemioloģiskie pasākumi nozīmīgu ietekmi uz izmaksām atstāj arhitektūras un inženiertehnisko pakalpojumu, tehniskās pārbaudes un analīzes  un specializēto būvdarbu apakšnozarēm. </w:t>
      </w:r>
    </w:p>
    <w:p w14:paraId="3CCB5112" w14:textId="0DB31646" w:rsidR="00BF7F37" w:rsidRPr="000C3D14" w:rsidRDefault="00BF7F37" w:rsidP="002801D0">
      <w:pPr>
        <w:pStyle w:val="Heading3"/>
        <w:numPr>
          <w:ilvl w:val="2"/>
          <w:numId w:val="40"/>
        </w:numPr>
        <w:rPr>
          <w:b/>
          <w:bCs/>
          <w:color w:val="009999"/>
        </w:rPr>
      </w:pPr>
      <w:bookmarkStart w:id="20" w:name="_Toc79709839"/>
      <w:bookmarkStart w:id="21" w:name="_Toc80109868"/>
      <w:r w:rsidRPr="000C3D14">
        <w:rPr>
          <w:b/>
          <w:bCs/>
          <w:color w:val="009999"/>
        </w:rPr>
        <w:t>Būvmateriālu izmaksu izmaiņas un struktūra</w:t>
      </w:r>
      <w:bookmarkEnd w:id="20"/>
      <w:bookmarkEnd w:id="21"/>
    </w:p>
    <w:p w14:paraId="5EF1E539" w14:textId="77777777" w:rsidR="00BF7F37" w:rsidRPr="00CA542D" w:rsidRDefault="00BF7F37" w:rsidP="00BF7F37">
      <w:pPr>
        <w:spacing w:line="276" w:lineRule="auto"/>
        <w:rPr>
          <w:rFonts w:ascii="Times New Roman" w:hAnsi="Times New Roman" w:cs="Times New Roman"/>
        </w:rPr>
      </w:pPr>
    </w:p>
    <w:p w14:paraId="5B7D9BF3" w14:textId="388D2F0B" w:rsidR="00BF7F37" w:rsidRPr="006A5A5C" w:rsidRDefault="00BF7F37" w:rsidP="0088719C">
      <w:pPr>
        <w:rPr>
          <w:rFonts w:ascii="Times New Roman" w:hAnsi="Times New Roman" w:cs="Times New Roman"/>
          <w:sz w:val="24"/>
          <w:szCs w:val="24"/>
        </w:rPr>
      </w:pPr>
      <w:r w:rsidRPr="006A5A5C">
        <w:rPr>
          <w:rFonts w:ascii="Times New Roman" w:hAnsi="Times New Roman" w:cs="Times New Roman"/>
          <w:sz w:val="24"/>
          <w:szCs w:val="24"/>
        </w:rPr>
        <w:t>Ņemot vērā 2021. gada tendenci un būvmateriālu cenu neprognozēto pieaugumu, pētījuma ietvaros tika pētīts, kādas ir 2021. gada un sagaidāmo tuvāku nākamo gadu tendences dažādu būvmateriālu izmaksu izmaiņas, tika aptaujāti būvmateriālu ražotāji, tirgotāji un to pārstāvji, ar mērķi novērtēt būtiskāko būvniecības materiālu, apdares materiālu un sistēmu izmaksu izmaiņu prognozes. Balstoties uz starptautiskās būvniecības jomas izpētes materiāliem, Pētījuma ietvaros tika izveidota būvmateriālu klasifikācija iedalot tos trīs pamata grupās:</w:t>
      </w:r>
    </w:p>
    <w:p w14:paraId="7CD4AB21" w14:textId="77777777" w:rsidR="00BF7F37" w:rsidRPr="006A5A5C" w:rsidRDefault="00BF7F37" w:rsidP="000C3D14">
      <w:pPr>
        <w:pStyle w:val="ListParagraph"/>
        <w:numPr>
          <w:ilvl w:val="0"/>
          <w:numId w:val="27"/>
        </w:numPr>
        <w:rPr>
          <w:rFonts w:ascii="Times New Roman" w:hAnsi="Times New Roman" w:cs="Times New Roman"/>
          <w:sz w:val="24"/>
          <w:szCs w:val="24"/>
        </w:rPr>
      </w:pPr>
      <w:r w:rsidRPr="006A5A5C">
        <w:rPr>
          <w:rFonts w:ascii="Times New Roman" w:hAnsi="Times New Roman" w:cs="Times New Roman"/>
          <w:sz w:val="24"/>
          <w:szCs w:val="24"/>
        </w:rPr>
        <w:t>Celtniecības pamata materiāli;</w:t>
      </w:r>
    </w:p>
    <w:p w14:paraId="05B5FE16" w14:textId="77777777" w:rsidR="00BF7F37" w:rsidRPr="006A5A5C" w:rsidRDefault="00BF7F37" w:rsidP="000C3D14">
      <w:pPr>
        <w:pStyle w:val="ListParagraph"/>
        <w:numPr>
          <w:ilvl w:val="0"/>
          <w:numId w:val="27"/>
        </w:numPr>
        <w:rPr>
          <w:rFonts w:ascii="Times New Roman" w:hAnsi="Times New Roman" w:cs="Times New Roman"/>
          <w:sz w:val="24"/>
          <w:szCs w:val="24"/>
        </w:rPr>
      </w:pPr>
      <w:r w:rsidRPr="006A5A5C">
        <w:rPr>
          <w:rFonts w:ascii="Times New Roman" w:hAnsi="Times New Roman" w:cs="Times New Roman"/>
          <w:sz w:val="24"/>
          <w:szCs w:val="24"/>
        </w:rPr>
        <w:t>Apdares materiāli;</w:t>
      </w:r>
    </w:p>
    <w:p w14:paraId="31E15774" w14:textId="77777777" w:rsidR="00BF7F37" w:rsidRPr="006A5A5C" w:rsidRDefault="00BF7F37" w:rsidP="000C3D14">
      <w:pPr>
        <w:pStyle w:val="ListParagraph"/>
        <w:numPr>
          <w:ilvl w:val="0"/>
          <w:numId w:val="27"/>
        </w:numPr>
        <w:rPr>
          <w:rFonts w:ascii="Times New Roman" w:hAnsi="Times New Roman" w:cs="Times New Roman"/>
          <w:sz w:val="24"/>
          <w:szCs w:val="24"/>
        </w:rPr>
      </w:pPr>
      <w:r w:rsidRPr="006A5A5C">
        <w:rPr>
          <w:rFonts w:ascii="Times New Roman" w:hAnsi="Times New Roman" w:cs="Times New Roman"/>
          <w:sz w:val="24"/>
          <w:szCs w:val="24"/>
        </w:rPr>
        <w:t>Galvenās sistēmu iekārtas.</w:t>
      </w:r>
    </w:p>
    <w:p w14:paraId="2CE4BF3B" w14:textId="77777777" w:rsidR="00BF7F37" w:rsidRPr="006A5A5C" w:rsidRDefault="00BF7F37" w:rsidP="000C3D14">
      <w:pPr>
        <w:ind w:firstLine="0"/>
        <w:rPr>
          <w:rFonts w:ascii="Times New Roman" w:hAnsi="Times New Roman" w:cs="Times New Roman"/>
          <w:sz w:val="24"/>
          <w:szCs w:val="24"/>
        </w:rPr>
      </w:pPr>
    </w:p>
    <w:p w14:paraId="5E88F5DA" w14:textId="1A9201EE" w:rsidR="00BF7F37" w:rsidRPr="006A5A5C" w:rsidRDefault="008E5569" w:rsidP="0088719C">
      <w:pPr>
        <w:rPr>
          <w:rFonts w:ascii="Times New Roman" w:hAnsi="Times New Roman" w:cs="Times New Roman"/>
          <w:sz w:val="24"/>
          <w:szCs w:val="24"/>
        </w:rPr>
      </w:pPr>
      <w:r w:rsidRPr="006A5A5C">
        <w:rPr>
          <w:rFonts w:ascii="Times New Roman" w:hAnsi="Times New Roman" w:cs="Times New Roman"/>
          <w:b/>
          <w:bCs/>
          <w:sz w:val="24"/>
          <w:szCs w:val="24"/>
        </w:rPr>
        <w:t>Būvniecības</w:t>
      </w:r>
      <w:r w:rsidR="00BF7F37" w:rsidRPr="006A5A5C">
        <w:rPr>
          <w:rFonts w:ascii="Times New Roman" w:hAnsi="Times New Roman" w:cs="Times New Roman"/>
          <w:b/>
          <w:bCs/>
          <w:sz w:val="24"/>
          <w:szCs w:val="24"/>
        </w:rPr>
        <w:t xml:space="preserve"> pamata materiālu grupā</w:t>
      </w:r>
      <w:r w:rsidR="00BF7F37" w:rsidRPr="006A5A5C">
        <w:rPr>
          <w:rFonts w:ascii="Times New Roman" w:hAnsi="Times New Roman" w:cs="Times New Roman"/>
          <w:sz w:val="24"/>
          <w:szCs w:val="24"/>
        </w:rPr>
        <w:t xml:space="preserve"> eksperti paredz visbūtiskāko izmaksu pieaugumu. Galvenais pieaugums prognozēts kokmateriāliem un metālizstrādājumiem. 2021. gadā ekspertu vidējais novērtējums metālizstrādājumu izmaksu pieaugumam ir 24,3%, savukārt kokmateriāliem tiek prognozēts 30,0% pieaugums. Visu pārējo celtniecības pamata materiālu novērtējumi ir viena cipara skaitļa robežās.</w:t>
      </w:r>
    </w:p>
    <w:p w14:paraId="474C879C" w14:textId="63F22207" w:rsidR="00BF7F37" w:rsidRPr="00CA542D" w:rsidRDefault="006A5A5C" w:rsidP="006A5A5C">
      <w:pPr>
        <w:keepNext/>
        <w:spacing w:line="276" w:lineRule="auto"/>
        <w:ind w:firstLine="0"/>
        <w:jc w:val="center"/>
        <w:rPr>
          <w:rFonts w:ascii="Times New Roman" w:hAnsi="Times New Roman" w:cs="Times New Roman"/>
        </w:rPr>
      </w:pPr>
      <w:r w:rsidRPr="006A5A5C">
        <w:rPr>
          <w:rFonts w:ascii="Times New Roman" w:hAnsi="Times New Roman" w:cs="Times New Roman"/>
          <w:b/>
          <w:bCs/>
          <w:noProof/>
          <w:sz w:val="24"/>
          <w:szCs w:val="24"/>
        </w:rPr>
        <w:lastRenderedPageBreak/>
        <w:drawing>
          <wp:inline distT="0" distB="0" distL="0" distR="0" wp14:anchorId="5B10506A" wp14:editId="1BE9E59A">
            <wp:extent cx="5670550" cy="2876550"/>
            <wp:effectExtent l="0" t="0" r="6350" b="0"/>
            <wp:docPr id="18" name="Chart 18">
              <a:extLst xmlns:a="http://schemas.openxmlformats.org/drawingml/2006/main">
                <a:ext uri="{FF2B5EF4-FFF2-40B4-BE49-F238E27FC236}">
                  <a16:creationId xmlns:a16="http://schemas.microsoft.com/office/drawing/2014/main" id="{2D3F6BC4-68C6-41D3-9F95-30F7413075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DFB3639" w14:textId="43D3A1FD" w:rsidR="00BF7F37" w:rsidRPr="00CA542D" w:rsidRDefault="00BF7F37" w:rsidP="00BF7F37">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14</w:t>
      </w:r>
      <w:r w:rsidR="00F43189">
        <w:rPr>
          <w:noProof/>
        </w:rPr>
        <w:fldChar w:fldCharType="end"/>
      </w:r>
      <w:r>
        <w:t xml:space="preserve">. </w:t>
      </w:r>
      <w:r w:rsidRPr="00CA542D">
        <w:rPr>
          <w:rFonts w:ascii="Times New Roman" w:hAnsi="Times New Roman" w:cs="Times New Roman"/>
        </w:rPr>
        <w:t>Celtniecības pamata materiālu izmaksu izmaiņu ekspertvērtējumi.</w:t>
      </w:r>
    </w:p>
    <w:p w14:paraId="095C1EA6" w14:textId="293DCF75" w:rsidR="00BF7F37" w:rsidRDefault="00BF7F37" w:rsidP="0088719C">
      <w:pPr>
        <w:rPr>
          <w:rFonts w:ascii="Times New Roman" w:hAnsi="Times New Roman" w:cs="Times New Roman"/>
          <w:sz w:val="24"/>
          <w:szCs w:val="24"/>
        </w:rPr>
      </w:pPr>
      <w:r w:rsidRPr="00A10882">
        <w:rPr>
          <w:rFonts w:ascii="Times New Roman" w:hAnsi="Times New Roman" w:cs="Times New Roman"/>
          <w:b/>
          <w:bCs/>
          <w:sz w:val="24"/>
          <w:szCs w:val="24"/>
        </w:rPr>
        <w:t>Apdares materiālu kategorijā</w:t>
      </w:r>
      <w:r w:rsidRPr="00A10882">
        <w:rPr>
          <w:rFonts w:ascii="Times New Roman" w:hAnsi="Times New Roman" w:cs="Times New Roman"/>
          <w:sz w:val="24"/>
          <w:szCs w:val="24"/>
        </w:rPr>
        <w:t xml:space="preserve"> ir novērojamas salīdzinoši zemākas izmaksu pieaugumu tendences. Tomēr arī šeit ir jūtamas paralēles ar kokmateriālu izmaksu būtisko pieaugumu 2021. gadā. Šajā gadījumā vienīgā pozīcija, kurai prognozētais izmaksu pieaugums pārsniedz 10% atzīmi, ir iekšējās apdares materiāli ar 11%, kas var būt saistīts ar tajos bieži izmantotiem kokmateriāliem. </w:t>
      </w:r>
    </w:p>
    <w:p w14:paraId="434C8CA7" w14:textId="77777777" w:rsidR="006A5A5C" w:rsidRPr="00A10882" w:rsidRDefault="006A5A5C" w:rsidP="00A10882">
      <w:pPr>
        <w:ind w:firstLine="0"/>
        <w:rPr>
          <w:rFonts w:ascii="Times New Roman" w:hAnsi="Times New Roman" w:cs="Times New Roman"/>
          <w:sz w:val="24"/>
          <w:szCs w:val="24"/>
        </w:rPr>
      </w:pPr>
    </w:p>
    <w:p w14:paraId="2E107609" w14:textId="77777777" w:rsidR="00BF7F37" w:rsidRPr="00CA542D" w:rsidRDefault="00BF7F37" w:rsidP="006A5A5C">
      <w:pPr>
        <w:spacing w:line="276" w:lineRule="auto"/>
        <w:ind w:firstLine="0"/>
        <w:jc w:val="center"/>
        <w:rPr>
          <w:rFonts w:ascii="Times New Roman" w:hAnsi="Times New Roman" w:cs="Times New Roman"/>
        </w:rPr>
      </w:pPr>
      <w:r w:rsidRPr="00CA542D">
        <w:rPr>
          <w:rFonts w:ascii="Times New Roman" w:hAnsi="Times New Roman" w:cs="Times New Roman"/>
          <w:noProof/>
        </w:rPr>
        <w:drawing>
          <wp:inline distT="0" distB="0" distL="0" distR="0" wp14:anchorId="4527D8A5" wp14:editId="7C9CDFAC">
            <wp:extent cx="5727700" cy="2499995"/>
            <wp:effectExtent l="0" t="0" r="6350" b="14605"/>
            <wp:docPr id="61" name="Chart 61">
              <a:extLst xmlns:a="http://schemas.openxmlformats.org/drawingml/2006/main">
                <a:ext uri="{FF2B5EF4-FFF2-40B4-BE49-F238E27FC236}">
                  <a16:creationId xmlns:a16="http://schemas.microsoft.com/office/drawing/2014/main" id="{6354749D-CC25-46CE-AFCF-03E54C714E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524245F" w14:textId="6818553F" w:rsidR="00BF7F37" w:rsidRPr="00CA542D" w:rsidRDefault="00BF7F37" w:rsidP="00BF7F37">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15</w:t>
      </w:r>
      <w:r w:rsidR="00F43189">
        <w:rPr>
          <w:noProof/>
        </w:rPr>
        <w:fldChar w:fldCharType="end"/>
      </w:r>
      <w:r>
        <w:t xml:space="preserve">. </w:t>
      </w:r>
      <w:r w:rsidRPr="00CA542D">
        <w:rPr>
          <w:rFonts w:ascii="Times New Roman" w:hAnsi="Times New Roman" w:cs="Times New Roman"/>
        </w:rPr>
        <w:t>Apdares materiālu izmaksu izmaiņu ekspertvērtējumi.</w:t>
      </w:r>
    </w:p>
    <w:p w14:paraId="3694325E" w14:textId="77777777" w:rsidR="00BF7F37" w:rsidRPr="00A10882" w:rsidRDefault="00BF7F37" w:rsidP="0088719C">
      <w:pPr>
        <w:rPr>
          <w:rFonts w:ascii="Times New Roman" w:hAnsi="Times New Roman" w:cs="Times New Roman"/>
          <w:sz w:val="24"/>
          <w:szCs w:val="24"/>
        </w:rPr>
      </w:pPr>
      <w:r w:rsidRPr="00A10882">
        <w:rPr>
          <w:rFonts w:ascii="Times New Roman" w:hAnsi="Times New Roman" w:cs="Times New Roman"/>
          <w:b/>
          <w:bCs/>
          <w:sz w:val="24"/>
          <w:szCs w:val="24"/>
        </w:rPr>
        <w:t>Galveno būvniecības sistēmu iekārtu</w:t>
      </w:r>
      <w:r w:rsidRPr="00A10882">
        <w:rPr>
          <w:rFonts w:ascii="Times New Roman" w:hAnsi="Times New Roman" w:cs="Times New Roman"/>
          <w:sz w:val="24"/>
          <w:szCs w:val="24"/>
        </w:rPr>
        <w:t xml:space="preserve"> gadījumā eksperti paredz mērenu izmaksu pieaugumu, izņemot elektroenerģijas sistēmas ar 16% izmaksu pieaugumu un liftiem un eskalatoriem ar 7,67% pieaugumu 2021. gadā.</w:t>
      </w:r>
    </w:p>
    <w:p w14:paraId="6E5D2287" w14:textId="77777777" w:rsidR="00BF7F37" w:rsidRPr="00CA542D" w:rsidRDefault="00BF7F37" w:rsidP="006A5A5C">
      <w:pPr>
        <w:spacing w:line="276" w:lineRule="auto"/>
        <w:ind w:firstLine="0"/>
        <w:jc w:val="center"/>
        <w:rPr>
          <w:rFonts w:ascii="Times New Roman" w:hAnsi="Times New Roman" w:cs="Times New Roman"/>
        </w:rPr>
      </w:pPr>
      <w:r w:rsidRPr="00CA542D">
        <w:rPr>
          <w:rFonts w:ascii="Times New Roman" w:hAnsi="Times New Roman" w:cs="Times New Roman"/>
          <w:noProof/>
        </w:rPr>
        <w:lastRenderedPageBreak/>
        <w:drawing>
          <wp:inline distT="0" distB="0" distL="0" distR="0" wp14:anchorId="6AD6C427" wp14:editId="4C300088">
            <wp:extent cx="5765800" cy="2992755"/>
            <wp:effectExtent l="0" t="0" r="6350" b="17145"/>
            <wp:docPr id="194" name="Chart 194">
              <a:extLst xmlns:a="http://schemas.openxmlformats.org/drawingml/2006/main">
                <a:ext uri="{FF2B5EF4-FFF2-40B4-BE49-F238E27FC236}">
                  <a16:creationId xmlns:a16="http://schemas.microsoft.com/office/drawing/2014/main" id="{DBE41F26-C812-4DAE-A66E-CF7F15B20C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60281D8" w14:textId="3B0FB0DA" w:rsidR="00BF7F37" w:rsidRPr="00CA542D" w:rsidRDefault="00BF7F37" w:rsidP="00BF7F37">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16</w:t>
      </w:r>
      <w:r w:rsidR="00F43189">
        <w:rPr>
          <w:noProof/>
        </w:rPr>
        <w:fldChar w:fldCharType="end"/>
      </w:r>
      <w:r>
        <w:t xml:space="preserve">. </w:t>
      </w:r>
      <w:r w:rsidRPr="00CA542D">
        <w:rPr>
          <w:rFonts w:ascii="Times New Roman" w:hAnsi="Times New Roman" w:cs="Times New Roman"/>
        </w:rPr>
        <w:t>Galveno sistēmu iekārtu izmaksu izmaiņu ekspertvērtējumi.</w:t>
      </w:r>
    </w:p>
    <w:p w14:paraId="68F60C12" w14:textId="77777777" w:rsidR="006A5A5C" w:rsidRDefault="006A5A5C" w:rsidP="00A10882">
      <w:pPr>
        <w:ind w:firstLine="0"/>
        <w:rPr>
          <w:rFonts w:ascii="Times New Roman" w:hAnsi="Times New Roman" w:cs="Times New Roman"/>
          <w:sz w:val="24"/>
          <w:szCs w:val="24"/>
        </w:rPr>
      </w:pPr>
    </w:p>
    <w:p w14:paraId="293BE50E" w14:textId="74688653" w:rsidR="00BF7F37" w:rsidRPr="00A10882" w:rsidRDefault="00BF7F37" w:rsidP="0088719C">
      <w:pPr>
        <w:rPr>
          <w:rFonts w:ascii="Times New Roman" w:hAnsi="Times New Roman" w:cs="Times New Roman"/>
          <w:sz w:val="24"/>
          <w:szCs w:val="24"/>
        </w:rPr>
      </w:pPr>
      <w:r w:rsidRPr="00A10882">
        <w:rPr>
          <w:rFonts w:ascii="Times New Roman" w:hAnsi="Times New Roman" w:cs="Times New Roman"/>
          <w:sz w:val="24"/>
          <w:szCs w:val="24"/>
        </w:rPr>
        <w:t xml:space="preserve">Galvenās izmaksu pieauguma pozīcijas ir tieši vai netieši saistītas ar divām pamata izejvielām – metālu un koku, kuru cenu pieaugums saistāms ar 2021. gadā vērojamo tirgus pieprasījuma un piedāvājuma līdzsvara izjukšanu būtiska tirgus piedāvājuma pieauguma dēļ, kuru nespēj uzturēt esošais tirgus piedāvājums. Šāda tendence novērojama ne tikai nacionālā vai reģionālā, bet arī globālā mērogā, kas mazina iespēju ietekmēt cenas Latvijas mērogā, veicot iejaukšanos tirgus darbībā. </w:t>
      </w:r>
    </w:p>
    <w:p w14:paraId="03B9936F" w14:textId="5C442496" w:rsidR="00BF7F37" w:rsidRPr="00A10882" w:rsidRDefault="00BF7F37" w:rsidP="0088719C">
      <w:pPr>
        <w:rPr>
          <w:rFonts w:ascii="Times New Roman" w:hAnsi="Times New Roman" w:cs="Times New Roman"/>
          <w:sz w:val="24"/>
          <w:szCs w:val="24"/>
        </w:rPr>
      </w:pPr>
      <w:r w:rsidRPr="00A10882">
        <w:rPr>
          <w:rFonts w:ascii="Times New Roman" w:hAnsi="Times New Roman" w:cs="Times New Roman"/>
          <w:b/>
          <w:bCs/>
          <w:sz w:val="24"/>
          <w:szCs w:val="24"/>
        </w:rPr>
        <w:t>Metālizstrādājumu kategorijā</w:t>
      </w:r>
      <w:r w:rsidRPr="00A10882">
        <w:rPr>
          <w:rFonts w:ascii="Times New Roman" w:hAnsi="Times New Roman" w:cs="Times New Roman"/>
          <w:sz w:val="24"/>
          <w:szCs w:val="24"/>
        </w:rPr>
        <w:t xml:space="preserve"> tika apkopoti dati par tādiem metālizstrādājumiem kā velmētais tērauds, metāla konstrukcijas, izstrādājumi, stiegras un sieti, karkasi, dažādas tērauda caurules u.c. Laika periodā no 2015. gada šajās dažādajās kategorijās izmaksu izmaiņas novērotas amplitūdā no -12,2% līdz +16,2% izmaiņas pret iepriekšējo gadu, līdz ar to var secināt, ka nav novērota cenu stabilitāte. </w:t>
      </w:r>
    </w:p>
    <w:p w14:paraId="0159CD4A" w14:textId="77777777" w:rsidR="00BF7F37" w:rsidRPr="00CA542D" w:rsidRDefault="00BF7F37" w:rsidP="00BF7F37">
      <w:pPr>
        <w:ind w:firstLine="0"/>
        <w:rPr>
          <w:rFonts w:ascii="Times New Roman" w:hAnsi="Times New Roman" w:cs="Times New Roman"/>
        </w:rPr>
      </w:pPr>
      <w:r w:rsidRPr="00CA542D">
        <w:rPr>
          <w:rFonts w:ascii="Times New Roman" w:hAnsi="Times New Roman" w:cs="Times New Roman"/>
          <w:noProof/>
        </w:rPr>
        <w:lastRenderedPageBreak/>
        <w:drawing>
          <wp:inline distT="0" distB="0" distL="0" distR="0" wp14:anchorId="68913EB1" wp14:editId="2A7018AF">
            <wp:extent cx="6315740" cy="5196840"/>
            <wp:effectExtent l="0" t="0" r="8890" b="3810"/>
            <wp:docPr id="21" name="Chart 21">
              <a:extLst xmlns:a="http://schemas.openxmlformats.org/drawingml/2006/main">
                <a:ext uri="{FF2B5EF4-FFF2-40B4-BE49-F238E27FC236}">
                  <a16:creationId xmlns:a16="http://schemas.microsoft.com/office/drawing/2014/main" id="{7DF3359F-562C-4429-AD2F-01FCEC1277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D2539B1" w14:textId="0D61BD72" w:rsidR="00BF7F37" w:rsidRPr="00CA542D" w:rsidRDefault="00BF7F37" w:rsidP="00BF7F37">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17</w:t>
      </w:r>
      <w:r w:rsidR="00F43189">
        <w:rPr>
          <w:noProof/>
        </w:rPr>
        <w:fldChar w:fldCharType="end"/>
      </w:r>
      <w:r>
        <w:t xml:space="preserve">. </w:t>
      </w:r>
      <w:r w:rsidRPr="00CA542D">
        <w:rPr>
          <w:rFonts w:ascii="Times New Roman" w:hAnsi="Times New Roman" w:cs="Times New Roman"/>
        </w:rPr>
        <w:t>Atsevišķu metālizstrādājumu izmaksu izmaiņas un būvmateriālu tirdzniecības ekspertu novērtējumi par vidēju metālizstrādājumu izmaksu dinamiku.</w:t>
      </w:r>
    </w:p>
    <w:p w14:paraId="330CAD65" w14:textId="77777777" w:rsidR="00DB4557" w:rsidRDefault="00DB4557" w:rsidP="00A10882">
      <w:pPr>
        <w:ind w:firstLine="0"/>
        <w:rPr>
          <w:rFonts w:ascii="Times New Roman" w:hAnsi="Times New Roman" w:cs="Times New Roman"/>
          <w:b/>
          <w:bCs/>
          <w:sz w:val="24"/>
          <w:szCs w:val="24"/>
        </w:rPr>
      </w:pPr>
    </w:p>
    <w:p w14:paraId="482322C7" w14:textId="1B8F400D" w:rsidR="00BF7F37" w:rsidRPr="00A10882" w:rsidRDefault="00BF7F37" w:rsidP="0088719C">
      <w:pPr>
        <w:rPr>
          <w:rFonts w:ascii="Times New Roman" w:hAnsi="Times New Roman" w:cs="Times New Roman"/>
          <w:sz w:val="24"/>
          <w:szCs w:val="24"/>
        </w:rPr>
      </w:pPr>
      <w:r w:rsidRPr="00A10882">
        <w:rPr>
          <w:rFonts w:ascii="Times New Roman" w:hAnsi="Times New Roman" w:cs="Times New Roman"/>
          <w:b/>
          <w:bCs/>
          <w:sz w:val="24"/>
          <w:szCs w:val="24"/>
        </w:rPr>
        <w:t>Kokmateriālu kategorijā</w:t>
      </w:r>
      <w:r w:rsidRPr="00A10882">
        <w:rPr>
          <w:rFonts w:ascii="Times New Roman" w:hAnsi="Times New Roman" w:cs="Times New Roman"/>
          <w:sz w:val="24"/>
          <w:szCs w:val="24"/>
        </w:rPr>
        <w:t xml:space="preserve"> tika aplūkoti pieejamie dati par tādām pozīcijām kā baļķi, brusas, neēvelēti dēļi, parkets, saplāksnis, kokšķiedru un kokskaidu plātnes. Atšķirībā no metālizstrādājumiem, šajā kategorijā laika posmā no 2015. līdz 2020. gadam netika novērotas tik lielas izmaksu svārstības. Aplūkoto pozīciju izmaksu izmaiņas novērojamas amplitūdā no -11,4% pret iepriekšējo gadu līdz +6,9% pieaugumam. Līdz ar to izmaksu pieaugums 2021. gadā par 30%, kas balstīts uz būvmateriālu tirdzniecības ekspertu novērtējumiem, ir būtisks lēciens līdzšinējās dinamikas kontekstā. Tajā pašā laikā jau no 2022. gada tiek novērtēts, ka izmaksu pieaugums varētu atgriezties pie līdzšinējā pieauguma tempa.</w:t>
      </w:r>
    </w:p>
    <w:p w14:paraId="06FA0BD5" w14:textId="77777777" w:rsidR="00BF7F37" w:rsidRPr="00CA542D" w:rsidRDefault="00BF7F37" w:rsidP="00BF7F37">
      <w:pPr>
        <w:spacing w:line="276" w:lineRule="auto"/>
        <w:ind w:firstLine="0"/>
        <w:rPr>
          <w:rFonts w:ascii="Times New Roman" w:hAnsi="Times New Roman" w:cs="Times New Roman"/>
        </w:rPr>
      </w:pPr>
      <w:r w:rsidRPr="00CA542D">
        <w:rPr>
          <w:rFonts w:ascii="Times New Roman" w:hAnsi="Times New Roman" w:cs="Times New Roman"/>
          <w:noProof/>
        </w:rPr>
        <w:lastRenderedPageBreak/>
        <w:drawing>
          <wp:inline distT="0" distB="0" distL="0" distR="0" wp14:anchorId="68419B4F" wp14:editId="027C8579">
            <wp:extent cx="6305107" cy="4533900"/>
            <wp:effectExtent l="0" t="0" r="635" b="0"/>
            <wp:docPr id="23" name="Chart 23">
              <a:extLst xmlns:a="http://schemas.openxmlformats.org/drawingml/2006/main">
                <a:ext uri="{FF2B5EF4-FFF2-40B4-BE49-F238E27FC236}">
                  <a16:creationId xmlns:a16="http://schemas.microsoft.com/office/drawing/2014/main" id="{E42356CC-624C-4AC0-9253-B4A314D6BC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1A48E32" w14:textId="68DD5F8F" w:rsidR="00BF7F37" w:rsidRPr="00CA542D" w:rsidRDefault="00BF7F37" w:rsidP="00BF7F37">
      <w:pPr>
        <w:pStyle w:val="Caption"/>
        <w:jc w:val="center"/>
        <w:rPr>
          <w:rFonts w:ascii="Times New Roman" w:hAnsi="Times New Roman" w:cs="Times New Roman"/>
        </w:rPr>
      </w:pPr>
      <w:r>
        <w:t xml:space="preserve">Attēls </w:t>
      </w:r>
      <w:r w:rsidR="00F43189">
        <w:fldChar w:fldCharType="begin"/>
      </w:r>
      <w:r w:rsidR="00F43189">
        <w:instrText xml:space="preserve"> SEQ Attēls \* ARAB</w:instrText>
      </w:r>
      <w:r w:rsidR="00F43189">
        <w:instrText xml:space="preserve">IC </w:instrText>
      </w:r>
      <w:r w:rsidR="00F43189">
        <w:fldChar w:fldCharType="separate"/>
      </w:r>
      <w:r w:rsidR="00D65651">
        <w:rPr>
          <w:noProof/>
        </w:rPr>
        <w:t>18</w:t>
      </w:r>
      <w:r w:rsidR="00F43189">
        <w:rPr>
          <w:noProof/>
        </w:rPr>
        <w:fldChar w:fldCharType="end"/>
      </w:r>
      <w:r>
        <w:t xml:space="preserve">. </w:t>
      </w:r>
      <w:r w:rsidRPr="00CA542D">
        <w:rPr>
          <w:rFonts w:ascii="Times New Roman" w:hAnsi="Times New Roman" w:cs="Times New Roman"/>
        </w:rPr>
        <w:t>Kokmateriālu cenu izmaiņas no 2015.</w:t>
      </w:r>
      <w:r>
        <w:rPr>
          <w:rFonts w:ascii="Times New Roman" w:hAnsi="Times New Roman" w:cs="Times New Roman"/>
        </w:rPr>
        <w:t xml:space="preserve"> </w:t>
      </w:r>
      <w:r w:rsidRPr="00CA542D">
        <w:rPr>
          <w:rFonts w:ascii="Times New Roman" w:hAnsi="Times New Roman" w:cs="Times New Roman"/>
        </w:rPr>
        <w:t>gada un vidējās tendences novērtējums 2020.-2025. gadam</w:t>
      </w:r>
      <w:r>
        <w:rPr>
          <w:rFonts w:ascii="Times New Roman" w:hAnsi="Times New Roman" w:cs="Times New Roman"/>
        </w:rPr>
        <w:t>.</w:t>
      </w:r>
    </w:p>
    <w:p w14:paraId="775EBE25" w14:textId="77777777" w:rsidR="00182520" w:rsidRDefault="00182520" w:rsidP="00182520">
      <w:pPr>
        <w:ind w:firstLine="0"/>
        <w:rPr>
          <w:rFonts w:ascii="Times New Roman" w:hAnsi="Times New Roman" w:cs="Times New Roman"/>
          <w:sz w:val="24"/>
          <w:szCs w:val="24"/>
        </w:rPr>
      </w:pPr>
    </w:p>
    <w:p w14:paraId="60EFE742" w14:textId="7610A389" w:rsidR="00BF7F37" w:rsidRPr="00A10882" w:rsidRDefault="00BF7F37" w:rsidP="0088719C">
      <w:pPr>
        <w:rPr>
          <w:rFonts w:ascii="Times New Roman" w:hAnsi="Times New Roman" w:cs="Times New Roman"/>
          <w:sz w:val="24"/>
          <w:szCs w:val="24"/>
        </w:rPr>
      </w:pPr>
      <w:r w:rsidRPr="00A10882">
        <w:rPr>
          <w:rFonts w:ascii="Times New Roman" w:hAnsi="Times New Roman" w:cs="Times New Roman"/>
          <w:sz w:val="24"/>
          <w:szCs w:val="24"/>
        </w:rPr>
        <w:t>Viens no galvenajiem jautājumiem, kas ir aktuāls tieši 2021. gada kontekstā, ir neskaidrība par kokmateriālu un metālizstrādājumu cenas korekciju. Pēc būtības šo divu kategoriju cenu lēcienu izraisīja pieprasījuma un piedāvājuma līdzsvara izjaukšana,</w:t>
      </w:r>
      <w:r w:rsidR="00973D87" w:rsidRPr="00A10882">
        <w:rPr>
          <w:rFonts w:ascii="Times New Roman" w:hAnsi="Times New Roman" w:cs="Times New Roman"/>
          <w:sz w:val="24"/>
          <w:szCs w:val="24"/>
        </w:rPr>
        <w:t xml:space="preserve"> kas </w:t>
      </w:r>
      <w:r w:rsidRPr="00A10882">
        <w:rPr>
          <w:rFonts w:ascii="Times New Roman" w:hAnsi="Times New Roman" w:cs="Times New Roman"/>
          <w:sz w:val="24"/>
          <w:szCs w:val="24"/>
        </w:rPr>
        <w:t xml:space="preserve">tiek skaidroti ar tendencēm dažādos pasaules tirgos, t.sk. pieprasījuma pieaugums atgūstoties tautsaimniecībām pasaules </w:t>
      </w:r>
      <w:r w:rsidR="00973D87" w:rsidRPr="00A10882">
        <w:rPr>
          <w:rFonts w:ascii="Times New Roman" w:hAnsi="Times New Roman" w:cs="Times New Roman"/>
          <w:sz w:val="24"/>
          <w:szCs w:val="24"/>
        </w:rPr>
        <w:t xml:space="preserve">lielajos </w:t>
      </w:r>
      <w:r w:rsidRPr="00A10882">
        <w:rPr>
          <w:rFonts w:ascii="Times New Roman" w:hAnsi="Times New Roman" w:cs="Times New Roman"/>
          <w:sz w:val="24"/>
          <w:szCs w:val="24"/>
        </w:rPr>
        <w:t xml:space="preserve">tirgos (ASV, Ķīna), pieaugošie būvniecības tempi, pateicoties valsts atbalsta programmām, intensīvāka kokmateriālu izmantošana būvniecībā, u.c. No piedāvājuma puses galvenie stagnācijas cēloņi tiek saistīti ar nespēju atjaunot ražošanas jaudas līdz pirms-pandēmijas līmeņiem tehnoloģisku iemeslu dēļ, loģistikas ceļu kavēšanās, epidemioloģisko pasākumu ietekme uz darbaspēka pieejamību, u.c. </w:t>
      </w:r>
    </w:p>
    <w:p w14:paraId="4E412F7A" w14:textId="77777777" w:rsidR="00B03F0F" w:rsidRPr="00B03F0F" w:rsidRDefault="00B03F0F" w:rsidP="0088719C">
      <w:pPr>
        <w:rPr>
          <w:rFonts w:ascii="Times New Roman" w:hAnsi="Times New Roman" w:cs="Times New Roman"/>
          <w:sz w:val="24"/>
          <w:szCs w:val="24"/>
        </w:rPr>
      </w:pPr>
      <w:r w:rsidRPr="00B03F0F">
        <w:rPr>
          <w:rFonts w:ascii="Times New Roman" w:hAnsi="Times New Roman" w:cs="Times New Roman"/>
          <w:sz w:val="24"/>
          <w:szCs w:val="24"/>
        </w:rPr>
        <w:t xml:space="preserve">Balstoties uz ekspertu viedokļiem, būvmateriālu cenas pēc virsotnes sasniegšanas varētu pārstāt strauji pieaugt, bet tomēr varētu saglabāties mērens pieaugums. Ekspertu prognožu vērtējumā nav identificēta tendence būvmateriālu cenu kritumam. Darba autoru analīze norāda, ka kokmateriālu un metālizstrādājumu pozīcijās, kurās ir lielāka konkurence, varētu būt sagaidāma cenu korekcija atpakaļ līdz 2019. gada cenu līmenim plus vidējais cenu pieaugums par diviem-trim gadiem. Šāda prognoze balstīta pieņēmumā, ka pieaugot piedāvājumam un samazinoties pieprasījumam pēc </w:t>
      </w:r>
      <w:r w:rsidRPr="00B03F0F">
        <w:rPr>
          <w:rFonts w:ascii="Times New Roman" w:hAnsi="Times New Roman" w:cs="Times New Roman"/>
          <w:sz w:val="24"/>
          <w:szCs w:val="24"/>
        </w:rPr>
        <w:lastRenderedPageBreak/>
        <w:t xml:space="preserve">ekonomikas teorijas cenām būtu jāsamazinās. Ja šāda tendence netiek novērota, tas var liecināt par negodīgu praksi un cenu fiksēšanu. </w:t>
      </w:r>
    </w:p>
    <w:p w14:paraId="345E04F2" w14:textId="77777777" w:rsidR="00B03F0F" w:rsidRPr="00B03F0F" w:rsidRDefault="00B03F0F" w:rsidP="0088719C">
      <w:pPr>
        <w:rPr>
          <w:rFonts w:ascii="Times New Roman" w:hAnsi="Times New Roman" w:cs="Times New Roman"/>
          <w:sz w:val="24"/>
          <w:szCs w:val="24"/>
        </w:rPr>
      </w:pPr>
      <w:r w:rsidRPr="00B03F0F">
        <w:rPr>
          <w:rFonts w:ascii="Times New Roman" w:hAnsi="Times New Roman" w:cs="Times New Roman"/>
          <w:sz w:val="24"/>
          <w:szCs w:val="24"/>
        </w:rPr>
        <w:t xml:space="preserve">Atsevišķos tirgos pētījuma noslēguma fāzē jau tika novērota cenu atgriešanās pie līmeņa pirms straujā lēciena. Tā, piemēram, ASV kokmateriālu biržās kokmateriālu cenas indekss no 500 vienībām 2020.gada novembrī pieauga vairākkārt līdz līmenim virs 1600 vienībām 2021.gada maijā. Tomēr jau jūlijā cenu līmenis atgriezās iepriekšējā līmeni ap 500. Šāda situācija tika skaidrota ar tirgus pieprasījuma samazinājumu cenu lēciena ietekmē, kad būvniecības uzņēmumi atsakās iegādāties būvmateriālus par tik būtiski pieaugušām cenām. Tas izraisa tirgus korekciju un samazināts pieprasījums pie esošā piedāvājuma noved pie zemākām cenām, t.sk. cenām iepriekšējā līmenī. </w:t>
      </w:r>
    </w:p>
    <w:p w14:paraId="58A0B366" w14:textId="280F37FB" w:rsidR="008845B8" w:rsidRPr="0088719C" w:rsidRDefault="008845B8" w:rsidP="00DA10BB">
      <w:pPr>
        <w:ind w:firstLine="0"/>
        <w:rPr>
          <w:b/>
          <w:bCs/>
        </w:rPr>
      </w:pPr>
    </w:p>
    <w:p w14:paraId="5A25F708" w14:textId="079DAE5A" w:rsidR="00F0727D" w:rsidRPr="00A10882" w:rsidRDefault="00F0727D" w:rsidP="0088719C">
      <w:pPr>
        <w:pStyle w:val="Heading2"/>
        <w:numPr>
          <w:ilvl w:val="1"/>
          <w:numId w:val="40"/>
        </w:numPr>
        <w:spacing w:line="240" w:lineRule="auto"/>
        <w:rPr>
          <w:b/>
          <w:bCs/>
          <w:color w:val="009999"/>
        </w:rPr>
      </w:pPr>
      <w:bookmarkStart w:id="22" w:name="_Toc80109869"/>
      <w:r w:rsidRPr="00A10882">
        <w:rPr>
          <w:b/>
          <w:bCs/>
          <w:color w:val="009999"/>
        </w:rPr>
        <w:t xml:space="preserve">Valdības </w:t>
      </w:r>
      <w:r w:rsidR="00D7196F" w:rsidRPr="00A10882">
        <w:rPr>
          <w:b/>
          <w:bCs/>
          <w:color w:val="009999"/>
        </w:rPr>
        <w:t xml:space="preserve">ieviesto ēnu ekonomikas </w:t>
      </w:r>
      <w:r w:rsidRPr="00A10882">
        <w:rPr>
          <w:b/>
          <w:bCs/>
          <w:color w:val="009999"/>
        </w:rPr>
        <w:t xml:space="preserve">pasākumu </w:t>
      </w:r>
      <w:r w:rsidR="00D7196F" w:rsidRPr="00A10882">
        <w:rPr>
          <w:b/>
          <w:bCs/>
          <w:color w:val="009999"/>
        </w:rPr>
        <w:t>un koron</w:t>
      </w:r>
      <w:r w:rsidR="0088719C">
        <w:rPr>
          <w:b/>
          <w:bCs/>
          <w:color w:val="009999"/>
        </w:rPr>
        <w:t>a</w:t>
      </w:r>
      <w:r w:rsidR="00D7196F" w:rsidRPr="00A10882">
        <w:rPr>
          <w:b/>
          <w:bCs/>
          <w:color w:val="009999"/>
        </w:rPr>
        <w:t>vīrusa COVID</w:t>
      </w:r>
      <w:r w:rsidR="00CD0762" w:rsidRPr="00A10882">
        <w:rPr>
          <w:b/>
          <w:bCs/>
          <w:color w:val="009999"/>
        </w:rPr>
        <w:t xml:space="preserve"> </w:t>
      </w:r>
      <w:r w:rsidR="00D7196F" w:rsidRPr="00A10882">
        <w:rPr>
          <w:b/>
          <w:bCs/>
          <w:color w:val="009999"/>
        </w:rPr>
        <w:t>-</w:t>
      </w:r>
      <w:r w:rsidR="00CD0762" w:rsidRPr="00A10882">
        <w:rPr>
          <w:b/>
          <w:bCs/>
          <w:color w:val="009999"/>
        </w:rPr>
        <w:t xml:space="preserve"> 1</w:t>
      </w:r>
      <w:r w:rsidR="00D7196F" w:rsidRPr="00A10882">
        <w:rPr>
          <w:b/>
          <w:bCs/>
          <w:color w:val="009999"/>
        </w:rPr>
        <w:t xml:space="preserve">9 izraisīto seku </w:t>
      </w:r>
      <w:r w:rsidRPr="00A10882">
        <w:rPr>
          <w:b/>
          <w:bCs/>
          <w:color w:val="009999"/>
        </w:rPr>
        <w:t>ietekme</w:t>
      </w:r>
      <w:bookmarkEnd w:id="22"/>
    </w:p>
    <w:p w14:paraId="4414611E" w14:textId="77777777" w:rsidR="00956929" w:rsidRPr="00A10882" w:rsidRDefault="00956929" w:rsidP="00956929">
      <w:pPr>
        <w:ind w:firstLine="0"/>
        <w:rPr>
          <w:rFonts w:ascii="Times New Roman" w:hAnsi="Times New Roman" w:cs="Times New Roman"/>
          <w:b/>
          <w:bCs/>
          <w:color w:val="009999"/>
        </w:rPr>
      </w:pPr>
    </w:p>
    <w:p w14:paraId="5CDE9A28" w14:textId="4F404266" w:rsidR="00956929" w:rsidRPr="00A10882" w:rsidRDefault="00956929" w:rsidP="002801D0">
      <w:pPr>
        <w:pStyle w:val="Heading3"/>
        <w:numPr>
          <w:ilvl w:val="2"/>
          <w:numId w:val="40"/>
        </w:numPr>
        <w:rPr>
          <w:b/>
          <w:bCs/>
          <w:color w:val="009999"/>
        </w:rPr>
      </w:pPr>
      <w:bookmarkStart w:id="23" w:name="_Toc77539823"/>
      <w:bookmarkStart w:id="24" w:name="_Toc79709841"/>
      <w:bookmarkStart w:id="25" w:name="_Toc80109870"/>
      <w:r w:rsidRPr="00A10882">
        <w:rPr>
          <w:b/>
          <w:bCs/>
          <w:color w:val="009999"/>
        </w:rPr>
        <w:t>Ēnu ekonomikas apkarošanas pasākumu ietekme uz būvniecības nozari</w:t>
      </w:r>
      <w:bookmarkEnd w:id="23"/>
      <w:bookmarkEnd w:id="24"/>
      <w:bookmarkEnd w:id="25"/>
    </w:p>
    <w:p w14:paraId="68620ED1" w14:textId="08B0BFA4" w:rsidR="00956929" w:rsidRPr="004B7089" w:rsidRDefault="00956929" w:rsidP="0088719C">
      <w:pPr>
        <w:rPr>
          <w:rFonts w:ascii="Times New Roman" w:hAnsi="Times New Roman" w:cs="Times New Roman"/>
          <w:sz w:val="24"/>
          <w:szCs w:val="24"/>
        </w:rPr>
      </w:pPr>
      <w:r w:rsidRPr="004B7089">
        <w:rPr>
          <w:rFonts w:ascii="Times New Roman" w:hAnsi="Times New Roman" w:cs="Times New Roman"/>
          <w:sz w:val="24"/>
          <w:szCs w:val="24"/>
        </w:rPr>
        <w:t>Pētījuma ekspertiem tika lūgts novērtēt publiskās pārvaldes  iestāžu plānoto un ieviesto ēnu ekonomikas apkarošanas pasākumu ietekmi uz būvniecības nozares darbaspēka un būvmateriālu izmaksām. Ēnu ekonomikas apkarošanas pasākumu ietekme uz būvniecība izmaksām tika vērtēta ballu skalā no -10 līdz +10 ballēm, kur lielāka balle nozīmē, ka ēnu ekonomikas apkarošanas faktors būtiskāk palielinās vai samazinās darbaspēka vai būvmateriālu izmaksas būvniecībā.</w:t>
      </w:r>
    </w:p>
    <w:p w14:paraId="557D3BC5" w14:textId="17CFD10D" w:rsidR="00956929" w:rsidRPr="004B7089" w:rsidRDefault="00956929" w:rsidP="0088719C">
      <w:pPr>
        <w:rPr>
          <w:rFonts w:ascii="Times New Roman" w:hAnsi="Times New Roman" w:cs="Times New Roman"/>
          <w:sz w:val="24"/>
          <w:szCs w:val="24"/>
        </w:rPr>
      </w:pPr>
      <w:r w:rsidRPr="004B7089">
        <w:rPr>
          <w:rFonts w:ascii="Times New Roman" w:hAnsi="Times New Roman" w:cs="Times New Roman"/>
          <w:sz w:val="24"/>
          <w:szCs w:val="24"/>
        </w:rPr>
        <w:t xml:space="preserve">Aplūkojot iegūtos ekspertvērtējumus var secināt, ka kopumā būvniecības nozari pārstāvošie eksperti saskata lielāku ēnu ekonomikas apkarošanas pasākumu ietekmi uz darbaspēka izmaksām nekā uz būvmateriālu izmaksām. </w:t>
      </w:r>
    </w:p>
    <w:p w14:paraId="406ACC75" w14:textId="77777777" w:rsidR="00956929" w:rsidRPr="00CA542D" w:rsidRDefault="00956929" w:rsidP="00182520">
      <w:pPr>
        <w:spacing w:line="276" w:lineRule="auto"/>
        <w:ind w:firstLine="0"/>
        <w:jc w:val="center"/>
        <w:rPr>
          <w:rFonts w:ascii="Times New Roman" w:hAnsi="Times New Roman" w:cs="Times New Roman"/>
        </w:rPr>
      </w:pPr>
      <w:r w:rsidRPr="00CA542D">
        <w:rPr>
          <w:rFonts w:ascii="Times New Roman" w:hAnsi="Times New Roman" w:cs="Times New Roman"/>
          <w:noProof/>
        </w:rPr>
        <w:drawing>
          <wp:inline distT="0" distB="0" distL="0" distR="0" wp14:anchorId="7ADD6047" wp14:editId="2F57943C">
            <wp:extent cx="5503545" cy="2519680"/>
            <wp:effectExtent l="0" t="0" r="1905" b="13970"/>
            <wp:docPr id="32" name="Chart 32">
              <a:extLst xmlns:a="http://schemas.openxmlformats.org/drawingml/2006/main">
                <a:ext uri="{FF2B5EF4-FFF2-40B4-BE49-F238E27FC236}">
                  <a16:creationId xmlns:a16="http://schemas.microsoft.com/office/drawing/2014/main" id="{BBCFD766-96D1-4D51-B6A4-41860EA238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884A360" w14:textId="3CD24743" w:rsidR="00956929" w:rsidRPr="00CA542D" w:rsidRDefault="00956929" w:rsidP="00956929">
      <w:pPr>
        <w:pStyle w:val="Caption"/>
        <w:jc w:val="center"/>
        <w:rPr>
          <w:rFonts w:ascii="Times New Roman" w:hAnsi="Times New Roman" w:cs="Times New Roman"/>
        </w:rPr>
      </w:pPr>
      <w:r>
        <w:t xml:space="preserve">Attēls </w:t>
      </w:r>
      <w:r w:rsidR="00F43189">
        <w:fldChar w:fldCharType="begin"/>
      </w:r>
      <w:r w:rsidR="00F43189">
        <w:instrText xml:space="preserve"> SEQ Attēls \* ARABIC </w:instrText>
      </w:r>
      <w:r w:rsidR="00F43189">
        <w:fldChar w:fldCharType="separate"/>
      </w:r>
      <w:r w:rsidR="00D65651">
        <w:rPr>
          <w:noProof/>
        </w:rPr>
        <w:t>19</w:t>
      </w:r>
      <w:r w:rsidR="00F43189">
        <w:rPr>
          <w:noProof/>
        </w:rPr>
        <w:fldChar w:fldCharType="end"/>
      </w:r>
      <w:r>
        <w:t xml:space="preserve">. </w:t>
      </w:r>
      <w:r w:rsidRPr="00CA542D">
        <w:rPr>
          <w:rFonts w:ascii="Times New Roman" w:hAnsi="Times New Roman" w:cs="Times New Roman"/>
        </w:rPr>
        <w:t>Ēnu ekonomikas apkarošanas pasākumu ietekmes uz darbaspēka un būvmateriālu izmaksām ekspertvērtējums.</w:t>
      </w:r>
    </w:p>
    <w:p w14:paraId="6C6AD766" w14:textId="77777777" w:rsidR="00182520" w:rsidRDefault="00182520" w:rsidP="004B7089">
      <w:pPr>
        <w:rPr>
          <w:rFonts w:ascii="Times New Roman" w:hAnsi="Times New Roman" w:cs="Times New Roman"/>
          <w:sz w:val="24"/>
          <w:szCs w:val="24"/>
        </w:rPr>
      </w:pPr>
    </w:p>
    <w:p w14:paraId="0DC60CB3" w14:textId="77777777" w:rsidR="00182520" w:rsidRDefault="00182520" w:rsidP="004B7089">
      <w:pPr>
        <w:rPr>
          <w:rFonts w:ascii="Times New Roman" w:hAnsi="Times New Roman" w:cs="Times New Roman"/>
          <w:sz w:val="24"/>
          <w:szCs w:val="24"/>
        </w:rPr>
      </w:pPr>
    </w:p>
    <w:p w14:paraId="337C5E5C" w14:textId="59D64FF3" w:rsidR="00956929" w:rsidRPr="004B7089" w:rsidRDefault="00956929" w:rsidP="0088719C">
      <w:pPr>
        <w:rPr>
          <w:rFonts w:ascii="Times New Roman" w:hAnsi="Times New Roman" w:cs="Times New Roman"/>
          <w:sz w:val="24"/>
          <w:szCs w:val="24"/>
        </w:rPr>
      </w:pPr>
      <w:r w:rsidRPr="004B7089">
        <w:rPr>
          <w:rFonts w:ascii="Times New Roman" w:hAnsi="Times New Roman" w:cs="Times New Roman"/>
          <w:sz w:val="24"/>
          <w:szCs w:val="24"/>
        </w:rPr>
        <w:lastRenderedPageBreak/>
        <w:t>Būtiskākā ietekme uz darbaspēka izmaksām ir būvniecības nozares ģenerālvienošanās par minimālo darba samaksu nozarē stāšanās spēkā un elektroniskā darba laika uzskaites sistēmas ieviešanai. Savukārt būvmateriālu izmaksu ietekmes gadījumā visi vērtējumi ir zemi un atstāj niecīgu ietekmi uz būvmateriālu izmaksām.</w:t>
      </w:r>
    </w:p>
    <w:p w14:paraId="453CCA03" w14:textId="77777777" w:rsidR="00956929" w:rsidRPr="00CA542D" w:rsidRDefault="00956929" w:rsidP="004B7089">
      <w:pPr>
        <w:rPr>
          <w:rFonts w:ascii="Times New Roman" w:hAnsi="Times New Roman" w:cs="Times New Roman"/>
        </w:rPr>
      </w:pPr>
    </w:p>
    <w:p w14:paraId="481E9FB8" w14:textId="1AB2CD62" w:rsidR="00956929" w:rsidRPr="00A10882" w:rsidRDefault="00956929" w:rsidP="002801D0">
      <w:pPr>
        <w:pStyle w:val="Heading3"/>
        <w:numPr>
          <w:ilvl w:val="2"/>
          <w:numId w:val="40"/>
        </w:numPr>
        <w:rPr>
          <w:b/>
          <w:bCs/>
          <w:color w:val="009999"/>
        </w:rPr>
      </w:pPr>
      <w:bookmarkStart w:id="26" w:name="_Toc77539824"/>
      <w:bookmarkStart w:id="27" w:name="_Toc79709842"/>
      <w:bookmarkStart w:id="28" w:name="_Toc80109871"/>
      <w:r w:rsidRPr="00A10882">
        <w:rPr>
          <w:b/>
          <w:bCs/>
          <w:color w:val="009999"/>
        </w:rPr>
        <w:t>Covid-19 ietekme uz būvniecības nozari</w:t>
      </w:r>
      <w:bookmarkEnd w:id="26"/>
      <w:bookmarkEnd w:id="27"/>
      <w:bookmarkEnd w:id="28"/>
    </w:p>
    <w:p w14:paraId="4DB2F435" w14:textId="77777777" w:rsidR="00C02C1D" w:rsidRDefault="00956929" w:rsidP="00961950">
      <w:pPr>
        <w:rPr>
          <w:rFonts w:ascii="Times New Roman" w:hAnsi="Times New Roman" w:cs="Times New Roman"/>
          <w:sz w:val="24"/>
          <w:szCs w:val="24"/>
        </w:rPr>
      </w:pPr>
      <w:r w:rsidRPr="004B7089">
        <w:rPr>
          <w:rFonts w:ascii="Times New Roman" w:hAnsi="Times New Roman" w:cs="Times New Roman"/>
          <w:sz w:val="24"/>
          <w:szCs w:val="24"/>
        </w:rPr>
        <w:t>Pētījuma laikā jau otro gadu turpinājās Covid-19 pandēmija un daļēji arī turpinājās epidemioloģiskie pasākumi tās apkarošanai</w:t>
      </w:r>
      <w:r w:rsidR="004B7089" w:rsidRPr="004B7089">
        <w:rPr>
          <w:rFonts w:ascii="Times New Roman" w:hAnsi="Times New Roman" w:cs="Times New Roman"/>
          <w:sz w:val="24"/>
          <w:szCs w:val="24"/>
        </w:rPr>
        <w:t xml:space="preserve">, kas </w:t>
      </w:r>
      <w:r w:rsidRPr="004B7089">
        <w:rPr>
          <w:rFonts w:ascii="Times New Roman" w:hAnsi="Times New Roman" w:cs="Times New Roman"/>
          <w:sz w:val="24"/>
          <w:szCs w:val="24"/>
        </w:rPr>
        <w:t>turpina ietekmēt arī būvniecības nozari.</w:t>
      </w:r>
    </w:p>
    <w:p w14:paraId="069AA54B" w14:textId="0867481F" w:rsidR="00A10882" w:rsidRDefault="00956929" w:rsidP="0088719C">
      <w:pPr>
        <w:rPr>
          <w:rFonts w:ascii="Times New Roman" w:hAnsi="Times New Roman" w:cs="Times New Roman"/>
          <w:sz w:val="24"/>
          <w:szCs w:val="24"/>
        </w:rPr>
      </w:pPr>
      <w:r w:rsidRPr="004B7089">
        <w:rPr>
          <w:rFonts w:ascii="Times New Roman" w:hAnsi="Times New Roman" w:cs="Times New Roman"/>
          <w:sz w:val="24"/>
          <w:szCs w:val="24"/>
        </w:rPr>
        <w:t>Vērtējumi tika veikti 10 ballu skalā, ar iespēju norādīt gan pozitīvu, gan negatīvu ietekmes</w:t>
      </w:r>
      <w:r w:rsidRPr="00CA542D">
        <w:rPr>
          <w:rFonts w:ascii="Times New Roman" w:hAnsi="Times New Roman" w:cs="Times New Roman"/>
        </w:rPr>
        <w:t xml:space="preserve"> </w:t>
      </w:r>
      <w:r w:rsidRPr="004B7089">
        <w:rPr>
          <w:rFonts w:ascii="Times New Roman" w:hAnsi="Times New Roman" w:cs="Times New Roman"/>
          <w:sz w:val="24"/>
          <w:szCs w:val="24"/>
        </w:rPr>
        <w:t xml:space="preserve">pakāpi. Kopumā Covid-19 ietekme no ekspertu puses tika novērtēta ar pozitīvu vērtējumu, kas nozīmē, ka tā palielina, nevis samazina būvniecības izmaksas. Būvmateriālu izmaksas vairāk tiek ietekmētas, nekā darbaspēka izmaksas. Vidējais ekspertvērtējums </w:t>
      </w:r>
    </w:p>
    <w:p w14:paraId="5568FE25" w14:textId="61A788BA" w:rsidR="00A10882" w:rsidRPr="00CA542D" w:rsidRDefault="00182520" w:rsidP="00A10882">
      <w:pPr>
        <w:pStyle w:val="Caption"/>
        <w:jc w:val="center"/>
        <w:rPr>
          <w:rFonts w:ascii="Times New Roman" w:hAnsi="Times New Roman" w:cs="Times New Roman"/>
        </w:rPr>
      </w:pPr>
      <w:r w:rsidRPr="004B7089">
        <w:rPr>
          <w:rFonts w:ascii="Times New Roman" w:hAnsi="Times New Roman" w:cs="Times New Roman"/>
          <w:noProof/>
          <w:sz w:val="24"/>
          <w:szCs w:val="24"/>
        </w:rPr>
        <w:drawing>
          <wp:inline distT="0" distB="0" distL="0" distR="0" wp14:anchorId="73353663" wp14:editId="5B74669B">
            <wp:extent cx="5704840" cy="2519680"/>
            <wp:effectExtent l="0" t="0" r="10160" b="13970"/>
            <wp:docPr id="33" name="Chart 33">
              <a:extLst xmlns:a="http://schemas.openxmlformats.org/drawingml/2006/main">
                <a:ext uri="{FF2B5EF4-FFF2-40B4-BE49-F238E27FC236}">
                  <a16:creationId xmlns:a16="http://schemas.microsoft.com/office/drawing/2014/main" id="{41A7BFAE-7FFF-4AF0-A732-4291A43F2D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A10882">
        <w:t xml:space="preserve">Attēls </w:t>
      </w:r>
      <w:r w:rsidR="00F43189">
        <w:fldChar w:fldCharType="begin"/>
      </w:r>
      <w:r w:rsidR="00F43189">
        <w:instrText xml:space="preserve"> SEQ Attēls \* ARABIC </w:instrText>
      </w:r>
      <w:r w:rsidR="00F43189">
        <w:fldChar w:fldCharType="separate"/>
      </w:r>
      <w:r w:rsidR="00D65651">
        <w:rPr>
          <w:noProof/>
        </w:rPr>
        <w:t>20</w:t>
      </w:r>
      <w:r w:rsidR="00F43189">
        <w:rPr>
          <w:noProof/>
        </w:rPr>
        <w:fldChar w:fldCharType="end"/>
      </w:r>
      <w:r w:rsidR="00A10882">
        <w:t xml:space="preserve">. </w:t>
      </w:r>
      <w:r w:rsidR="00A10882" w:rsidRPr="00CA542D">
        <w:rPr>
          <w:rFonts w:ascii="Times New Roman" w:hAnsi="Times New Roman" w:cs="Times New Roman"/>
        </w:rPr>
        <w:t>Covid-19 ietekmes novērtējums dažādu ekspertu grupu dalījumā.</w:t>
      </w:r>
    </w:p>
    <w:p w14:paraId="3CF81919" w14:textId="3F4BB966" w:rsidR="00956929" w:rsidRPr="004B7089" w:rsidRDefault="00956929" w:rsidP="0088719C">
      <w:pPr>
        <w:keepNext/>
        <w:rPr>
          <w:rFonts w:ascii="Times New Roman" w:hAnsi="Times New Roman" w:cs="Times New Roman"/>
          <w:sz w:val="24"/>
          <w:szCs w:val="24"/>
        </w:rPr>
      </w:pPr>
      <w:r w:rsidRPr="004B7089">
        <w:rPr>
          <w:rFonts w:ascii="Times New Roman" w:hAnsi="Times New Roman" w:cs="Times New Roman"/>
          <w:sz w:val="24"/>
          <w:szCs w:val="24"/>
        </w:rPr>
        <w:t>Covid-19 ietekmei uz būvmateriālu izmaksām ir 5,52 no 10, uz darbaspēka izmaksām ir 3,85 no 10, kas norāda uz vāju ietekmi.</w:t>
      </w:r>
    </w:p>
    <w:p w14:paraId="4C01D98A" w14:textId="6BD80831" w:rsidR="00956929" w:rsidRPr="00AA5827" w:rsidRDefault="004B7089" w:rsidP="0088719C">
      <w:pPr>
        <w:rPr>
          <w:rFonts w:ascii="Times New Roman" w:hAnsi="Times New Roman" w:cs="Times New Roman"/>
          <w:sz w:val="24"/>
          <w:szCs w:val="24"/>
        </w:rPr>
      </w:pPr>
      <w:r w:rsidRPr="00AA5827">
        <w:rPr>
          <w:rFonts w:ascii="Times New Roman" w:hAnsi="Times New Roman" w:cs="Times New Roman"/>
          <w:sz w:val="24"/>
          <w:szCs w:val="24"/>
        </w:rPr>
        <w:t>A</w:t>
      </w:r>
      <w:r w:rsidR="00956929" w:rsidRPr="00AA5827">
        <w:rPr>
          <w:rFonts w:ascii="Times New Roman" w:hAnsi="Times New Roman" w:cs="Times New Roman"/>
          <w:sz w:val="24"/>
          <w:szCs w:val="24"/>
        </w:rPr>
        <w:t>nalizējot novērtējumu pa ekspertu grupām,</w:t>
      </w:r>
      <w:r w:rsidR="00AA5827" w:rsidRPr="00AA5827">
        <w:rPr>
          <w:rFonts w:ascii="Times New Roman" w:hAnsi="Times New Roman" w:cs="Times New Roman"/>
          <w:sz w:val="24"/>
          <w:szCs w:val="24"/>
        </w:rPr>
        <w:t xml:space="preserve"> tika</w:t>
      </w:r>
      <w:r w:rsidR="00956929" w:rsidRPr="00AA5827">
        <w:rPr>
          <w:rFonts w:ascii="Times New Roman" w:hAnsi="Times New Roman" w:cs="Times New Roman"/>
          <w:sz w:val="24"/>
          <w:szCs w:val="24"/>
        </w:rPr>
        <w:t xml:space="preserve"> konstatē</w:t>
      </w:r>
      <w:r w:rsidR="00AA5827" w:rsidRPr="00AA5827">
        <w:rPr>
          <w:rFonts w:ascii="Times New Roman" w:hAnsi="Times New Roman" w:cs="Times New Roman"/>
          <w:sz w:val="24"/>
          <w:szCs w:val="24"/>
        </w:rPr>
        <w:t>ts</w:t>
      </w:r>
      <w:r w:rsidR="00956929" w:rsidRPr="00AA5827">
        <w:rPr>
          <w:rFonts w:ascii="Times New Roman" w:hAnsi="Times New Roman" w:cs="Times New Roman"/>
          <w:sz w:val="24"/>
          <w:szCs w:val="24"/>
        </w:rPr>
        <w:t xml:space="preserve">, ka Covid-19 </w:t>
      </w:r>
      <w:r w:rsidR="00AA5827" w:rsidRPr="00AA5827">
        <w:rPr>
          <w:rFonts w:ascii="Times New Roman" w:hAnsi="Times New Roman" w:cs="Times New Roman"/>
          <w:sz w:val="24"/>
          <w:szCs w:val="24"/>
        </w:rPr>
        <w:t xml:space="preserve">ir nozīmīgi ietekmējušās </w:t>
      </w:r>
      <w:r w:rsidR="00956929" w:rsidRPr="00AA5827">
        <w:rPr>
          <w:rFonts w:ascii="Times New Roman" w:hAnsi="Times New Roman" w:cs="Times New Roman"/>
          <w:sz w:val="24"/>
          <w:szCs w:val="24"/>
        </w:rPr>
        <w:t>būvmateriālu izmaksas,</w:t>
      </w:r>
      <w:r w:rsidR="00AA5827" w:rsidRPr="00AA5827">
        <w:rPr>
          <w:rFonts w:ascii="Times New Roman" w:hAnsi="Times New Roman" w:cs="Times New Roman"/>
          <w:sz w:val="24"/>
          <w:szCs w:val="24"/>
        </w:rPr>
        <w:t xml:space="preserve"> no kā visvairāk cietusi dzīvojamu un nedzīvojamo ēku būvniecība apakšnozare. T</w:t>
      </w:r>
      <w:r w:rsidR="00956929" w:rsidRPr="00AA5827">
        <w:rPr>
          <w:rFonts w:ascii="Times New Roman" w:hAnsi="Times New Roman" w:cs="Times New Roman"/>
          <w:sz w:val="24"/>
          <w:szCs w:val="24"/>
        </w:rPr>
        <w:t xml:space="preserve">omēr transporta objektu būvniecības apakšnozare ir izņēmums, kur tika identificēta pretēja tendence. </w:t>
      </w:r>
    </w:p>
    <w:p w14:paraId="6265EA60" w14:textId="3F95C505" w:rsidR="00956929" w:rsidRPr="00AA5827" w:rsidRDefault="00956929" w:rsidP="0088719C">
      <w:pPr>
        <w:pStyle w:val="ListParagraph"/>
        <w:ind w:left="0"/>
        <w:rPr>
          <w:rFonts w:ascii="Times New Roman" w:hAnsi="Times New Roman" w:cs="Times New Roman"/>
          <w:sz w:val="24"/>
          <w:szCs w:val="24"/>
        </w:rPr>
      </w:pPr>
      <w:r w:rsidRPr="000F4621">
        <w:rPr>
          <w:rFonts w:ascii="Times New Roman" w:hAnsi="Times New Roman" w:cs="Times New Roman"/>
          <w:sz w:val="24"/>
          <w:szCs w:val="24"/>
        </w:rPr>
        <w:t>Veicot Pētījumu 2021. gadā autori saskārās ar Covid-19 spēcīgu ietekmi un salīdzinoši lielāku neviendabības situāciju, kurā iezīmējās krasas būvniecības komponenšu svārstības. Nozares attīstība pašlaik saistāma ar nestabilu attīstību, ko raksturo izteiktas attīstības vektoru maiņas. Statistiskās prognozes veidojas pārlieku mērenas, bet ekspertu prognozes izteikti straujas.</w:t>
      </w:r>
      <w:r w:rsidRPr="00AA5827">
        <w:rPr>
          <w:rFonts w:ascii="Times New Roman" w:hAnsi="Times New Roman" w:cs="Times New Roman"/>
          <w:sz w:val="24"/>
          <w:szCs w:val="24"/>
        </w:rPr>
        <w:t xml:space="preserve"> </w:t>
      </w:r>
    </w:p>
    <w:p w14:paraId="41E9DEC7" w14:textId="51C058AA" w:rsidR="00956929" w:rsidRPr="00956929" w:rsidRDefault="004B7089" w:rsidP="00956929">
      <w:r>
        <w:t xml:space="preserve">   </w:t>
      </w:r>
    </w:p>
    <w:p w14:paraId="595622FE" w14:textId="2031A303" w:rsidR="005D01B6" w:rsidRDefault="002801D0" w:rsidP="001E3243">
      <w:pPr>
        <w:pStyle w:val="Heading1"/>
        <w:numPr>
          <w:ilvl w:val="0"/>
          <w:numId w:val="40"/>
        </w:numPr>
        <w:spacing w:line="240" w:lineRule="auto"/>
        <w:jc w:val="both"/>
        <w:rPr>
          <w:b/>
          <w:bCs/>
          <w:color w:val="1B9DAB"/>
        </w:rPr>
      </w:pPr>
      <w:bookmarkStart w:id="29" w:name="_Toc80109872"/>
      <w:r w:rsidRPr="0088719C">
        <w:rPr>
          <w:b/>
          <w:bCs/>
          <w:color w:val="1B9DAB"/>
        </w:rPr>
        <w:lastRenderedPageBreak/>
        <w:t>S</w:t>
      </w:r>
      <w:r w:rsidR="005D01B6" w:rsidRPr="0088719C">
        <w:rPr>
          <w:b/>
          <w:bCs/>
          <w:color w:val="1B9DAB"/>
        </w:rPr>
        <w:t>ecinājumi</w:t>
      </w:r>
      <w:bookmarkEnd w:id="29"/>
    </w:p>
    <w:p w14:paraId="2A87C127" w14:textId="77777777" w:rsidR="00503EE4" w:rsidRPr="00503EE4" w:rsidRDefault="00503EE4" w:rsidP="0088719C"/>
    <w:p w14:paraId="170D6E3B" w14:textId="22D42643" w:rsidR="00811AB3" w:rsidRPr="0088719C" w:rsidRDefault="00811AB3" w:rsidP="0088719C">
      <w:pPr>
        <w:pStyle w:val="ListParagraph"/>
        <w:numPr>
          <w:ilvl w:val="1"/>
          <w:numId w:val="40"/>
        </w:numPr>
        <w:spacing w:after="120"/>
        <w:rPr>
          <w:rFonts w:ascii="Times New Roman" w:hAnsi="Times New Roman" w:cs="Times New Roman"/>
          <w:b/>
          <w:bCs/>
          <w:sz w:val="24"/>
          <w:szCs w:val="24"/>
        </w:rPr>
      </w:pPr>
      <w:r w:rsidRPr="0088719C">
        <w:rPr>
          <w:rFonts w:ascii="Times New Roman" w:hAnsi="Times New Roman" w:cs="Times New Roman"/>
          <w:b/>
          <w:bCs/>
          <w:sz w:val="24"/>
          <w:szCs w:val="24"/>
        </w:rPr>
        <w:t>BŪVNIECĪBAS IZMAKSAS IETEKMĒJOŠIE NOZĪMĪGĀKIE FAKTORI</w:t>
      </w:r>
    </w:p>
    <w:p w14:paraId="23F0B658" w14:textId="77777777" w:rsidR="00811AB3" w:rsidRPr="000F4621" w:rsidRDefault="00811AB3" w:rsidP="0088719C">
      <w:pPr>
        <w:spacing w:after="120"/>
        <w:rPr>
          <w:rFonts w:ascii="Times New Roman" w:hAnsi="Times New Roman" w:cs="Times New Roman"/>
          <w:sz w:val="24"/>
          <w:szCs w:val="24"/>
        </w:rPr>
      </w:pPr>
      <w:bookmarkStart w:id="30" w:name="_Hlk77081816"/>
      <w:r w:rsidRPr="000F4621">
        <w:rPr>
          <w:rFonts w:ascii="Times New Roman" w:hAnsi="Times New Roman" w:cs="Times New Roman"/>
          <w:sz w:val="24"/>
          <w:szCs w:val="24"/>
        </w:rPr>
        <w:t xml:space="preserve">Pētījumā tika iegūti novērtējumi par dažādu </w:t>
      </w:r>
      <w:r w:rsidRPr="000F4621">
        <w:rPr>
          <w:rFonts w:ascii="Times New Roman" w:hAnsi="Times New Roman" w:cs="Times New Roman"/>
          <w:b/>
          <w:bCs/>
          <w:sz w:val="24"/>
          <w:szCs w:val="24"/>
        </w:rPr>
        <w:t>faktoru ietekmes pakāpi uz būvniecības nozares darbaspēka un būvmateriālu izmaksām</w:t>
      </w:r>
      <w:r w:rsidRPr="000F4621">
        <w:rPr>
          <w:rFonts w:ascii="Times New Roman" w:hAnsi="Times New Roman" w:cs="Times New Roman"/>
          <w:sz w:val="24"/>
          <w:szCs w:val="24"/>
        </w:rPr>
        <w:t xml:space="preserve"> un tika izvirzīti būtiskākie secinājumi:</w:t>
      </w:r>
    </w:p>
    <w:p w14:paraId="05465090" w14:textId="2B477026" w:rsidR="00811AB3" w:rsidRPr="000F4621" w:rsidRDefault="00811AB3" w:rsidP="0088719C">
      <w:pPr>
        <w:pStyle w:val="ListParagraph"/>
        <w:numPr>
          <w:ilvl w:val="2"/>
          <w:numId w:val="40"/>
        </w:numPr>
        <w:spacing w:after="120"/>
        <w:ind w:left="1134"/>
        <w:rPr>
          <w:rFonts w:ascii="Times New Roman" w:hAnsi="Times New Roman" w:cs="Times New Roman"/>
          <w:sz w:val="24"/>
          <w:szCs w:val="24"/>
        </w:rPr>
      </w:pPr>
      <w:r w:rsidRPr="000F4621">
        <w:rPr>
          <w:rFonts w:ascii="Times New Roman" w:hAnsi="Times New Roman" w:cs="Times New Roman"/>
          <w:sz w:val="24"/>
          <w:szCs w:val="24"/>
        </w:rPr>
        <w:t xml:space="preserve">Darbaspēka samaksu būvniecības nozarē visbūtiskāk </w:t>
      </w:r>
      <w:r w:rsidRPr="000F4621">
        <w:rPr>
          <w:rFonts w:ascii="Times New Roman" w:hAnsi="Times New Roman" w:cs="Times New Roman"/>
          <w:b/>
          <w:bCs/>
          <w:sz w:val="24"/>
          <w:szCs w:val="24"/>
        </w:rPr>
        <w:t>ietekmē būvniecības apjoms Latvijā</w:t>
      </w:r>
      <w:r w:rsidRPr="000F4621">
        <w:rPr>
          <w:rFonts w:ascii="Times New Roman" w:hAnsi="Times New Roman" w:cs="Times New Roman"/>
          <w:sz w:val="24"/>
          <w:szCs w:val="24"/>
        </w:rPr>
        <w:t xml:space="preserve">, kā arī </w:t>
      </w:r>
      <w:r w:rsidRPr="000F4621">
        <w:rPr>
          <w:rFonts w:ascii="Times New Roman" w:hAnsi="Times New Roman" w:cs="Times New Roman"/>
          <w:b/>
          <w:bCs/>
          <w:sz w:val="24"/>
          <w:szCs w:val="24"/>
        </w:rPr>
        <w:t>darbaspēka samaksas līmenis</w:t>
      </w:r>
      <w:r w:rsidRPr="000F4621">
        <w:rPr>
          <w:rFonts w:ascii="Times New Roman" w:hAnsi="Times New Roman" w:cs="Times New Roman"/>
          <w:sz w:val="24"/>
          <w:szCs w:val="24"/>
        </w:rPr>
        <w:t xml:space="preserve"> un būvniecības nozares </w:t>
      </w:r>
      <w:r w:rsidRPr="000F4621">
        <w:rPr>
          <w:rFonts w:ascii="Times New Roman" w:hAnsi="Times New Roman" w:cs="Times New Roman"/>
          <w:b/>
          <w:bCs/>
          <w:sz w:val="24"/>
          <w:szCs w:val="24"/>
        </w:rPr>
        <w:t>pieprasījums citās ES valstīs</w:t>
      </w:r>
      <w:r w:rsidRPr="000F4621">
        <w:rPr>
          <w:rFonts w:ascii="Times New Roman" w:hAnsi="Times New Roman" w:cs="Times New Roman"/>
          <w:sz w:val="24"/>
          <w:szCs w:val="24"/>
        </w:rPr>
        <w:t>.</w:t>
      </w:r>
    </w:p>
    <w:p w14:paraId="4917A172" w14:textId="77777777" w:rsidR="00811AB3" w:rsidRPr="000F4621" w:rsidRDefault="00811AB3" w:rsidP="0088719C">
      <w:pPr>
        <w:pStyle w:val="ListParagraph"/>
        <w:numPr>
          <w:ilvl w:val="2"/>
          <w:numId w:val="40"/>
        </w:numPr>
        <w:spacing w:after="120"/>
        <w:ind w:left="1134"/>
        <w:rPr>
          <w:rFonts w:ascii="Times New Roman" w:hAnsi="Times New Roman" w:cs="Times New Roman"/>
          <w:sz w:val="24"/>
          <w:szCs w:val="24"/>
        </w:rPr>
      </w:pPr>
      <w:r w:rsidRPr="000F4621">
        <w:rPr>
          <w:rFonts w:ascii="Times New Roman" w:hAnsi="Times New Roman" w:cs="Times New Roman"/>
          <w:sz w:val="24"/>
          <w:szCs w:val="24"/>
        </w:rPr>
        <w:t xml:space="preserve">Visbūtiskāk </w:t>
      </w:r>
      <w:r w:rsidRPr="000F4621">
        <w:rPr>
          <w:rFonts w:ascii="Times New Roman" w:hAnsi="Times New Roman" w:cs="Times New Roman"/>
          <w:b/>
          <w:bCs/>
          <w:sz w:val="24"/>
          <w:szCs w:val="24"/>
        </w:rPr>
        <w:t>būvmateriālu izmaksas ietekmē metāla un kokmateriālu cenas</w:t>
      </w:r>
      <w:r w:rsidRPr="000F4621">
        <w:rPr>
          <w:rFonts w:ascii="Times New Roman" w:hAnsi="Times New Roman" w:cs="Times New Roman"/>
          <w:sz w:val="24"/>
          <w:szCs w:val="24"/>
        </w:rPr>
        <w:t xml:space="preserve">, kā arī kopējais </w:t>
      </w:r>
      <w:r w:rsidRPr="000F4621">
        <w:rPr>
          <w:rFonts w:ascii="Times New Roman" w:hAnsi="Times New Roman" w:cs="Times New Roman"/>
          <w:b/>
          <w:bCs/>
          <w:sz w:val="24"/>
          <w:szCs w:val="24"/>
        </w:rPr>
        <w:t>būvniecības apjoms</w:t>
      </w:r>
      <w:r w:rsidRPr="000F4621">
        <w:rPr>
          <w:rFonts w:ascii="Times New Roman" w:hAnsi="Times New Roman" w:cs="Times New Roman"/>
          <w:sz w:val="24"/>
          <w:szCs w:val="24"/>
        </w:rPr>
        <w:t>.</w:t>
      </w:r>
    </w:p>
    <w:p w14:paraId="598D5A49" w14:textId="77777777" w:rsidR="00811AB3" w:rsidRPr="000F4621" w:rsidRDefault="00811AB3" w:rsidP="0088719C">
      <w:pPr>
        <w:pStyle w:val="ListParagraph"/>
        <w:numPr>
          <w:ilvl w:val="2"/>
          <w:numId w:val="40"/>
        </w:numPr>
        <w:spacing w:after="120"/>
        <w:ind w:left="1134"/>
        <w:rPr>
          <w:rFonts w:ascii="Times New Roman" w:hAnsi="Times New Roman" w:cs="Times New Roman"/>
          <w:sz w:val="24"/>
          <w:szCs w:val="24"/>
        </w:rPr>
      </w:pPr>
      <w:r w:rsidRPr="000F4621">
        <w:rPr>
          <w:rFonts w:ascii="Times New Roman" w:hAnsi="Times New Roman" w:cs="Times New Roman"/>
          <w:sz w:val="24"/>
          <w:szCs w:val="24"/>
        </w:rPr>
        <w:t>Pilsētsaimniecības infrastruktūras objektu būvniecības apakšnozarē ir mazākā ietekme no kokmateriālu cenām, bet augsta ietekme ir ES ekonomikas kopējiem izaugsmes tempiem.</w:t>
      </w:r>
    </w:p>
    <w:p w14:paraId="4EBDC959" w14:textId="77777777" w:rsidR="00811AB3" w:rsidRPr="000F4621" w:rsidRDefault="00811AB3" w:rsidP="0088719C">
      <w:pPr>
        <w:pStyle w:val="ListParagraph"/>
        <w:numPr>
          <w:ilvl w:val="2"/>
          <w:numId w:val="40"/>
        </w:numPr>
        <w:spacing w:after="120"/>
        <w:ind w:left="1134"/>
        <w:rPr>
          <w:rFonts w:ascii="Times New Roman" w:hAnsi="Times New Roman" w:cs="Times New Roman"/>
          <w:sz w:val="24"/>
          <w:szCs w:val="24"/>
        </w:rPr>
      </w:pPr>
      <w:r w:rsidRPr="000F4621">
        <w:rPr>
          <w:rFonts w:ascii="Times New Roman" w:hAnsi="Times New Roman" w:cs="Times New Roman"/>
          <w:sz w:val="24"/>
          <w:szCs w:val="24"/>
        </w:rPr>
        <w:t xml:space="preserve">Transporta objektu būvniecības apakšnozarē </w:t>
      </w:r>
      <w:r w:rsidRPr="000F4621">
        <w:rPr>
          <w:rFonts w:ascii="Times New Roman" w:hAnsi="Times New Roman" w:cs="Times New Roman"/>
          <w:b/>
          <w:bCs/>
          <w:sz w:val="24"/>
          <w:szCs w:val="24"/>
        </w:rPr>
        <w:t>darbaspēka izmaksas visbūtiskāk ietekmē izglītojamo skaits Latvijā</w:t>
      </w:r>
      <w:r w:rsidRPr="000F4621">
        <w:rPr>
          <w:rFonts w:ascii="Times New Roman" w:hAnsi="Times New Roman" w:cs="Times New Roman"/>
          <w:sz w:val="24"/>
          <w:szCs w:val="24"/>
        </w:rPr>
        <w:t>.</w:t>
      </w:r>
    </w:p>
    <w:p w14:paraId="3FBC9809" w14:textId="77777777" w:rsidR="00811AB3" w:rsidRPr="000F4621" w:rsidRDefault="00811AB3" w:rsidP="0088719C">
      <w:pPr>
        <w:pStyle w:val="ListParagraph"/>
        <w:numPr>
          <w:ilvl w:val="2"/>
          <w:numId w:val="40"/>
        </w:numPr>
        <w:spacing w:after="120"/>
        <w:ind w:left="1134"/>
        <w:rPr>
          <w:rFonts w:ascii="Times New Roman" w:hAnsi="Times New Roman" w:cs="Times New Roman"/>
          <w:sz w:val="24"/>
          <w:szCs w:val="24"/>
        </w:rPr>
      </w:pPr>
      <w:r w:rsidRPr="000F4621">
        <w:rPr>
          <w:rFonts w:ascii="Times New Roman" w:hAnsi="Times New Roman" w:cs="Times New Roman"/>
          <w:b/>
          <w:bCs/>
          <w:sz w:val="24"/>
          <w:szCs w:val="24"/>
        </w:rPr>
        <w:t>Būvniecības procesu digitalizācija visbūtiskāk ietekmē tieši arhitektūras un inženiertehnisko pakalpojumus</w:t>
      </w:r>
      <w:r w:rsidRPr="000F4621">
        <w:rPr>
          <w:rFonts w:ascii="Times New Roman" w:hAnsi="Times New Roman" w:cs="Times New Roman"/>
          <w:sz w:val="24"/>
          <w:szCs w:val="24"/>
        </w:rPr>
        <w:t xml:space="preserve">, </w:t>
      </w:r>
      <w:r w:rsidRPr="000F4621">
        <w:rPr>
          <w:rFonts w:ascii="Times New Roman" w:hAnsi="Times New Roman" w:cs="Times New Roman"/>
          <w:b/>
          <w:bCs/>
          <w:sz w:val="24"/>
          <w:szCs w:val="24"/>
        </w:rPr>
        <w:t>tehniskās pārbaudes un analīzes jomas</w:t>
      </w:r>
      <w:r w:rsidRPr="000F4621">
        <w:rPr>
          <w:rFonts w:ascii="Times New Roman" w:hAnsi="Times New Roman" w:cs="Times New Roman"/>
          <w:sz w:val="24"/>
          <w:szCs w:val="24"/>
        </w:rPr>
        <w:t>.</w:t>
      </w:r>
    </w:p>
    <w:p w14:paraId="2959632B" w14:textId="77777777" w:rsidR="00182520" w:rsidRDefault="00182520" w:rsidP="000F4621">
      <w:pPr>
        <w:ind w:firstLine="0"/>
        <w:rPr>
          <w:rFonts w:ascii="Times New Roman" w:hAnsi="Times New Roman" w:cs="Times New Roman"/>
          <w:b/>
          <w:bCs/>
          <w:sz w:val="24"/>
          <w:szCs w:val="24"/>
        </w:rPr>
      </w:pPr>
    </w:p>
    <w:p w14:paraId="24412145" w14:textId="1B911EDA" w:rsidR="00811AB3" w:rsidRPr="0088719C" w:rsidRDefault="00811AB3" w:rsidP="0088719C">
      <w:pPr>
        <w:pStyle w:val="ListParagraph"/>
        <w:numPr>
          <w:ilvl w:val="1"/>
          <w:numId w:val="40"/>
        </w:numPr>
        <w:rPr>
          <w:rFonts w:ascii="Times New Roman" w:hAnsi="Times New Roman" w:cs="Times New Roman"/>
          <w:b/>
          <w:bCs/>
          <w:sz w:val="24"/>
          <w:szCs w:val="24"/>
        </w:rPr>
      </w:pPr>
      <w:r w:rsidRPr="0088719C">
        <w:rPr>
          <w:rFonts w:ascii="Times New Roman" w:hAnsi="Times New Roman" w:cs="Times New Roman"/>
          <w:b/>
          <w:bCs/>
          <w:sz w:val="24"/>
          <w:szCs w:val="24"/>
        </w:rPr>
        <w:t>PROGNOZĒTĀS IZMAIŅAS</w:t>
      </w:r>
    </w:p>
    <w:p w14:paraId="5EB897FB" w14:textId="77777777" w:rsidR="00811AB3" w:rsidRPr="000F4621" w:rsidRDefault="00811AB3" w:rsidP="000F4621">
      <w:pPr>
        <w:ind w:firstLine="0"/>
        <w:rPr>
          <w:rFonts w:ascii="Times New Roman" w:hAnsi="Times New Roman" w:cs="Times New Roman"/>
          <w:sz w:val="24"/>
          <w:szCs w:val="24"/>
        </w:rPr>
      </w:pPr>
      <w:r w:rsidRPr="000F4621">
        <w:rPr>
          <w:rFonts w:ascii="Times New Roman" w:hAnsi="Times New Roman" w:cs="Times New Roman"/>
          <w:sz w:val="24"/>
          <w:szCs w:val="24"/>
        </w:rPr>
        <w:t xml:space="preserve">Centrālais Pētījuma objekts bija </w:t>
      </w:r>
      <w:r w:rsidRPr="000F4621">
        <w:rPr>
          <w:rFonts w:ascii="Times New Roman" w:hAnsi="Times New Roman" w:cs="Times New Roman"/>
          <w:b/>
          <w:bCs/>
          <w:sz w:val="24"/>
          <w:szCs w:val="24"/>
        </w:rPr>
        <w:t>būvniecības produkcijas apjoma izmaiņu un būvniecības izmaksu izmaiņu prognozes</w:t>
      </w:r>
      <w:r w:rsidRPr="000F4621">
        <w:rPr>
          <w:rFonts w:ascii="Times New Roman" w:hAnsi="Times New Roman" w:cs="Times New Roman"/>
          <w:sz w:val="24"/>
          <w:szCs w:val="24"/>
        </w:rPr>
        <w:t xml:space="preserve"> 2021. un 2022. gadam un novērtējums laika periodam no 2023. līdz 2025. gadam. </w:t>
      </w:r>
    </w:p>
    <w:p w14:paraId="090E687A" w14:textId="4835191E" w:rsidR="00172938" w:rsidRPr="000F4621" w:rsidRDefault="00172938" w:rsidP="00172938">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Pēc Pētījumā apkopotās informācijas un novērtējumiem dinamikā no 2020. uz 2021. gadu pieaug būvniecības nozares pārkaršanas riski, tomēr šie riski ir būtiski mazāki nekā 2006.-2008. gadā. </w:t>
      </w:r>
      <w:r w:rsidR="00B50908">
        <w:rPr>
          <w:rFonts w:ascii="Times New Roman" w:hAnsi="Times New Roman" w:cs="Times New Roman"/>
          <w:sz w:val="24"/>
          <w:szCs w:val="24"/>
        </w:rPr>
        <w:t>Līdz ar to p</w:t>
      </w:r>
      <w:r w:rsidR="00B50908" w:rsidRPr="00182520">
        <w:rPr>
          <w:rFonts w:ascii="Times New Roman" w:hAnsi="Times New Roman" w:cs="Times New Roman"/>
          <w:sz w:val="24"/>
          <w:szCs w:val="24"/>
        </w:rPr>
        <w:t>ētnieki nesaskata būtiskus argumentus neturpināt</w:t>
      </w:r>
      <w:r w:rsidR="00B50908">
        <w:rPr>
          <w:rFonts w:ascii="Times New Roman" w:hAnsi="Times New Roman" w:cs="Times New Roman"/>
          <w:sz w:val="24"/>
          <w:szCs w:val="24"/>
        </w:rPr>
        <w:t xml:space="preserve"> iesāktās un</w:t>
      </w:r>
      <w:r w:rsidR="00B50908" w:rsidRPr="00182520">
        <w:rPr>
          <w:rFonts w:ascii="Times New Roman" w:hAnsi="Times New Roman" w:cs="Times New Roman"/>
          <w:sz w:val="24"/>
          <w:szCs w:val="24"/>
        </w:rPr>
        <w:t xml:space="preserve"> ieplānotās</w:t>
      </w:r>
      <w:r w:rsidR="00B50908">
        <w:rPr>
          <w:rFonts w:ascii="Times New Roman" w:hAnsi="Times New Roman" w:cs="Times New Roman"/>
          <w:sz w:val="24"/>
          <w:szCs w:val="24"/>
        </w:rPr>
        <w:t xml:space="preserve"> publiskās</w:t>
      </w:r>
      <w:r w:rsidR="00B50908" w:rsidRPr="00182520">
        <w:rPr>
          <w:rFonts w:ascii="Times New Roman" w:hAnsi="Times New Roman" w:cs="Times New Roman"/>
          <w:sz w:val="24"/>
          <w:szCs w:val="24"/>
        </w:rPr>
        <w:t xml:space="preserve"> </w:t>
      </w:r>
      <w:r w:rsidR="00B50908">
        <w:rPr>
          <w:rFonts w:ascii="Times New Roman" w:hAnsi="Times New Roman" w:cs="Times New Roman"/>
          <w:sz w:val="24"/>
          <w:szCs w:val="24"/>
        </w:rPr>
        <w:t>būvniecības ieceres</w:t>
      </w:r>
      <w:r w:rsidR="00B50908" w:rsidRPr="00182520">
        <w:rPr>
          <w:rFonts w:ascii="Times New Roman" w:hAnsi="Times New Roman" w:cs="Times New Roman"/>
          <w:sz w:val="24"/>
          <w:szCs w:val="24"/>
        </w:rPr>
        <w:t>, jo privātā būvniecības pasūtījuma komponente 2021. gadā pēc pašreizējiem Pētījuma rezultātiem uzskatāma par īslaicīgi pieaugošu dēļ brīvo naudas līdzekļu uzkrājumiem pandēmijas laikā, tomēr turpināt sekot situācijai, lai operatīvu iejauktos, ja tirgus attīstība būtiski atšķiras no prognozētās</w:t>
      </w:r>
    </w:p>
    <w:p w14:paraId="4DE5EEC4" w14:textId="42C5CA8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Būvniecības produkcijas apjoma pieaugums 2021. gadā tiek prognozēts 6,6% apjomā un 2022. gadā 7,15% apjomā. Laika periodā no 2023. līdz 2025. gadam aptuvenais novērtējums ir pieaugums vidēji par 5,5% gadā.</w:t>
      </w:r>
    </w:p>
    <w:p w14:paraId="3D4C45D0"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Galvenie būvniecības nozares dzinējspēki 2021.-2025. gadā būs tautsaimniecības atgūšanās pēc pandēmijas, valsts un ES atbalsts ekonomikas atveseļošanai un lielie infrastruktūras projekti.</w:t>
      </w:r>
    </w:p>
    <w:p w14:paraId="6A10889A"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lastRenderedPageBreak/>
        <w:t>Būvniecības izmaksām sagaidāms būtisks pieaugums 2021. gadā, kas tiek novērtēts kā 6,6% pēc pētnieku kombinētās prognozes, bet nelabvēlīgas globālās situācijas gadījumā (loģistikas problēmas, augsts tirgus pieprasījums, ražotāju jaudu nepieaugšana) varētu sasniegt arī 11,4% pieaugumu.</w:t>
      </w:r>
    </w:p>
    <w:p w14:paraId="427D9286"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Laika periodā no 2022. līdz 2025. gadam būvniecības izmaksu pieaugums samazināsies, tomēr 2022. gadā joprojām būs augstāks nekā pirms-pandēmijas gados ar 5,5%, bet atgriezīsies pie pēdējās desmitgades vidējā līmeņa 2023.-2025. gadā ar vidējo ikgadējo pieaugumu 3,3% gadā, kas ir zemāk nekā 2018. un 2019. gadā.</w:t>
      </w:r>
    </w:p>
    <w:p w14:paraId="223EF88B"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Ja 2021. gada beigās samazināsies būtiskie īslaicīgie kokmateriālu un metālizstrādājumu izmaksu lēcieni, tad dinamikā uz 2022. gadu tiek prognozēts būvniecības pārkaršanas riska samazinājums un līdzīga tendence arī līdz 2025. gadam.</w:t>
      </w:r>
    </w:p>
    <w:p w14:paraId="64D19E19" w14:textId="77777777" w:rsidR="00811AB3" w:rsidRPr="000F4621" w:rsidRDefault="00811AB3" w:rsidP="000F4621">
      <w:pPr>
        <w:ind w:firstLine="0"/>
        <w:rPr>
          <w:rFonts w:ascii="Times New Roman" w:hAnsi="Times New Roman" w:cs="Times New Roman"/>
          <w:b/>
          <w:bCs/>
          <w:sz w:val="24"/>
          <w:szCs w:val="24"/>
        </w:rPr>
      </w:pPr>
    </w:p>
    <w:p w14:paraId="58AB085C" w14:textId="77777777" w:rsidR="00811AB3" w:rsidRPr="0088719C" w:rsidRDefault="00811AB3" w:rsidP="0088719C">
      <w:pPr>
        <w:pStyle w:val="ListParagraph"/>
        <w:numPr>
          <w:ilvl w:val="1"/>
          <w:numId w:val="40"/>
        </w:numPr>
        <w:rPr>
          <w:rFonts w:ascii="Times New Roman" w:hAnsi="Times New Roman" w:cs="Times New Roman"/>
          <w:b/>
          <w:bCs/>
          <w:sz w:val="24"/>
          <w:szCs w:val="24"/>
        </w:rPr>
      </w:pPr>
      <w:r w:rsidRPr="0088719C">
        <w:rPr>
          <w:rFonts w:ascii="Times New Roman" w:hAnsi="Times New Roman" w:cs="Times New Roman"/>
          <w:b/>
          <w:bCs/>
          <w:sz w:val="24"/>
          <w:szCs w:val="24"/>
        </w:rPr>
        <w:t>BŪVNIECĪBAS APAKŠNOZARU DETALIZĒTAS PROGNOZES</w:t>
      </w:r>
    </w:p>
    <w:p w14:paraId="74C00FC1" w14:textId="77777777" w:rsidR="00811AB3" w:rsidRPr="000F4621" w:rsidRDefault="00811AB3" w:rsidP="000F4621">
      <w:pPr>
        <w:ind w:firstLine="0"/>
        <w:rPr>
          <w:rFonts w:ascii="Times New Roman" w:hAnsi="Times New Roman" w:cs="Times New Roman"/>
          <w:sz w:val="24"/>
          <w:szCs w:val="24"/>
        </w:rPr>
      </w:pPr>
      <w:r w:rsidRPr="000F4621">
        <w:rPr>
          <w:rFonts w:ascii="Times New Roman" w:hAnsi="Times New Roman" w:cs="Times New Roman"/>
          <w:sz w:val="24"/>
          <w:szCs w:val="24"/>
        </w:rPr>
        <w:t xml:space="preserve">Pētījuma ietvaros tika piesaistīti eksperti, kas pārstāvēja dažādas </w:t>
      </w:r>
      <w:r w:rsidRPr="000F4621">
        <w:rPr>
          <w:rFonts w:ascii="Times New Roman" w:hAnsi="Times New Roman" w:cs="Times New Roman"/>
          <w:b/>
          <w:bCs/>
          <w:sz w:val="24"/>
          <w:szCs w:val="24"/>
        </w:rPr>
        <w:t>būvniecība apakšnozares</w:t>
      </w:r>
      <w:r w:rsidRPr="000F4621">
        <w:rPr>
          <w:rFonts w:ascii="Times New Roman" w:hAnsi="Times New Roman" w:cs="Times New Roman"/>
          <w:sz w:val="24"/>
          <w:szCs w:val="24"/>
        </w:rPr>
        <w:t xml:space="preserve"> – ēku, transporta objektu, pilsētsaimniecības būvniecības, speciālo objektu un arhitektūras un inženiertehnisko pakalpojumu, tehniskās pārbaudes un analīzes apakšnozare. Rezultātā tika iegūtas specifiskas prognozes apakšnozarēm.</w:t>
      </w:r>
    </w:p>
    <w:p w14:paraId="599C33C6"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Dzīvojamo ēku būvniecībā sagaidāma straujāka izaugsme nekā nedzīvojamo ēku segmentā. Tiek novērtēta ēku būvniecības apjoma pieauguma prognoze 2021. gadā 5,9% un 2022. gadā 6,0%. Periodā 2023.-2025. gadam izaugsme varētu kļūst straujāka un būt vidēji 8,2%.</w:t>
      </w:r>
    </w:p>
    <w:p w14:paraId="069F70F9"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Ēku būvniecībā tiek prognozēts izmaksu pieaugums par 11,6% 2021. gadā, kam sekos mērenāks pieaugums turpmākajos gados veidojot vidēji 6,1% pieaugumu gadā līdz 2025. gadam.</w:t>
      </w:r>
    </w:p>
    <w:p w14:paraId="5EEC692E"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Transporta objektu būvniecības nozare īstermiņā saskarsies ar nestabilām tendencēm, ekspertiem nav pilnīgas skaidrība par sagaidāmo finansējumu 2022. gadā, dēļ kā tie paredzēts tirgus samazinājums šajā periodā par 4,6% ceļu un maģistrāļu būvniecībā un par 0,25% tiltu un tuneļu būvniecības produkcijā. </w:t>
      </w:r>
    </w:p>
    <w:p w14:paraId="4968B597"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Vidējā termiņā 2023.-2025. gadā ceļu un maģistrāļu būvniecības apakšnozarēs tiek prognozēta mērena izaugsme vidēji par 1,5%. Tajā pašā laika dzelzceļu, tiltu un tuneļu būvniecībā tiek prognozēta strauja izaugsme vidēji 40,3% gadā (ekspertu prognoze) dzelzceļu būvniecībā un starp 19,2% (kombinētā prognoze) un 38,5% (ekspertu prognoze) gadā tiltu un tuneļu būvniecībā.</w:t>
      </w:r>
    </w:p>
    <w:p w14:paraId="37B30530"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Īstermiņā transporta objektu būvniecības apakšnozarē lielākais izmaksu pieaugums prognozējams specializētajos būvdarbos (15,7%) un arhitektūras un inženiertehnisko </w:t>
      </w:r>
      <w:r w:rsidRPr="000F4621">
        <w:rPr>
          <w:rFonts w:ascii="Times New Roman" w:hAnsi="Times New Roman" w:cs="Times New Roman"/>
          <w:sz w:val="24"/>
          <w:szCs w:val="24"/>
        </w:rPr>
        <w:lastRenderedPageBreak/>
        <w:t>pakalpojumu, tehniskās pārbaudes un analīzes apakšnozarei (13,6%), bet vidēji augsts pieaugums (10,0-11,6%) prognozēts dzelzceļu un metro būvniecības apakšnozarē, ceļu un maģistrāļu būvniecībā un ēku būvniecībā. Mazākais izmaksu pieaugums prognozēts pilsētsaimniecības infrastruktūrai ar 9,6% un tiltu un tuneļu būvniecībai ar 4,0%.</w:t>
      </w:r>
    </w:p>
    <w:p w14:paraId="0D8632DB"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Vidējā termiņā transporta nozare varētu saskarties ar būtisku izmaksu pieaugumu transporta objektu būvniecībā, it sevišķi saistībā ar dzelzceļu, tiltu un tuneļu būvniecību. Vidēji 2022.-2025. gadā ceļu un maģistrāļu būvniecības izmaksas varētu pieaug par 7,1% gadā, dzelzceļu būvniecība par 13,6% gadā un tiltu un tuneļu būvniecība par 13,7% gadā.</w:t>
      </w:r>
    </w:p>
    <w:p w14:paraId="3ABF67E6"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Arhitektūras un inženiertehnisko pakalpojumu, tehniskās pārbaudes un analīzes apakšnozarei  laika periodā no 2021. līdz 2024. gadam tiek prognozēta arvien straujāka nozares izaugsme no 6,4% 2021. gadā līdz par 17,9% pret iepriekšējo gadu 2024. gadā. </w:t>
      </w:r>
    </w:p>
    <w:p w14:paraId="4B266F09"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Arhitektūras un inženiertehnisko pakalpojumu, tehniskās pārbaudes un analīzes apakšnozares izmaksas 2021. un 2022. gadā varētu būtiski pieaug par attiecīgi 13,6% un 15,7%, tomēr vidējā termiņā izmaksu pieaugums novērtēts zemāks vidēji 2023.-2025. gadā kā 5,2% gadā.</w:t>
      </w:r>
    </w:p>
    <w:p w14:paraId="3A95CCBF" w14:textId="77777777" w:rsidR="00811AB3" w:rsidRPr="000F4621" w:rsidRDefault="00811AB3" w:rsidP="000F4621">
      <w:pPr>
        <w:ind w:firstLine="0"/>
        <w:rPr>
          <w:rFonts w:ascii="Times New Roman" w:hAnsi="Times New Roman" w:cs="Times New Roman"/>
          <w:sz w:val="24"/>
          <w:szCs w:val="24"/>
        </w:rPr>
      </w:pPr>
    </w:p>
    <w:p w14:paraId="1FDC7B9A" w14:textId="3F5767C1" w:rsidR="00811AB3" w:rsidRPr="0088719C" w:rsidRDefault="000F4621" w:rsidP="0088719C">
      <w:pPr>
        <w:pStyle w:val="ListParagraph"/>
        <w:numPr>
          <w:ilvl w:val="1"/>
          <w:numId w:val="40"/>
        </w:numPr>
        <w:rPr>
          <w:rFonts w:ascii="Times New Roman" w:hAnsi="Times New Roman" w:cs="Times New Roman"/>
          <w:sz w:val="24"/>
          <w:szCs w:val="24"/>
        </w:rPr>
      </w:pPr>
      <w:r w:rsidRPr="0088719C">
        <w:rPr>
          <w:rFonts w:ascii="Times New Roman" w:hAnsi="Times New Roman" w:cs="Times New Roman"/>
          <w:sz w:val="24"/>
          <w:szCs w:val="24"/>
        </w:rPr>
        <w:t>S</w:t>
      </w:r>
      <w:r w:rsidR="00811AB3" w:rsidRPr="0088719C">
        <w:rPr>
          <w:rFonts w:ascii="Times New Roman" w:hAnsi="Times New Roman" w:cs="Times New Roman"/>
          <w:sz w:val="24"/>
          <w:szCs w:val="24"/>
        </w:rPr>
        <w:t xml:space="preserve">īkākā iedalījumā tika pētītas </w:t>
      </w:r>
      <w:r w:rsidR="00811AB3" w:rsidRPr="0088719C">
        <w:rPr>
          <w:rFonts w:ascii="Times New Roman" w:hAnsi="Times New Roman" w:cs="Times New Roman"/>
          <w:b/>
          <w:bCs/>
          <w:sz w:val="24"/>
          <w:szCs w:val="24"/>
        </w:rPr>
        <w:t>būvniecības izmaksas pa resursu veidiem</w:t>
      </w:r>
      <w:r w:rsidR="00811AB3" w:rsidRPr="0088719C">
        <w:rPr>
          <w:rFonts w:ascii="Times New Roman" w:hAnsi="Times New Roman" w:cs="Times New Roman"/>
          <w:sz w:val="24"/>
          <w:szCs w:val="24"/>
        </w:rPr>
        <w:t xml:space="preserve"> – strādnieku darba samaksa, būvmateriāli, mašīnu un mehānismu uzturēšana un ekspluatācija kā arī arhitektūras un inženiertehniskie pakalpojumi; tehniskā pārbaude un analīze.</w:t>
      </w:r>
    </w:p>
    <w:p w14:paraId="5A6612CE"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Būtiskais izmaksu pieaugums 2021. gadā sagaidāms būvmateriāliem, kas gada griezumā tiek novērtēts 7,0% apmērā, 2022. gadā pieaugums tiek prognozēt 4,5% bet turpmākos gadus līdz 2025. gadam vidēji par 3,1% gadā.</w:t>
      </w:r>
    </w:p>
    <w:p w14:paraId="3CD4C0DA"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Strādnieku darba samaksai prognozēts vienmērīgs pieaugums līdzvērtīgs iepriekšējai piecgadei 2021. gadā pieaugot par 7,1%, bet 2022. gadā par 7,4% Turpmākajos gados pieaugums varētu samazināties un novērtēts kā vidēji 6,5% gadā.</w:t>
      </w:r>
    </w:p>
    <w:p w14:paraId="53060616"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Mašīnu un mehānismu izmaksām prognozēts samērā nebūtisks pieaugums 1,3% 2021. gadā un 1,1% 2022. gadā. Tālākā periodā pieaugums tiek novērtēts kā vēl zemāks un varētu sasniegt 0,2% pieaugumu 2025. gadā.</w:t>
      </w:r>
    </w:p>
    <w:p w14:paraId="70BC8F0A"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Dzīvojamo un nedzīvojamo ēku būvniecībā 2021. gadā jārēķinās ar būtiskāko būvmateriālu izmaksu pieaugumu 14,7-14,8% apmērā, savukārt darba samaksas pieaugums novērtēts kā 6,9-7,0%.</w:t>
      </w:r>
    </w:p>
    <w:p w14:paraId="0199A587"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Transporta objektu būvniecībā būtisks izmaksu pieaugums 2021. gadā prognozēts gan būvmateriāliem (10%), gan mašīnu un mehānismu uzturēšanai un ekspluatācijai (10%), savukārt darba samaksas pieaugums novērtēts 8,0% apjomā, kam tuvu seko arhitektūras un citi pakalpojumi ar 7,83% pieaugumu. Šai nozarei raksturīgas specifiskas prognozes, </w:t>
      </w:r>
      <w:r w:rsidRPr="000F4621">
        <w:rPr>
          <w:rFonts w:ascii="Times New Roman" w:hAnsi="Times New Roman" w:cs="Times New Roman"/>
          <w:sz w:val="24"/>
          <w:szCs w:val="24"/>
        </w:rPr>
        <w:lastRenderedPageBreak/>
        <w:t>ka tieši pakalpojumu izmaksas vienīgās pieaugs arvien straujāk un 2023.-2025. gadā vidēji varētu pieaugt par 9,6%.</w:t>
      </w:r>
    </w:p>
    <w:p w14:paraId="275FC627"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Pilsētsaimniecības infrastruktūras objektu būvniecībā lielākais pieaugums prognozēts arī būvmateriāliem ar 15,3% 2021. gadā, pārējiem resursu veidiem pieaugot mazāk – strādnieku darba samaksai par 7,6%, mašīnu un mehānismu izdevumiem par 6,6% un pakalpojumu izdevumiem par 7,7%.</w:t>
      </w:r>
    </w:p>
    <w:p w14:paraId="0CD2EA5F"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Specializēto būvdarbu apakšnozarē būvmateriālu izmaksu pieaugums 2021. gadā prognozēts 15,83% apmērā, kamēr darba samaksa izmaksu pieaugums novērtēts kā mazākais no resursu veidiem – 5,1%.</w:t>
      </w:r>
    </w:p>
    <w:p w14:paraId="620CFA4D" w14:textId="77777777" w:rsidR="00182520" w:rsidRDefault="00182520" w:rsidP="000F4621">
      <w:pPr>
        <w:ind w:firstLine="0"/>
        <w:rPr>
          <w:rFonts w:ascii="Times New Roman" w:hAnsi="Times New Roman" w:cs="Times New Roman"/>
          <w:b/>
          <w:bCs/>
          <w:sz w:val="24"/>
          <w:szCs w:val="24"/>
        </w:rPr>
      </w:pPr>
    </w:p>
    <w:p w14:paraId="40EAB4DF" w14:textId="4AA9757C" w:rsidR="00811AB3" w:rsidRPr="0088719C" w:rsidRDefault="00811AB3" w:rsidP="0088719C">
      <w:pPr>
        <w:pStyle w:val="ListParagraph"/>
        <w:numPr>
          <w:ilvl w:val="1"/>
          <w:numId w:val="40"/>
        </w:numPr>
        <w:rPr>
          <w:rFonts w:ascii="Times New Roman" w:hAnsi="Times New Roman" w:cs="Times New Roman"/>
          <w:b/>
          <w:bCs/>
          <w:sz w:val="24"/>
          <w:szCs w:val="24"/>
        </w:rPr>
      </w:pPr>
      <w:r w:rsidRPr="0088719C">
        <w:rPr>
          <w:rFonts w:ascii="Times New Roman" w:hAnsi="Times New Roman" w:cs="Times New Roman"/>
          <w:b/>
          <w:bCs/>
          <w:sz w:val="24"/>
          <w:szCs w:val="24"/>
        </w:rPr>
        <w:t>BŪVMATERIĀLU IZMAKSU IZMAIŅU PROGNOZES</w:t>
      </w:r>
    </w:p>
    <w:p w14:paraId="61E141B7" w14:textId="77777777" w:rsidR="00811AB3" w:rsidRPr="000F4621" w:rsidRDefault="00811AB3" w:rsidP="000F4621">
      <w:pPr>
        <w:ind w:firstLine="0"/>
        <w:rPr>
          <w:rFonts w:ascii="Times New Roman" w:hAnsi="Times New Roman" w:cs="Times New Roman"/>
          <w:sz w:val="24"/>
          <w:szCs w:val="24"/>
        </w:rPr>
      </w:pPr>
      <w:r w:rsidRPr="000F4621">
        <w:rPr>
          <w:rFonts w:ascii="Times New Roman" w:hAnsi="Times New Roman" w:cs="Times New Roman"/>
          <w:sz w:val="24"/>
          <w:szCs w:val="24"/>
        </w:rPr>
        <w:t xml:space="preserve">Aktuālā Pētījuma novitāte ir ekspertu piesaiste no tirdzniecības nozares, lai novērtētu </w:t>
      </w:r>
      <w:r w:rsidRPr="000F4621">
        <w:rPr>
          <w:rFonts w:ascii="Times New Roman" w:hAnsi="Times New Roman" w:cs="Times New Roman"/>
          <w:b/>
          <w:bCs/>
          <w:sz w:val="24"/>
          <w:szCs w:val="24"/>
        </w:rPr>
        <w:t>būvmateriālu izmaksu attīstības tendences</w:t>
      </w:r>
      <w:r w:rsidRPr="000F4621">
        <w:rPr>
          <w:rFonts w:ascii="Times New Roman" w:hAnsi="Times New Roman" w:cs="Times New Roman"/>
          <w:sz w:val="24"/>
          <w:szCs w:val="24"/>
        </w:rPr>
        <w:t>.</w:t>
      </w:r>
    </w:p>
    <w:p w14:paraId="18D51404"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No celtniecības pamatmateriāliem būtiskākais izmaksu pieaugums 2021. gadā tiek prognozēts kokmateriāliem 30,0% apmērā, kas laika periodā 2022.-2025. gads varētu būt vidēji 5,3% gadā. Otrs būtiskākais pieaugums 2021. gadā prognozēts metālizstrādājumiem 24,3% apmērā, kas turpmākos četrus gadus vidēji novērtēts kā 6,7% ikgadējs pieaugums.</w:t>
      </w:r>
    </w:p>
    <w:p w14:paraId="24F5F9C5"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Apdares materiālu kategorijā (ārējā, iekšēja, citi) būtiskākais izmaksu pieaugums 2021. gadā prognozēts iekšējās apdares materiāliem vidēji 11,0% apjomā, kas nākamajos četros gados vidēji novērtēts 6,3% apmērā. </w:t>
      </w:r>
    </w:p>
    <w:p w14:paraId="27097D0B"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Galveno sistēmu iekārto kategorijā būtiskākais izmaksu pieaugums 2021. gadā tiek prognozēts elektroenerģijas sistēmām 16,0% apmērā, kas varētu būtiski stabilizēties un līdz 2025. gadam vidēji augt par 3,3% gadā.  Pārējās pozīcijās izmaksu pieaugumi gaidāmi zem 8% robežas gadā.</w:t>
      </w:r>
    </w:p>
    <w:p w14:paraId="7EB7060D"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 xml:space="preserve">Pēc tirdzniecības ekspertu novērtējuma lielākais būvmateriālu īpatsvars ir cementam, betonam, pildvielām, smiltīm, grantij un citiem materiāliem 21,0% apmērā, kam seko metālizstrādājumi 17,3% apjomā un apdares materiāli 16,0% apjomā. </w:t>
      </w:r>
    </w:p>
    <w:p w14:paraId="243D5588" w14:textId="77777777" w:rsidR="00811AB3" w:rsidRPr="000F4621" w:rsidRDefault="00811AB3" w:rsidP="000F4621">
      <w:pPr>
        <w:ind w:firstLine="0"/>
        <w:rPr>
          <w:rFonts w:ascii="Times New Roman" w:hAnsi="Times New Roman" w:cs="Times New Roman"/>
          <w:b/>
          <w:bCs/>
          <w:sz w:val="24"/>
          <w:szCs w:val="24"/>
        </w:rPr>
      </w:pPr>
    </w:p>
    <w:p w14:paraId="6007022B" w14:textId="77777777" w:rsidR="00811AB3" w:rsidRPr="0088719C" w:rsidRDefault="00811AB3" w:rsidP="0088719C">
      <w:pPr>
        <w:pStyle w:val="ListParagraph"/>
        <w:numPr>
          <w:ilvl w:val="1"/>
          <w:numId w:val="40"/>
        </w:numPr>
        <w:rPr>
          <w:rFonts w:ascii="Times New Roman" w:hAnsi="Times New Roman" w:cs="Times New Roman"/>
          <w:b/>
          <w:bCs/>
          <w:sz w:val="24"/>
          <w:szCs w:val="24"/>
        </w:rPr>
      </w:pPr>
      <w:r w:rsidRPr="0088719C">
        <w:rPr>
          <w:rFonts w:ascii="Times New Roman" w:hAnsi="Times New Roman" w:cs="Times New Roman"/>
          <w:b/>
          <w:bCs/>
          <w:sz w:val="24"/>
          <w:szCs w:val="24"/>
        </w:rPr>
        <w:t>SPECIFISKAS IETEKMES</w:t>
      </w:r>
    </w:p>
    <w:p w14:paraId="0491FA46" w14:textId="77777777" w:rsidR="00811AB3" w:rsidRPr="000F4621" w:rsidRDefault="00811AB3" w:rsidP="000F4621">
      <w:pPr>
        <w:ind w:firstLine="0"/>
        <w:rPr>
          <w:rFonts w:ascii="Times New Roman" w:hAnsi="Times New Roman" w:cs="Times New Roman"/>
          <w:sz w:val="24"/>
          <w:szCs w:val="24"/>
        </w:rPr>
      </w:pPr>
      <w:r w:rsidRPr="000F4621">
        <w:rPr>
          <w:rFonts w:ascii="Times New Roman" w:hAnsi="Times New Roman" w:cs="Times New Roman"/>
          <w:sz w:val="24"/>
          <w:szCs w:val="24"/>
        </w:rPr>
        <w:t xml:space="preserve">Specifiski faktori, kas ietekmē būvniecības nozari, ir arī </w:t>
      </w:r>
      <w:r w:rsidRPr="000F4621">
        <w:rPr>
          <w:rFonts w:ascii="Times New Roman" w:hAnsi="Times New Roman" w:cs="Times New Roman"/>
          <w:b/>
          <w:bCs/>
          <w:sz w:val="24"/>
          <w:szCs w:val="24"/>
        </w:rPr>
        <w:t>ēnu ekonomikas apkarošanas pasākumi un COVID-19 pandēmija</w:t>
      </w:r>
      <w:r w:rsidRPr="000F4621">
        <w:rPr>
          <w:rFonts w:ascii="Times New Roman" w:hAnsi="Times New Roman" w:cs="Times New Roman"/>
          <w:sz w:val="24"/>
          <w:szCs w:val="24"/>
        </w:rPr>
        <w:t xml:space="preserve"> un ar to saistīto pasākumu vispārīgā ietekme uz būvniecības nozari.</w:t>
      </w:r>
    </w:p>
    <w:p w14:paraId="437E6BE3"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Ēnu ekonomikas apkarošanas pasākumiem ir viduvēja ietekme uz darbaspēka izmaksām, lielākā ietekme ir elektroniskās darba laika uzskaites sistēmas ieviešanai un minimālās darba samaksai noteikšanai būvniecība nozarē.</w:t>
      </w:r>
    </w:p>
    <w:p w14:paraId="19739E14"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lastRenderedPageBreak/>
        <w:t>Ēnu ekonomikas apkarošanas pasākumiem ir nenozīmīga ietekme uz būvmateriālu izmaksām.</w:t>
      </w:r>
    </w:p>
    <w:p w14:paraId="7F203266" w14:textId="77777777" w:rsidR="00811AB3" w:rsidRPr="000F4621"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COVID-19 ir atstāji viduvēju ietekmi uz būvmateriālu izmaksām, bet ietekme uz darbaspēka izmaksu vērtējama kā gandrīz vāja.</w:t>
      </w:r>
    </w:p>
    <w:p w14:paraId="073FA0F0" w14:textId="26EB372A" w:rsidR="00811AB3" w:rsidRDefault="00811AB3" w:rsidP="0088719C">
      <w:pPr>
        <w:pStyle w:val="ListParagraph"/>
        <w:numPr>
          <w:ilvl w:val="2"/>
          <w:numId w:val="40"/>
        </w:numPr>
        <w:ind w:left="1134"/>
        <w:rPr>
          <w:rFonts w:ascii="Times New Roman" w:hAnsi="Times New Roman" w:cs="Times New Roman"/>
          <w:sz w:val="24"/>
          <w:szCs w:val="24"/>
        </w:rPr>
      </w:pPr>
      <w:r w:rsidRPr="000F4621">
        <w:rPr>
          <w:rFonts w:ascii="Times New Roman" w:hAnsi="Times New Roman" w:cs="Times New Roman"/>
          <w:sz w:val="24"/>
          <w:szCs w:val="24"/>
        </w:rPr>
        <w:t>COVID-19 lielāku iespaidu atstāja uz būvmateriālu izmaksām, nekā uz darba samaksu. Vislielāko COVID-19 ietekmi uz būvmateriālu izmaksām saskata ēku būvniecības apakšnozares pārstāvji, savukārt vislielāko ietekmi uz darbaspēka izmaksām saskata būvmateriālu tirdzniecības eksperti.</w:t>
      </w:r>
    </w:p>
    <w:p w14:paraId="28AFFBE9" w14:textId="136DBA13" w:rsidR="00182520" w:rsidRDefault="00182520">
      <w:pPr>
        <w:spacing w:after="160" w:line="259" w:lineRule="auto"/>
        <w:ind w:firstLine="0"/>
        <w:jc w:val="left"/>
        <w:rPr>
          <w:rFonts w:ascii="Times New Roman" w:hAnsi="Times New Roman" w:cs="Times New Roman"/>
          <w:sz w:val="24"/>
          <w:szCs w:val="24"/>
        </w:rPr>
      </w:pPr>
      <w:r>
        <w:rPr>
          <w:rFonts w:ascii="Times New Roman" w:hAnsi="Times New Roman" w:cs="Times New Roman"/>
          <w:sz w:val="24"/>
          <w:szCs w:val="24"/>
        </w:rPr>
        <w:br w:type="page"/>
      </w:r>
    </w:p>
    <w:p w14:paraId="278B11B3" w14:textId="64E8870E" w:rsidR="004247BA" w:rsidRPr="0088719C" w:rsidRDefault="004247BA" w:rsidP="0088719C">
      <w:pPr>
        <w:pStyle w:val="Heading1"/>
        <w:numPr>
          <w:ilvl w:val="0"/>
          <w:numId w:val="40"/>
        </w:numPr>
        <w:spacing w:line="240" w:lineRule="auto"/>
        <w:jc w:val="both"/>
        <w:rPr>
          <w:b/>
          <w:bCs/>
          <w:color w:val="1B9DAB"/>
        </w:rPr>
      </w:pPr>
      <w:bookmarkStart w:id="31" w:name="_Toc80109873"/>
      <w:r w:rsidRPr="0088719C">
        <w:rPr>
          <w:b/>
          <w:bCs/>
          <w:color w:val="1B9DAB"/>
        </w:rPr>
        <w:lastRenderedPageBreak/>
        <w:t>Priekšlikumi</w:t>
      </w:r>
      <w:bookmarkEnd w:id="31"/>
    </w:p>
    <w:p w14:paraId="1BD4C4E3" w14:textId="77777777" w:rsidR="007F1CFA" w:rsidRDefault="007F1CFA" w:rsidP="00182520">
      <w:pPr>
        <w:ind w:firstLine="0"/>
        <w:rPr>
          <w:rFonts w:ascii="Times New Roman" w:hAnsi="Times New Roman" w:cs="Times New Roman"/>
          <w:sz w:val="24"/>
          <w:szCs w:val="24"/>
        </w:rPr>
      </w:pPr>
    </w:p>
    <w:p w14:paraId="692B7177" w14:textId="635A5752" w:rsidR="004247BA" w:rsidRPr="00182520" w:rsidRDefault="004247BA" w:rsidP="00182520">
      <w:pPr>
        <w:ind w:firstLine="0"/>
        <w:rPr>
          <w:sz w:val="24"/>
          <w:szCs w:val="24"/>
        </w:rPr>
      </w:pPr>
      <w:r w:rsidRPr="00182520">
        <w:rPr>
          <w:rFonts w:ascii="Times New Roman" w:hAnsi="Times New Roman" w:cs="Times New Roman"/>
          <w:sz w:val="24"/>
          <w:szCs w:val="24"/>
        </w:rPr>
        <w:t>Balstoties uz Pētījuma rezultātiem, ekspertu viedokļiem, nozares attīstības dinamiku un pētnieku vērtējumu tiek izvirzīti sekojoši priekšlikumi trīs blokos:</w:t>
      </w:r>
    </w:p>
    <w:p w14:paraId="0822A99C" w14:textId="295A7463" w:rsidR="004247BA" w:rsidRPr="00182520" w:rsidRDefault="004247BA" w:rsidP="00182520">
      <w:pPr>
        <w:ind w:firstLine="0"/>
        <w:rPr>
          <w:sz w:val="24"/>
          <w:szCs w:val="24"/>
        </w:rPr>
      </w:pPr>
      <w:r w:rsidRPr="00182520">
        <w:rPr>
          <w:rFonts w:ascii="Times New Roman" w:hAnsi="Times New Roman" w:cs="Times New Roman"/>
          <w:b/>
          <w:bCs/>
          <w:sz w:val="24"/>
          <w:szCs w:val="24"/>
        </w:rPr>
        <w:t>Pastiprināti detalizēti uzraudzīt aktuālo notiekošo būvniecībā</w:t>
      </w:r>
      <w:r w:rsidRPr="00182520">
        <w:rPr>
          <w:rFonts w:ascii="Times New Roman" w:hAnsi="Times New Roman" w:cs="Times New Roman"/>
          <w:sz w:val="24"/>
          <w:szCs w:val="24"/>
        </w:rPr>
        <w:t> </w:t>
      </w:r>
    </w:p>
    <w:p w14:paraId="34D1728E" w14:textId="63E294BD" w:rsidR="004247BA" w:rsidRPr="00182520" w:rsidRDefault="004247BA" w:rsidP="00182520">
      <w:pPr>
        <w:pStyle w:val="ListParagraph"/>
        <w:numPr>
          <w:ilvl w:val="0"/>
          <w:numId w:val="34"/>
        </w:numPr>
        <w:ind w:left="360"/>
        <w:contextualSpacing w:val="0"/>
        <w:rPr>
          <w:sz w:val="24"/>
          <w:szCs w:val="24"/>
        </w:rPr>
      </w:pPr>
      <w:r w:rsidRPr="00182520">
        <w:rPr>
          <w:rFonts w:ascii="Times New Roman" w:hAnsi="Times New Roman" w:cs="Times New Roman"/>
          <w:sz w:val="24"/>
          <w:szCs w:val="24"/>
        </w:rPr>
        <w:t xml:space="preserve">Būvizstrādājumu cenām nekrītoties vai turpinot pieaugt strādnieku samaksai, </w:t>
      </w:r>
      <w:r w:rsidRPr="00182520">
        <w:rPr>
          <w:rFonts w:ascii="Times New Roman" w:hAnsi="Times New Roman" w:cs="Times New Roman"/>
          <w:b/>
          <w:bCs/>
          <w:sz w:val="24"/>
          <w:szCs w:val="24"/>
        </w:rPr>
        <w:t>operatīvi reaģēt</w:t>
      </w:r>
      <w:r w:rsidRPr="00182520">
        <w:rPr>
          <w:rFonts w:ascii="Times New Roman" w:hAnsi="Times New Roman" w:cs="Times New Roman"/>
          <w:sz w:val="24"/>
          <w:szCs w:val="24"/>
        </w:rPr>
        <w:t>, īslaicīgi un kontrolēti mazinot publisko pasūtījumu vai ES fondu atbalsta apjomu.</w:t>
      </w:r>
    </w:p>
    <w:p w14:paraId="622483DB" w14:textId="1FDB79EE" w:rsidR="004247BA" w:rsidRPr="00182520" w:rsidRDefault="0066316C" w:rsidP="00182520">
      <w:pPr>
        <w:pStyle w:val="ListParagraph"/>
        <w:numPr>
          <w:ilvl w:val="0"/>
          <w:numId w:val="34"/>
        </w:numPr>
        <w:ind w:left="360"/>
        <w:contextualSpacing w:val="0"/>
        <w:rPr>
          <w:sz w:val="24"/>
          <w:szCs w:val="24"/>
        </w:rPr>
      </w:pPr>
      <w:r>
        <w:rPr>
          <w:rFonts w:ascii="Times New Roman" w:hAnsi="Times New Roman" w:cs="Times New Roman"/>
          <w:b/>
          <w:bCs/>
          <w:sz w:val="24"/>
          <w:szCs w:val="24"/>
        </w:rPr>
        <w:t>Sekot līdzi</w:t>
      </w:r>
      <w:r w:rsidR="004247BA" w:rsidRPr="00182520">
        <w:rPr>
          <w:rFonts w:ascii="Times New Roman" w:hAnsi="Times New Roman" w:cs="Times New Roman"/>
          <w:b/>
          <w:bCs/>
          <w:sz w:val="24"/>
          <w:szCs w:val="24"/>
        </w:rPr>
        <w:t xml:space="preserve"> būvmateriālu cenu dinamikas atbilstīb</w:t>
      </w:r>
      <w:r>
        <w:rPr>
          <w:rFonts w:ascii="Times New Roman" w:hAnsi="Times New Roman" w:cs="Times New Roman"/>
          <w:b/>
          <w:bCs/>
          <w:sz w:val="24"/>
          <w:szCs w:val="24"/>
        </w:rPr>
        <w:t>ai</w:t>
      </w:r>
      <w:r w:rsidR="004247BA" w:rsidRPr="00182520">
        <w:rPr>
          <w:rFonts w:ascii="Times New Roman" w:hAnsi="Times New Roman" w:cs="Times New Roman"/>
          <w:b/>
          <w:bCs/>
          <w:sz w:val="24"/>
          <w:szCs w:val="24"/>
        </w:rPr>
        <w:t xml:space="preserve"> pasaules cenu dinamikai</w:t>
      </w:r>
      <w:r>
        <w:rPr>
          <w:rFonts w:ascii="Times New Roman" w:hAnsi="Times New Roman" w:cs="Times New Roman"/>
          <w:b/>
          <w:bCs/>
          <w:sz w:val="24"/>
          <w:szCs w:val="24"/>
        </w:rPr>
        <w:t>, lai mazināt</w:t>
      </w:r>
      <w:r w:rsidR="00F43189">
        <w:rPr>
          <w:rFonts w:ascii="Times New Roman" w:hAnsi="Times New Roman" w:cs="Times New Roman"/>
          <w:b/>
          <w:bCs/>
          <w:sz w:val="24"/>
          <w:szCs w:val="24"/>
        </w:rPr>
        <w:t>u</w:t>
      </w:r>
      <w:r>
        <w:rPr>
          <w:rFonts w:ascii="Times New Roman" w:hAnsi="Times New Roman" w:cs="Times New Roman"/>
          <w:b/>
          <w:bCs/>
          <w:sz w:val="24"/>
          <w:szCs w:val="24"/>
        </w:rPr>
        <w:t xml:space="preserve"> risku, </w:t>
      </w:r>
      <w:r w:rsidRPr="0066316C">
        <w:rPr>
          <w:rFonts w:ascii="Times New Roman" w:hAnsi="Times New Roman" w:cs="Times New Roman"/>
          <w:sz w:val="24"/>
          <w:szCs w:val="24"/>
        </w:rPr>
        <w:t>ka</w:t>
      </w:r>
      <w:r w:rsidR="004247BA" w:rsidRPr="00182520">
        <w:rPr>
          <w:rFonts w:ascii="Times New Roman" w:hAnsi="Times New Roman" w:cs="Times New Roman"/>
          <w:sz w:val="24"/>
          <w:szCs w:val="24"/>
        </w:rPr>
        <w:t xml:space="preserve"> pasaules cenu kritumam neseko cenu kritums Latvijas tirgū. </w:t>
      </w:r>
    </w:p>
    <w:p w14:paraId="2DE35355" w14:textId="3CFE479B" w:rsidR="004247BA" w:rsidRPr="00182520" w:rsidRDefault="004247BA" w:rsidP="0088719C">
      <w:pPr>
        <w:pStyle w:val="ListParagraph"/>
        <w:ind w:left="360" w:firstLine="0"/>
        <w:contextualSpacing w:val="0"/>
        <w:rPr>
          <w:sz w:val="24"/>
          <w:szCs w:val="24"/>
        </w:rPr>
      </w:pPr>
    </w:p>
    <w:p w14:paraId="32EE056B" w14:textId="2D54EF68" w:rsidR="004247BA" w:rsidRPr="00182520" w:rsidRDefault="004247BA" w:rsidP="00182520">
      <w:pPr>
        <w:ind w:firstLine="0"/>
        <w:rPr>
          <w:sz w:val="24"/>
          <w:szCs w:val="24"/>
          <w:lang w:val="en-GB"/>
        </w:rPr>
      </w:pPr>
      <w:r w:rsidRPr="00182520">
        <w:rPr>
          <w:rFonts w:ascii="Times New Roman" w:hAnsi="Times New Roman" w:cs="Times New Roman"/>
          <w:b/>
          <w:bCs/>
          <w:sz w:val="24"/>
          <w:szCs w:val="24"/>
          <w:lang w:val="da-DK"/>
        </w:rPr>
        <w:t>Turpināt pilnveidot saņemto gan statistiskas, gan kvalitatīvo datu ātrumu.</w:t>
      </w:r>
      <w:r w:rsidRPr="00182520">
        <w:rPr>
          <w:rFonts w:ascii="Times New Roman" w:hAnsi="Times New Roman" w:cs="Times New Roman"/>
          <w:sz w:val="24"/>
          <w:szCs w:val="24"/>
          <w:lang w:val="da-DK"/>
        </w:rPr>
        <w:t> </w:t>
      </w:r>
    </w:p>
    <w:p w14:paraId="303CD08A" w14:textId="77777777" w:rsidR="004247BA" w:rsidRPr="00182520" w:rsidRDefault="004247BA" w:rsidP="00182520">
      <w:pPr>
        <w:pStyle w:val="ListParagraph"/>
        <w:numPr>
          <w:ilvl w:val="0"/>
          <w:numId w:val="34"/>
        </w:numPr>
        <w:ind w:left="360"/>
        <w:contextualSpacing w:val="0"/>
        <w:rPr>
          <w:sz w:val="24"/>
          <w:szCs w:val="24"/>
          <w:lang w:val="en-GB"/>
        </w:rPr>
      </w:pPr>
      <w:r w:rsidRPr="00182520">
        <w:rPr>
          <w:rFonts w:ascii="Times New Roman" w:hAnsi="Times New Roman" w:cs="Times New Roman"/>
          <w:b/>
          <w:bCs/>
          <w:sz w:val="24"/>
          <w:szCs w:val="24"/>
          <w:lang w:val="da-DK"/>
        </w:rPr>
        <w:t>Turpināt pilnveidot</w:t>
      </w:r>
      <w:r w:rsidRPr="00182520">
        <w:rPr>
          <w:rFonts w:ascii="Times New Roman" w:hAnsi="Times New Roman" w:cs="Times New Roman"/>
          <w:sz w:val="24"/>
          <w:szCs w:val="24"/>
          <w:lang w:val="da-DK"/>
        </w:rPr>
        <w:t xml:space="preserve"> valsts iestāžu un būvniecības nozari pārstāvošo </w:t>
      </w:r>
      <w:r w:rsidRPr="00182520">
        <w:rPr>
          <w:rFonts w:ascii="Times New Roman" w:hAnsi="Times New Roman" w:cs="Times New Roman"/>
          <w:b/>
          <w:bCs/>
          <w:sz w:val="24"/>
          <w:szCs w:val="24"/>
          <w:lang w:val="da-DK"/>
        </w:rPr>
        <w:t>organizāciju sadarbību</w:t>
      </w:r>
      <w:r w:rsidRPr="00182520">
        <w:rPr>
          <w:rFonts w:ascii="Times New Roman" w:hAnsi="Times New Roman" w:cs="Times New Roman"/>
          <w:sz w:val="24"/>
          <w:szCs w:val="24"/>
          <w:lang w:val="da-DK"/>
        </w:rPr>
        <w:t xml:space="preserve"> </w:t>
      </w:r>
      <w:r w:rsidRPr="00182520">
        <w:rPr>
          <w:rFonts w:ascii="Times New Roman" w:hAnsi="Times New Roman" w:cs="Times New Roman"/>
          <w:b/>
          <w:bCs/>
          <w:sz w:val="24"/>
          <w:szCs w:val="24"/>
          <w:lang w:val="da-DK"/>
        </w:rPr>
        <w:t>savlaicīgai riska situāciju noteikšanai</w:t>
      </w:r>
      <w:r w:rsidRPr="00182520">
        <w:rPr>
          <w:rFonts w:ascii="Times New Roman" w:hAnsi="Times New Roman" w:cs="Times New Roman"/>
          <w:sz w:val="24"/>
          <w:szCs w:val="24"/>
          <w:lang w:val="da-DK"/>
        </w:rPr>
        <w:t xml:space="preserve"> saistībā ar atsevišķu būvniecības izdevumu pozīciju fluktuācijām.</w:t>
      </w:r>
    </w:p>
    <w:p w14:paraId="7B7674E1" w14:textId="2A4B926B" w:rsidR="004247BA" w:rsidRPr="00182520" w:rsidRDefault="004247BA" w:rsidP="00182520">
      <w:pPr>
        <w:pStyle w:val="ListParagraph"/>
        <w:ind w:left="360" w:firstLine="0"/>
        <w:contextualSpacing w:val="0"/>
        <w:rPr>
          <w:sz w:val="24"/>
          <w:szCs w:val="24"/>
          <w:lang w:val="en-GB"/>
        </w:rPr>
      </w:pPr>
      <w:r w:rsidRPr="00182520">
        <w:rPr>
          <w:rFonts w:ascii="Times New Roman" w:hAnsi="Times New Roman" w:cs="Times New Roman"/>
          <w:sz w:val="24"/>
          <w:szCs w:val="24"/>
          <w:lang w:val="da-DK"/>
        </w:rPr>
        <w:t> </w:t>
      </w:r>
    </w:p>
    <w:p w14:paraId="0A6ED3ED" w14:textId="1404B9FE" w:rsidR="004247BA" w:rsidRPr="00182520" w:rsidRDefault="004247BA" w:rsidP="00182520">
      <w:pPr>
        <w:ind w:firstLine="0"/>
        <w:rPr>
          <w:sz w:val="24"/>
          <w:szCs w:val="24"/>
          <w:lang w:val="en-GB"/>
        </w:rPr>
      </w:pPr>
      <w:r w:rsidRPr="00182520">
        <w:rPr>
          <w:rFonts w:ascii="Times New Roman" w:hAnsi="Times New Roman" w:cs="Times New Roman"/>
          <w:b/>
          <w:bCs/>
          <w:sz w:val="24"/>
          <w:szCs w:val="24"/>
          <w:lang w:val="da-DK"/>
        </w:rPr>
        <w:t>Turpināt pilnveidot pasākumus, kas palīdz mazināt būvniecības jomas atkarību no 3</w:t>
      </w:r>
      <w:r w:rsidR="00182520">
        <w:rPr>
          <w:rFonts w:ascii="Times New Roman" w:hAnsi="Times New Roman" w:cs="Times New Roman"/>
          <w:b/>
          <w:bCs/>
          <w:sz w:val="24"/>
          <w:szCs w:val="24"/>
          <w:lang w:val="da-DK"/>
        </w:rPr>
        <w:t> </w:t>
      </w:r>
      <w:r w:rsidRPr="00182520">
        <w:rPr>
          <w:rFonts w:ascii="Times New Roman" w:hAnsi="Times New Roman" w:cs="Times New Roman"/>
          <w:b/>
          <w:bCs/>
          <w:sz w:val="24"/>
          <w:szCs w:val="24"/>
          <w:lang w:val="da-DK"/>
        </w:rPr>
        <w:t xml:space="preserve">galvenajiem ietekmētājiem – straujām apjoma, darbaspēka un būvizstrādājumu svārstībām.  </w:t>
      </w:r>
    </w:p>
    <w:p w14:paraId="58C4EC0F" w14:textId="77777777" w:rsidR="004247BA" w:rsidRPr="00182520" w:rsidRDefault="004247BA" w:rsidP="00182520">
      <w:pPr>
        <w:pStyle w:val="ListParagraph"/>
        <w:numPr>
          <w:ilvl w:val="0"/>
          <w:numId w:val="34"/>
        </w:numPr>
        <w:ind w:left="360"/>
        <w:contextualSpacing w:val="0"/>
        <w:rPr>
          <w:sz w:val="24"/>
          <w:szCs w:val="24"/>
          <w:lang w:val="en-GB"/>
        </w:rPr>
      </w:pPr>
      <w:r w:rsidRPr="00182520">
        <w:rPr>
          <w:rFonts w:ascii="Times New Roman" w:hAnsi="Times New Roman" w:cs="Times New Roman"/>
          <w:b/>
          <w:bCs/>
          <w:sz w:val="24"/>
          <w:szCs w:val="24"/>
          <w:lang w:val="da-DK"/>
        </w:rPr>
        <w:t>Turpināt palielināt būvniecības nozares produktivitāti</w:t>
      </w:r>
      <w:r w:rsidRPr="00182520">
        <w:rPr>
          <w:rFonts w:ascii="Times New Roman" w:hAnsi="Times New Roman" w:cs="Times New Roman"/>
          <w:sz w:val="24"/>
          <w:szCs w:val="24"/>
          <w:lang w:val="da-DK"/>
        </w:rPr>
        <w:t>, attīstot moduļveida izstrādājumu ražošanu un veicinot tālāku automatizāciju, lai samazinātu strādnieku darba samaksas izmaksu īpatsvaru būvniecības izdevumos.</w:t>
      </w:r>
    </w:p>
    <w:p w14:paraId="44281BAB" w14:textId="667FF61B" w:rsidR="0042102A" w:rsidRPr="0066316C" w:rsidRDefault="004247BA" w:rsidP="0066316C">
      <w:pPr>
        <w:pStyle w:val="ListParagraph"/>
        <w:numPr>
          <w:ilvl w:val="0"/>
          <w:numId w:val="34"/>
        </w:numPr>
        <w:ind w:left="360"/>
        <w:contextualSpacing w:val="0"/>
        <w:rPr>
          <w:sz w:val="24"/>
          <w:szCs w:val="24"/>
          <w:lang w:val="en-GB"/>
        </w:rPr>
      </w:pPr>
      <w:r w:rsidRPr="00182520">
        <w:rPr>
          <w:rFonts w:ascii="Times New Roman" w:hAnsi="Times New Roman" w:cs="Times New Roman"/>
          <w:b/>
          <w:bCs/>
          <w:sz w:val="24"/>
          <w:szCs w:val="24"/>
          <w:lang w:val="da-DK"/>
        </w:rPr>
        <w:t>Turpināt atbalstīt BIM ieviešanu</w:t>
      </w:r>
      <w:r w:rsidRPr="00182520">
        <w:rPr>
          <w:rFonts w:ascii="Times New Roman" w:hAnsi="Times New Roman" w:cs="Times New Roman"/>
          <w:sz w:val="24"/>
          <w:szCs w:val="24"/>
          <w:lang w:val="da-DK"/>
        </w:rPr>
        <w:t xml:space="preserve"> Latvijas būvniecības tirgū ar valsts pasūtījuma tehnisko prasību palīdzību, lai vidējā un ilgtermiņā mazinātu kopējās būvdarbu un būvju uzturēšanas izmaksas. </w:t>
      </w:r>
      <w:bookmarkEnd w:id="30"/>
    </w:p>
    <w:sectPr w:rsidR="0042102A" w:rsidRPr="0066316C" w:rsidSect="004B1626">
      <w:headerReference w:type="default" r:id="rId42"/>
      <w:footerReference w:type="default" r:id="rId43"/>
      <w:headerReference w:type="first" r:id="rId44"/>
      <w:footnotePr>
        <w:numRestart w:val="eachPage"/>
      </w:footnotePr>
      <w:pgSz w:w="11907" w:h="16840" w:code="9"/>
      <w:pgMar w:top="737" w:right="1275" w:bottom="1134" w:left="102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8D813" w14:textId="77777777" w:rsidR="001A27FD" w:rsidRDefault="001A27FD" w:rsidP="00505AF8">
      <w:pPr>
        <w:spacing w:line="240" w:lineRule="auto"/>
      </w:pPr>
      <w:r>
        <w:separator/>
      </w:r>
    </w:p>
  </w:endnote>
  <w:endnote w:type="continuationSeparator" w:id="0">
    <w:p w14:paraId="0E3F4727" w14:textId="77777777" w:rsidR="001A27FD" w:rsidRDefault="001A27FD" w:rsidP="00505A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ndara">
    <w:panose1 w:val="020E0502030303020204"/>
    <w:charset w:val="BA"/>
    <w:family w:val="swiss"/>
    <w:pitch w:val="variable"/>
    <w:sig w:usb0="A00002EF" w:usb1="4000A44B" w:usb2="00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ndalus">
    <w:charset w:val="00"/>
    <w:family w:val="roman"/>
    <w:pitch w:val="variable"/>
    <w:sig w:usb0="00002003" w:usb1="80000000" w:usb2="00000008" w:usb3="00000000" w:csb0="00000041"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8A9A6" w14:textId="6AFF8DEA" w:rsidR="00172938" w:rsidRDefault="00172938">
    <w:pPr>
      <w:pStyle w:val="Footer"/>
      <w:jc w:val="right"/>
    </w:pPr>
  </w:p>
  <w:p w14:paraId="41311CD0" w14:textId="45494B39" w:rsidR="00172938" w:rsidRDefault="00172938" w:rsidP="00CA6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D6D37" w14:textId="77777777" w:rsidR="001A27FD" w:rsidRDefault="001A27FD" w:rsidP="00505AF8">
      <w:pPr>
        <w:spacing w:line="240" w:lineRule="auto"/>
      </w:pPr>
      <w:r>
        <w:separator/>
      </w:r>
    </w:p>
  </w:footnote>
  <w:footnote w:type="continuationSeparator" w:id="0">
    <w:p w14:paraId="4A925602" w14:textId="77777777" w:rsidR="001A27FD" w:rsidRDefault="001A27FD" w:rsidP="00505AF8">
      <w:pPr>
        <w:spacing w:line="240" w:lineRule="auto"/>
      </w:pPr>
      <w:r>
        <w:continuationSeparator/>
      </w:r>
    </w:p>
  </w:footnote>
  <w:footnote w:id="1">
    <w:p w14:paraId="52D42C6B" w14:textId="21E4F11B" w:rsidR="00172938" w:rsidRPr="00E06045" w:rsidRDefault="00172938" w:rsidP="00AF4C4F">
      <w:pPr>
        <w:pStyle w:val="FootnoteText"/>
        <w:rPr>
          <w:sz w:val="2"/>
          <w:szCs w:val="2"/>
        </w:rPr>
      </w:pPr>
    </w:p>
  </w:footnote>
  <w:footnote w:id="2">
    <w:p w14:paraId="4B8DCACF" w14:textId="580CEC52" w:rsidR="00172938" w:rsidRDefault="00172938" w:rsidP="00E06045">
      <w:pPr>
        <w:spacing w:line="276" w:lineRule="auto"/>
        <w:ind w:firstLine="0"/>
      </w:pPr>
      <w:r>
        <w:rPr>
          <w:rStyle w:val="FootnoteReference"/>
        </w:rPr>
        <w:footnoteRef/>
      </w:r>
      <w:r>
        <w:t xml:space="preserve"> </w:t>
      </w:r>
      <w:r w:rsidRPr="00F71B16">
        <w:rPr>
          <w:rFonts w:ascii="Times New Roman" w:hAnsi="Times New Roman" w:cs="Times New Roman"/>
          <w:sz w:val="18"/>
          <w:szCs w:val="18"/>
        </w:rPr>
        <w:t>Simulācijā nav iekļauta negatīvas izaugsmes situācija, jo tādas modelēšanai trūkst novērojumu.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2608982"/>
      <w:docPartObj>
        <w:docPartGallery w:val="Page Numbers (Top of Page)"/>
        <w:docPartUnique/>
      </w:docPartObj>
    </w:sdtPr>
    <w:sdtEndPr>
      <w:rPr>
        <w:noProof/>
      </w:rPr>
    </w:sdtEndPr>
    <w:sdtContent>
      <w:p w14:paraId="516D3C76" w14:textId="55A7B39D" w:rsidR="002A2F81" w:rsidRDefault="002A2F8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697BF20" w14:textId="10D75602" w:rsidR="00172938" w:rsidRDefault="001729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ABD2A" w14:textId="4A079F17" w:rsidR="00172938" w:rsidRDefault="00172938">
    <w:pPr>
      <w:pStyle w:val="Header"/>
    </w:pPr>
  </w:p>
  <w:p w14:paraId="216F03A8" w14:textId="77777777" w:rsidR="00172938" w:rsidRDefault="001729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4133"/>
    <w:multiLevelType w:val="hybridMultilevel"/>
    <w:tmpl w:val="1214DC82"/>
    <w:lvl w:ilvl="0" w:tplc="40846B54">
      <w:numFmt w:val="bullet"/>
      <w:lvlText w:val="-"/>
      <w:lvlJc w:val="left"/>
      <w:pPr>
        <w:ind w:left="1069" w:hanging="360"/>
      </w:pPr>
      <w:rPr>
        <w:rFonts w:ascii="Times New Roman" w:eastAsiaTheme="minorEastAsia"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2A8150A"/>
    <w:multiLevelType w:val="hybridMultilevel"/>
    <w:tmpl w:val="BFCC9078"/>
    <w:lvl w:ilvl="0" w:tplc="25C0AA90">
      <w:start w:val="1"/>
      <w:numFmt w:val="decimal"/>
      <w:lvlText w:val="%1."/>
      <w:lvlJc w:val="left"/>
      <w:pPr>
        <w:ind w:left="633" w:hanging="360"/>
      </w:pPr>
      <w:rPr>
        <w:rFonts w:hint="default"/>
      </w:rPr>
    </w:lvl>
    <w:lvl w:ilvl="1" w:tplc="04260019" w:tentative="1">
      <w:start w:val="1"/>
      <w:numFmt w:val="lowerLetter"/>
      <w:lvlText w:val="%2."/>
      <w:lvlJc w:val="left"/>
      <w:pPr>
        <w:ind w:left="1353" w:hanging="360"/>
      </w:pPr>
    </w:lvl>
    <w:lvl w:ilvl="2" w:tplc="0426001B" w:tentative="1">
      <w:start w:val="1"/>
      <w:numFmt w:val="lowerRoman"/>
      <w:lvlText w:val="%3."/>
      <w:lvlJc w:val="right"/>
      <w:pPr>
        <w:ind w:left="2073" w:hanging="180"/>
      </w:pPr>
    </w:lvl>
    <w:lvl w:ilvl="3" w:tplc="0426000F" w:tentative="1">
      <w:start w:val="1"/>
      <w:numFmt w:val="decimal"/>
      <w:lvlText w:val="%4."/>
      <w:lvlJc w:val="left"/>
      <w:pPr>
        <w:ind w:left="2793" w:hanging="360"/>
      </w:pPr>
    </w:lvl>
    <w:lvl w:ilvl="4" w:tplc="04260019" w:tentative="1">
      <w:start w:val="1"/>
      <w:numFmt w:val="lowerLetter"/>
      <w:lvlText w:val="%5."/>
      <w:lvlJc w:val="left"/>
      <w:pPr>
        <w:ind w:left="3513" w:hanging="360"/>
      </w:pPr>
    </w:lvl>
    <w:lvl w:ilvl="5" w:tplc="0426001B" w:tentative="1">
      <w:start w:val="1"/>
      <w:numFmt w:val="lowerRoman"/>
      <w:lvlText w:val="%6."/>
      <w:lvlJc w:val="right"/>
      <w:pPr>
        <w:ind w:left="4233" w:hanging="180"/>
      </w:pPr>
    </w:lvl>
    <w:lvl w:ilvl="6" w:tplc="0426000F" w:tentative="1">
      <w:start w:val="1"/>
      <w:numFmt w:val="decimal"/>
      <w:lvlText w:val="%7."/>
      <w:lvlJc w:val="left"/>
      <w:pPr>
        <w:ind w:left="4953" w:hanging="360"/>
      </w:pPr>
    </w:lvl>
    <w:lvl w:ilvl="7" w:tplc="04260019" w:tentative="1">
      <w:start w:val="1"/>
      <w:numFmt w:val="lowerLetter"/>
      <w:lvlText w:val="%8."/>
      <w:lvlJc w:val="left"/>
      <w:pPr>
        <w:ind w:left="5673" w:hanging="360"/>
      </w:pPr>
    </w:lvl>
    <w:lvl w:ilvl="8" w:tplc="0426001B" w:tentative="1">
      <w:start w:val="1"/>
      <w:numFmt w:val="lowerRoman"/>
      <w:lvlText w:val="%9."/>
      <w:lvlJc w:val="right"/>
      <w:pPr>
        <w:ind w:left="6393" w:hanging="180"/>
      </w:pPr>
    </w:lvl>
  </w:abstractNum>
  <w:abstractNum w:abstractNumId="2" w15:restartNumberingAfterBreak="0">
    <w:nsid w:val="03255B3F"/>
    <w:multiLevelType w:val="hybridMultilevel"/>
    <w:tmpl w:val="8B56D47C"/>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 w15:restartNumberingAfterBreak="0">
    <w:nsid w:val="0DF81022"/>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4" w15:restartNumberingAfterBreak="0">
    <w:nsid w:val="0F2F3761"/>
    <w:multiLevelType w:val="hybridMultilevel"/>
    <w:tmpl w:val="A00EC284"/>
    <w:lvl w:ilvl="0" w:tplc="0426000F">
      <w:start w:val="1"/>
      <w:numFmt w:val="decimal"/>
      <w:lvlText w:val="%1."/>
      <w:lvlJc w:val="left"/>
      <w:pPr>
        <w:ind w:left="993" w:hanging="360"/>
      </w:pPr>
    </w:lvl>
    <w:lvl w:ilvl="1" w:tplc="04260019" w:tentative="1">
      <w:start w:val="1"/>
      <w:numFmt w:val="lowerLetter"/>
      <w:lvlText w:val="%2."/>
      <w:lvlJc w:val="left"/>
      <w:pPr>
        <w:ind w:left="1713" w:hanging="360"/>
      </w:pPr>
    </w:lvl>
    <w:lvl w:ilvl="2" w:tplc="0426001B" w:tentative="1">
      <w:start w:val="1"/>
      <w:numFmt w:val="lowerRoman"/>
      <w:lvlText w:val="%3."/>
      <w:lvlJc w:val="right"/>
      <w:pPr>
        <w:ind w:left="2433" w:hanging="180"/>
      </w:pPr>
    </w:lvl>
    <w:lvl w:ilvl="3" w:tplc="0426000F" w:tentative="1">
      <w:start w:val="1"/>
      <w:numFmt w:val="decimal"/>
      <w:lvlText w:val="%4."/>
      <w:lvlJc w:val="left"/>
      <w:pPr>
        <w:ind w:left="3153" w:hanging="360"/>
      </w:pPr>
    </w:lvl>
    <w:lvl w:ilvl="4" w:tplc="04260019" w:tentative="1">
      <w:start w:val="1"/>
      <w:numFmt w:val="lowerLetter"/>
      <w:lvlText w:val="%5."/>
      <w:lvlJc w:val="left"/>
      <w:pPr>
        <w:ind w:left="3873" w:hanging="360"/>
      </w:pPr>
    </w:lvl>
    <w:lvl w:ilvl="5" w:tplc="0426001B" w:tentative="1">
      <w:start w:val="1"/>
      <w:numFmt w:val="lowerRoman"/>
      <w:lvlText w:val="%6."/>
      <w:lvlJc w:val="right"/>
      <w:pPr>
        <w:ind w:left="4593" w:hanging="180"/>
      </w:pPr>
    </w:lvl>
    <w:lvl w:ilvl="6" w:tplc="0426000F" w:tentative="1">
      <w:start w:val="1"/>
      <w:numFmt w:val="decimal"/>
      <w:lvlText w:val="%7."/>
      <w:lvlJc w:val="left"/>
      <w:pPr>
        <w:ind w:left="5313" w:hanging="360"/>
      </w:pPr>
    </w:lvl>
    <w:lvl w:ilvl="7" w:tplc="04260019" w:tentative="1">
      <w:start w:val="1"/>
      <w:numFmt w:val="lowerLetter"/>
      <w:lvlText w:val="%8."/>
      <w:lvlJc w:val="left"/>
      <w:pPr>
        <w:ind w:left="6033" w:hanging="360"/>
      </w:pPr>
    </w:lvl>
    <w:lvl w:ilvl="8" w:tplc="0426001B" w:tentative="1">
      <w:start w:val="1"/>
      <w:numFmt w:val="lowerRoman"/>
      <w:lvlText w:val="%9."/>
      <w:lvlJc w:val="right"/>
      <w:pPr>
        <w:ind w:left="6753" w:hanging="180"/>
      </w:pPr>
    </w:lvl>
  </w:abstractNum>
  <w:abstractNum w:abstractNumId="5" w15:restartNumberingAfterBreak="0">
    <w:nsid w:val="0FD80FE1"/>
    <w:multiLevelType w:val="hybridMultilevel"/>
    <w:tmpl w:val="B4DAA340"/>
    <w:lvl w:ilvl="0" w:tplc="04260001">
      <w:start w:val="1"/>
      <w:numFmt w:val="bullet"/>
      <w:lvlText w:val=""/>
      <w:lvlJc w:val="left"/>
      <w:pPr>
        <w:ind w:left="1440" w:hanging="360"/>
      </w:pPr>
      <w:rPr>
        <w:rFonts w:ascii="Symbol" w:hAnsi="Symbol"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1C321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EC0C02"/>
    <w:multiLevelType w:val="hybridMultilevel"/>
    <w:tmpl w:val="86FCDC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4E124D"/>
    <w:multiLevelType w:val="hybridMultilevel"/>
    <w:tmpl w:val="8D9E51A2"/>
    <w:lvl w:ilvl="0" w:tplc="04260001">
      <w:start w:val="1"/>
      <w:numFmt w:val="bullet"/>
      <w:lvlText w:val=""/>
      <w:lvlJc w:val="left"/>
      <w:pPr>
        <w:ind w:left="1440" w:hanging="360"/>
      </w:pPr>
      <w:rPr>
        <w:rFonts w:ascii="Symbol" w:hAnsi="Symbol"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1B5A705A"/>
    <w:multiLevelType w:val="hybridMultilevel"/>
    <w:tmpl w:val="E4728768"/>
    <w:lvl w:ilvl="0" w:tplc="0426000F">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07B5918"/>
    <w:multiLevelType w:val="multilevel"/>
    <w:tmpl w:val="4F5029C0"/>
    <w:lvl w:ilvl="0">
      <w:start w:val="1"/>
      <w:numFmt w:val="decimal"/>
      <w:lvlText w:val="%1."/>
      <w:lvlJc w:val="left"/>
      <w:pPr>
        <w:ind w:left="420" w:hanging="420"/>
      </w:pPr>
      <w:rPr>
        <w:rFonts w:hint="default"/>
      </w:rPr>
    </w:lvl>
    <w:lvl w:ilvl="1">
      <w:start w:val="3"/>
      <w:numFmt w:val="decimal"/>
      <w:lvlText w:val="%1.%2."/>
      <w:lvlJc w:val="left"/>
      <w:pPr>
        <w:ind w:left="1942"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4746" w:hanging="1080"/>
      </w:pPr>
      <w:rPr>
        <w:rFonts w:hint="default"/>
      </w:rPr>
    </w:lvl>
    <w:lvl w:ilvl="4">
      <w:start w:val="1"/>
      <w:numFmt w:val="decimal"/>
      <w:lvlText w:val="%1.%2.%3.%4.%5."/>
      <w:lvlJc w:val="left"/>
      <w:pPr>
        <w:ind w:left="6328" w:hanging="1440"/>
      </w:pPr>
      <w:rPr>
        <w:rFonts w:hint="default"/>
      </w:rPr>
    </w:lvl>
    <w:lvl w:ilvl="5">
      <w:start w:val="1"/>
      <w:numFmt w:val="decimal"/>
      <w:lvlText w:val="%1.%2.%3.%4.%5.%6."/>
      <w:lvlJc w:val="left"/>
      <w:pPr>
        <w:ind w:left="7550" w:hanging="1440"/>
      </w:pPr>
      <w:rPr>
        <w:rFonts w:hint="default"/>
      </w:rPr>
    </w:lvl>
    <w:lvl w:ilvl="6">
      <w:start w:val="1"/>
      <w:numFmt w:val="decimal"/>
      <w:lvlText w:val="%1.%2.%3.%4.%5.%6.%7."/>
      <w:lvlJc w:val="left"/>
      <w:pPr>
        <w:ind w:left="9132" w:hanging="1800"/>
      </w:pPr>
      <w:rPr>
        <w:rFonts w:hint="default"/>
      </w:rPr>
    </w:lvl>
    <w:lvl w:ilvl="7">
      <w:start w:val="1"/>
      <w:numFmt w:val="decimal"/>
      <w:lvlText w:val="%1.%2.%3.%4.%5.%6.%7.%8."/>
      <w:lvlJc w:val="left"/>
      <w:pPr>
        <w:ind w:left="10354" w:hanging="1800"/>
      </w:pPr>
      <w:rPr>
        <w:rFonts w:hint="default"/>
      </w:rPr>
    </w:lvl>
    <w:lvl w:ilvl="8">
      <w:start w:val="1"/>
      <w:numFmt w:val="decimal"/>
      <w:lvlText w:val="%1.%2.%3.%4.%5.%6.%7.%8.%9."/>
      <w:lvlJc w:val="left"/>
      <w:pPr>
        <w:ind w:left="11936" w:hanging="2160"/>
      </w:pPr>
      <w:rPr>
        <w:rFonts w:hint="default"/>
      </w:rPr>
    </w:lvl>
  </w:abstractNum>
  <w:abstractNum w:abstractNumId="11" w15:restartNumberingAfterBreak="0">
    <w:nsid w:val="20A50743"/>
    <w:multiLevelType w:val="multilevel"/>
    <w:tmpl w:val="8F08A636"/>
    <w:lvl w:ilvl="0">
      <w:start w:val="2"/>
      <w:numFmt w:val="decimal"/>
      <w:lvlText w:val="%1."/>
      <w:lvlJc w:val="left"/>
      <w:pPr>
        <w:ind w:left="420" w:hanging="420"/>
      </w:pPr>
      <w:rPr>
        <w:rFonts w:hint="default"/>
      </w:rPr>
    </w:lvl>
    <w:lvl w:ilvl="1">
      <w:start w:val="6"/>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2" w15:restartNumberingAfterBreak="0">
    <w:nsid w:val="22346B51"/>
    <w:multiLevelType w:val="hybridMultilevel"/>
    <w:tmpl w:val="AE0204B0"/>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3" w15:restartNumberingAfterBreak="0">
    <w:nsid w:val="2C6F4B1A"/>
    <w:multiLevelType w:val="hybridMultilevel"/>
    <w:tmpl w:val="B4B030C0"/>
    <w:lvl w:ilvl="0" w:tplc="04260001">
      <w:start w:val="1"/>
      <w:numFmt w:val="bullet"/>
      <w:lvlText w:val=""/>
      <w:lvlJc w:val="left"/>
      <w:pPr>
        <w:ind w:left="1440" w:hanging="360"/>
      </w:pPr>
      <w:rPr>
        <w:rFonts w:ascii="Symbol" w:hAnsi="Symbol" w:hint="default"/>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3245383C"/>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15" w15:restartNumberingAfterBreak="0">
    <w:nsid w:val="326A4161"/>
    <w:multiLevelType w:val="hybridMultilevel"/>
    <w:tmpl w:val="B1569E7E"/>
    <w:lvl w:ilvl="0" w:tplc="04260001">
      <w:start w:val="1"/>
      <w:numFmt w:val="bullet"/>
      <w:lvlText w:val=""/>
      <w:lvlJc w:val="left"/>
      <w:pPr>
        <w:ind w:left="1287" w:hanging="360"/>
      </w:pPr>
      <w:rPr>
        <w:rFonts w:ascii="Symbol" w:hAnsi="Symbol" w:hint="default"/>
      </w:rPr>
    </w:lvl>
    <w:lvl w:ilvl="1" w:tplc="04260001">
      <w:start w:val="1"/>
      <w:numFmt w:val="bullet"/>
      <w:lvlText w:val=""/>
      <w:lvlJc w:val="left"/>
      <w:pPr>
        <w:ind w:left="2007" w:hanging="360"/>
      </w:pPr>
      <w:rPr>
        <w:rFonts w:ascii="Symbol" w:hAnsi="Symbol"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336B55F6"/>
    <w:multiLevelType w:val="hybridMultilevel"/>
    <w:tmpl w:val="9CD2C36E"/>
    <w:lvl w:ilvl="0" w:tplc="0426000F">
      <w:start w:val="1"/>
      <w:numFmt w:val="decimal"/>
      <w:lvlText w:val="%1."/>
      <w:lvlJc w:val="left"/>
      <w:pPr>
        <w:ind w:left="1440" w:hanging="360"/>
      </w:pPr>
    </w:lvl>
    <w:lvl w:ilvl="1" w:tplc="EFA8ACE0">
      <w:start w:val="1"/>
      <w:numFmt w:val="lowerLetter"/>
      <w:lvlText w:val="(%2)"/>
      <w:lvlJc w:val="left"/>
      <w:pPr>
        <w:ind w:left="2160" w:hanging="360"/>
      </w:pPr>
      <w:rPr>
        <w:rFonts w:hint="default"/>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5ED0804"/>
    <w:multiLevelType w:val="hybridMultilevel"/>
    <w:tmpl w:val="81D2B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9510574"/>
    <w:multiLevelType w:val="hybridMultilevel"/>
    <w:tmpl w:val="BD5C05C6"/>
    <w:lvl w:ilvl="0" w:tplc="0809000F">
      <w:start w:val="1"/>
      <w:numFmt w:val="decimal"/>
      <w:lvlText w:val="%1."/>
      <w:lvlJc w:val="left"/>
      <w:pPr>
        <w:ind w:left="1440" w:hanging="360"/>
      </w:pPr>
      <w:rPr>
        <w:rFonts w:hint="default"/>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3AB746BA"/>
    <w:multiLevelType w:val="hybridMultilevel"/>
    <w:tmpl w:val="D362E6C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45115F0"/>
    <w:multiLevelType w:val="hybridMultilevel"/>
    <w:tmpl w:val="B98235B0"/>
    <w:lvl w:ilvl="0" w:tplc="0809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46223DD6"/>
    <w:multiLevelType w:val="hybridMultilevel"/>
    <w:tmpl w:val="F28A24D4"/>
    <w:lvl w:ilvl="0" w:tplc="1ACA061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E7E779E"/>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23" w15:restartNumberingAfterBreak="0">
    <w:nsid w:val="4E861D9B"/>
    <w:multiLevelType w:val="multilevel"/>
    <w:tmpl w:val="04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49575C"/>
    <w:multiLevelType w:val="hybridMultilevel"/>
    <w:tmpl w:val="6D941F68"/>
    <w:lvl w:ilvl="0" w:tplc="0426000F">
      <w:start w:val="1"/>
      <w:numFmt w:val="decimal"/>
      <w:lvlText w:val="%1."/>
      <w:lvlJc w:val="left"/>
      <w:pPr>
        <w:ind w:left="1353"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58835D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A65155D"/>
    <w:multiLevelType w:val="hybridMultilevel"/>
    <w:tmpl w:val="7CE4C08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5B4950A0"/>
    <w:multiLevelType w:val="hybridMultilevel"/>
    <w:tmpl w:val="BF023F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266E24"/>
    <w:multiLevelType w:val="hybridMultilevel"/>
    <w:tmpl w:val="33C6B430"/>
    <w:lvl w:ilvl="0" w:tplc="0809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63B561BA"/>
    <w:multiLevelType w:val="hybridMultilevel"/>
    <w:tmpl w:val="CCCC23DA"/>
    <w:lvl w:ilvl="0" w:tplc="3DDA41C0">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0" w15:restartNumberingAfterBreak="0">
    <w:nsid w:val="645E2D88"/>
    <w:multiLevelType w:val="hybridMultilevel"/>
    <w:tmpl w:val="33B4E1CA"/>
    <w:lvl w:ilvl="0" w:tplc="8B8CEF76">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689D22AC"/>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32" w15:restartNumberingAfterBreak="0">
    <w:nsid w:val="68E60D04"/>
    <w:multiLevelType w:val="hybridMultilevel"/>
    <w:tmpl w:val="C818F37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8EF6A03"/>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34" w15:restartNumberingAfterBreak="0">
    <w:nsid w:val="6DB03770"/>
    <w:multiLevelType w:val="hybridMultilevel"/>
    <w:tmpl w:val="DEA88348"/>
    <w:lvl w:ilvl="0" w:tplc="26E8E2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6F95000A"/>
    <w:multiLevelType w:val="hybridMultilevel"/>
    <w:tmpl w:val="79A4125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71E1113F"/>
    <w:multiLevelType w:val="hybridMultilevel"/>
    <w:tmpl w:val="8F1A3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EC46DE"/>
    <w:multiLevelType w:val="hybridMultilevel"/>
    <w:tmpl w:val="0A28150C"/>
    <w:lvl w:ilvl="0" w:tplc="0809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2063169"/>
    <w:multiLevelType w:val="multilevel"/>
    <w:tmpl w:val="A064846C"/>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9" w15:restartNumberingAfterBreak="0">
    <w:nsid w:val="74FF3AC7"/>
    <w:multiLevelType w:val="hybridMultilevel"/>
    <w:tmpl w:val="588A18A4"/>
    <w:lvl w:ilvl="0" w:tplc="0426000F">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0" w15:restartNumberingAfterBreak="0">
    <w:nsid w:val="769C7F69"/>
    <w:multiLevelType w:val="multilevel"/>
    <w:tmpl w:val="EA985490"/>
    <w:lvl w:ilvl="0">
      <w:start w:val="1"/>
      <w:numFmt w:val="decimal"/>
      <w:lvlText w:val="%1."/>
      <w:lvlJc w:val="left"/>
      <w:pPr>
        <w:ind w:left="50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5182" w:hanging="2160"/>
      </w:pPr>
      <w:rPr>
        <w:rFonts w:hint="default"/>
      </w:rPr>
    </w:lvl>
  </w:abstractNum>
  <w:abstractNum w:abstractNumId="41" w15:restartNumberingAfterBreak="0">
    <w:nsid w:val="783B503C"/>
    <w:multiLevelType w:val="hybridMultilevel"/>
    <w:tmpl w:val="8566287C"/>
    <w:lvl w:ilvl="0" w:tplc="0809000F">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2" w15:restartNumberingAfterBreak="0">
    <w:nsid w:val="79230E65"/>
    <w:multiLevelType w:val="hybridMultilevel"/>
    <w:tmpl w:val="FB9C412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23"/>
  </w:num>
  <w:num w:numId="2">
    <w:abstractNumId w:val="16"/>
  </w:num>
  <w:num w:numId="3">
    <w:abstractNumId w:val="9"/>
  </w:num>
  <w:num w:numId="4">
    <w:abstractNumId w:val="24"/>
  </w:num>
  <w:num w:numId="5">
    <w:abstractNumId w:val="39"/>
  </w:num>
  <w:num w:numId="6">
    <w:abstractNumId w:val="19"/>
  </w:num>
  <w:num w:numId="7">
    <w:abstractNumId w:val="32"/>
  </w:num>
  <w:num w:numId="8">
    <w:abstractNumId w:val="5"/>
  </w:num>
  <w:num w:numId="9">
    <w:abstractNumId w:val="41"/>
  </w:num>
  <w:num w:numId="10">
    <w:abstractNumId w:val="18"/>
  </w:num>
  <w:num w:numId="11">
    <w:abstractNumId w:val="21"/>
  </w:num>
  <w:num w:numId="12">
    <w:abstractNumId w:val="6"/>
  </w:num>
  <w:num w:numId="13">
    <w:abstractNumId w:val="8"/>
  </w:num>
  <w:num w:numId="14">
    <w:abstractNumId w:val="13"/>
  </w:num>
  <w:num w:numId="15">
    <w:abstractNumId w:val="30"/>
  </w:num>
  <w:num w:numId="16">
    <w:abstractNumId w:val="0"/>
  </w:num>
  <w:num w:numId="17">
    <w:abstractNumId w:val="22"/>
  </w:num>
  <w:num w:numId="18">
    <w:abstractNumId w:val="7"/>
  </w:num>
  <w:num w:numId="19">
    <w:abstractNumId w:val="29"/>
  </w:num>
  <w:num w:numId="20">
    <w:abstractNumId w:val="25"/>
  </w:num>
  <w:num w:numId="21">
    <w:abstractNumId w:val="2"/>
  </w:num>
  <w:num w:numId="22">
    <w:abstractNumId w:val="15"/>
  </w:num>
  <w:num w:numId="23">
    <w:abstractNumId w:val="10"/>
  </w:num>
  <w:num w:numId="24">
    <w:abstractNumId w:val="38"/>
  </w:num>
  <w:num w:numId="25">
    <w:abstractNumId w:val="11"/>
  </w:num>
  <w:num w:numId="26">
    <w:abstractNumId w:val="26"/>
  </w:num>
  <w:num w:numId="27">
    <w:abstractNumId w:val="42"/>
  </w:num>
  <w:num w:numId="28">
    <w:abstractNumId w:val="36"/>
  </w:num>
  <w:num w:numId="29">
    <w:abstractNumId w:val="20"/>
  </w:num>
  <w:num w:numId="30">
    <w:abstractNumId w:val="37"/>
  </w:num>
  <w:num w:numId="31">
    <w:abstractNumId w:val="28"/>
  </w:num>
  <w:num w:numId="32">
    <w:abstractNumId w:val="27"/>
  </w:num>
  <w:num w:numId="33">
    <w:abstractNumId w:val="17"/>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4"/>
  </w:num>
  <w:num w:numId="37">
    <w:abstractNumId w:val="4"/>
  </w:num>
  <w:num w:numId="38">
    <w:abstractNumId w:val="1"/>
  </w:num>
  <w:num w:numId="39">
    <w:abstractNumId w:val="33"/>
  </w:num>
  <w:num w:numId="40">
    <w:abstractNumId w:val="3"/>
  </w:num>
  <w:num w:numId="41">
    <w:abstractNumId w:val="14"/>
  </w:num>
  <w:num w:numId="42">
    <w:abstractNumId w:val="40"/>
  </w:num>
  <w:num w:numId="43">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66"/>
    <w:rsid w:val="0000418A"/>
    <w:rsid w:val="0000450F"/>
    <w:rsid w:val="000052A2"/>
    <w:rsid w:val="000054CD"/>
    <w:rsid w:val="0000619E"/>
    <w:rsid w:val="00007835"/>
    <w:rsid w:val="000117B5"/>
    <w:rsid w:val="00011834"/>
    <w:rsid w:val="00011FD4"/>
    <w:rsid w:val="0001271C"/>
    <w:rsid w:val="00012748"/>
    <w:rsid w:val="000127BE"/>
    <w:rsid w:val="00025BCB"/>
    <w:rsid w:val="00026FD2"/>
    <w:rsid w:val="000279CB"/>
    <w:rsid w:val="000308D9"/>
    <w:rsid w:val="000311DF"/>
    <w:rsid w:val="00031776"/>
    <w:rsid w:val="00031E66"/>
    <w:rsid w:val="000324E8"/>
    <w:rsid w:val="00034514"/>
    <w:rsid w:val="00035DC0"/>
    <w:rsid w:val="00035DF1"/>
    <w:rsid w:val="0004180A"/>
    <w:rsid w:val="00044904"/>
    <w:rsid w:val="000450FC"/>
    <w:rsid w:val="00047FCF"/>
    <w:rsid w:val="000515F0"/>
    <w:rsid w:val="0005328F"/>
    <w:rsid w:val="000543B9"/>
    <w:rsid w:val="00056B45"/>
    <w:rsid w:val="000609F9"/>
    <w:rsid w:val="00061133"/>
    <w:rsid w:val="0006162E"/>
    <w:rsid w:val="00063CF5"/>
    <w:rsid w:val="00066560"/>
    <w:rsid w:val="000722D8"/>
    <w:rsid w:val="00077097"/>
    <w:rsid w:val="00077212"/>
    <w:rsid w:val="000801DB"/>
    <w:rsid w:val="0008095B"/>
    <w:rsid w:val="000846BB"/>
    <w:rsid w:val="00086B5B"/>
    <w:rsid w:val="00090154"/>
    <w:rsid w:val="00091189"/>
    <w:rsid w:val="0009313D"/>
    <w:rsid w:val="000938E3"/>
    <w:rsid w:val="00094DE7"/>
    <w:rsid w:val="00095908"/>
    <w:rsid w:val="00096B19"/>
    <w:rsid w:val="00097397"/>
    <w:rsid w:val="0009792E"/>
    <w:rsid w:val="000A1412"/>
    <w:rsid w:val="000A276E"/>
    <w:rsid w:val="000A340E"/>
    <w:rsid w:val="000B235A"/>
    <w:rsid w:val="000B3507"/>
    <w:rsid w:val="000B461C"/>
    <w:rsid w:val="000B5468"/>
    <w:rsid w:val="000B5CA0"/>
    <w:rsid w:val="000B785B"/>
    <w:rsid w:val="000C0308"/>
    <w:rsid w:val="000C0E92"/>
    <w:rsid w:val="000C20D5"/>
    <w:rsid w:val="000C22C6"/>
    <w:rsid w:val="000C3069"/>
    <w:rsid w:val="000C3D14"/>
    <w:rsid w:val="000C3FE4"/>
    <w:rsid w:val="000C6767"/>
    <w:rsid w:val="000C7F13"/>
    <w:rsid w:val="000D24BB"/>
    <w:rsid w:val="000D66AC"/>
    <w:rsid w:val="000D772D"/>
    <w:rsid w:val="000E175F"/>
    <w:rsid w:val="000E23CA"/>
    <w:rsid w:val="000E3E96"/>
    <w:rsid w:val="000E6C7D"/>
    <w:rsid w:val="000E7A3D"/>
    <w:rsid w:val="000F0D08"/>
    <w:rsid w:val="000F38C4"/>
    <w:rsid w:val="000F4621"/>
    <w:rsid w:val="000F6088"/>
    <w:rsid w:val="000F7BEF"/>
    <w:rsid w:val="00103293"/>
    <w:rsid w:val="0010785C"/>
    <w:rsid w:val="00112A3F"/>
    <w:rsid w:val="00115931"/>
    <w:rsid w:val="00115A4A"/>
    <w:rsid w:val="0011681B"/>
    <w:rsid w:val="001203C9"/>
    <w:rsid w:val="001205DA"/>
    <w:rsid w:val="001206C4"/>
    <w:rsid w:val="0012141D"/>
    <w:rsid w:val="001216C4"/>
    <w:rsid w:val="00121EA6"/>
    <w:rsid w:val="001223A6"/>
    <w:rsid w:val="0012332B"/>
    <w:rsid w:val="00123E27"/>
    <w:rsid w:val="001267AE"/>
    <w:rsid w:val="00131641"/>
    <w:rsid w:val="00134253"/>
    <w:rsid w:val="00137231"/>
    <w:rsid w:val="00140313"/>
    <w:rsid w:val="001403EB"/>
    <w:rsid w:val="00141217"/>
    <w:rsid w:val="001426BE"/>
    <w:rsid w:val="00142ED1"/>
    <w:rsid w:val="00143721"/>
    <w:rsid w:val="00144024"/>
    <w:rsid w:val="001447A9"/>
    <w:rsid w:val="00145292"/>
    <w:rsid w:val="00145C51"/>
    <w:rsid w:val="0014710E"/>
    <w:rsid w:val="00150E77"/>
    <w:rsid w:val="001536BB"/>
    <w:rsid w:val="00153C84"/>
    <w:rsid w:val="00154B44"/>
    <w:rsid w:val="001555E9"/>
    <w:rsid w:val="00155DA8"/>
    <w:rsid w:val="0015684B"/>
    <w:rsid w:val="001568E4"/>
    <w:rsid w:val="001605D6"/>
    <w:rsid w:val="0016126C"/>
    <w:rsid w:val="001641C6"/>
    <w:rsid w:val="001653FA"/>
    <w:rsid w:val="001657F3"/>
    <w:rsid w:val="00165802"/>
    <w:rsid w:val="00167BB5"/>
    <w:rsid w:val="001704C2"/>
    <w:rsid w:val="0017231B"/>
    <w:rsid w:val="00172938"/>
    <w:rsid w:val="00173B3D"/>
    <w:rsid w:val="0017621D"/>
    <w:rsid w:val="001810BF"/>
    <w:rsid w:val="0018196A"/>
    <w:rsid w:val="00182056"/>
    <w:rsid w:val="00182520"/>
    <w:rsid w:val="001833B6"/>
    <w:rsid w:val="00183757"/>
    <w:rsid w:val="00184675"/>
    <w:rsid w:val="00186AC2"/>
    <w:rsid w:val="001877E1"/>
    <w:rsid w:val="00190774"/>
    <w:rsid w:val="00191197"/>
    <w:rsid w:val="00191FB4"/>
    <w:rsid w:val="00193082"/>
    <w:rsid w:val="0019317A"/>
    <w:rsid w:val="00194720"/>
    <w:rsid w:val="001A12F6"/>
    <w:rsid w:val="001A2641"/>
    <w:rsid w:val="001A27FD"/>
    <w:rsid w:val="001A3341"/>
    <w:rsid w:val="001A4AFF"/>
    <w:rsid w:val="001A72D7"/>
    <w:rsid w:val="001B06AD"/>
    <w:rsid w:val="001B18DE"/>
    <w:rsid w:val="001B19EE"/>
    <w:rsid w:val="001B2AA5"/>
    <w:rsid w:val="001B2B9D"/>
    <w:rsid w:val="001B438E"/>
    <w:rsid w:val="001B78B1"/>
    <w:rsid w:val="001C0915"/>
    <w:rsid w:val="001C102E"/>
    <w:rsid w:val="001C13D1"/>
    <w:rsid w:val="001C3C48"/>
    <w:rsid w:val="001C3CAA"/>
    <w:rsid w:val="001C3E91"/>
    <w:rsid w:val="001C723F"/>
    <w:rsid w:val="001D0F7E"/>
    <w:rsid w:val="001D26CA"/>
    <w:rsid w:val="001D3DBE"/>
    <w:rsid w:val="001E16E3"/>
    <w:rsid w:val="001E1A18"/>
    <w:rsid w:val="001E1B79"/>
    <w:rsid w:val="001E1BCC"/>
    <w:rsid w:val="001E1C0A"/>
    <w:rsid w:val="001E3243"/>
    <w:rsid w:val="001E4070"/>
    <w:rsid w:val="001E510D"/>
    <w:rsid w:val="001E52FF"/>
    <w:rsid w:val="001E5EEB"/>
    <w:rsid w:val="001E67FD"/>
    <w:rsid w:val="001F003C"/>
    <w:rsid w:val="001F087A"/>
    <w:rsid w:val="001F11E5"/>
    <w:rsid w:val="001F597D"/>
    <w:rsid w:val="001F6723"/>
    <w:rsid w:val="001F7EC0"/>
    <w:rsid w:val="00200009"/>
    <w:rsid w:val="002040DC"/>
    <w:rsid w:val="002059BA"/>
    <w:rsid w:val="00205D9D"/>
    <w:rsid w:val="002064A3"/>
    <w:rsid w:val="00207741"/>
    <w:rsid w:val="00207D2A"/>
    <w:rsid w:val="00210C71"/>
    <w:rsid w:val="0021382C"/>
    <w:rsid w:val="00213B73"/>
    <w:rsid w:val="00214E46"/>
    <w:rsid w:val="0021657F"/>
    <w:rsid w:val="00220C18"/>
    <w:rsid w:val="002219B5"/>
    <w:rsid w:val="00222929"/>
    <w:rsid w:val="002233C8"/>
    <w:rsid w:val="00226783"/>
    <w:rsid w:val="00226F31"/>
    <w:rsid w:val="00231DDE"/>
    <w:rsid w:val="002411A7"/>
    <w:rsid w:val="002419B4"/>
    <w:rsid w:val="00242532"/>
    <w:rsid w:val="00246BA3"/>
    <w:rsid w:val="00247627"/>
    <w:rsid w:val="00247FE2"/>
    <w:rsid w:val="00252A7E"/>
    <w:rsid w:val="00253C2C"/>
    <w:rsid w:val="00253CC9"/>
    <w:rsid w:val="00255298"/>
    <w:rsid w:val="0025596D"/>
    <w:rsid w:val="00255ED4"/>
    <w:rsid w:val="002564F9"/>
    <w:rsid w:val="00256D6B"/>
    <w:rsid w:val="00257C70"/>
    <w:rsid w:val="002671C4"/>
    <w:rsid w:val="00270F10"/>
    <w:rsid w:val="00274DC6"/>
    <w:rsid w:val="00276A35"/>
    <w:rsid w:val="00276B87"/>
    <w:rsid w:val="00276B8B"/>
    <w:rsid w:val="002801D0"/>
    <w:rsid w:val="00284D51"/>
    <w:rsid w:val="00287701"/>
    <w:rsid w:val="002908F6"/>
    <w:rsid w:val="0029101C"/>
    <w:rsid w:val="00295264"/>
    <w:rsid w:val="00296249"/>
    <w:rsid w:val="002A21AC"/>
    <w:rsid w:val="002A2A72"/>
    <w:rsid w:val="002A2F81"/>
    <w:rsid w:val="002A4DE2"/>
    <w:rsid w:val="002A6290"/>
    <w:rsid w:val="002A7B0D"/>
    <w:rsid w:val="002B05D7"/>
    <w:rsid w:val="002B099B"/>
    <w:rsid w:val="002B0C38"/>
    <w:rsid w:val="002B14B6"/>
    <w:rsid w:val="002B276F"/>
    <w:rsid w:val="002B440B"/>
    <w:rsid w:val="002B590E"/>
    <w:rsid w:val="002B7048"/>
    <w:rsid w:val="002B70F7"/>
    <w:rsid w:val="002C0191"/>
    <w:rsid w:val="002C180F"/>
    <w:rsid w:val="002C36A9"/>
    <w:rsid w:val="002C5CB3"/>
    <w:rsid w:val="002C6E59"/>
    <w:rsid w:val="002C7457"/>
    <w:rsid w:val="002D166D"/>
    <w:rsid w:val="002D3504"/>
    <w:rsid w:val="002D486D"/>
    <w:rsid w:val="002E0A7F"/>
    <w:rsid w:val="002E3B92"/>
    <w:rsid w:val="002E7D89"/>
    <w:rsid w:val="002F1385"/>
    <w:rsid w:val="002F2A74"/>
    <w:rsid w:val="002F3014"/>
    <w:rsid w:val="002F371C"/>
    <w:rsid w:val="002F4E35"/>
    <w:rsid w:val="002F65DC"/>
    <w:rsid w:val="003000F3"/>
    <w:rsid w:val="0030151E"/>
    <w:rsid w:val="003034CC"/>
    <w:rsid w:val="00303B42"/>
    <w:rsid w:val="00303D73"/>
    <w:rsid w:val="00305422"/>
    <w:rsid w:val="0030707A"/>
    <w:rsid w:val="00307233"/>
    <w:rsid w:val="003104BF"/>
    <w:rsid w:val="00310CD4"/>
    <w:rsid w:val="00310D99"/>
    <w:rsid w:val="00311F49"/>
    <w:rsid w:val="00312AC2"/>
    <w:rsid w:val="00312B08"/>
    <w:rsid w:val="0031378F"/>
    <w:rsid w:val="0031723D"/>
    <w:rsid w:val="00320C28"/>
    <w:rsid w:val="00326E0B"/>
    <w:rsid w:val="00331708"/>
    <w:rsid w:val="003323A2"/>
    <w:rsid w:val="0033446D"/>
    <w:rsid w:val="0033788E"/>
    <w:rsid w:val="00340790"/>
    <w:rsid w:val="00341B8B"/>
    <w:rsid w:val="00342579"/>
    <w:rsid w:val="00342850"/>
    <w:rsid w:val="00344136"/>
    <w:rsid w:val="003468FC"/>
    <w:rsid w:val="0034754A"/>
    <w:rsid w:val="00351834"/>
    <w:rsid w:val="00351F20"/>
    <w:rsid w:val="00353447"/>
    <w:rsid w:val="003539A5"/>
    <w:rsid w:val="00354D15"/>
    <w:rsid w:val="0035523D"/>
    <w:rsid w:val="00361621"/>
    <w:rsid w:val="0036225E"/>
    <w:rsid w:val="00362E4B"/>
    <w:rsid w:val="00362ECC"/>
    <w:rsid w:val="003633CD"/>
    <w:rsid w:val="00363B39"/>
    <w:rsid w:val="00364F6C"/>
    <w:rsid w:val="00364F80"/>
    <w:rsid w:val="00364F9D"/>
    <w:rsid w:val="0036632F"/>
    <w:rsid w:val="003734D7"/>
    <w:rsid w:val="00374F4D"/>
    <w:rsid w:val="00375CDD"/>
    <w:rsid w:val="00381ECB"/>
    <w:rsid w:val="00384727"/>
    <w:rsid w:val="00384DC7"/>
    <w:rsid w:val="00386B95"/>
    <w:rsid w:val="003879D7"/>
    <w:rsid w:val="003927B3"/>
    <w:rsid w:val="00397160"/>
    <w:rsid w:val="00397964"/>
    <w:rsid w:val="00397F3D"/>
    <w:rsid w:val="003A0E1A"/>
    <w:rsid w:val="003A3E9C"/>
    <w:rsid w:val="003A4B7E"/>
    <w:rsid w:val="003A4F90"/>
    <w:rsid w:val="003A7FD9"/>
    <w:rsid w:val="003B0107"/>
    <w:rsid w:val="003B1458"/>
    <w:rsid w:val="003B5212"/>
    <w:rsid w:val="003B6F00"/>
    <w:rsid w:val="003C1627"/>
    <w:rsid w:val="003C3173"/>
    <w:rsid w:val="003D0639"/>
    <w:rsid w:val="003D3422"/>
    <w:rsid w:val="003D4559"/>
    <w:rsid w:val="003D6F5B"/>
    <w:rsid w:val="003E47C4"/>
    <w:rsid w:val="003E5514"/>
    <w:rsid w:val="003E57B5"/>
    <w:rsid w:val="003E5851"/>
    <w:rsid w:val="003E7E8A"/>
    <w:rsid w:val="003F1BB4"/>
    <w:rsid w:val="003F5647"/>
    <w:rsid w:val="003F6B25"/>
    <w:rsid w:val="00401047"/>
    <w:rsid w:val="004015B7"/>
    <w:rsid w:val="00405766"/>
    <w:rsid w:val="004064F7"/>
    <w:rsid w:val="004079E5"/>
    <w:rsid w:val="00410045"/>
    <w:rsid w:val="004100AD"/>
    <w:rsid w:val="00410A91"/>
    <w:rsid w:val="004122C4"/>
    <w:rsid w:val="004124F1"/>
    <w:rsid w:val="00412627"/>
    <w:rsid w:val="004139B6"/>
    <w:rsid w:val="00413BD9"/>
    <w:rsid w:val="00414C64"/>
    <w:rsid w:val="004158A1"/>
    <w:rsid w:val="0042102A"/>
    <w:rsid w:val="00421A86"/>
    <w:rsid w:val="00422624"/>
    <w:rsid w:val="004247BA"/>
    <w:rsid w:val="00425180"/>
    <w:rsid w:val="004261CA"/>
    <w:rsid w:val="00427802"/>
    <w:rsid w:val="004310D5"/>
    <w:rsid w:val="00435DBD"/>
    <w:rsid w:val="00442AF3"/>
    <w:rsid w:val="004450AA"/>
    <w:rsid w:val="0044688C"/>
    <w:rsid w:val="00446D93"/>
    <w:rsid w:val="00450486"/>
    <w:rsid w:val="00450930"/>
    <w:rsid w:val="004527B3"/>
    <w:rsid w:val="004530E0"/>
    <w:rsid w:val="0045437C"/>
    <w:rsid w:val="00455B48"/>
    <w:rsid w:val="0045613C"/>
    <w:rsid w:val="0045738B"/>
    <w:rsid w:val="00461B39"/>
    <w:rsid w:val="00462162"/>
    <w:rsid w:val="00462243"/>
    <w:rsid w:val="0046494C"/>
    <w:rsid w:val="00464E05"/>
    <w:rsid w:val="0046649E"/>
    <w:rsid w:val="004713AC"/>
    <w:rsid w:val="0047275C"/>
    <w:rsid w:val="00475025"/>
    <w:rsid w:val="00475363"/>
    <w:rsid w:val="00476A99"/>
    <w:rsid w:val="0048080E"/>
    <w:rsid w:val="00480B14"/>
    <w:rsid w:val="00480B1F"/>
    <w:rsid w:val="00481EA8"/>
    <w:rsid w:val="00490706"/>
    <w:rsid w:val="00490847"/>
    <w:rsid w:val="004913D4"/>
    <w:rsid w:val="0049157E"/>
    <w:rsid w:val="00491ED8"/>
    <w:rsid w:val="004933CB"/>
    <w:rsid w:val="004948FB"/>
    <w:rsid w:val="00495BCC"/>
    <w:rsid w:val="00496AE9"/>
    <w:rsid w:val="00497031"/>
    <w:rsid w:val="004A0919"/>
    <w:rsid w:val="004A1609"/>
    <w:rsid w:val="004A5A44"/>
    <w:rsid w:val="004A6869"/>
    <w:rsid w:val="004A78BC"/>
    <w:rsid w:val="004A798D"/>
    <w:rsid w:val="004B1626"/>
    <w:rsid w:val="004B5036"/>
    <w:rsid w:val="004B52BC"/>
    <w:rsid w:val="004B5DDA"/>
    <w:rsid w:val="004B5FC3"/>
    <w:rsid w:val="004B67C2"/>
    <w:rsid w:val="004B6867"/>
    <w:rsid w:val="004B68EC"/>
    <w:rsid w:val="004B7089"/>
    <w:rsid w:val="004C074B"/>
    <w:rsid w:val="004C10FB"/>
    <w:rsid w:val="004C1919"/>
    <w:rsid w:val="004C1DA7"/>
    <w:rsid w:val="004C3684"/>
    <w:rsid w:val="004C59B6"/>
    <w:rsid w:val="004C5F9B"/>
    <w:rsid w:val="004C6224"/>
    <w:rsid w:val="004C645F"/>
    <w:rsid w:val="004D0736"/>
    <w:rsid w:val="004E0EF9"/>
    <w:rsid w:val="004E38AB"/>
    <w:rsid w:val="004E4647"/>
    <w:rsid w:val="004E5C5A"/>
    <w:rsid w:val="004E6DED"/>
    <w:rsid w:val="004F3F52"/>
    <w:rsid w:val="004F6540"/>
    <w:rsid w:val="005000B6"/>
    <w:rsid w:val="00500BDC"/>
    <w:rsid w:val="00501534"/>
    <w:rsid w:val="005025D1"/>
    <w:rsid w:val="00503EE4"/>
    <w:rsid w:val="00505AF8"/>
    <w:rsid w:val="00506186"/>
    <w:rsid w:val="00506328"/>
    <w:rsid w:val="00507C21"/>
    <w:rsid w:val="005119F4"/>
    <w:rsid w:val="00512F51"/>
    <w:rsid w:val="00516ADE"/>
    <w:rsid w:val="005177A3"/>
    <w:rsid w:val="005204FF"/>
    <w:rsid w:val="00521832"/>
    <w:rsid w:val="00524222"/>
    <w:rsid w:val="00526E59"/>
    <w:rsid w:val="00527879"/>
    <w:rsid w:val="00530D33"/>
    <w:rsid w:val="0053150B"/>
    <w:rsid w:val="00532E0F"/>
    <w:rsid w:val="005337BF"/>
    <w:rsid w:val="00533C93"/>
    <w:rsid w:val="00535808"/>
    <w:rsid w:val="00535ACE"/>
    <w:rsid w:val="00536308"/>
    <w:rsid w:val="0054123E"/>
    <w:rsid w:val="00542B21"/>
    <w:rsid w:val="0054619D"/>
    <w:rsid w:val="00550A38"/>
    <w:rsid w:val="00551B4E"/>
    <w:rsid w:val="00552482"/>
    <w:rsid w:val="00553156"/>
    <w:rsid w:val="00553FE8"/>
    <w:rsid w:val="00554373"/>
    <w:rsid w:val="0055494D"/>
    <w:rsid w:val="00560FF3"/>
    <w:rsid w:val="00561AA8"/>
    <w:rsid w:val="00562372"/>
    <w:rsid w:val="00562D05"/>
    <w:rsid w:val="00562EC7"/>
    <w:rsid w:val="00566539"/>
    <w:rsid w:val="0056681F"/>
    <w:rsid w:val="00571373"/>
    <w:rsid w:val="00574A21"/>
    <w:rsid w:val="005751B5"/>
    <w:rsid w:val="00575925"/>
    <w:rsid w:val="00575F10"/>
    <w:rsid w:val="00577228"/>
    <w:rsid w:val="005773F8"/>
    <w:rsid w:val="00577BC4"/>
    <w:rsid w:val="00582B4B"/>
    <w:rsid w:val="00582C0D"/>
    <w:rsid w:val="00582CB0"/>
    <w:rsid w:val="00583291"/>
    <w:rsid w:val="00584BE1"/>
    <w:rsid w:val="00587531"/>
    <w:rsid w:val="00587921"/>
    <w:rsid w:val="005904E9"/>
    <w:rsid w:val="00590FBD"/>
    <w:rsid w:val="005919C3"/>
    <w:rsid w:val="005920E7"/>
    <w:rsid w:val="0059323A"/>
    <w:rsid w:val="005933C9"/>
    <w:rsid w:val="0059518C"/>
    <w:rsid w:val="0059682D"/>
    <w:rsid w:val="00597608"/>
    <w:rsid w:val="005A3473"/>
    <w:rsid w:val="005A544A"/>
    <w:rsid w:val="005A6A14"/>
    <w:rsid w:val="005A7B25"/>
    <w:rsid w:val="005B0DF0"/>
    <w:rsid w:val="005B1C28"/>
    <w:rsid w:val="005B2752"/>
    <w:rsid w:val="005B535C"/>
    <w:rsid w:val="005C0CB5"/>
    <w:rsid w:val="005C24A7"/>
    <w:rsid w:val="005C441D"/>
    <w:rsid w:val="005C4705"/>
    <w:rsid w:val="005D01B6"/>
    <w:rsid w:val="005D07D0"/>
    <w:rsid w:val="005D0C15"/>
    <w:rsid w:val="005D0CF4"/>
    <w:rsid w:val="005D0D35"/>
    <w:rsid w:val="005D0F17"/>
    <w:rsid w:val="005D0FA0"/>
    <w:rsid w:val="005D12B5"/>
    <w:rsid w:val="005E00E6"/>
    <w:rsid w:val="005E1E2E"/>
    <w:rsid w:val="005E2ABD"/>
    <w:rsid w:val="005E76C7"/>
    <w:rsid w:val="005E7FED"/>
    <w:rsid w:val="005F08A2"/>
    <w:rsid w:val="005F09B4"/>
    <w:rsid w:val="005F1E93"/>
    <w:rsid w:val="005F2007"/>
    <w:rsid w:val="005F216D"/>
    <w:rsid w:val="005F3CD9"/>
    <w:rsid w:val="005F3E1C"/>
    <w:rsid w:val="005F5AE8"/>
    <w:rsid w:val="005F5D0D"/>
    <w:rsid w:val="005F6596"/>
    <w:rsid w:val="005F6CA8"/>
    <w:rsid w:val="00603649"/>
    <w:rsid w:val="006076ED"/>
    <w:rsid w:val="0061010F"/>
    <w:rsid w:val="00612D93"/>
    <w:rsid w:val="00613F48"/>
    <w:rsid w:val="00616557"/>
    <w:rsid w:val="0061794C"/>
    <w:rsid w:val="00620EE9"/>
    <w:rsid w:val="0062327B"/>
    <w:rsid w:val="00624DEB"/>
    <w:rsid w:val="00627851"/>
    <w:rsid w:val="00630126"/>
    <w:rsid w:val="00631B24"/>
    <w:rsid w:val="00631EDB"/>
    <w:rsid w:val="006326BD"/>
    <w:rsid w:val="00632B0B"/>
    <w:rsid w:val="006367F8"/>
    <w:rsid w:val="00637B4C"/>
    <w:rsid w:val="00637E7D"/>
    <w:rsid w:val="006403D5"/>
    <w:rsid w:val="006415DF"/>
    <w:rsid w:val="00642A5A"/>
    <w:rsid w:val="00642C3C"/>
    <w:rsid w:val="00642D0D"/>
    <w:rsid w:val="0064366A"/>
    <w:rsid w:val="00643E5D"/>
    <w:rsid w:val="00647AA5"/>
    <w:rsid w:val="006516F2"/>
    <w:rsid w:val="00652937"/>
    <w:rsid w:val="00657B0F"/>
    <w:rsid w:val="00662C04"/>
    <w:rsid w:val="0066316C"/>
    <w:rsid w:val="0066486A"/>
    <w:rsid w:val="00667DC1"/>
    <w:rsid w:val="00671B2E"/>
    <w:rsid w:val="00671ED2"/>
    <w:rsid w:val="00672C48"/>
    <w:rsid w:val="00673815"/>
    <w:rsid w:val="00674C12"/>
    <w:rsid w:val="006755FA"/>
    <w:rsid w:val="00675D98"/>
    <w:rsid w:val="00675F66"/>
    <w:rsid w:val="00675FDD"/>
    <w:rsid w:val="00677DFB"/>
    <w:rsid w:val="00682DCA"/>
    <w:rsid w:val="00682EB3"/>
    <w:rsid w:val="00684234"/>
    <w:rsid w:val="00684F10"/>
    <w:rsid w:val="00690648"/>
    <w:rsid w:val="00692263"/>
    <w:rsid w:val="00692C3D"/>
    <w:rsid w:val="00693ED7"/>
    <w:rsid w:val="006948F1"/>
    <w:rsid w:val="00695B07"/>
    <w:rsid w:val="00696FBC"/>
    <w:rsid w:val="00697618"/>
    <w:rsid w:val="00697666"/>
    <w:rsid w:val="00697FD2"/>
    <w:rsid w:val="006A0783"/>
    <w:rsid w:val="006A1224"/>
    <w:rsid w:val="006A21DE"/>
    <w:rsid w:val="006A3ED1"/>
    <w:rsid w:val="006A5A5C"/>
    <w:rsid w:val="006A6479"/>
    <w:rsid w:val="006A7017"/>
    <w:rsid w:val="006B18E6"/>
    <w:rsid w:val="006B1CA7"/>
    <w:rsid w:val="006B2D17"/>
    <w:rsid w:val="006B32A0"/>
    <w:rsid w:val="006B4602"/>
    <w:rsid w:val="006B4954"/>
    <w:rsid w:val="006B55BF"/>
    <w:rsid w:val="006B7134"/>
    <w:rsid w:val="006C0205"/>
    <w:rsid w:val="006C098C"/>
    <w:rsid w:val="006C0D22"/>
    <w:rsid w:val="006C1231"/>
    <w:rsid w:val="006C1FD9"/>
    <w:rsid w:val="006C28B0"/>
    <w:rsid w:val="006C412A"/>
    <w:rsid w:val="006C4A6A"/>
    <w:rsid w:val="006C7DB5"/>
    <w:rsid w:val="006D001B"/>
    <w:rsid w:val="006D1669"/>
    <w:rsid w:val="006D4495"/>
    <w:rsid w:val="006D4DCA"/>
    <w:rsid w:val="006D5464"/>
    <w:rsid w:val="006D6C5A"/>
    <w:rsid w:val="006D780C"/>
    <w:rsid w:val="006E09BF"/>
    <w:rsid w:val="006E16EC"/>
    <w:rsid w:val="006E2787"/>
    <w:rsid w:val="006E4EC4"/>
    <w:rsid w:val="006E5433"/>
    <w:rsid w:val="006E7849"/>
    <w:rsid w:val="006E7D50"/>
    <w:rsid w:val="006F2C3E"/>
    <w:rsid w:val="006F3E25"/>
    <w:rsid w:val="006F5077"/>
    <w:rsid w:val="006F5C66"/>
    <w:rsid w:val="006F5FBD"/>
    <w:rsid w:val="006F75AD"/>
    <w:rsid w:val="007008C8"/>
    <w:rsid w:val="00703EDA"/>
    <w:rsid w:val="00704C70"/>
    <w:rsid w:val="00705A9F"/>
    <w:rsid w:val="0070673F"/>
    <w:rsid w:val="00706904"/>
    <w:rsid w:val="00707EB4"/>
    <w:rsid w:val="00710304"/>
    <w:rsid w:val="007108A9"/>
    <w:rsid w:val="007109D0"/>
    <w:rsid w:val="00711352"/>
    <w:rsid w:val="00711727"/>
    <w:rsid w:val="00715774"/>
    <w:rsid w:val="0071794F"/>
    <w:rsid w:val="00720321"/>
    <w:rsid w:val="007275D6"/>
    <w:rsid w:val="00730D30"/>
    <w:rsid w:val="00731DC0"/>
    <w:rsid w:val="007340F4"/>
    <w:rsid w:val="00734E4F"/>
    <w:rsid w:val="00734F6F"/>
    <w:rsid w:val="00736AD0"/>
    <w:rsid w:val="00740514"/>
    <w:rsid w:val="0074129D"/>
    <w:rsid w:val="00741948"/>
    <w:rsid w:val="0074305A"/>
    <w:rsid w:val="0074462F"/>
    <w:rsid w:val="00745ADB"/>
    <w:rsid w:val="00746B6C"/>
    <w:rsid w:val="00747D98"/>
    <w:rsid w:val="00747ECB"/>
    <w:rsid w:val="00751BAC"/>
    <w:rsid w:val="007539B6"/>
    <w:rsid w:val="00753E96"/>
    <w:rsid w:val="007631CE"/>
    <w:rsid w:val="007635AC"/>
    <w:rsid w:val="007656B2"/>
    <w:rsid w:val="00773220"/>
    <w:rsid w:val="007741A5"/>
    <w:rsid w:val="00774A69"/>
    <w:rsid w:val="00774E56"/>
    <w:rsid w:val="00782411"/>
    <w:rsid w:val="00783911"/>
    <w:rsid w:val="00784105"/>
    <w:rsid w:val="00784A74"/>
    <w:rsid w:val="0078500F"/>
    <w:rsid w:val="00787C1E"/>
    <w:rsid w:val="00787C49"/>
    <w:rsid w:val="007902D6"/>
    <w:rsid w:val="0079034C"/>
    <w:rsid w:val="00790E2C"/>
    <w:rsid w:val="007948D5"/>
    <w:rsid w:val="007950BA"/>
    <w:rsid w:val="00797116"/>
    <w:rsid w:val="007A45FA"/>
    <w:rsid w:val="007A527F"/>
    <w:rsid w:val="007A593F"/>
    <w:rsid w:val="007A5FD1"/>
    <w:rsid w:val="007A68D0"/>
    <w:rsid w:val="007B10F2"/>
    <w:rsid w:val="007B1587"/>
    <w:rsid w:val="007B2776"/>
    <w:rsid w:val="007B339E"/>
    <w:rsid w:val="007B36E2"/>
    <w:rsid w:val="007B4A04"/>
    <w:rsid w:val="007B4BAB"/>
    <w:rsid w:val="007B594D"/>
    <w:rsid w:val="007C07D7"/>
    <w:rsid w:val="007C0F36"/>
    <w:rsid w:val="007C4405"/>
    <w:rsid w:val="007C4D39"/>
    <w:rsid w:val="007C50C7"/>
    <w:rsid w:val="007C6083"/>
    <w:rsid w:val="007C759D"/>
    <w:rsid w:val="007D196F"/>
    <w:rsid w:val="007D3FA6"/>
    <w:rsid w:val="007D53BF"/>
    <w:rsid w:val="007E01AC"/>
    <w:rsid w:val="007E365D"/>
    <w:rsid w:val="007E36E8"/>
    <w:rsid w:val="007E40F3"/>
    <w:rsid w:val="007E5358"/>
    <w:rsid w:val="007E6529"/>
    <w:rsid w:val="007F0095"/>
    <w:rsid w:val="007F16BD"/>
    <w:rsid w:val="007F1CFA"/>
    <w:rsid w:val="007F1D41"/>
    <w:rsid w:val="007F24D1"/>
    <w:rsid w:val="007F3895"/>
    <w:rsid w:val="007F5883"/>
    <w:rsid w:val="00801210"/>
    <w:rsid w:val="00802C32"/>
    <w:rsid w:val="008056B1"/>
    <w:rsid w:val="00807AFD"/>
    <w:rsid w:val="008105A1"/>
    <w:rsid w:val="00811AB3"/>
    <w:rsid w:val="0081380E"/>
    <w:rsid w:val="008152C2"/>
    <w:rsid w:val="00820654"/>
    <w:rsid w:val="008220AF"/>
    <w:rsid w:val="00825C36"/>
    <w:rsid w:val="008263B6"/>
    <w:rsid w:val="00826DB2"/>
    <w:rsid w:val="00827BEF"/>
    <w:rsid w:val="00827E78"/>
    <w:rsid w:val="00832F0D"/>
    <w:rsid w:val="00833047"/>
    <w:rsid w:val="00835C58"/>
    <w:rsid w:val="00836202"/>
    <w:rsid w:val="00837E25"/>
    <w:rsid w:val="008422BE"/>
    <w:rsid w:val="00843B02"/>
    <w:rsid w:val="00844660"/>
    <w:rsid w:val="008453E4"/>
    <w:rsid w:val="008461D8"/>
    <w:rsid w:val="00850AB2"/>
    <w:rsid w:val="00851AE5"/>
    <w:rsid w:val="00856626"/>
    <w:rsid w:val="00857091"/>
    <w:rsid w:val="00860AFE"/>
    <w:rsid w:val="00861601"/>
    <w:rsid w:val="00862706"/>
    <w:rsid w:val="0086498A"/>
    <w:rsid w:val="00865E7E"/>
    <w:rsid w:val="0086770E"/>
    <w:rsid w:val="00870966"/>
    <w:rsid w:val="00872126"/>
    <w:rsid w:val="00873D5F"/>
    <w:rsid w:val="00875D0A"/>
    <w:rsid w:val="008760D3"/>
    <w:rsid w:val="008768B9"/>
    <w:rsid w:val="0088023F"/>
    <w:rsid w:val="008845B8"/>
    <w:rsid w:val="00885A02"/>
    <w:rsid w:val="0088719C"/>
    <w:rsid w:val="008900D1"/>
    <w:rsid w:val="00891DE2"/>
    <w:rsid w:val="00893879"/>
    <w:rsid w:val="00896608"/>
    <w:rsid w:val="0089784F"/>
    <w:rsid w:val="0089788F"/>
    <w:rsid w:val="00897FD7"/>
    <w:rsid w:val="008A03DA"/>
    <w:rsid w:val="008A2DDD"/>
    <w:rsid w:val="008A34D7"/>
    <w:rsid w:val="008A3887"/>
    <w:rsid w:val="008A3998"/>
    <w:rsid w:val="008A3D3F"/>
    <w:rsid w:val="008A4196"/>
    <w:rsid w:val="008B3AC0"/>
    <w:rsid w:val="008B5231"/>
    <w:rsid w:val="008C34EA"/>
    <w:rsid w:val="008C5710"/>
    <w:rsid w:val="008D1BFF"/>
    <w:rsid w:val="008D2342"/>
    <w:rsid w:val="008D5648"/>
    <w:rsid w:val="008D5AA3"/>
    <w:rsid w:val="008D7864"/>
    <w:rsid w:val="008D7E64"/>
    <w:rsid w:val="008E1069"/>
    <w:rsid w:val="008E31E2"/>
    <w:rsid w:val="008E3913"/>
    <w:rsid w:val="008E4DC5"/>
    <w:rsid w:val="008E5569"/>
    <w:rsid w:val="008E56A0"/>
    <w:rsid w:val="008E6C06"/>
    <w:rsid w:val="008F0079"/>
    <w:rsid w:val="008F0662"/>
    <w:rsid w:val="008F3BD1"/>
    <w:rsid w:val="008F43AB"/>
    <w:rsid w:val="008F4518"/>
    <w:rsid w:val="0090028F"/>
    <w:rsid w:val="00900A7F"/>
    <w:rsid w:val="009018BD"/>
    <w:rsid w:val="009022F5"/>
    <w:rsid w:val="00904EB6"/>
    <w:rsid w:val="00905AD2"/>
    <w:rsid w:val="009071AE"/>
    <w:rsid w:val="00907814"/>
    <w:rsid w:val="009105D7"/>
    <w:rsid w:val="00910C79"/>
    <w:rsid w:val="009113A4"/>
    <w:rsid w:val="00911DFC"/>
    <w:rsid w:val="0091405E"/>
    <w:rsid w:val="009150F5"/>
    <w:rsid w:val="00916DB1"/>
    <w:rsid w:val="00920C72"/>
    <w:rsid w:val="00923C04"/>
    <w:rsid w:val="00925806"/>
    <w:rsid w:val="0092779E"/>
    <w:rsid w:val="00930A93"/>
    <w:rsid w:val="0093148A"/>
    <w:rsid w:val="009321CA"/>
    <w:rsid w:val="00932277"/>
    <w:rsid w:val="00934279"/>
    <w:rsid w:val="009367A1"/>
    <w:rsid w:val="00941719"/>
    <w:rsid w:val="00942DA1"/>
    <w:rsid w:val="0094432B"/>
    <w:rsid w:val="009506A0"/>
    <w:rsid w:val="00950820"/>
    <w:rsid w:val="00951B26"/>
    <w:rsid w:val="00952063"/>
    <w:rsid w:val="00955F8C"/>
    <w:rsid w:val="00956696"/>
    <w:rsid w:val="00956929"/>
    <w:rsid w:val="00956957"/>
    <w:rsid w:val="00957712"/>
    <w:rsid w:val="00957D2A"/>
    <w:rsid w:val="00957F83"/>
    <w:rsid w:val="009608CD"/>
    <w:rsid w:val="00961950"/>
    <w:rsid w:val="00962BBB"/>
    <w:rsid w:val="009659FB"/>
    <w:rsid w:val="00971EBE"/>
    <w:rsid w:val="00972037"/>
    <w:rsid w:val="0097326D"/>
    <w:rsid w:val="00973628"/>
    <w:rsid w:val="00973D87"/>
    <w:rsid w:val="00975786"/>
    <w:rsid w:val="00977CF2"/>
    <w:rsid w:val="00977EFF"/>
    <w:rsid w:val="00980A62"/>
    <w:rsid w:val="009814BD"/>
    <w:rsid w:val="0098171B"/>
    <w:rsid w:val="00981B93"/>
    <w:rsid w:val="0098291F"/>
    <w:rsid w:val="00983AE6"/>
    <w:rsid w:val="00985696"/>
    <w:rsid w:val="009859AD"/>
    <w:rsid w:val="00987745"/>
    <w:rsid w:val="00990193"/>
    <w:rsid w:val="00990480"/>
    <w:rsid w:val="00991310"/>
    <w:rsid w:val="009922B0"/>
    <w:rsid w:val="009939A3"/>
    <w:rsid w:val="00995412"/>
    <w:rsid w:val="0099736F"/>
    <w:rsid w:val="00997975"/>
    <w:rsid w:val="009A218B"/>
    <w:rsid w:val="009A2F7A"/>
    <w:rsid w:val="009A4466"/>
    <w:rsid w:val="009A44D2"/>
    <w:rsid w:val="009A487C"/>
    <w:rsid w:val="009A4DA9"/>
    <w:rsid w:val="009B285B"/>
    <w:rsid w:val="009B4B5B"/>
    <w:rsid w:val="009B5ECD"/>
    <w:rsid w:val="009C0FBA"/>
    <w:rsid w:val="009C2807"/>
    <w:rsid w:val="009C3D4C"/>
    <w:rsid w:val="009C4A4A"/>
    <w:rsid w:val="009C4B59"/>
    <w:rsid w:val="009C4F60"/>
    <w:rsid w:val="009C696A"/>
    <w:rsid w:val="009C6B94"/>
    <w:rsid w:val="009C745B"/>
    <w:rsid w:val="009D06D4"/>
    <w:rsid w:val="009D0E85"/>
    <w:rsid w:val="009D1586"/>
    <w:rsid w:val="009D7C4D"/>
    <w:rsid w:val="009D7D08"/>
    <w:rsid w:val="009E0930"/>
    <w:rsid w:val="009E0FC8"/>
    <w:rsid w:val="009E4D5E"/>
    <w:rsid w:val="009E5AE2"/>
    <w:rsid w:val="009F0E29"/>
    <w:rsid w:val="009F63E0"/>
    <w:rsid w:val="00A00135"/>
    <w:rsid w:val="00A001AB"/>
    <w:rsid w:val="00A00519"/>
    <w:rsid w:val="00A01DCA"/>
    <w:rsid w:val="00A02B64"/>
    <w:rsid w:val="00A03B6A"/>
    <w:rsid w:val="00A03E43"/>
    <w:rsid w:val="00A052E3"/>
    <w:rsid w:val="00A06442"/>
    <w:rsid w:val="00A064E8"/>
    <w:rsid w:val="00A10882"/>
    <w:rsid w:val="00A12E46"/>
    <w:rsid w:val="00A12F2B"/>
    <w:rsid w:val="00A15A4E"/>
    <w:rsid w:val="00A17F8B"/>
    <w:rsid w:val="00A20CD7"/>
    <w:rsid w:val="00A21968"/>
    <w:rsid w:val="00A2279C"/>
    <w:rsid w:val="00A229E5"/>
    <w:rsid w:val="00A23B75"/>
    <w:rsid w:val="00A25DEA"/>
    <w:rsid w:val="00A27853"/>
    <w:rsid w:val="00A334EF"/>
    <w:rsid w:val="00A34146"/>
    <w:rsid w:val="00A35124"/>
    <w:rsid w:val="00A44443"/>
    <w:rsid w:val="00A46AB2"/>
    <w:rsid w:val="00A47703"/>
    <w:rsid w:val="00A51324"/>
    <w:rsid w:val="00A5176F"/>
    <w:rsid w:val="00A51771"/>
    <w:rsid w:val="00A519AF"/>
    <w:rsid w:val="00A51CBC"/>
    <w:rsid w:val="00A521F1"/>
    <w:rsid w:val="00A5496C"/>
    <w:rsid w:val="00A551D3"/>
    <w:rsid w:val="00A553DA"/>
    <w:rsid w:val="00A564DB"/>
    <w:rsid w:val="00A57667"/>
    <w:rsid w:val="00A617AF"/>
    <w:rsid w:val="00A648ED"/>
    <w:rsid w:val="00A65CFF"/>
    <w:rsid w:val="00A71CB9"/>
    <w:rsid w:val="00A74511"/>
    <w:rsid w:val="00A7679E"/>
    <w:rsid w:val="00A77534"/>
    <w:rsid w:val="00A77F97"/>
    <w:rsid w:val="00A80376"/>
    <w:rsid w:val="00A812FE"/>
    <w:rsid w:val="00A81808"/>
    <w:rsid w:val="00A8237D"/>
    <w:rsid w:val="00A8357B"/>
    <w:rsid w:val="00A87804"/>
    <w:rsid w:val="00A87AE8"/>
    <w:rsid w:val="00A87BD7"/>
    <w:rsid w:val="00A90D0F"/>
    <w:rsid w:val="00A938E0"/>
    <w:rsid w:val="00AA0408"/>
    <w:rsid w:val="00AA1C9D"/>
    <w:rsid w:val="00AA213E"/>
    <w:rsid w:val="00AA38FA"/>
    <w:rsid w:val="00AA4F3E"/>
    <w:rsid w:val="00AA5145"/>
    <w:rsid w:val="00AA5827"/>
    <w:rsid w:val="00AA6F32"/>
    <w:rsid w:val="00AA72FF"/>
    <w:rsid w:val="00AA78E9"/>
    <w:rsid w:val="00AB3491"/>
    <w:rsid w:val="00AB36B4"/>
    <w:rsid w:val="00AB3D20"/>
    <w:rsid w:val="00AB4334"/>
    <w:rsid w:val="00AB47B2"/>
    <w:rsid w:val="00AB553A"/>
    <w:rsid w:val="00AB6E86"/>
    <w:rsid w:val="00AB765C"/>
    <w:rsid w:val="00AC068F"/>
    <w:rsid w:val="00AC0983"/>
    <w:rsid w:val="00AC2425"/>
    <w:rsid w:val="00AC3AFD"/>
    <w:rsid w:val="00AC413A"/>
    <w:rsid w:val="00AC47BD"/>
    <w:rsid w:val="00AC4C85"/>
    <w:rsid w:val="00AC4E75"/>
    <w:rsid w:val="00AC4EC4"/>
    <w:rsid w:val="00AC59AC"/>
    <w:rsid w:val="00AD04D9"/>
    <w:rsid w:val="00AD6AE2"/>
    <w:rsid w:val="00AD6C2D"/>
    <w:rsid w:val="00AE09FB"/>
    <w:rsid w:val="00AE22FA"/>
    <w:rsid w:val="00AE2ED2"/>
    <w:rsid w:val="00AE374A"/>
    <w:rsid w:val="00AE3836"/>
    <w:rsid w:val="00AF4BF6"/>
    <w:rsid w:val="00AF4C4F"/>
    <w:rsid w:val="00AF58DB"/>
    <w:rsid w:val="00AF5DFC"/>
    <w:rsid w:val="00AF6B0C"/>
    <w:rsid w:val="00B0011C"/>
    <w:rsid w:val="00B0294C"/>
    <w:rsid w:val="00B0349D"/>
    <w:rsid w:val="00B03F0F"/>
    <w:rsid w:val="00B04715"/>
    <w:rsid w:val="00B04B01"/>
    <w:rsid w:val="00B04EF3"/>
    <w:rsid w:val="00B11F65"/>
    <w:rsid w:val="00B139BF"/>
    <w:rsid w:val="00B13B0A"/>
    <w:rsid w:val="00B1617A"/>
    <w:rsid w:val="00B21C2D"/>
    <w:rsid w:val="00B22907"/>
    <w:rsid w:val="00B244B8"/>
    <w:rsid w:val="00B264CD"/>
    <w:rsid w:val="00B269C1"/>
    <w:rsid w:val="00B27FBF"/>
    <w:rsid w:val="00B34B49"/>
    <w:rsid w:val="00B36BF3"/>
    <w:rsid w:val="00B37AA7"/>
    <w:rsid w:val="00B40AA8"/>
    <w:rsid w:val="00B41FBB"/>
    <w:rsid w:val="00B46F74"/>
    <w:rsid w:val="00B50908"/>
    <w:rsid w:val="00B54B7D"/>
    <w:rsid w:val="00B5766D"/>
    <w:rsid w:val="00B57ACA"/>
    <w:rsid w:val="00B60022"/>
    <w:rsid w:val="00B6469B"/>
    <w:rsid w:val="00B66232"/>
    <w:rsid w:val="00B6750A"/>
    <w:rsid w:val="00B7025A"/>
    <w:rsid w:val="00B70C1D"/>
    <w:rsid w:val="00B70C5A"/>
    <w:rsid w:val="00B717AF"/>
    <w:rsid w:val="00B7192C"/>
    <w:rsid w:val="00B72883"/>
    <w:rsid w:val="00B7731E"/>
    <w:rsid w:val="00B85184"/>
    <w:rsid w:val="00B8710B"/>
    <w:rsid w:val="00B90FF8"/>
    <w:rsid w:val="00B91289"/>
    <w:rsid w:val="00B91DC7"/>
    <w:rsid w:val="00B92DFB"/>
    <w:rsid w:val="00B930CE"/>
    <w:rsid w:val="00B94B20"/>
    <w:rsid w:val="00B957CC"/>
    <w:rsid w:val="00B96CC5"/>
    <w:rsid w:val="00BA1A0E"/>
    <w:rsid w:val="00BA3392"/>
    <w:rsid w:val="00BA4D26"/>
    <w:rsid w:val="00BA55E5"/>
    <w:rsid w:val="00BA700F"/>
    <w:rsid w:val="00BB2050"/>
    <w:rsid w:val="00BB2B3E"/>
    <w:rsid w:val="00BB4156"/>
    <w:rsid w:val="00BB5A2F"/>
    <w:rsid w:val="00BC1A29"/>
    <w:rsid w:val="00BC631D"/>
    <w:rsid w:val="00BC6342"/>
    <w:rsid w:val="00BC66BD"/>
    <w:rsid w:val="00BC75F7"/>
    <w:rsid w:val="00BD148E"/>
    <w:rsid w:val="00BD273D"/>
    <w:rsid w:val="00BD507D"/>
    <w:rsid w:val="00BD7053"/>
    <w:rsid w:val="00BE1AD2"/>
    <w:rsid w:val="00BE35FE"/>
    <w:rsid w:val="00BE4436"/>
    <w:rsid w:val="00BE511E"/>
    <w:rsid w:val="00BF0B08"/>
    <w:rsid w:val="00BF1733"/>
    <w:rsid w:val="00BF191D"/>
    <w:rsid w:val="00BF3947"/>
    <w:rsid w:val="00BF3FAE"/>
    <w:rsid w:val="00BF6A7C"/>
    <w:rsid w:val="00BF7996"/>
    <w:rsid w:val="00BF7F37"/>
    <w:rsid w:val="00C004AC"/>
    <w:rsid w:val="00C011CD"/>
    <w:rsid w:val="00C0213F"/>
    <w:rsid w:val="00C02C1D"/>
    <w:rsid w:val="00C064D5"/>
    <w:rsid w:val="00C06B9C"/>
    <w:rsid w:val="00C1099B"/>
    <w:rsid w:val="00C14512"/>
    <w:rsid w:val="00C16B5E"/>
    <w:rsid w:val="00C20F1D"/>
    <w:rsid w:val="00C21337"/>
    <w:rsid w:val="00C21590"/>
    <w:rsid w:val="00C21DCF"/>
    <w:rsid w:val="00C2282C"/>
    <w:rsid w:val="00C22F2A"/>
    <w:rsid w:val="00C239AF"/>
    <w:rsid w:val="00C23EDD"/>
    <w:rsid w:val="00C2402A"/>
    <w:rsid w:val="00C25736"/>
    <w:rsid w:val="00C31507"/>
    <w:rsid w:val="00C33A3B"/>
    <w:rsid w:val="00C3579C"/>
    <w:rsid w:val="00C35C48"/>
    <w:rsid w:val="00C3615C"/>
    <w:rsid w:val="00C3681F"/>
    <w:rsid w:val="00C37172"/>
    <w:rsid w:val="00C41FA4"/>
    <w:rsid w:val="00C43108"/>
    <w:rsid w:val="00C462D8"/>
    <w:rsid w:val="00C47FAA"/>
    <w:rsid w:val="00C510A1"/>
    <w:rsid w:val="00C52AB6"/>
    <w:rsid w:val="00C54135"/>
    <w:rsid w:val="00C601EA"/>
    <w:rsid w:val="00C6478E"/>
    <w:rsid w:val="00C656B0"/>
    <w:rsid w:val="00C6681F"/>
    <w:rsid w:val="00C669CB"/>
    <w:rsid w:val="00C67035"/>
    <w:rsid w:val="00C678E4"/>
    <w:rsid w:val="00C67C69"/>
    <w:rsid w:val="00C67CB0"/>
    <w:rsid w:val="00C706F5"/>
    <w:rsid w:val="00C70934"/>
    <w:rsid w:val="00C72495"/>
    <w:rsid w:val="00C72565"/>
    <w:rsid w:val="00C752CE"/>
    <w:rsid w:val="00C815B2"/>
    <w:rsid w:val="00C82D82"/>
    <w:rsid w:val="00C8462B"/>
    <w:rsid w:val="00C856E6"/>
    <w:rsid w:val="00C90E56"/>
    <w:rsid w:val="00C9158F"/>
    <w:rsid w:val="00C92512"/>
    <w:rsid w:val="00C9344B"/>
    <w:rsid w:val="00C96811"/>
    <w:rsid w:val="00C96A0B"/>
    <w:rsid w:val="00CA17E5"/>
    <w:rsid w:val="00CA21FE"/>
    <w:rsid w:val="00CA2782"/>
    <w:rsid w:val="00CA3746"/>
    <w:rsid w:val="00CA586F"/>
    <w:rsid w:val="00CA5957"/>
    <w:rsid w:val="00CA604F"/>
    <w:rsid w:val="00CB24B0"/>
    <w:rsid w:val="00CB2B13"/>
    <w:rsid w:val="00CB4ED2"/>
    <w:rsid w:val="00CB547F"/>
    <w:rsid w:val="00CB5C1E"/>
    <w:rsid w:val="00CC2DD9"/>
    <w:rsid w:val="00CC3477"/>
    <w:rsid w:val="00CC3D1D"/>
    <w:rsid w:val="00CC4B97"/>
    <w:rsid w:val="00CC694D"/>
    <w:rsid w:val="00CC73E1"/>
    <w:rsid w:val="00CD0762"/>
    <w:rsid w:val="00CD3272"/>
    <w:rsid w:val="00CD3818"/>
    <w:rsid w:val="00CD3A86"/>
    <w:rsid w:val="00CE1B8F"/>
    <w:rsid w:val="00CE234B"/>
    <w:rsid w:val="00CF01A3"/>
    <w:rsid w:val="00CF05BC"/>
    <w:rsid w:val="00CF0628"/>
    <w:rsid w:val="00CF06AE"/>
    <w:rsid w:val="00CF1365"/>
    <w:rsid w:val="00CF143A"/>
    <w:rsid w:val="00CF2612"/>
    <w:rsid w:val="00CF26E4"/>
    <w:rsid w:val="00CF4DE8"/>
    <w:rsid w:val="00CF72A7"/>
    <w:rsid w:val="00CF7A1A"/>
    <w:rsid w:val="00D00280"/>
    <w:rsid w:val="00D0421A"/>
    <w:rsid w:val="00D050C9"/>
    <w:rsid w:val="00D05850"/>
    <w:rsid w:val="00D07152"/>
    <w:rsid w:val="00D114C8"/>
    <w:rsid w:val="00D12B2B"/>
    <w:rsid w:val="00D175B7"/>
    <w:rsid w:val="00D17BB1"/>
    <w:rsid w:val="00D20DDC"/>
    <w:rsid w:val="00D2384B"/>
    <w:rsid w:val="00D23AEC"/>
    <w:rsid w:val="00D2568F"/>
    <w:rsid w:val="00D25872"/>
    <w:rsid w:val="00D25D93"/>
    <w:rsid w:val="00D25DFE"/>
    <w:rsid w:val="00D27711"/>
    <w:rsid w:val="00D36580"/>
    <w:rsid w:val="00D41453"/>
    <w:rsid w:val="00D41C51"/>
    <w:rsid w:val="00D42060"/>
    <w:rsid w:val="00D45CD6"/>
    <w:rsid w:val="00D45FCF"/>
    <w:rsid w:val="00D4684C"/>
    <w:rsid w:val="00D47EEF"/>
    <w:rsid w:val="00D56D1A"/>
    <w:rsid w:val="00D56F32"/>
    <w:rsid w:val="00D62A31"/>
    <w:rsid w:val="00D63160"/>
    <w:rsid w:val="00D639DC"/>
    <w:rsid w:val="00D64271"/>
    <w:rsid w:val="00D65651"/>
    <w:rsid w:val="00D66EAE"/>
    <w:rsid w:val="00D678FC"/>
    <w:rsid w:val="00D713C8"/>
    <w:rsid w:val="00D7196F"/>
    <w:rsid w:val="00D734D5"/>
    <w:rsid w:val="00D73604"/>
    <w:rsid w:val="00D74528"/>
    <w:rsid w:val="00D75CDF"/>
    <w:rsid w:val="00D7665A"/>
    <w:rsid w:val="00D76B07"/>
    <w:rsid w:val="00D800C6"/>
    <w:rsid w:val="00D85B17"/>
    <w:rsid w:val="00D90279"/>
    <w:rsid w:val="00D915DF"/>
    <w:rsid w:val="00D92FF2"/>
    <w:rsid w:val="00D9418F"/>
    <w:rsid w:val="00D95233"/>
    <w:rsid w:val="00D97E08"/>
    <w:rsid w:val="00DA08A4"/>
    <w:rsid w:val="00DA0D08"/>
    <w:rsid w:val="00DA10BB"/>
    <w:rsid w:val="00DA1AFE"/>
    <w:rsid w:val="00DB2270"/>
    <w:rsid w:val="00DB2E6D"/>
    <w:rsid w:val="00DB365E"/>
    <w:rsid w:val="00DB3933"/>
    <w:rsid w:val="00DB4557"/>
    <w:rsid w:val="00DB56CA"/>
    <w:rsid w:val="00DC0126"/>
    <w:rsid w:val="00DC076B"/>
    <w:rsid w:val="00DC0F5A"/>
    <w:rsid w:val="00DC1F16"/>
    <w:rsid w:val="00DC2D6D"/>
    <w:rsid w:val="00DC3C82"/>
    <w:rsid w:val="00DC4AB6"/>
    <w:rsid w:val="00DC4AEC"/>
    <w:rsid w:val="00DC55D5"/>
    <w:rsid w:val="00DC5DC0"/>
    <w:rsid w:val="00DC6235"/>
    <w:rsid w:val="00DC7459"/>
    <w:rsid w:val="00DC7D70"/>
    <w:rsid w:val="00DD3E29"/>
    <w:rsid w:val="00DD4C81"/>
    <w:rsid w:val="00DD573C"/>
    <w:rsid w:val="00DD6255"/>
    <w:rsid w:val="00DD66CE"/>
    <w:rsid w:val="00DD699A"/>
    <w:rsid w:val="00DE1949"/>
    <w:rsid w:val="00DE25CF"/>
    <w:rsid w:val="00DE3120"/>
    <w:rsid w:val="00DE5934"/>
    <w:rsid w:val="00DF1F5B"/>
    <w:rsid w:val="00DF2BFE"/>
    <w:rsid w:val="00DF2DA4"/>
    <w:rsid w:val="00DF40AF"/>
    <w:rsid w:val="00DF4ADB"/>
    <w:rsid w:val="00DF669B"/>
    <w:rsid w:val="00E02DDA"/>
    <w:rsid w:val="00E0478E"/>
    <w:rsid w:val="00E04C87"/>
    <w:rsid w:val="00E06045"/>
    <w:rsid w:val="00E07605"/>
    <w:rsid w:val="00E07976"/>
    <w:rsid w:val="00E07992"/>
    <w:rsid w:val="00E14DCE"/>
    <w:rsid w:val="00E151D3"/>
    <w:rsid w:val="00E200DE"/>
    <w:rsid w:val="00E224C1"/>
    <w:rsid w:val="00E23191"/>
    <w:rsid w:val="00E27244"/>
    <w:rsid w:val="00E31501"/>
    <w:rsid w:val="00E35CA2"/>
    <w:rsid w:val="00E36EA7"/>
    <w:rsid w:val="00E376D6"/>
    <w:rsid w:val="00E37D9A"/>
    <w:rsid w:val="00E37FE7"/>
    <w:rsid w:val="00E4117B"/>
    <w:rsid w:val="00E43C83"/>
    <w:rsid w:val="00E43D08"/>
    <w:rsid w:val="00E452F9"/>
    <w:rsid w:val="00E45355"/>
    <w:rsid w:val="00E465B7"/>
    <w:rsid w:val="00E51849"/>
    <w:rsid w:val="00E52ABB"/>
    <w:rsid w:val="00E5395F"/>
    <w:rsid w:val="00E55A1B"/>
    <w:rsid w:val="00E55CAB"/>
    <w:rsid w:val="00E55E8C"/>
    <w:rsid w:val="00E56C6B"/>
    <w:rsid w:val="00E5771E"/>
    <w:rsid w:val="00E61642"/>
    <w:rsid w:val="00E64A0C"/>
    <w:rsid w:val="00E66F42"/>
    <w:rsid w:val="00E67E49"/>
    <w:rsid w:val="00E70317"/>
    <w:rsid w:val="00E741D4"/>
    <w:rsid w:val="00E80587"/>
    <w:rsid w:val="00E8273E"/>
    <w:rsid w:val="00E84B02"/>
    <w:rsid w:val="00E8732B"/>
    <w:rsid w:val="00E91959"/>
    <w:rsid w:val="00E91F46"/>
    <w:rsid w:val="00E926DF"/>
    <w:rsid w:val="00E955F2"/>
    <w:rsid w:val="00E95D4A"/>
    <w:rsid w:val="00EA010B"/>
    <w:rsid w:val="00EA4EFA"/>
    <w:rsid w:val="00EA5C9E"/>
    <w:rsid w:val="00EA6759"/>
    <w:rsid w:val="00EA7D2E"/>
    <w:rsid w:val="00EB1D94"/>
    <w:rsid w:val="00EB3330"/>
    <w:rsid w:val="00EB559D"/>
    <w:rsid w:val="00EC2FD4"/>
    <w:rsid w:val="00EC53A7"/>
    <w:rsid w:val="00EC58AB"/>
    <w:rsid w:val="00EC6DD2"/>
    <w:rsid w:val="00EC7A9B"/>
    <w:rsid w:val="00EC7F89"/>
    <w:rsid w:val="00ED061A"/>
    <w:rsid w:val="00ED1E8F"/>
    <w:rsid w:val="00ED3EFC"/>
    <w:rsid w:val="00ED406B"/>
    <w:rsid w:val="00ED5A38"/>
    <w:rsid w:val="00EE0034"/>
    <w:rsid w:val="00EE1303"/>
    <w:rsid w:val="00EE2AB8"/>
    <w:rsid w:val="00EE4A63"/>
    <w:rsid w:val="00EE52F2"/>
    <w:rsid w:val="00EE551F"/>
    <w:rsid w:val="00EE5B9F"/>
    <w:rsid w:val="00EE6380"/>
    <w:rsid w:val="00EE6462"/>
    <w:rsid w:val="00EE78BA"/>
    <w:rsid w:val="00EE79B7"/>
    <w:rsid w:val="00EF08A4"/>
    <w:rsid w:val="00EF0A1A"/>
    <w:rsid w:val="00EF3708"/>
    <w:rsid w:val="00EF4072"/>
    <w:rsid w:val="00EF4170"/>
    <w:rsid w:val="00EF6000"/>
    <w:rsid w:val="00EF65D2"/>
    <w:rsid w:val="00EF7B9F"/>
    <w:rsid w:val="00F01260"/>
    <w:rsid w:val="00F016B1"/>
    <w:rsid w:val="00F0175E"/>
    <w:rsid w:val="00F01C50"/>
    <w:rsid w:val="00F021AB"/>
    <w:rsid w:val="00F0587D"/>
    <w:rsid w:val="00F0727D"/>
    <w:rsid w:val="00F10734"/>
    <w:rsid w:val="00F125CB"/>
    <w:rsid w:val="00F12E1F"/>
    <w:rsid w:val="00F138E3"/>
    <w:rsid w:val="00F156B6"/>
    <w:rsid w:val="00F16581"/>
    <w:rsid w:val="00F1721F"/>
    <w:rsid w:val="00F203BD"/>
    <w:rsid w:val="00F22E77"/>
    <w:rsid w:val="00F23457"/>
    <w:rsid w:val="00F2367B"/>
    <w:rsid w:val="00F27E99"/>
    <w:rsid w:val="00F32A11"/>
    <w:rsid w:val="00F34B6A"/>
    <w:rsid w:val="00F4084A"/>
    <w:rsid w:val="00F418FF"/>
    <w:rsid w:val="00F42F40"/>
    <w:rsid w:val="00F43189"/>
    <w:rsid w:val="00F43CEA"/>
    <w:rsid w:val="00F45564"/>
    <w:rsid w:val="00F501F8"/>
    <w:rsid w:val="00F50B48"/>
    <w:rsid w:val="00F50DD8"/>
    <w:rsid w:val="00F518CC"/>
    <w:rsid w:val="00F51A8C"/>
    <w:rsid w:val="00F523D4"/>
    <w:rsid w:val="00F52588"/>
    <w:rsid w:val="00F5396C"/>
    <w:rsid w:val="00F56D9E"/>
    <w:rsid w:val="00F600C8"/>
    <w:rsid w:val="00F644F6"/>
    <w:rsid w:val="00F6473F"/>
    <w:rsid w:val="00F64F53"/>
    <w:rsid w:val="00F71B16"/>
    <w:rsid w:val="00F722CA"/>
    <w:rsid w:val="00F72337"/>
    <w:rsid w:val="00F73737"/>
    <w:rsid w:val="00F80ECF"/>
    <w:rsid w:val="00F86115"/>
    <w:rsid w:val="00F902A7"/>
    <w:rsid w:val="00F90676"/>
    <w:rsid w:val="00F943DD"/>
    <w:rsid w:val="00F94F6A"/>
    <w:rsid w:val="00F95E29"/>
    <w:rsid w:val="00F9706F"/>
    <w:rsid w:val="00F97F70"/>
    <w:rsid w:val="00FA294B"/>
    <w:rsid w:val="00FA3CA3"/>
    <w:rsid w:val="00FA5E82"/>
    <w:rsid w:val="00FA6B1B"/>
    <w:rsid w:val="00FA6B66"/>
    <w:rsid w:val="00FA7495"/>
    <w:rsid w:val="00FA7519"/>
    <w:rsid w:val="00FA7BDC"/>
    <w:rsid w:val="00FB0ECE"/>
    <w:rsid w:val="00FB2306"/>
    <w:rsid w:val="00FB3228"/>
    <w:rsid w:val="00FB49EF"/>
    <w:rsid w:val="00FB566B"/>
    <w:rsid w:val="00FB5E87"/>
    <w:rsid w:val="00FB6CFD"/>
    <w:rsid w:val="00FB79D9"/>
    <w:rsid w:val="00FB7A50"/>
    <w:rsid w:val="00FC0446"/>
    <w:rsid w:val="00FC269F"/>
    <w:rsid w:val="00FC2907"/>
    <w:rsid w:val="00FC2C91"/>
    <w:rsid w:val="00FC37C1"/>
    <w:rsid w:val="00FC49D0"/>
    <w:rsid w:val="00FC4D22"/>
    <w:rsid w:val="00FC4D47"/>
    <w:rsid w:val="00FC58FD"/>
    <w:rsid w:val="00FC7849"/>
    <w:rsid w:val="00FD0F83"/>
    <w:rsid w:val="00FD1BBB"/>
    <w:rsid w:val="00FD1E8E"/>
    <w:rsid w:val="00FD1EB0"/>
    <w:rsid w:val="00FD6718"/>
    <w:rsid w:val="00FD7C3A"/>
    <w:rsid w:val="00FE3666"/>
    <w:rsid w:val="00FE4563"/>
    <w:rsid w:val="00FE51C1"/>
    <w:rsid w:val="00FE7F3D"/>
    <w:rsid w:val="00FF46A3"/>
    <w:rsid w:val="00FF4BEE"/>
    <w:rsid w:val="00FF599A"/>
    <w:rsid w:val="00FF643E"/>
    <w:rsid w:val="00FF6BD6"/>
    <w:rsid w:val="00FF7F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EFC20D"/>
  <w15:docId w15:val="{443BADBA-DE7A-468E-9DD0-DB172597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68"/>
    <w:pPr>
      <w:spacing w:after="0" w:line="360" w:lineRule="auto"/>
      <w:ind w:firstLine="720"/>
      <w:jc w:val="both"/>
    </w:pPr>
  </w:style>
  <w:style w:type="paragraph" w:styleId="Heading1">
    <w:name w:val="heading 1"/>
    <w:basedOn w:val="Normal"/>
    <w:next w:val="Normal"/>
    <w:link w:val="Heading1Char"/>
    <w:uiPriority w:val="9"/>
    <w:qFormat/>
    <w:rsid w:val="0059518C"/>
    <w:pPr>
      <w:keepNext/>
      <w:keepLines/>
      <w:spacing w:before="240"/>
      <w:ind w:firstLine="0"/>
      <w:jc w:val="left"/>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41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34146"/>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50618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3A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3414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A341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146"/>
    <w:rPr>
      <w:rFonts w:ascii="Segoe UI" w:hAnsi="Segoe UI" w:cs="Segoe UI"/>
      <w:sz w:val="18"/>
      <w:szCs w:val="18"/>
    </w:rPr>
  </w:style>
  <w:style w:type="character" w:customStyle="1" w:styleId="Heading3Char">
    <w:name w:val="Heading 3 Char"/>
    <w:basedOn w:val="DefaultParagraphFont"/>
    <w:link w:val="Heading3"/>
    <w:uiPriority w:val="9"/>
    <w:rsid w:val="00A34146"/>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CD3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31">
    <w:name w:val="List Table 4 - Accent 31"/>
    <w:basedOn w:val="TableNormal"/>
    <w:uiPriority w:val="49"/>
    <w:rsid w:val="00582B4B"/>
    <w:pPr>
      <w:spacing w:after="0" w:line="240" w:lineRule="auto"/>
    </w:pPr>
    <w:rPr>
      <w:sz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CD3272"/>
    <w:pPr>
      <w:spacing w:after="200" w:line="240" w:lineRule="auto"/>
    </w:pPr>
    <w:rPr>
      <w:i/>
      <w:iCs/>
      <w:color w:val="44546A" w:themeColor="text2"/>
      <w:sz w:val="18"/>
      <w:szCs w:val="18"/>
    </w:rPr>
  </w:style>
  <w:style w:type="paragraph" w:styleId="NoSpacing">
    <w:name w:val="No Spacing"/>
    <w:link w:val="NoSpacingChar"/>
    <w:uiPriority w:val="1"/>
    <w:qFormat/>
    <w:rsid w:val="00353447"/>
    <w:pPr>
      <w:spacing w:after="0" w:line="240" w:lineRule="auto"/>
      <w:ind w:firstLine="720"/>
    </w:pPr>
  </w:style>
  <w:style w:type="paragraph" w:styleId="ListParagraph">
    <w:name w:val="List Paragraph"/>
    <w:aliases w:val="Strip,H&amp;P List Paragraph,2,Colorful List - Accent 12,Normal bullet 2,Bullet list,Syle 1,PPS_Bullet,Saistīto dokumentu saraksts,Numurets,Table of contents numbered,Citation List,Virsraksti,List Paragraph1,Bullet EY,ERP-List Paragraph,LP1."/>
    <w:basedOn w:val="Normal"/>
    <w:link w:val="ListParagraphChar"/>
    <w:uiPriority w:val="34"/>
    <w:qFormat/>
    <w:rsid w:val="0015684B"/>
    <w:pPr>
      <w:ind w:left="720"/>
      <w:contextualSpacing/>
    </w:pPr>
  </w:style>
  <w:style w:type="character" w:styleId="PlaceholderText">
    <w:name w:val="Placeholder Text"/>
    <w:basedOn w:val="DefaultParagraphFont"/>
    <w:uiPriority w:val="99"/>
    <w:semiHidden/>
    <w:rsid w:val="00DB365E"/>
    <w:rPr>
      <w:color w:val="808080"/>
    </w:rPr>
  </w:style>
  <w:style w:type="paragraph" w:styleId="FootnoteText">
    <w:name w:val="footnote text"/>
    <w:basedOn w:val="Normal"/>
    <w:link w:val="FootnoteTextChar"/>
    <w:uiPriority w:val="99"/>
    <w:semiHidden/>
    <w:unhideWhenUsed/>
    <w:rsid w:val="00505AF8"/>
    <w:pPr>
      <w:spacing w:line="240" w:lineRule="auto"/>
    </w:pPr>
    <w:rPr>
      <w:sz w:val="20"/>
      <w:szCs w:val="20"/>
    </w:rPr>
  </w:style>
  <w:style w:type="character" w:customStyle="1" w:styleId="FootnoteTextChar">
    <w:name w:val="Footnote Text Char"/>
    <w:basedOn w:val="DefaultParagraphFont"/>
    <w:link w:val="FootnoteText"/>
    <w:uiPriority w:val="99"/>
    <w:semiHidden/>
    <w:rsid w:val="00505AF8"/>
    <w:rPr>
      <w:sz w:val="20"/>
      <w:szCs w:val="20"/>
    </w:rPr>
  </w:style>
  <w:style w:type="character" w:styleId="FootnoteReference">
    <w:name w:val="footnote reference"/>
    <w:basedOn w:val="DefaultParagraphFont"/>
    <w:uiPriority w:val="99"/>
    <w:semiHidden/>
    <w:unhideWhenUsed/>
    <w:rsid w:val="00505AF8"/>
    <w:rPr>
      <w:vertAlign w:val="superscript"/>
    </w:rPr>
  </w:style>
  <w:style w:type="character" w:styleId="Hyperlink">
    <w:name w:val="Hyperlink"/>
    <w:basedOn w:val="DefaultParagraphFont"/>
    <w:uiPriority w:val="99"/>
    <w:unhideWhenUsed/>
    <w:rsid w:val="00505AF8"/>
    <w:rPr>
      <w:color w:val="0563C1" w:themeColor="hyperlink"/>
      <w:u w:val="single"/>
    </w:rPr>
  </w:style>
  <w:style w:type="character" w:styleId="IntenseEmphasis">
    <w:name w:val="Intense Emphasis"/>
    <w:basedOn w:val="DefaultParagraphFont"/>
    <w:uiPriority w:val="21"/>
    <w:qFormat/>
    <w:rsid w:val="00DD573C"/>
    <w:rPr>
      <w:b/>
      <w:bCs/>
      <w:i/>
      <w:iCs/>
      <w:color w:val="4472C4" w:themeColor="accent1"/>
    </w:rPr>
  </w:style>
  <w:style w:type="character" w:customStyle="1" w:styleId="NoSpacingChar">
    <w:name w:val="No Spacing Char"/>
    <w:basedOn w:val="DefaultParagraphFont"/>
    <w:link w:val="NoSpacing"/>
    <w:uiPriority w:val="1"/>
    <w:rsid w:val="00FA5E82"/>
  </w:style>
  <w:style w:type="paragraph" w:styleId="Header">
    <w:name w:val="header"/>
    <w:basedOn w:val="Normal"/>
    <w:link w:val="HeaderChar"/>
    <w:uiPriority w:val="99"/>
    <w:unhideWhenUsed/>
    <w:rsid w:val="0091405E"/>
    <w:pPr>
      <w:tabs>
        <w:tab w:val="center" w:pos="4513"/>
        <w:tab w:val="right" w:pos="9026"/>
      </w:tabs>
      <w:spacing w:line="240" w:lineRule="auto"/>
    </w:pPr>
  </w:style>
  <w:style w:type="character" w:customStyle="1" w:styleId="HeaderChar">
    <w:name w:val="Header Char"/>
    <w:basedOn w:val="DefaultParagraphFont"/>
    <w:link w:val="Header"/>
    <w:uiPriority w:val="99"/>
    <w:rsid w:val="0091405E"/>
  </w:style>
  <w:style w:type="paragraph" w:styleId="Footer">
    <w:name w:val="footer"/>
    <w:basedOn w:val="Normal"/>
    <w:link w:val="FooterChar"/>
    <w:uiPriority w:val="99"/>
    <w:unhideWhenUsed/>
    <w:rsid w:val="0091405E"/>
    <w:pPr>
      <w:tabs>
        <w:tab w:val="center" w:pos="4513"/>
        <w:tab w:val="right" w:pos="9026"/>
      </w:tabs>
      <w:spacing w:line="240" w:lineRule="auto"/>
    </w:pPr>
  </w:style>
  <w:style w:type="character" w:customStyle="1" w:styleId="FooterChar">
    <w:name w:val="Footer Char"/>
    <w:basedOn w:val="DefaultParagraphFont"/>
    <w:link w:val="Footer"/>
    <w:uiPriority w:val="99"/>
    <w:rsid w:val="0091405E"/>
  </w:style>
  <w:style w:type="table" w:styleId="GridTable2">
    <w:name w:val="Grid Table 2"/>
    <w:basedOn w:val="TableNormal"/>
    <w:uiPriority w:val="47"/>
    <w:rsid w:val="00C815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C815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31">
    <w:name w:val="Grid Table 31"/>
    <w:basedOn w:val="TableNormal"/>
    <w:uiPriority w:val="48"/>
    <w:rsid w:val="0036225E"/>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OCHeading">
    <w:name w:val="TOC Heading"/>
    <w:basedOn w:val="Heading1"/>
    <w:next w:val="Normal"/>
    <w:uiPriority w:val="39"/>
    <w:unhideWhenUsed/>
    <w:qFormat/>
    <w:rsid w:val="00A617AF"/>
    <w:pPr>
      <w:spacing w:line="259" w:lineRule="auto"/>
      <w:outlineLvl w:val="9"/>
    </w:pPr>
    <w:rPr>
      <w:lang w:eastAsia="lv-LV"/>
    </w:rPr>
  </w:style>
  <w:style w:type="paragraph" w:styleId="TOC1">
    <w:name w:val="toc 1"/>
    <w:basedOn w:val="Normal"/>
    <w:next w:val="Normal"/>
    <w:autoRedefine/>
    <w:uiPriority w:val="39"/>
    <w:unhideWhenUsed/>
    <w:rsid w:val="004B1626"/>
    <w:pPr>
      <w:tabs>
        <w:tab w:val="left" w:pos="142"/>
        <w:tab w:val="right" w:leader="dot" w:pos="9356"/>
      </w:tabs>
      <w:spacing w:after="100"/>
      <w:ind w:right="850" w:firstLine="0"/>
    </w:pPr>
    <w:rPr>
      <w:noProof/>
      <w:sz w:val="24"/>
      <w:szCs w:val="24"/>
    </w:rPr>
  </w:style>
  <w:style w:type="paragraph" w:styleId="TOC2">
    <w:name w:val="toc 2"/>
    <w:basedOn w:val="Normal"/>
    <w:next w:val="Normal"/>
    <w:autoRedefine/>
    <w:uiPriority w:val="39"/>
    <w:unhideWhenUsed/>
    <w:rsid w:val="004B1626"/>
    <w:pPr>
      <w:tabs>
        <w:tab w:val="left" w:pos="0"/>
        <w:tab w:val="left" w:pos="142"/>
        <w:tab w:val="right" w:leader="dot" w:pos="9072"/>
      </w:tabs>
      <w:spacing w:after="100"/>
      <w:ind w:firstLine="0"/>
    </w:pPr>
  </w:style>
  <w:style w:type="paragraph" w:styleId="TOC3">
    <w:name w:val="toc 3"/>
    <w:basedOn w:val="Normal"/>
    <w:next w:val="Normal"/>
    <w:autoRedefine/>
    <w:uiPriority w:val="39"/>
    <w:unhideWhenUsed/>
    <w:rsid w:val="00A617AF"/>
    <w:pPr>
      <w:spacing w:after="100"/>
      <w:ind w:left="440"/>
    </w:pPr>
  </w:style>
  <w:style w:type="character" w:styleId="CommentReference">
    <w:name w:val="annotation reference"/>
    <w:basedOn w:val="DefaultParagraphFont"/>
    <w:uiPriority w:val="99"/>
    <w:semiHidden/>
    <w:unhideWhenUsed/>
    <w:rsid w:val="004713AC"/>
    <w:rPr>
      <w:sz w:val="16"/>
      <w:szCs w:val="16"/>
    </w:rPr>
  </w:style>
  <w:style w:type="paragraph" w:styleId="CommentText">
    <w:name w:val="annotation text"/>
    <w:basedOn w:val="Normal"/>
    <w:link w:val="CommentTextChar"/>
    <w:uiPriority w:val="99"/>
    <w:semiHidden/>
    <w:unhideWhenUsed/>
    <w:rsid w:val="004713AC"/>
    <w:pPr>
      <w:spacing w:line="240" w:lineRule="auto"/>
    </w:pPr>
    <w:rPr>
      <w:sz w:val="20"/>
      <w:szCs w:val="20"/>
    </w:rPr>
  </w:style>
  <w:style w:type="character" w:customStyle="1" w:styleId="CommentTextChar">
    <w:name w:val="Comment Text Char"/>
    <w:basedOn w:val="DefaultParagraphFont"/>
    <w:link w:val="CommentText"/>
    <w:uiPriority w:val="99"/>
    <w:semiHidden/>
    <w:rsid w:val="004713AC"/>
    <w:rPr>
      <w:sz w:val="20"/>
      <w:szCs w:val="20"/>
    </w:rPr>
  </w:style>
  <w:style w:type="paragraph" w:styleId="CommentSubject">
    <w:name w:val="annotation subject"/>
    <w:basedOn w:val="CommentText"/>
    <w:next w:val="CommentText"/>
    <w:link w:val="CommentSubjectChar"/>
    <w:uiPriority w:val="99"/>
    <w:semiHidden/>
    <w:unhideWhenUsed/>
    <w:rsid w:val="004713AC"/>
    <w:rPr>
      <w:b/>
      <w:bCs/>
    </w:rPr>
  </w:style>
  <w:style w:type="character" w:customStyle="1" w:styleId="CommentSubjectChar">
    <w:name w:val="Comment Subject Char"/>
    <w:basedOn w:val="CommentTextChar"/>
    <w:link w:val="CommentSubject"/>
    <w:uiPriority w:val="99"/>
    <w:semiHidden/>
    <w:rsid w:val="004713AC"/>
    <w:rPr>
      <w:b/>
      <w:bCs/>
      <w:sz w:val="20"/>
      <w:szCs w:val="20"/>
    </w:rPr>
  </w:style>
  <w:style w:type="character" w:customStyle="1" w:styleId="Heading4Char">
    <w:name w:val="Heading 4 Char"/>
    <w:basedOn w:val="DefaultParagraphFont"/>
    <w:link w:val="Heading4"/>
    <w:uiPriority w:val="9"/>
    <w:rsid w:val="00506186"/>
    <w:rPr>
      <w:rFonts w:asciiTheme="majorHAnsi" w:eastAsiaTheme="majorEastAsia" w:hAnsiTheme="majorHAnsi" w:cstheme="majorBidi"/>
      <w:i/>
      <w:iCs/>
      <w:color w:val="2F5496" w:themeColor="accent1" w:themeShade="BF"/>
    </w:rPr>
  </w:style>
  <w:style w:type="table" w:styleId="GridTable3">
    <w:name w:val="Grid Table 3"/>
    <w:basedOn w:val="TableNormal"/>
    <w:uiPriority w:val="48"/>
    <w:rsid w:val="009901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Default">
    <w:name w:val="Default"/>
    <w:rsid w:val="003F6B25"/>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2419B4"/>
    <w:rPr>
      <w:color w:val="954F72" w:themeColor="followedHyperlink"/>
      <w:u w:val="single"/>
    </w:rPr>
  </w:style>
  <w:style w:type="table" w:styleId="PlainTable2">
    <w:name w:val="Plain Table 2"/>
    <w:basedOn w:val="TableNormal"/>
    <w:uiPriority w:val="42"/>
    <w:rsid w:val="00B21C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B4A04"/>
    <w:rPr>
      <w:color w:val="605E5C"/>
      <w:shd w:val="clear" w:color="auto" w:fill="E1DFDD"/>
    </w:rPr>
  </w:style>
  <w:style w:type="character" w:customStyle="1" w:styleId="ListParagraphChar">
    <w:name w:val="List Paragraph Char"/>
    <w:aliases w:val="Strip Char,H&amp;P List Paragraph Char,2 Char,Colorful List - Accent 12 Char,Normal bullet 2 Char,Bullet list Char,Syle 1 Char,PPS_Bullet Char,Saistīto dokumentu saraksts Char,Numurets Char,Table of contents numbered Char,Virsraksti Char"/>
    <w:link w:val="ListParagraph"/>
    <w:uiPriority w:val="34"/>
    <w:qFormat/>
    <w:locked/>
    <w:rsid w:val="000B785B"/>
  </w:style>
  <w:style w:type="table" w:styleId="PlainTable3">
    <w:name w:val="Plain Table 3"/>
    <w:basedOn w:val="TableNormal"/>
    <w:uiPriority w:val="43"/>
    <w:rsid w:val="00AA04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66965">
      <w:bodyDiv w:val="1"/>
      <w:marLeft w:val="0"/>
      <w:marRight w:val="0"/>
      <w:marTop w:val="0"/>
      <w:marBottom w:val="0"/>
      <w:divBdr>
        <w:top w:val="none" w:sz="0" w:space="0" w:color="auto"/>
        <w:left w:val="none" w:sz="0" w:space="0" w:color="auto"/>
        <w:bottom w:val="none" w:sz="0" w:space="0" w:color="auto"/>
        <w:right w:val="none" w:sz="0" w:space="0" w:color="auto"/>
      </w:divBdr>
    </w:div>
    <w:div w:id="103809431">
      <w:bodyDiv w:val="1"/>
      <w:marLeft w:val="0"/>
      <w:marRight w:val="0"/>
      <w:marTop w:val="0"/>
      <w:marBottom w:val="0"/>
      <w:divBdr>
        <w:top w:val="none" w:sz="0" w:space="0" w:color="auto"/>
        <w:left w:val="none" w:sz="0" w:space="0" w:color="auto"/>
        <w:bottom w:val="none" w:sz="0" w:space="0" w:color="auto"/>
        <w:right w:val="none" w:sz="0" w:space="0" w:color="auto"/>
      </w:divBdr>
    </w:div>
    <w:div w:id="351878576">
      <w:bodyDiv w:val="1"/>
      <w:marLeft w:val="0"/>
      <w:marRight w:val="0"/>
      <w:marTop w:val="0"/>
      <w:marBottom w:val="0"/>
      <w:divBdr>
        <w:top w:val="none" w:sz="0" w:space="0" w:color="auto"/>
        <w:left w:val="none" w:sz="0" w:space="0" w:color="auto"/>
        <w:bottom w:val="none" w:sz="0" w:space="0" w:color="auto"/>
        <w:right w:val="none" w:sz="0" w:space="0" w:color="auto"/>
      </w:divBdr>
    </w:div>
    <w:div w:id="525291661">
      <w:bodyDiv w:val="1"/>
      <w:marLeft w:val="0"/>
      <w:marRight w:val="0"/>
      <w:marTop w:val="0"/>
      <w:marBottom w:val="0"/>
      <w:divBdr>
        <w:top w:val="none" w:sz="0" w:space="0" w:color="auto"/>
        <w:left w:val="none" w:sz="0" w:space="0" w:color="auto"/>
        <w:bottom w:val="none" w:sz="0" w:space="0" w:color="auto"/>
        <w:right w:val="none" w:sz="0" w:space="0" w:color="auto"/>
      </w:divBdr>
    </w:div>
    <w:div w:id="701326867">
      <w:bodyDiv w:val="1"/>
      <w:marLeft w:val="0"/>
      <w:marRight w:val="0"/>
      <w:marTop w:val="0"/>
      <w:marBottom w:val="0"/>
      <w:divBdr>
        <w:top w:val="none" w:sz="0" w:space="0" w:color="auto"/>
        <w:left w:val="none" w:sz="0" w:space="0" w:color="auto"/>
        <w:bottom w:val="none" w:sz="0" w:space="0" w:color="auto"/>
        <w:right w:val="none" w:sz="0" w:space="0" w:color="auto"/>
      </w:divBdr>
    </w:div>
    <w:div w:id="747775835">
      <w:bodyDiv w:val="1"/>
      <w:marLeft w:val="0"/>
      <w:marRight w:val="0"/>
      <w:marTop w:val="0"/>
      <w:marBottom w:val="0"/>
      <w:divBdr>
        <w:top w:val="none" w:sz="0" w:space="0" w:color="auto"/>
        <w:left w:val="none" w:sz="0" w:space="0" w:color="auto"/>
        <w:bottom w:val="none" w:sz="0" w:space="0" w:color="auto"/>
        <w:right w:val="none" w:sz="0" w:space="0" w:color="auto"/>
      </w:divBdr>
    </w:div>
    <w:div w:id="822890057">
      <w:bodyDiv w:val="1"/>
      <w:marLeft w:val="0"/>
      <w:marRight w:val="0"/>
      <w:marTop w:val="0"/>
      <w:marBottom w:val="0"/>
      <w:divBdr>
        <w:top w:val="none" w:sz="0" w:space="0" w:color="auto"/>
        <w:left w:val="none" w:sz="0" w:space="0" w:color="auto"/>
        <w:bottom w:val="none" w:sz="0" w:space="0" w:color="auto"/>
        <w:right w:val="none" w:sz="0" w:space="0" w:color="auto"/>
      </w:divBdr>
    </w:div>
    <w:div w:id="827553735">
      <w:bodyDiv w:val="1"/>
      <w:marLeft w:val="0"/>
      <w:marRight w:val="0"/>
      <w:marTop w:val="0"/>
      <w:marBottom w:val="0"/>
      <w:divBdr>
        <w:top w:val="none" w:sz="0" w:space="0" w:color="auto"/>
        <w:left w:val="none" w:sz="0" w:space="0" w:color="auto"/>
        <w:bottom w:val="none" w:sz="0" w:space="0" w:color="auto"/>
        <w:right w:val="none" w:sz="0" w:space="0" w:color="auto"/>
      </w:divBdr>
    </w:div>
    <w:div w:id="1007096501">
      <w:bodyDiv w:val="1"/>
      <w:marLeft w:val="0"/>
      <w:marRight w:val="0"/>
      <w:marTop w:val="0"/>
      <w:marBottom w:val="0"/>
      <w:divBdr>
        <w:top w:val="none" w:sz="0" w:space="0" w:color="auto"/>
        <w:left w:val="none" w:sz="0" w:space="0" w:color="auto"/>
        <w:bottom w:val="none" w:sz="0" w:space="0" w:color="auto"/>
        <w:right w:val="none" w:sz="0" w:space="0" w:color="auto"/>
      </w:divBdr>
    </w:div>
    <w:div w:id="1055467732">
      <w:bodyDiv w:val="1"/>
      <w:marLeft w:val="0"/>
      <w:marRight w:val="0"/>
      <w:marTop w:val="0"/>
      <w:marBottom w:val="0"/>
      <w:divBdr>
        <w:top w:val="none" w:sz="0" w:space="0" w:color="auto"/>
        <w:left w:val="none" w:sz="0" w:space="0" w:color="auto"/>
        <w:bottom w:val="none" w:sz="0" w:space="0" w:color="auto"/>
        <w:right w:val="none" w:sz="0" w:space="0" w:color="auto"/>
      </w:divBdr>
    </w:div>
    <w:div w:id="1116412288">
      <w:bodyDiv w:val="1"/>
      <w:marLeft w:val="0"/>
      <w:marRight w:val="0"/>
      <w:marTop w:val="0"/>
      <w:marBottom w:val="0"/>
      <w:divBdr>
        <w:top w:val="none" w:sz="0" w:space="0" w:color="auto"/>
        <w:left w:val="none" w:sz="0" w:space="0" w:color="auto"/>
        <w:bottom w:val="none" w:sz="0" w:space="0" w:color="auto"/>
        <w:right w:val="none" w:sz="0" w:space="0" w:color="auto"/>
      </w:divBdr>
    </w:div>
    <w:div w:id="1247885909">
      <w:bodyDiv w:val="1"/>
      <w:marLeft w:val="0"/>
      <w:marRight w:val="0"/>
      <w:marTop w:val="0"/>
      <w:marBottom w:val="0"/>
      <w:divBdr>
        <w:top w:val="none" w:sz="0" w:space="0" w:color="auto"/>
        <w:left w:val="none" w:sz="0" w:space="0" w:color="auto"/>
        <w:bottom w:val="none" w:sz="0" w:space="0" w:color="auto"/>
        <w:right w:val="none" w:sz="0" w:space="0" w:color="auto"/>
      </w:divBdr>
    </w:div>
    <w:div w:id="1335956201">
      <w:bodyDiv w:val="1"/>
      <w:marLeft w:val="0"/>
      <w:marRight w:val="0"/>
      <w:marTop w:val="0"/>
      <w:marBottom w:val="0"/>
      <w:divBdr>
        <w:top w:val="none" w:sz="0" w:space="0" w:color="auto"/>
        <w:left w:val="none" w:sz="0" w:space="0" w:color="auto"/>
        <w:bottom w:val="none" w:sz="0" w:space="0" w:color="auto"/>
        <w:right w:val="none" w:sz="0" w:space="0" w:color="auto"/>
      </w:divBdr>
    </w:div>
    <w:div w:id="1356036008">
      <w:bodyDiv w:val="1"/>
      <w:marLeft w:val="0"/>
      <w:marRight w:val="0"/>
      <w:marTop w:val="0"/>
      <w:marBottom w:val="0"/>
      <w:divBdr>
        <w:top w:val="none" w:sz="0" w:space="0" w:color="auto"/>
        <w:left w:val="none" w:sz="0" w:space="0" w:color="auto"/>
        <w:bottom w:val="none" w:sz="0" w:space="0" w:color="auto"/>
        <w:right w:val="none" w:sz="0" w:space="0" w:color="auto"/>
      </w:divBdr>
    </w:div>
    <w:div w:id="1487939200">
      <w:bodyDiv w:val="1"/>
      <w:marLeft w:val="0"/>
      <w:marRight w:val="0"/>
      <w:marTop w:val="0"/>
      <w:marBottom w:val="0"/>
      <w:divBdr>
        <w:top w:val="none" w:sz="0" w:space="0" w:color="auto"/>
        <w:left w:val="none" w:sz="0" w:space="0" w:color="auto"/>
        <w:bottom w:val="none" w:sz="0" w:space="0" w:color="auto"/>
        <w:right w:val="none" w:sz="0" w:space="0" w:color="auto"/>
      </w:divBdr>
    </w:div>
    <w:div w:id="1488781965">
      <w:bodyDiv w:val="1"/>
      <w:marLeft w:val="0"/>
      <w:marRight w:val="0"/>
      <w:marTop w:val="0"/>
      <w:marBottom w:val="0"/>
      <w:divBdr>
        <w:top w:val="none" w:sz="0" w:space="0" w:color="auto"/>
        <w:left w:val="none" w:sz="0" w:space="0" w:color="auto"/>
        <w:bottom w:val="none" w:sz="0" w:space="0" w:color="auto"/>
        <w:right w:val="none" w:sz="0" w:space="0" w:color="auto"/>
      </w:divBdr>
    </w:div>
    <w:div w:id="1542209766">
      <w:bodyDiv w:val="1"/>
      <w:marLeft w:val="0"/>
      <w:marRight w:val="0"/>
      <w:marTop w:val="0"/>
      <w:marBottom w:val="0"/>
      <w:divBdr>
        <w:top w:val="none" w:sz="0" w:space="0" w:color="auto"/>
        <w:left w:val="none" w:sz="0" w:space="0" w:color="auto"/>
        <w:bottom w:val="none" w:sz="0" w:space="0" w:color="auto"/>
        <w:right w:val="none" w:sz="0" w:space="0" w:color="auto"/>
      </w:divBdr>
    </w:div>
    <w:div w:id="1549412904">
      <w:bodyDiv w:val="1"/>
      <w:marLeft w:val="0"/>
      <w:marRight w:val="0"/>
      <w:marTop w:val="0"/>
      <w:marBottom w:val="0"/>
      <w:divBdr>
        <w:top w:val="none" w:sz="0" w:space="0" w:color="auto"/>
        <w:left w:val="none" w:sz="0" w:space="0" w:color="auto"/>
        <w:bottom w:val="none" w:sz="0" w:space="0" w:color="auto"/>
        <w:right w:val="none" w:sz="0" w:space="0" w:color="auto"/>
      </w:divBdr>
    </w:div>
    <w:div w:id="1569880215">
      <w:bodyDiv w:val="1"/>
      <w:marLeft w:val="0"/>
      <w:marRight w:val="0"/>
      <w:marTop w:val="0"/>
      <w:marBottom w:val="0"/>
      <w:divBdr>
        <w:top w:val="none" w:sz="0" w:space="0" w:color="auto"/>
        <w:left w:val="none" w:sz="0" w:space="0" w:color="auto"/>
        <w:bottom w:val="none" w:sz="0" w:space="0" w:color="auto"/>
        <w:right w:val="none" w:sz="0" w:space="0" w:color="auto"/>
      </w:divBdr>
    </w:div>
    <w:div w:id="1571844222">
      <w:bodyDiv w:val="1"/>
      <w:marLeft w:val="0"/>
      <w:marRight w:val="0"/>
      <w:marTop w:val="0"/>
      <w:marBottom w:val="0"/>
      <w:divBdr>
        <w:top w:val="none" w:sz="0" w:space="0" w:color="auto"/>
        <w:left w:val="none" w:sz="0" w:space="0" w:color="auto"/>
        <w:bottom w:val="none" w:sz="0" w:space="0" w:color="auto"/>
        <w:right w:val="none" w:sz="0" w:space="0" w:color="auto"/>
      </w:divBdr>
    </w:div>
    <w:div w:id="1642417789">
      <w:bodyDiv w:val="1"/>
      <w:marLeft w:val="0"/>
      <w:marRight w:val="0"/>
      <w:marTop w:val="0"/>
      <w:marBottom w:val="0"/>
      <w:divBdr>
        <w:top w:val="none" w:sz="0" w:space="0" w:color="auto"/>
        <w:left w:val="none" w:sz="0" w:space="0" w:color="auto"/>
        <w:bottom w:val="none" w:sz="0" w:space="0" w:color="auto"/>
        <w:right w:val="none" w:sz="0" w:space="0" w:color="auto"/>
      </w:divBdr>
    </w:div>
    <w:div w:id="1657683667">
      <w:bodyDiv w:val="1"/>
      <w:marLeft w:val="0"/>
      <w:marRight w:val="0"/>
      <w:marTop w:val="0"/>
      <w:marBottom w:val="0"/>
      <w:divBdr>
        <w:top w:val="none" w:sz="0" w:space="0" w:color="auto"/>
        <w:left w:val="none" w:sz="0" w:space="0" w:color="auto"/>
        <w:bottom w:val="none" w:sz="0" w:space="0" w:color="auto"/>
        <w:right w:val="none" w:sz="0" w:space="0" w:color="auto"/>
      </w:divBdr>
    </w:div>
    <w:div w:id="1711875174">
      <w:bodyDiv w:val="1"/>
      <w:marLeft w:val="0"/>
      <w:marRight w:val="0"/>
      <w:marTop w:val="0"/>
      <w:marBottom w:val="0"/>
      <w:divBdr>
        <w:top w:val="none" w:sz="0" w:space="0" w:color="auto"/>
        <w:left w:val="none" w:sz="0" w:space="0" w:color="auto"/>
        <w:bottom w:val="none" w:sz="0" w:space="0" w:color="auto"/>
        <w:right w:val="none" w:sz="0" w:space="0" w:color="auto"/>
      </w:divBdr>
    </w:div>
    <w:div w:id="1741750340">
      <w:bodyDiv w:val="1"/>
      <w:marLeft w:val="0"/>
      <w:marRight w:val="0"/>
      <w:marTop w:val="0"/>
      <w:marBottom w:val="0"/>
      <w:divBdr>
        <w:top w:val="none" w:sz="0" w:space="0" w:color="auto"/>
        <w:left w:val="none" w:sz="0" w:space="0" w:color="auto"/>
        <w:bottom w:val="none" w:sz="0" w:space="0" w:color="auto"/>
        <w:right w:val="none" w:sz="0" w:space="0" w:color="auto"/>
      </w:divBdr>
    </w:div>
    <w:div w:id="1985815321">
      <w:bodyDiv w:val="1"/>
      <w:marLeft w:val="0"/>
      <w:marRight w:val="0"/>
      <w:marTop w:val="0"/>
      <w:marBottom w:val="0"/>
      <w:divBdr>
        <w:top w:val="none" w:sz="0" w:space="0" w:color="auto"/>
        <w:left w:val="none" w:sz="0" w:space="0" w:color="auto"/>
        <w:bottom w:val="none" w:sz="0" w:space="0" w:color="auto"/>
        <w:right w:val="none" w:sz="0" w:space="0" w:color="auto"/>
      </w:divBdr>
    </w:div>
    <w:div w:id="2089233413">
      <w:bodyDiv w:val="1"/>
      <w:marLeft w:val="0"/>
      <w:marRight w:val="0"/>
      <w:marTop w:val="0"/>
      <w:marBottom w:val="0"/>
      <w:divBdr>
        <w:top w:val="none" w:sz="0" w:space="0" w:color="auto"/>
        <w:left w:val="none" w:sz="0" w:space="0" w:color="auto"/>
        <w:bottom w:val="none" w:sz="0" w:space="0" w:color="auto"/>
        <w:right w:val="none" w:sz="0" w:space="0" w:color="auto"/>
      </w:divBdr>
    </w:div>
    <w:div w:id="213794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6.xml"/><Relationship Id="rId39" Type="http://schemas.openxmlformats.org/officeDocument/2006/relationships/chart" Target="charts/chart27.xml"/><Relationship Id="rId21" Type="http://schemas.openxmlformats.org/officeDocument/2006/relationships/chart" Target="charts/chart12.xml"/><Relationship Id="rId34" Type="http://schemas.openxmlformats.org/officeDocument/2006/relationships/chart" Target="charts/chart22.xm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7.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image" Target="media/image1.png"/><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8.xml"/><Relationship Id="rId36" Type="http://schemas.openxmlformats.org/officeDocument/2006/relationships/chart" Target="charts/chart24.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chart" Target="charts/chart19.xml"/><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www.em.gov.lv/lv/nozares_politika/buvnieciba_/_buvniecibas_nozare__attistiba__strategija_un_petijumi/" TargetMode="Externa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7.xml"/><Relationship Id="rId30" Type="http://schemas.openxmlformats.org/officeDocument/2006/relationships/image" Target="media/image3.png"/><Relationship Id="rId35" Type="http://schemas.openxmlformats.org/officeDocument/2006/relationships/chart" Target="charts/chart23.xm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5.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theme" Target="theme/theme1.xml"/><Relationship Id="rId20" Type="http://schemas.openxmlformats.org/officeDocument/2006/relationships/chart" Target="charts/chart11.xml"/><Relationship Id="rId41" Type="http://schemas.openxmlformats.org/officeDocument/2006/relationships/chart" Target="charts/chart29.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0.xml"/><Relationship Id="rId1" Type="http://schemas.microsoft.com/office/2011/relationships/chartStyle" Target="style10.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1.xml"/><Relationship Id="rId1" Type="http://schemas.microsoft.com/office/2011/relationships/chartStyle" Target="style11.xml"/></Relationships>
</file>

<file path=word/charts/_rels/chart15.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2.xml"/><Relationship Id="rId1" Type="http://schemas.microsoft.com/office/2011/relationships/chartStyle" Target="style12.xml"/></Relationships>
</file>

<file path=word/charts/_rels/chart16.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3.xml"/><Relationship Id="rId1" Type="http://schemas.microsoft.com/office/2011/relationships/chartStyle" Target="style13.xml"/></Relationships>
</file>

<file path=word/charts/_rels/chart17.xml.rels><?xml version="1.0" encoding="UTF-8" standalone="yes"?>
<Relationships xmlns="http://schemas.openxmlformats.org/package/2006/relationships"><Relationship Id="rId1" Type="http://schemas.openxmlformats.org/officeDocument/2006/relationships/oleObject" Target="https://universityoflatvia387-my.sharepoint.com/personal/danis_edu_lu_lv/Documents/P&#275;t&#299;jumi%20un%20projekti/2018%20Buvniecibas%20petijums/Dati/Apgr-pelna-izm.xlsx" TargetMode="External"/></Relationships>
</file>

<file path=word/charts/_rels/chart18.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4.xml"/><Relationship Id="rId1" Type="http://schemas.microsoft.com/office/2011/relationships/chartStyle" Target="style14.xml"/></Relationships>
</file>

<file path=word/charts/_rels/chart19.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5.xml"/><Relationship Id="rId1" Type="http://schemas.microsoft.com/office/2011/relationships/chartStyle" Target="style15.xml"/></Relationships>
</file>

<file path=word/charts/_rels/chart20.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6.xml"/><Relationship Id="rId1" Type="http://schemas.microsoft.com/office/2011/relationships/chartStyle" Target="style16.xml"/></Relationships>
</file>

<file path=word/charts/_rels/chart21.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7.xml"/><Relationship Id="rId1" Type="http://schemas.microsoft.com/office/2011/relationships/chartStyle" Target="style17.xml"/></Relationships>
</file>

<file path=word/charts/_rels/chart22.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18.xml"/><Relationship Id="rId1" Type="http://schemas.microsoft.com/office/2011/relationships/chartStyle" Target="style18.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User\AppData\Roaming\Microsoft\Excel\Ekspertizes_rezultati%20(version%201).xlsb" TargetMode="External"/><Relationship Id="rId2" Type="http://schemas.microsoft.com/office/2011/relationships/chartColorStyle" Target="colors19.xml"/><Relationship Id="rId1" Type="http://schemas.microsoft.com/office/2011/relationships/chartStyle" Target="style19.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User\AppData\Roaming\Microsoft\Excel\Ekspertizes_rezultati%20(version%201).xlsb" TargetMode="External"/><Relationship Id="rId2" Type="http://schemas.microsoft.com/office/2011/relationships/chartColorStyle" Target="colors20.xml"/><Relationship Id="rId1" Type="http://schemas.microsoft.com/office/2011/relationships/chartStyle" Target="style20.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User\AppData\Roaming\Microsoft\Excel\Ekspertizes_rezultati%20(version%201).xlsb" TargetMode="External"/><Relationship Id="rId2" Type="http://schemas.microsoft.com/office/2011/relationships/chartColorStyle" Target="colors21.xml"/><Relationship Id="rId1" Type="http://schemas.microsoft.com/office/2011/relationships/chartStyle" Target="style21.xml"/></Relationships>
</file>

<file path=word/charts/_rels/chart26.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22.xml"/><Relationship Id="rId1" Type="http://schemas.microsoft.com/office/2011/relationships/chartStyle" Target="style22.xml"/></Relationships>
</file>

<file path=word/charts/_rels/chart27.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23.xml"/><Relationship Id="rId1" Type="http://schemas.microsoft.com/office/2011/relationships/chartStyle" Target="style23.xml"/></Relationships>
</file>

<file path=word/charts/_rels/chart28.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24.xml"/><Relationship Id="rId1" Type="http://schemas.microsoft.com/office/2011/relationships/chartStyle" Target="style24.xml"/></Relationships>
</file>

<file path=word/charts/_rels/chart29.xml.rels><?xml version="1.0" encoding="UTF-8" standalone="yes"?>
<Relationships xmlns="http://schemas.openxmlformats.org/package/2006/relationships"><Relationship Id="rId3" Type="http://schemas.openxmlformats.org/officeDocument/2006/relationships/oleObject" Target="https://universityoflatvia387-my.sharepoint.com/personal/danis_edu_lu_lv/Documents/P&#275;t&#299;jumi%20un%20projekti/2021%20B&#363;vniec&#299;bas%20p&#275;t&#299;jums/Anketu%20dati/Ekspertizes_rezultati.xlsx"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54822834645707E-2"/>
          <c:y val="7.5492386444931669E-2"/>
          <c:w val="0.8789631193571017"/>
          <c:h val="0.6991417531203189"/>
        </c:manualLayout>
      </c:layout>
      <c:barChart>
        <c:barDir val="col"/>
        <c:grouping val="clustered"/>
        <c:varyColors val="0"/>
        <c:ser>
          <c:idx val="9"/>
          <c:order val="0"/>
          <c:tx>
            <c:strRef>
              <c:f>Sheet1!$A$3</c:f>
              <c:strCache>
                <c:ptCount val="1"/>
                <c:pt idx="0">
                  <c:v>Būvniecība</c:v>
                </c:pt>
              </c:strCache>
            </c:strRef>
          </c:tx>
          <c:spPr>
            <a:solidFill>
              <a:schemeClr val="accent6">
                <a:lumMod val="8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multiLvlStrRef>
              <c:f>Sheet1!$B$1:$W$2</c:f>
              <c:multiLvlStrCache>
                <c:ptCount val="22"/>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lvl>
                <c:lvl>
                  <c:pt idx="0">
                    <c:v>2016</c:v>
                  </c:pt>
                  <c:pt idx="4">
                    <c:v>2017</c:v>
                  </c:pt>
                  <c:pt idx="8">
                    <c:v>2018</c:v>
                  </c:pt>
                  <c:pt idx="12">
                    <c:v>2019</c:v>
                  </c:pt>
                  <c:pt idx="16">
                    <c:v>2020</c:v>
                  </c:pt>
                  <c:pt idx="20">
                    <c:v>2021</c:v>
                  </c:pt>
                </c:lvl>
              </c:multiLvlStrCache>
            </c:multiLvlStrRef>
          </c:cat>
          <c:val>
            <c:numRef>
              <c:f>Sheet1!$B$3:$W$3</c:f>
              <c:numCache>
                <c:formatCode>0.0</c:formatCode>
                <c:ptCount val="22"/>
                <c:pt idx="0">
                  <c:v>-14.358108108108098</c:v>
                </c:pt>
                <c:pt idx="1">
                  <c:v>-17.72972972972974</c:v>
                </c:pt>
                <c:pt idx="2">
                  <c:v>-21.605401350337587</c:v>
                </c:pt>
                <c:pt idx="3">
                  <c:v>-10.782608695652172</c:v>
                </c:pt>
                <c:pt idx="4">
                  <c:v>3.9447731755424087</c:v>
                </c:pt>
                <c:pt idx="5">
                  <c:v>15.637319316688576</c:v>
                </c:pt>
                <c:pt idx="6">
                  <c:v>26.411483253588514</c:v>
                </c:pt>
                <c:pt idx="7">
                  <c:v>19.883040935672526</c:v>
                </c:pt>
                <c:pt idx="8">
                  <c:v>35.863377609108142</c:v>
                </c:pt>
                <c:pt idx="9">
                  <c:v>31.704545454545467</c:v>
                </c:pt>
                <c:pt idx="10">
                  <c:v>10.295230885692661</c:v>
                </c:pt>
                <c:pt idx="11">
                  <c:v>21.382113821138219</c:v>
                </c:pt>
                <c:pt idx="12">
                  <c:v>7.4022346368715262</c:v>
                </c:pt>
                <c:pt idx="13">
                  <c:v>0.94909404659189534</c:v>
                </c:pt>
                <c:pt idx="14">
                  <c:v>5.8339052848318573</c:v>
                </c:pt>
                <c:pt idx="15">
                  <c:v>-0.53583389149363825</c:v>
                </c:pt>
                <c:pt idx="16">
                  <c:v>14.824447334200258</c:v>
                </c:pt>
                <c:pt idx="17">
                  <c:v>-0.59829059829058906</c:v>
                </c:pt>
                <c:pt idx="18">
                  <c:v>-0.3242542153047907</c:v>
                </c:pt>
                <c:pt idx="19">
                  <c:v>2.0202020202020066</c:v>
                </c:pt>
                <c:pt idx="20">
                  <c:v>-12.344280860702142</c:v>
                </c:pt>
                <c:pt idx="21">
                  <c:v>1.0318142734307685</c:v>
                </c:pt>
              </c:numCache>
            </c:numRef>
          </c:val>
          <c:extLst>
            <c:ext xmlns:c16="http://schemas.microsoft.com/office/drawing/2014/chart" uri="{C3380CC4-5D6E-409C-BE32-E72D297353CC}">
              <c16:uniqueId val="{00000000-2474-47C1-BCCC-A90FC90D18F2}"/>
            </c:ext>
          </c:extLst>
        </c:ser>
        <c:dLbls>
          <c:showLegendKey val="0"/>
          <c:showVal val="0"/>
          <c:showCatName val="0"/>
          <c:showSerName val="0"/>
          <c:showPercent val="0"/>
          <c:showBubbleSize val="0"/>
        </c:dLbls>
        <c:gapWidth val="30"/>
        <c:axId val="350765816"/>
        <c:axId val="274520776"/>
      </c:barChart>
      <c:catAx>
        <c:axId val="350765816"/>
        <c:scaling>
          <c:orientation val="minMax"/>
        </c:scaling>
        <c:delete val="0"/>
        <c:axPos val="b"/>
        <c:numFmt formatCode="General" sourceLinked="1"/>
        <c:majorTickMark val="out"/>
        <c:minorTickMark val="none"/>
        <c:tickLblPos val="low"/>
        <c:spPr>
          <a:noFill/>
          <a:ln w="3175" cap="flat" cmpd="sng" algn="ctr">
            <a:no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274520776"/>
        <c:crosses val="autoZero"/>
        <c:auto val="0"/>
        <c:lblAlgn val="ctr"/>
        <c:lblOffset val="100"/>
        <c:noMultiLvlLbl val="0"/>
      </c:catAx>
      <c:valAx>
        <c:axId val="274520776"/>
        <c:scaling>
          <c:orientation val="minMax"/>
        </c:scaling>
        <c:delete val="0"/>
        <c:axPos val="l"/>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350765816"/>
        <c:crosses val="autoZero"/>
        <c:crossBetween val="between"/>
      </c:valAx>
      <c:spPr>
        <a:noFill/>
        <a:ln w="24631">
          <a:noFill/>
        </a:ln>
        <a:effectLst/>
      </c:spPr>
    </c:plotArea>
    <c:plotVisOnly val="1"/>
    <c:dispBlanksAs val="gap"/>
    <c:showDLblsOverMax val="0"/>
  </c:chart>
  <c:spPr>
    <a:noFill/>
    <a:ln w="9525" cap="flat" cmpd="sng" algn="ctr">
      <a:noFill/>
      <a:prstDash val="solid"/>
      <a:round/>
    </a:ln>
    <a:effectLst/>
  </c:spPr>
  <c:txPr>
    <a:bodyPr/>
    <a:lstStyle/>
    <a:p>
      <a:pPr>
        <a:defRPr sz="900" b="0" i="0" u="none" strike="noStrike" baseline="0">
          <a:solidFill>
            <a:srgbClr val="000000"/>
          </a:solidFill>
          <a:latin typeface="Arial Nova" panose="020B0504020202020204" pitchFamily="34" charset="0"/>
          <a:ea typeface="Arial"/>
          <a:cs typeface="Arial"/>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54822834645707E-2"/>
          <c:y val="5.4187037037039996E-2"/>
          <c:w val="0.8789631193571017"/>
          <c:h val="0.78214003755264194"/>
        </c:manualLayout>
      </c:layout>
      <c:barChart>
        <c:barDir val="col"/>
        <c:grouping val="clustered"/>
        <c:varyColors val="0"/>
        <c:ser>
          <c:idx val="9"/>
          <c:order val="0"/>
          <c:tx>
            <c:strRef>
              <c:f>Sheet1!$G$11</c:f>
              <c:strCache>
                <c:ptCount val="1"/>
                <c:pt idx="0">
                  <c:v>Būvniecības produkcijas apjomi</c:v>
                </c:pt>
              </c:strCache>
            </c:strRef>
          </c:tx>
          <c:spPr>
            <a:solidFill>
              <a:schemeClr val="accent6">
                <a:lumMod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Arial Nova" panose="020B0504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Sheet1!$H$10:$J$10</c:f>
              <c:numCache>
                <c:formatCode>0</c:formatCode>
                <c:ptCount val="3"/>
                <c:pt idx="0">
                  <c:v>2018</c:v>
                </c:pt>
                <c:pt idx="1">
                  <c:v>2019</c:v>
                </c:pt>
                <c:pt idx="2">
                  <c:v>2020</c:v>
                </c:pt>
              </c:numCache>
            </c:numRef>
          </c:cat>
          <c:val>
            <c:numRef>
              <c:f>Sheet1!$H$11:$J$11</c:f>
              <c:numCache>
                <c:formatCode>0.0</c:formatCode>
                <c:ptCount val="3"/>
                <c:pt idx="0">
                  <c:v>21.818181818181799</c:v>
                </c:pt>
                <c:pt idx="1">
                  <c:v>2.9021558872305064</c:v>
                </c:pt>
                <c:pt idx="2">
                  <c:v>2.7397260273972677</c:v>
                </c:pt>
              </c:numCache>
            </c:numRef>
          </c:val>
          <c:extLst>
            <c:ext xmlns:c16="http://schemas.microsoft.com/office/drawing/2014/chart" uri="{C3380CC4-5D6E-409C-BE32-E72D297353CC}">
              <c16:uniqueId val="{00000000-1DCF-4E5F-9FCB-C0895D702FF4}"/>
            </c:ext>
          </c:extLst>
        </c:ser>
        <c:ser>
          <c:idx val="0"/>
          <c:order val="1"/>
          <c:tx>
            <c:strRef>
              <c:f>Sheet1!$G$12</c:f>
              <c:strCache>
                <c:ptCount val="1"/>
                <c:pt idx="0">
                  <c:v>IKP</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Arial Nova" panose="020B0504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Sheet1!$H$10:$J$10</c:f>
              <c:numCache>
                <c:formatCode>0</c:formatCode>
                <c:ptCount val="3"/>
                <c:pt idx="0">
                  <c:v>2018</c:v>
                </c:pt>
                <c:pt idx="1">
                  <c:v>2019</c:v>
                </c:pt>
                <c:pt idx="2">
                  <c:v>2020</c:v>
                </c:pt>
              </c:numCache>
            </c:numRef>
          </c:cat>
          <c:val>
            <c:numRef>
              <c:f>Sheet1!$H$12:$J$12</c:f>
              <c:numCache>
                <c:formatCode>0.0</c:formatCode>
                <c:ptCount val="3"/>
                <c:pt idx="0">
                  <c:v>4</c:v>
                </c:pt>
                <c:pt idx="1">
                  <c:v>2.027113219745118</c:v>
                </c:pt>
                <c:pt idx="2">
                  <c:v>-3.6236839156903216</c:v>
                </c:pt>
              </c:numCache>
            </c:numRef>
          </c:val>
          <c:extLst>
            <c:ext xmlns:c16="http://schemas.microsoft.com/office/drawing/2014/chart" uri="{C3380CC4-5D6E-409C-BE32-E72D297353CC}">
              <c16:uniqueId val="{00000001-1DCF-4E5F-9FCB-C0895D702FF4}"/>
            </c:ext>
          </c:extLst>
        </c:ser>
        <c:dLbls>
          <c:showLegendKey val="0"/>
          <c:showVal val="0"/>
          <c:showCatName val="0"/>
          <c:showSerName val="0"/>
          <c:showPercent val="0"/>
          <c:showBubbleSize val="0"/>
        </c:dLbls>
        <c:gapWidth val="150"/>
        <c:axId val="350765816"/>
        <c:axId val="274520776"/>
      </c:barChart>
      <c:catAx>
        <c:axId val="350765816"/>
        <c:scaling>
          <c:orientation val="minMax"/>
        </c:scaling>
        <c:delete val="0"/>
        <c:axPos val="b"/>
        <c:numFmt formatCode="0" sourceLinked="1"/>
        <c:majorTickMark val="out"/>
        <c:minorTickMark val="none"/>
        <c:tickLblPos val="low"/>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274520776"/>
        <c:crosses val="autoZero"/>
        <c:auto val="0"/>
        <c:lblAlgn val="ctr"/>
        <c:lblOffset val="100"/>
        <c:noMultiLvlLbl val="0"/>
      </c:catAx>
      <c:valAx>
        <c:axId val="274520776"/>
        <c:scaling>
          <c:orientation val="minMax"/>
          <c:min val="-5"/>
        </c:scaling>
        <c:delete val="0"/>
        <c:axPos val="l"/>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350765816"/>
        <c:crosses val="autoZero"/>
        <c:crossBetween val="between"/>
      </c:valAx>
      <c:spPr>
        <a:noFill/>
        <a:ln w="24631">
          <a:noFill/>
        </a:ln>
        <a:effectLst/>
      </c:spPr>
    </c:plotArea>
    <c:legend>
      <c:legendPos val="l"/>
      <c:layout>
        <c:manualLayout>
          <c:xMode val="edge"/>
          <c:yMode val="edge"/>
          <c:x val="0.43744428132924057"/>
          <c:y val="8.642478937413034E-2"/>
          <c:w val="0.49365695712967278"/>
          <c:h val="0.28025198702558535"/>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000000"/>
              </a:solidFill>
              <a:latin typeface="Arial Nova" panose="020B0504020202020204" pitchFamily="34" charset="0"/>
              <a:ea typeface="Arial"/>
              <a:cs typeface="Arial"/>
            </a:defRPr>
          </a:pPr>
          <a:endParaRPr lang="lv-LV"/>
        </a:p>
      </c:txPr>
    </c:legend>
    <c:plotVisOnly val="1"/>
    <c:dispBlanksAs val="gap"/>
    <c:showDLblsOverMax val="0"/>
  </c:chart>
  <c:spPr>
    <a:noFill/>
    <a:ln w="9525" cap="flat" cmpd="sng" algn="ctr">
      <a:noFill/>
      <a:prstDash val="solid"/>
      <a:round/>
    </a:ln>
    <a:effectLst/>
  </c:spPr>
  <c:txPr>
    <a:bodyPr/>
    <a:lstStyle/>
    <a:p>
      <a:pPr>
        <a:defRPr sz="900" b="0" i="0" u="none" strike="noStrike" baseline="0">
          <a:solidFill>
            <a:srgbClr val="000000"/>
          </a:solidFill>
          <a:latin typeface="Arial Nova" panose="020B0504020202020204" pitchFamily="34" charset="0"/>
          <a:ea typeface="Arial"/>
          <a:cs typeface="Arial"/>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470357412600161"/>
          <c:y val="0.22718400749301493"/>
          <c:w val="0.44869319119013101"/>
          <c:h val="0.51280837249174493"/>
        </c:manualLayout>
      </c:layout>
      <c:pieChart>
        <c:varyColors val="1"/>
        <c:ser>
          <c:idx val="10"/>
          <c:order val="0"/>
          <c:tx>
            <c:strRef>
              <c:f>Sheet1!$B$1</c:f>
              <c:strCache>
                <c:ptCount val="1"/>
                <c:pt idx="0">
                  <c:v>2020</c:v>
                </c:pt>
              </c:strCache>
            </c:strRef>
          </c:tx>
          <c:dPt>
            <c:idx val="0"/>
            <c:bubble3D val="0"/>
            <c:extLst>
              <c:ext xmlns:c16="http://schemas.microsoft.com/office/drawing/2014/chart" uri="{C3380CC4-5D6E-409C-BE32-E72D297353CC}">
                <c16:uniqueId val="{00000000-DCDD-4354-B3F1-82BF578A214D}"/>
              </c:ext>
            </c:extLst>
          </c:dPt>
          <c:dPt>
            <c:idx val="1"/>
            <c:bubble3D val="0"/>
            <c:spPr>
              <a:solidFill>
                <a:srgbClr val="C0504D">
                  <a:lumMod val="75000"/>
                </a:srgbClr>
              </a:solidFill>
            </c:spPr>
            <c:extLst>
              <c:ext xmlns:c16="http://schemas.microsoft.com/office/drawing/2014/chart" uri="{C3380CC4-5D6E-409C-BE32-E72D297353CC}">
                <c16:uniqueId val="{00000002-DCDD-4354-B3F1-82BF578A214D}"/>
              </c:ext>
            </c:extLst>
          </c:dPt>
          <c:dPt>
            <c:idx val="2"/>
            <c:bubble3D val="0"/>
            <c:spPr>
              <a:solidFill>
                <a:srgbClr val="C0504D">
                  <a:lumMod val="60000"/>
                  <a:lumOff val="40000"/>
                </a:srgbClr>
              </a:solidFill>
            </c:spPr>
            <c:extLst>
              <c:ext xmlns:c16="http://schemas.microsoft.com/office/drawing/2014/chart" uri="{C3380CC4-5D6E-409C-BE32-E72D297353CC}">
                <c16:uniqueId val="{00000004-DCDD-4354-B3F1-82BF578A214D}"/>
              </c:ext>
            </c:extLst>
          </c:dPt>
          <c:dPt>
            <c:idx val="3"/>
            <c:bubble3D val="0"/>
            <c:spPr>
              <a:solidFill>
                <a:srgbClr val="C0504D">
                  <a:lumMod val="40000"/>
                  <a:lumOff val="60000"/>
                </a:srgbClr>
              </a:solidFill>
            </c:spPr>
            <c:extLst>
              <c:ext xmlns:c16="http://schemas.microsoft.com/office/drawing/2014/chart" uri="{C3380CC4-5D6E-409C-BE32-E72D297353CC}">
                <c16:uniqueId val="{00000006-DCDD-4354-B3F1-82BF578A214D}"/>
              </c:ext>
            </c:extLst>
          </c:dPt>
          <c:dPt>
            <c:idx val="4"/>
            <c:bubble3D val="0"/>
            <c:spPr>
              <a:solidFill>
                <a:srgbClr val="9BBB59">
                  <a:lumMod val="75000"/>
                </a:srgbClr>
              </a:solidFill>
            </c:spPr>
            <c:extLst>
              <c:ext xmlns:c16="http://schemas.microsoft.com/office/drawing/2014/chart" uri="{C3380CC4-5D6E-409C-BE32-E72D297353CC}">
                <c16:uniqueId val="{00000008-DCDD-4354-B3F1-82BF578A214D}"/>
              </c:ext>
            </c:extLst>
          </c:dPt>
          <c:dPt>
            <c:idx val="5"/>
            <c:bubble3D val="0"/>
            <c:spPr>
              <a:solidFill>
                <a:srgbClr val="9BBB59">
                  <a:lumMod val="60000"/>
                  <a:lumOff val="40000"/>
                </a:srgbClr>
              </a:solidFill>
            </c:spPr>
            <c:extLst>
              <c:ext xmlns:c16="http://schemas.microsoft.com/office/drawing/2014/chart" uri="{C3380CC4-5D6E-409C-BE32-E72D297353CC}">
                <c16:uniqueId val="{0000000A-DCDD-4354-B3F1-82BF578A214D}"/>
              </c:ext>
            </c:extLst>
          </c:dPt>
          <c:dPt>
            <c:idx val="6"/>
            <c:bubble3D val="0"/>
            <c:spPr>
              <a:solidFill>
                <a:srgbClr val="9BBB59">
                  <a:lumMod val="40000"/>
                  <a:lumOff val="60000"/>
                </a:srgbClr>
              </a:solidFill>
            </c:spPr>
            <c:extLst>
              <c:ext xmlns:c16="http://schemas.microsoft.com/office/drawing/2014/chart" uri="{C3380CC4-5D6E-409C-BE32-E72D297353CC}">
                <c16:uniqueId val="{0000000C-DCDD-4354-B3F1-82BF578A214D}"/>
              </c:ext>
            </c:extLst>
          </c:dPt>
          <c:dLbls>
            <c:spPr>
              <a:noFill/>
              <a:ln>
                <a:noFill/>
              </a:ln>
              <a:effectLst/>
            </c:sp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Sheet1!$A$2:$A$9</c:f>
              <c:strCache>
                <c:ptCount val="8"/>
                <c:pt idx="0">
                  <c:v>Dzīvojamās mājas</c:v>
                </c:pt>
                <c:pt idx="1">
                  <c:v>Administratīvās, sabiedriskās ēkas</c:v>
                </c:pt>
                <c:pt idx="2">
                  <c:v>Rūpnieciskās ražošanas ēkas un noliktavas</c:v>
                </c:pt>
                <c:pt idx="3">
                  <c:v>Lauku saimniecību nedzīvojamās ēkas</c:v>
                </c:pt>
                <c:pt idx="4">
                  <c:v>Ceļu un dzelzceļu būvniecība</c:v>
                </c:pt>
                <c:pt idx="5">
                  <c:v>Pilsētsaimniecības infrastruktūras objekti</c:v>
                </c:pt>
                <c:pt idx="6">
                  <c:v>Pārējā inženierbūvniecība</c:v>
                </c:pt>
                <c:pt idx="7">
                  <c:v>Specializētie būvdarbi</c:v>
                </c:pt>
              </c:strCache>
            </c:strRef>
          </c:cat>
          <c:val>
            <c:numRef>
              <c:f>Sheet1!$B$2:$B$9</c:f>
              <c:numCache>
                <c:formatCode>0</c:formatCode>
                <c:ptCount val="8"/>
                <c:pt idx="0">
                  <c:v>194879.4</c:v>
                </c:pt>
                <c:pt idx="1">
                  <c:v>437467.2</c:v>
                </c:pt>
                <c:pt idx="2">
                  <c:v>150843.70000000001</c:v>
                </c:pt>
                <c:pt idx="3">
                  <c:v>101525</c:v>
                </c:pt>
                <c:pt idx="4">
                  <c:v>489475.7</c:v>
                </c:pt>
                <c:pt idx="5">
                  <c:v>244596.6</c:v>
                </c:pt>
                <c:pt idx="6">
                  <c:v>43489.5</c:v>
                </c:pt>
                <c:pt idx="7">
                  <c:v>758051.5</c:v>
                </c:pt>
              </c:numCache>
            </c:numRef>
          </c:val>
          <c:extLst>
            <c:ext xmlns:c16="http://schemas.microsoft.com/office/drawing/2014/chart" uri="{C3380CC4-5D6E-409C-BE32-E72D297353CC}">
              <c16:uniqueId val="{0000000D-DCDD-4354-B3F1-82BF578A214D}"/>
            </c:ext>
          </c:extLst>
        </c:ser>
        <c:dLbls>
          <c:showLegendKey val="0"/>
          <c:showVal val="0"/>
          <c:showCatName val="0"/>
          <c:showSerName val="0"/>
          <c:showPercent val="0"/>
          <c:showBubbleSize val="0"/>
          <c:showLeaderLines val="0"/>
        </c:dLbls>
        <c:firstSliceAng val="0"/>
      </c:pieChart>
      <c:spPr>
        <a:noFill/>
        <a:ln w="23607">
          <a:noFill/>
        </a:ln>
      </c:spPr>
    </c:plotArea>
    <c:plotVisOnly val="1"/>
    <c:dispBlanksAs val="zero"/>
    <c:showDLblsOverMax val="0"/>
  </c:chart>
  <c:spPr>
    <a:noFill/>
    <a:ln>
      <a:noFill/>
    </a:ln>
  </c:spPr>
  <c:txPr>
    <a:bodyPr/>
    <a:lstStyle/>
    <a:p>
      <a:pPr>
        <a:defRPr sz="800" b="0" i="0" u="none" strike="noStrike" baseline="0">
          <a:solidFill>
            <a:srgbClr val="000000"/>
          </a:solidFill>
          <a:latin typeface="Arial Nova" panose="020B0504020202020204" pitchFamily="34" charset="0"/>
          <a:ea typeface="Arial"/>
          <a:cs typeface="Arial"/>
        </a:defRPr>
      </a:pPr>
      <a:endParaRPr lang="lv-LV"/>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7280275941523983E-2"/>
          <c:y val="3.0880555555555852E-2"/>
          <c:w val="0.86236041232592064"/>
          <c:h val="0.86281075374650751"/>
        </c:manualLayout>
      </c:layout>
      <c:lineChart>
        <c:grouping val="standard"/>
        <c:varyColors val="0"/>
        <c:ser>
          <c:idx val="2"/>
          <c:order val="0"/>
          <c:tx>
            <c:strRef>
              <c:f>Sheet1!$A$2</c:f>
              <c:strCache>
                <c:ptCount val="1"/>
                <c:pt idx="0">
                  <c:v>Būvniecība pavisam</c:v>
                </c:pt>
              </c:strCache>
            </c:strRef>
          </c:tx>
          <c:spPr>
            <a:ln w="38100">
              <a:solidFill>
                <a:srgbClr val="4472C4"/>
              </a:solidFill>
            </a:ln>
          </c:spPr>
          <c:marker>
            <c:symbol val="none"/>
          </c:marker>
          <c:cat>
            <c:numRef>
              <c:f>Sheet1!$B$1:$F$1</c:f>
              <c:numCache>
                <c:formatCode>General</c:formatCode>
                <c:ptCount val="5"/>
                <c:pt idx="0">
                  <c:v>2016</c:v>
                </c:pt>
                <c:pt idx="1">
                  <c:v>2017</c:v>
                </c:pt>
                <c:pt idx="2">
                  <c:v>2018</c:v>
                </c:pt>
                <c:pt idx="3">
                  <c:v>2019</c:v>
                </c:pt>
                <c:pt idx="4">
                  <c:v>2020</c:v>
                </c:pt>
              </c:numCache>
            </c:numRef>
          </c:cat>
          <c:val>
            <c:numRef>
              <c:f>Sheet1!$B$2:$F$2</c:f>
              <c:numCache>
                <c:formatCode>0.0</c:formatCode>
                <c:ptCount val="5"/>
                <c:pt idx="0">
                  <c:v>83.4</c:v>
                </c:pt>
                <c:pt idx="1">
                  <c:v>99</c:v>
                </c:pt>
                <c:pt idx="2">
                  <c:v>120.6</c:v>
                </c:pt>
                <c:pt idx="3">
                  <c:v>124.1</c:v>
                </c:pt>
                <c:pt idx="4">
                  <c:v>127.5</c:v>
                </c:pt>
              </c:numCache>
            </c:numRef>
          </c:val>
          <c:smooth val="0"/>
          <c:extLst>
            <c:ext xmlns:c16="http://schemas.microsoft.com/office/drawing/2014/chart" uri="{C3380CC4-5D6E-409C-BE32-E72D297353CC}">
              <c16:uniqueId val="{00000000-0EAE-4329-A7CC-2DAF8F0F1EF9}"/>
            </c:ext>
          </c:extLst>
        </c:ser>
        <c:ser>
          <c:idx val="1"/>
          <c:order val="1"/>
          <c:tx>
            <c:strRef>
              <c:f>Sheet1!$A$3</c:f>
              <c:strCache>
                <c:ptCount val="1"/>
                <c:pt idx="0">
                  <c:v>Ēku būvniecība</c:v>
                </c:pt>
              </c:strCache>
            </c:strRef>
          </c:tx>
          <c:spPr>
            <a:ln w="19050"/>
          </c:spPr>
          <c:marker>
            <c:symbol val="none"/>
          </c:marker>
          <c:cat>
            <c:numRef>
              <c:f>Sheet1!$B$1:$F$1</c:f>
              <c:numCache>
                <c:formatCode>General</c:formatCode>
                <c:ptCount val="5"/>
                <c:pt idx="0">
                  <c:v>2016</c:v>
                </c:pt>
                <c:pt idx="1">
                  <c:v>2017</c:v>
                </c:pt>
                <c:pt idx="2">
                  <c:v>2018</c:v>
                </c:pt>
                <c:pt idx="3">
                  <c:v>2019</c:v>
                </c:pt>
                <c:pt idx="4">
                  <c:v>2020</c:v>
                </c:pt>
              </c:numCache>
            </c:numRef>
          </c:cat>
          <c:val>
            <c:numRef>
              <c:f>Sheet1!$B$3:$F$3</c:f>
              <c:numCache>
                <c:formatCode>0.0</c:formatCode>
                <c:ptCount val="5"/>
                <c:pt idx="0">
                  <c:v>88.9</c:v>
                </c:pt>
                <c:pt idx="1">
                  <c:v>108.8</c:v>
                </c:pt>
                <c:pt idx="2">
                  <c:v>136.69999999999999</c:v>
                </c:pt>
                <c:pt idx="3">
                  <c:v>147.4</c:v>
                </c:pt>
                <c:pt idx="4">
                  <c:v>148.80000000000001</c:v>
                </c:pt>
              </c:numCache>
            </c:numRef>
          </c:val>
          <c:smooth val="0"/>
          <c:extLst>
            <c:ext xmlns:c16="http://schemas.microsoft.com/office/drawing/2014/chart" uri="{C3380CC4-5D6E-409C-BE32-E72D297353CC}">
              <c16:uniqueId val="{00000001-0EAE-4329-A7CC-2DAF8F0F1EF9}"/>
            </c:ext>
          </c:extLst>
        </c:ser>
        <c:ser>
          <c:idx val="0"/>
          <c:order val="2"/>
          <c:tx>
            <c:strRef>
              <c:f>Sheet1!$A$4</c:f>
              <c:strCache>
                <c:ptCount val="1"/>
                <c:pt idx="0">
                  <c:v>Inženierbūvniecība</c:v>
                </c:pt>
              </c:strCache>
            </c:strRef>
          </c:tx>
          <c:spPr>
            <a:ln w="19050">
              <a:solidFill>
                <a:srgbClr val="70AD47">
                  <a:lumMod val="75000"/>
                </a:srgbClr>
              </a:solidFill>
            </a:ln>
          </c:spPr>
          <c:marker>
            <c:symbol val="none"/>
          </c:marker>
          <c:cat>
            <c:numRef>
              <c:f>Sheet1!$B$1:$F$1</c:f>
              <c:numCache>
                <c:formatCode>General</c:formatCode>
                <c:ptCount val="5"/>
                <c:pt idx="0">
                  <c:v>2016</c:v>
                </c:pt>
                <c:pt idx="1">
                  <c:v>2017</c:v>
                </c:pt>
                <c:pt idx="2">
                  <c:v>2018</c:v>
                </c:pt>
                <c:pt idx="3">
                  <c:v>2019</c:v>
                </c:pt>
                <c:pt idx="4">
                  <c:v>2020</c:v>
                </c:pt>
              </c:numCache>
            </c:numRef>
          </c:cat>
          <c:val>
            <c:numRef>
              <c:f>Sheet1!$B$4:$F$4</c:f>
              <c:numCache>
                <c:formatCode>0.0</c:formatCode>
                <c:ptCount val="5"/>
                <c:pt idx="0">
                  <c:v>74.3</c:v>
                </c:pt>
                <c:pt idx="1">
                  <c:v>96.6</c:v>
                </c:pt>
                <c:pt idx="2">
                  <c:v>107.8</c:v>
                </c:pt>
                <c:pt idx="3">
                  <c:v>108.8</c:v>
                </c:pt>
                <c:pt idx="4">
                  <c:v>107.2</c:v>
                </c:pt>
              </c:numCache>
            </c:numRef>
          </c:val>
          <c:smooth val="0"/>
          <c:extLst>
            <c:ext xmlns:c16="http://schemas.microsoft.com/office/drawing/2014/chart" uri="{C3380CC4-5D6E-409C-BE32-E72D297353CC}">
              <c16:uniqueId val="{00000002-0EAE-4329-A7CC-2DAF8F0F1EF9}"/>
            </c:ext>
          </c:extLst>
        </c:ser>
        <c:ser>
          <c:idx val="3"/>
          <c:order val="3"/>
          <c:tx>
            <c:strRef>
              <c:f>Sheet1!$A$5</c:f>
              <c:strCache>
                <c:ptCount val="1"/>
                <c:pt idx="0">
                  <c:v>Specializētie būvdarbi</c:v>
                </c:pt>
              </c:strCache>
            </c:strRef>
          </c:tx>
          <c:spPr>
            <a:ln w="19050"/>
          </c:spPr>
          <c:marker>
            <c:symbol val="none"/>
          </c:marker>
          <c:cat>
            <c:numRef>
              <c:f>Sheet1!$B$1:$F$1</c:f>
              <c:numCache>
                <c:formatCode>General</c:formatCode>
                <c:ptCount val="5"/>
                <c:pt idx="0">
                  <c:v>2016</c:v>
                </c:pt>
                <c:pt idx="1">
                  <c:v>2017</c:v>
                </c:pt>
                <c:pt idx="2">
                  <c:v>2018</c:v>
                </c:pt>
                <c:pt idx="3">
                  <c:v>2019</c:v>
                </c:pt>
                <c:pt idx="4">
                  <c:v>2020</c:v>
                </c:pt>
              </c:numCache>
            </c:numRef>
          </c:cat>
          <c:val>
            <c:numRef>
              <c:f>Sheet1!$B$5:$F$5</c:f>
              <c:numCache>
                <c:formatCode>0.0</c:formatCode>
                <c:ptCount val="5"/>
                <c:pt idx="0">
                  <c:v>86.1</c:v>
                </c:pt>
                <c:pt idx="1">
                  <c:v>89.4</c:v>
                </c:pt>
                <c:pt idx="2">
                  <c:v>114.2</c:v>
                </c:pt>
                <c:pt idx="3">
                  <c:v>114.5</c:v>
                </c:pt>
                <c:pt idx="4">
                  <c:v>123.6</c:v>
                </c:pt>
              </c:numCache>
            </c:numRef>
          </c:val>
          <c:smooth val="0"/>
          <c:extLst>
            <c:ext xmlns:c16="http://schemas.microsoft.com/office/drawing/2014/chart" uri="{C3380CC4-5D6E-409C-BE32-E72D297353CC}">
              <c16:uniqueId val="{00000003-0EAE-4329-A7CC-2DAF8F0F1EF9}"/>
            </c:ext>
          </c:extLst>
        </c:ser>
        <c:dLbls>
          <c:showLegendKey val="0"/>
          <c:showVal val="0"/>
          <c:showCatName val="0"/>
          <c:showSerName val="0"/>
          <c:showPercent val="0"/>
          <c:showBubbleSize val="0"/>
        </c:dLbls>
        <c:smooth val="0"/>
        <c:axId val="370680272"/>
        <c:axId val="1"/>
      </c:lineChart>
      <c:catAx>
        <c:axId val="370680272"/>
        <c:scaling>
          <c:orientation val="minMax"/>
        </c:scaling>
        <c:delete val="0"/>
        <c:axPos val="b"/>
        <c:numFmt formatCode="General" sourceLinked="1"/>
        <c:majorTickMark val="out"/>
        <c:minorTickMark val="none"/>
        <c:tickLblPos val="nextTo"/>
        <c:spPr>
          <a:noFill/>
          <a:ln w="3351"/>
        </c:spPr>
        <c:txPr>
          <a:bodyPr rot="0" vert="horz"/>
          <a:lstStyle/>
          <a:p>
            <a:pPr>
              <a:defRPr/>
            </a:pPr>
            <a:endParaRPr lang="lv-LV"/>
          </a:p>
        </c:txPr>
        <c:crossAx val="1"/>
        <c:crosses val="autoZero"/>
        <c:auto val="1"/>
        <c:lblAlgn val="ctr"/>
        <c:lblOffset val="0"/>
        <c:tickLblSkip val="1"/>
        <c:tickMarkSkip val="1"/>
        <c:noMultiLvlLbl val="1"/>
      </c:catAx>
      <c:valAx>
        <c:axId val="1"/>
        <c:scaling>
          <c:orientation val="minMax"/>
          <c:max val="150"/>
          <c:min val="60"/>
        </c:scaling>
        <c:delete val="0"/>
        <c:axPos val="l"/>
        <c:numFmt formatCode="0" sourceLinked="0"/>
        <c:majorTickMark val="out"/>
        <c:minorTickMark val="none"/>
        <c:tickLblPos val="nextTo"/>
        <c:spPr>
          <a:ln w="3351"/>
        </c:spPr>
        <c:txPr>
          <a:bodyPr rot="0" vert="horz"/>
          <a:lstStyle/>
          <a:p>
            <a:pPr>
              <a:defRPr/>
            </a:pPr>
            <a:endParaRPr lang="lv-LV"/>
          </a:p>
        </c:txPr>
        <c:crossAx val="370680272"/>
        <c:crosses val="autoZero"/>
        <c:crossBetween val="between"/>
      </c:valAx>
      <c:spPr>
        <a:noFill/>
        <a:ln w="26808">
          <a:noFill/>
        </a:ln>
      </c:spPr>
    </c:plotArea>
    <c:legend>
      <c:legendPos val="r"/>
      <c:layout>
        <c:manualLayout>
          <c:xMode val="edge"/>
          <c:yMode val="edge"/>
          <c:x val="0.46475775433731159"/>
          <c:y val="0.53838384239268477"/>
          <c:w val="0.50381546849091496"/>
          <c:h val="0.28541084582169168"/>
        </c:manualLayout>
      </c:layout>
      <c:overlay val="0"/>
    </c:legend>
    <c:plotVisOnly val="1"/>
    <c:dispBlanksAs val="gap"/>
    <c:showDLblsOverMax val="0"/>
  </c:chart>
  <c:spPr>
    <a:noFill/>
    <a:ln>
      <a:noFill/>
    </a:ln>
  </c:spPr>
  <c:txPr>
    <a:bodyPr/>
    <a:lstStyle/>
    <a:p>
      <a:pPr>
        <a:defRPr sz="800" b="0" i="0" u="none" strike="noStrike" baseline="0">
          <a:solidFill>
            <a:srgbClr val="000000"/>
          </a:solidFill>
          <a:latin typeface="Arial Nova" panose="020B0504020202020204" pitchFamily="34" charset="0"/>
          <a:ea typeface="Arial"/>
          <a:cs typeface="Arial"/>
        </a:defRPr>
      </a:pPr>
      <a:endParaRPr lang="lv-LV"/>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54822834645707E-2"/>
          <c:y val="5.4187037037039996E-2"/>
          <c:w val="0.8789631193571017"/>
          <c:h val="0.77037879086049255"/>
        </c:manualLayout>
      </c:layout>
      <c:lineChart>
        <c:grouping val="standard"/>
        <c:varyColors val="0"/>
        <c:ser>
          <c:idx val="9"/>
          <c:order val="0"/>
          <c:tx>
            <c:strRef>
              <c:f>Sheet1!$A$3</c:f>
              <c:strCache>
                <c:ptCount val="1"/>
                <c:pt idx="0">
                  <c:v>Būvniecība</c:v>
                </c:pt>
              </c:strCache>
            </c:strRef>
          </c:tx>
          <c:spPr>
            <a:ln w="28575" cap="rnd" cmpd="sng" algn="ctr">
              <a:solidFill>
                <a:schemeClr val="accent6">
                  <a:lumMod val="80000"/>
                  <a:shade val="95000"/>
                  <a:satMod val="105000"/>
                </a:schemeClr>
              </a:solidFill>
              <a:prstDash val="solid"/>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Arial Nova" panose="020B0504020202020204" pitchFamily="34" charset="0"/>
                    <a:ea typeface="Arial"/>
                    <a:cs typeface="Arial"/>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Sheet1!$B$2:$L$2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Sheet1!$B$3:$L$3</c:f>
              <c:numCache>
                <c:formatCode>0</c:formatCode>
                <c:ptCount val="11"/>
                <c:pt idx="0">
                  <c:v>59</c:v>
                </c:pt>
                <c:pt idx="1">
                  <c:v>62</c:v>
                </c:pt>
                <c:pt idx="2">
                  <c:v>98</c:v>
                </c:pt>
                <c:pt idx="3">
                  <c:v>122</c:v>
                </c:pt>
                <c:pt idx="4">
                  <c:v>159</c:v>
                </c:pt>
                <c:pt idx="5">
                  <c:v>123</c:v>
                </c:pt>
                <c:pt idx="6">
                  <c:v>192</c:v>
                </c:pt>
                <c:pt idx="7">
                  <c:v>263</c:v>
                </c:pt>
                <c:pt idx="8">
                  <c:v>264</c:v>
                </c:pt>
                <c:pt idx="9">
                  <c:v>321</c:v>
                </c:pt>
                <c:pt idx="10">
                  <c:v>367</c:v>
                </c:pt>
              </c:numCache>
            </c:numRef>
          </c:val>
          <c:smooth val="0"/>
          <c:extLst>
            <c:ext xmlns:c16="http://schemas.microsoft.com/office/drawing/2014/chart" uri="{C3380CC4-5D6E-409C-BE32-E72D297353CC}">
              <c16:uniqueId val="{00000000-E6EC-4350-8180-F17A4847383B}"/>
            </c:ext>
          </c:extLst>
        </c:ser>
        <c:dLbls>
          <c:showLegendKey val="0"/>
          <c:showVal val="0"/>
          <c:showCatName val="0"/>
          <c:showSerName val="0"/>
          <c:showPercent val="0"/>
          <c:showBubbleSize val="0"/>
        </c:dLbls>
        <c:smooth val="0"/>
        <c:axId val="350765816"/>
        <c:axId val="274520776"/>
      </c:lineChart>
      <c:catAx>
        <c:axId val="350765816"/>
        <c:scaling>
          <c:orientation val="minMax"/>
        </c:scaling>
        <c:delete val="0"/>
        <c:axPos val="b"/>
        <c:numFmt formatCode="General" sourceLinked="1"/>
        <c:majorTickMark val="out"/>
        <c:minorTickMark val="none"/>
        <c:tickLblPos val="low"/>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274520776"/>
        <c:crosses val="autoZero"/>
        <c:auto val="0"/>
        <c:lblAlgn val="ctr"/>
        <c:lblOffset val="100"/>
        <c:noMultiLvlLbl val="0"/>
      </c:catAx>
      <c:valAx>
        <c:axId val="274520776"/>
        <c:scaling>
          <c:orientation val="minMax"/>
        </c:scaling>
        <c:delete val="0"/>
        <c:axPos val="l"/>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350765816"/>
        <c:crosses val="autoZero"/>
        <c:crossBetween val="between"/>
      </c:valAx>
      <c:spPr>
        <a:noFill/>
        <a:ln w="24631">
          <a:noFill/>
        </a:ln>
        <a:effectLst/>
      </c:spPr>
    </c:plotArea>
    <c:plotVisOnly val="1"/>
    <c:dispBlanksAs val="gap"/>
    <c:showDLblsOverMax val="0"/>
  </c:chart>
  <c:spPr>
    <a:noFill/>
    <a:ln w="9525" cap="flat" cmpd="sng" algn="ctr">
      <a:noFill/>
      <a:prstDash val="solid"/>
      <a:round/>
    </a:ln>
    <a:effectLst/>
  </c:spPr>
  <c:txPr>
    <a:bodyPr/>
    <a:lstStyle/>
    <a:p>
      <a:pPr>
        <a:defRPr sz="900" b="0" i="0" u="none" strike="noStrike" baseline="0">
          <a:solidFill>
            <a:srgbClr val="000000"/>
          </a:solidFill>
          <a:latin typeface="Arial Nova" panose="020B0504020202020204" pitchFamily="34" charset="0"/>
          <a:ea typeface="Arial"/>
          <a:cs typeface="Arial"/>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354822834645707E-2"/>
          <c:y val="5.4187037037039996E-2"/>
          <c:w val="0.8789631193571017"/>
          <c:h val="0.77037879086049255"/>
        </c:manualLayout>
      </c:layout>
      <c:barChart>
        <c:barDir val="col"/>
        <c:grouping val="clustered"/>
        <c:varyColors val="0"/>
        <c:ser>
          <c:idx val="9"/>
          <c:order val="0"/>
          <c:tx>
            <c:strRef>
              <c:f>Sheet1!$A$3</c:f>
              <c:strCache>
                <c:ptCount val="1"/>
                <c:pt idx="0">
                  <c:v>Būvniecība</c:v>
                </c:pt>
              </c:strCache>
            </c:strRef>
          </c:tx>
          <c:spPr>
            <a:solidFill>
              <a:schemeClr val="accent6">
                <a:lumMod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Arial Nova" panose="020B0504020202020204" pitchFamily="34" charset="0"/>
                    <a:ea typeface="Arial"/>
                    <a:cs typeface="Aria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Sheet1!$B$2:$G$2</c:f>
              <c:numCache>
                <c:formatCode>General</c:formatCode>
                <c:ptCount val="6"/>
                <c:pt idx="0">
                  <c:v>2015</c:v>
                </c:pt>
                <c:pt idx="1">
                  <c:v>2016</c:v>
                </c:pt>
                <c:pt idx="2">
                  <c:v>2017</c:v>
                </c:pt>
                <c:pt idx="3">
                  <c:v>2018</c:v>
                </c:pt>
                <c:pt idx="4">
                  <c:v>2019</c:v>
                </c:pt>
                <c:pt idx="5">
                  <c:v>2020</c:v>
                </c:pt>
              </c:numCache>
            </c:numRef>
          </c:cat>
          <c:val>
            <c:numRef>
              <c:f>Sheet1!$B$3:$G$3</c:f>
              <c:numCache>
                <c:formatCode>0.0</c:formatCode>
                <c:ptCount val="6"/>
                <c:pt idx="0">
                  <c:v>0.74025784564985964</c:v>
                </c:pt>
                <c:pt idx="1">
                  <c:v>1.0727311735679039</c:v>
                </c:pt>
                <c:pt idx="2">
                  <c:v>1.4358196269882555</c:v>
                </c:pt>
                <c:pt idx="3">
                  <c:v>1.4930201308880982</c:v>
                </c:pt>
                <c:pt idx="4">
                  <c:v>1.6792308109909098</c:v>
                </c:pt>
                <c:pt idx="5">
                  <c:v>1.8035246730396601</c:v>
                </c:pt>
              </c:numCache>
            </c:numRef>
          </c:val>
          <c:extLst>
            <c:ext xmlns:c16="http://schemas.microsoft.com/office/drawing/2014/chart" uri="{C3380CC4-5D6E-409C-BE32-E72D297353CC}">
              <c16:uniqueId val="{00000000-AD74-4F02-9EE3-C2BC8BEA1119}"/>
            </c:ext>
          </c:extLst>
        </c:ser>
        <c:dLbls>
          <c:showLegendKey val="0"/>
          <c:showVal val="0"/>
          <c:showCatName val="0"/>
          <c:showSerName val="0"/>
          <c:showPercent val="0"/>
          <c:showBubbleSize val="0"/>
        </c:dLbls>
        <c:gapWidth val="50"/>
        <c:axId val="350765816"/>
        <c:axId val="274520776"/>
      </c:barChart>
      <c:catAx>
        <c:axId val="350765816"/>
        <c:scaling>
          <c:orientation val="minMax"/>
        </c:scaling>
        <c:delete val="0"/>
        <c:axPos val="b"/>
        <c:numFmt formatCode="General" sourceLinked="1"/>
        <c:majorTickMark val="out"/>
        <c:minorTickMark val="none"/>
        <c:tickLblPos val="low"/>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274520776"/>
        <c:crosses val="autoZero"/>
        <c:auto val="0"/>
        <c:lblAlgn val="ctr"/>
        <c:lblOffset val="100"/>
        <c:noMultiLvlLbl val="0"/>
      </c:catAx>
      <c:valAx>
        <c:axId val="274520776"/>
        <c:scaling>
          <c:orientation val="minMax"/>
        </c:scaling>
        <c:delete val="0"/>
        <c:axPos val="l"/>
        <c:numFmt formatCode="0.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Arial Nova" panose="020B0504020202020204" pitchFamily="34" charset="0"/>
                <a:ea typeface="Arial"/>
                <a:cs typeface="Arial"/>
              </a:defRPr>
            </a:pPr>
            <a:endParaRPr lang="lv-LV"/>
          </a:p>
        </c:txPr>
        <c:crossAx val="350765816"/>
        <c:crosses val="autoZero"/>
        <c:crossBetween val="between"/>
        <c:majorUnit val="0.5"/>
        <c:minorUnit val="0.1"/>
      </c:valAx>
      <c:spPr>
        <a:noFill/>
        <a:ln w="24631">
          <a:noFill/>
        </a:ln>
        <a:effectLst/>
      </c:spPr>
    </c:plotArea>
    <c:plotVisOnly val="1"/>
    <c:dispBlanksAs val="gap"/>
    <c:showDLblsOverMax val="0"/>
  </c:chart>
  <c:spPr>
    <a:noFill/>
    <a:ln w="9525" cap="flat" cmpd="sng" algn="ctr">
      <a:noFill/>
      <a:prstDash val="solid"/>
      <a:round/>
    </a:ln>
    <a:effectLst/>
  </c:spPr>
  <c:txPr>
    <a:bodyPr/>
    <a:lstStyle/>
    <a:p>
      <a:pPr>
        <a:defRPr sz="900" b="0" i="0" u="none" strike="noStrike" baseline="0">
          <a:solidFill>
            <a:srgbClr val="000000"/>
          </a:solidFill>
          <a:latin typeface="Arial Nova" panose="020B0504020202020204" pitchFamily="34" charset="0"/>
          <a:ea typeface="Arial"/>
          <a:cs typeface="Arial"/>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179578359156721E-2"/>
          <c:y val="0.15276710487775461"/>
          <c:w val="0.88337715650712201"/>
          <c:h val="0.60621004841572046"/>
        </c:manualLayout>
      </c:layout>
      <c:lineChart>
        <c:grouping val="standard"/>
        <c:varyColors val="0"/>
        <c:ser>
          <c:idx val="9"/>
          <c:order val="0"/>
          <c:tx>
            <c:strRef>
              <c:f>Sheet1!$B$1</c:f>
              <c:strCache>
                <c:ptCount val="1"/>
                <c:pt idx="0">
                  <c:v>Būvniecība - pavisam</c:v>
                </c:pt>
              </c:strCache>
            </c:strRef>
          </c:tx>
          <c:spPr>
            <a:ln w="25400">
              <a:solidFill>
                <a:srgbClr val="C00000"/>
              </a:solidFill>
              <a:prstDash val="solid"/>
            </a:ln>
          </c:spPr>
          <c:marker>
            <c:symbol val="none"/>
          </c:marker>
          <c:dPt>
            <c:idx val="10"/>
            <c:bubble3D val="0"/>
            <c:extLst>
              <c:ext xmlns:c16="http://schemas.microsoft.com/office/drawing/2014/chart" uri="{C3380CC4-5D6E-409C-BE32-E72D297353CC}">
                <c16:uniqueId val="{00000000-2819-4BF4-995E-B74B85444CCD}"/>
              </c:ext>
            </c:extLst>
          </c:dPt>
          <c:cat>
            <c:strRef>
              <c:f>Sheet1!$A$2:$A$13</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 1.pusg.</c:v>
                </c:pt>
              </c:strCache>
            </c:strRef>
          </c:cat>
          <c:val>
            <c:numRef>
              <c:f>Sheet1!$B$2:$B$13</c:f>
              <c:numCache>
                <c:formatCode>0.0</c:formatCode>
                <c:ptCount val="12"/>
                <c:pt idx="0">
                  <c:v>100</c:v>
                </c:pt>
                <c:pt idx="1">
                  <c:v>102.13483146067416</c:v>
                </c:pt>
                <c:pt idx="2">
                  <c:v>108.98876404494382</c:v>
                </c:pt>
                <c:pt idx="3">
                  <c:v>111.79775280898876</c:v>
                </c:pt>
                <c:pt idx="4">
                  <c:v>112.24719101123594</c:v>
                </c:pt>
                <c:pt idx="5">
                  <c:v>112.35955056179772</c:v>
                </c:pt>
                <c:pt idx="6">
                  <c:v>111.79775280898875</c:v>
                </c:pt>
                <c:pt idx="7">
                  <c:v>113.93258426966291</c:v>
                </c:pt>
                <c:pt idx="8">
                  <c:v>118.87640449438202</c:v>
                </c:pt>
                <c:pt idx="9">
                  <c:v>123.7078651685393</c:v>
                </c:pt>
                <c:pt idx="10">
                  <c:v>125.38389513108608</c:v>
                </c:pt>
                <c:pt idx="11">
                  <c:v>129.07661860856012</c:v>
                </c:pt>
              </c:numCache>
            </c:numRef>
          </c:val>
          <c:smooth val="0"/>
          <c:extLst>
            <c:ext xmlns:c16="http://schemas.microsoft.com/office/drawing/2014/chart" uri="{C3380CC4-5D6E-409C-BE32-E72D297353CC}">
              <c16:uniqueId val="{00000001-2819-4BF4-995E-B74B85444CCD}"/>
            </c:ext>
          </c:extLst>
        </c:ser>
        <c:ser>
          <c:idx val="2"/>
          <c:order val="1"/>
          <c:tx>
            <c:strRef>
              <c:f>Sheet1!$C$1</c:f>
              <c:strCache>
                <c:ptCount val="1"/>
                <c:pt idx="0">
                  <c:v>Būvmateriāli</c:v>
                </c:pt>
              </c:strCache>
            </c:strRef>
          </c:tx>
          <c:spPr>
            <a:ln w="6350">
              <a:solidFill>
                <a:srgbClr val="FFC000">
                  <a:lumMod val="75000"/>
                </a:srgbClr>
              </a:solidFill>
              <a:prstDash val="sysDash"/>
            </a:ln>
          </c:spPr>
          <c:marker>
            <c:symbol val="none"/>
          </c:marker>
          <c:cat>
            <c:strRef>
              <c:f>Sheet1!$A$2:$A$13</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 1.pusg.</c:v>
                </c:pt>
              </c:strCache>
            </c:strRef>
          </c:cat>
          <c:val>
            <c:numRef>
              <c:f>Sheet1!$C$2:$C$13</c:f>
              <c:numCache>
                <c:formatCode>0.0</c:formatCode>
                <c:ptCount val="12"/>
                <c:pt idx="0">
                  <c:v>100</c:v>
                </c:pt>
                <c:pt idx="1">
                  <c:v>99.702970297029694</c:v>
                </c:pt>
                <c:pt idx="2">
                  <c:v>100.39603960396042</c:v>
                </c:pt>
                <c:pt idx="3">
                  <c:v>101.28712871287128</c:v>
                </c:pt>
                <c:pt idx="4">
                  <c:v>100.89108910891089</c:v>
                </c:pt>
                <c:pt idx="5">
                  <c:v>99.009900990099013</c:v>
                </c:pt>
                <c:pt idx="6">
                  <c:v>95.841584158415856</c:v>
                </c:pt>
                <c:pt idx="7">
                  <c:v>97.128712871287121</c:v>
                </c:pt>
                <c:pt idx="8">
                  <c:v>100.79207920792076</c:v>
                </c:pt>
                <c:pt idx="9">
                  <c:v>104.15841584158416</c:v>
                </c:pt>
                <c:pt idx="10">
                  <c:v>103.44093506737845</c:v>
                </c:pt>
                <c:pt idx="11">
                  <c:v>106.55711988786393</c:v>
                </c:pt>
              </c:numCache>
            </c:numRef>
          </c:val>
          <c:smooth val="0"/>
          <c:extLst>
            <c:ext xmlns:c16="http://schemas.microsoft.com/office/drawing/2014/chart" uri="{C3380CC4-5D6E-409C-BE32-E72D297353CC}">
              <c16:uniqueId val="{00000002-2819-4BF4-995E-B74B85444CCD}"/>
            </c:ext>
          </c:extLst>
        </c:ser>
        <c:ser>
          <c:idx val="0"/>
          <c:order val="2"/>
          <c:tx>
            <c:strRef>
              <c:f>Sheet1!$D$1</c:f>
              <c:strCache>
                <c:ptCount val="1"/>
                <c:pt idx="0">
                  <c:v>Strādnieku darba samaksa</c:v>
                </c:pt>
              </c:strCache>
            </c:strRef>
          </c:tx>
          <c:spPr>
            <a:ln w="6350">
              <a:prstDash val="solid"/>
            </a:ln>
          </c:spPr>
          <c:marker>
            <c:symbol val="none"/>
          </c:marker>
          <c:cat>
            <c:strRef>
              <c:f>Sheet1!$A$2:$A$13</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 1.pusg.</c:v>
                </c:pt>
              </c:strCache>
            </c:strRef>
          </c:cat>
          <c:val>
            <c:numRef>
              <c:f>Sheet1!$D$2:$D$13</c:f>
              <c:numCache>
                <c:formatCode>0.0</c:formatCode>
                <c:ptCount val="12"/>
                <c:pt idx="0">
                  <c:v>100</c:v>
                </c:pt>
                <c:pt idx="1">
                  <c:v>98.933333333333337</c:v>
                </c:pt>
                <c:pt idx="2">
                  <c:v>114.66666666666667</c:v>
                </c:pt>
                <c:pt idx="3">
                  <c:v>121.33333333333336</c:v>
                </c:pt>
                <c:pt idx="4">
                  <c:v>124.93333333333337</c:v>
                </c:pt>
                <c:pt idx="5">
                  <c:v>133.33333333333334</c:v>
                </c:pt>
                <c:pt idx="6">
                  <c:v>139.73333333333335</c:v>
                </c:pt>
                <c:pt idx="7">
                  <c:v>146.00000000000003</c:v>
                </c:pt>
                <c:pt idx="8">
                  <c:v>158</c:v>
                </c:pt>
                <c:pt idx="9">
                  <c:v>170.13333333333333</c:v>
                </c:pt>
                <c:pt idx="10">
                  <c:v>182.03644281856975</c:v>
                </c:pt>
                <c:pt idx="11">
                  <c:v>188.75016311064076</c:v>
                </c:pt>
              </c:numCache>
            </c:numRef>
          </c:val>
          <c:smooth val="0"/>
          <c:extLst>
            <c:ext xmlns:c16="http://schemas.microsoft.com/office/drawing/2014/chart" uri="{C3380CC4-5D6E-409C-BE32-E72D297353CC}">
              <c16:uniqueId val="{00000003-2819-4BF4-995E-B74B85444CCD}"/>
            </c:ext>
          </c:extLst>
        </c:ser>
        <c:ser>
          <c:idx val="1"/>
          <c:order val="3"/>
          <c:tx>
            <c:strRef>
              <c:f>Sheet1!$E$1</c:f>
              <c:strCache>
                <c:ptCount val="1"/>
                <c:pt idx="0">
                  <c:v>Mašīnu, mehānismu uzturēšana, ekspluatācija</c:v>
                </c:pt>
              </c:strCache>
            </c:strRef>
          </c:tx>
          <c:spPr>
            <a:ln w="6350">
              <a:solidFill>
                <a:srgbClr val="70AD47">
                  <a:lumMod val="75000"/>
                </a:srgbClr>
              </a:solidFill>
              <a:prstDash val="dash"/>
            </a:ln>
          </c:spPr>
          <c:marker>
            <c:symbol val="none"/>
          </c:marker>
          <c:cat>
            <c:strRef>
              <c:f>Sheet1!$A$2:$A$13</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 1.pusg.</c:v>
                </c:pt>
              </c:strCache>
            </c:strRef>
          </c:cat>
          <c:val>
            <c:numRef>
              <c:f>Sheet1!$E$2:$E$13</c:f>
              <c:numCache>
                <c:formatCode>0.0</c:formatCode>
                <c:ptCount val="12"/>
                <c:pt idx="0">
                  <c:v>100</c:v>
                </c:pt>
                <c:pt idx="1">
                  <c:v>110.29224904701398</c:v>
                </c:pt>
                <c:pt idx="2">
                  <c:v>123.76111817026685</c:v>
                </c:pt>
                <c:pt idx="3">
                  <c:v>126.55654383735701</c:v>
                </c:pt>
                <c:pt idx="4">
                  <c:v>127.06480304955527</c:v>
                </c:pt>
                <c:pt idx="5">
                  <c:v>127.06480304955527</c:v>
                </c:pt>
                <c:pt idx="6">
                  <c:v>128.46251588310037</c:v>
                </c:pt>
                <c:pt idx="7">
                  <c:v>129.73316391359592</c:v>
                </c:pt>
                <c:pt idx="8">
                  <c:v>133.418043202033</c:v>
                </c:pt>
                <c:pt idx="9">
                  <c:v>137.10292249047015</c:v>
                </c:pt>
                <c:pt idx="10">
                  <c:v>138.00338211121579</c:v>
                </c:pt>
                <c:pt idx="11">
                  <c:v>141.10505911063657</c:v>
                </c:pt>
              </c:numCache>
            </c:numRef>
          </c:val>
          <c:smooth val="0"/>
          <c:extLst>
            <c:ext xmlns:c16="http://schemas.microsoft.com/office/drawing/2014/chart" uri="{C3380CC4-5D6E-409C-BE32-E72D297353CC}">
              <c16:uniqueId val="{00000004-2819-4BF4-995E-B74B85444CCD}"/>
            </c:ext>
          </c:extLst>
        </c:ser>
        <c:dLbls>
          <c:showLegendKey val="0"/>
          <c:showVal val="0"/>
          <c:showCatName val="0"/>
          <c:showSerName val="0"/>
          <c:showPercent val="0"/>
          <c:showBubbleSize val="0"/>
        </c:dLbls>
        <c:smooth val="0"/>
        <c:axId val="451606896"/>
        <c:axId val="452223504"/>
      </c:lineChart>
      <c:catAx>
        <c:axId val="451606896"/>
        <c:scaling>
          <c:orientation val="minMax"/>
        </c:scaling>
        <c:delete val="0"/>
        <c:axPos val="b"/>
        <c:numFmt formatCode="General" sourceLinked="1"/>
        <c:majorTickMark val="out"/>
        <c:minorTickMark val="none"/>
        <c:tickLblPos val="low"/>
        <c:spPr>
          <a:ln w="3175">
            <a:solidFill>
              <a:sysClr val="windowText" lastClr="000000">
                <a:lumMod val="50000"/>
                <a:lumOff val="50000"/>
              </a:sysClr>
            </a:solidFill>
            <a:prstDash val="solid"/>
          </a:ln>
        </c:spPr>
        <c:txPr>
          <a:bodyPr rot="-5400000" vert="horz"/>
          <a:lstStyle/>
          <a:p>
            <a:pPr>
              <a:defRPr sz="700"/>
            </a:pPr>
            <a:endParaRPr lang="lv-LV"/>
          </a:p>
        </c:txPr>
        <c:crossAx val="452223504"/>
        <c:crosses val="autoZero"/>
        <c:auto val="0"/>
        <c:lblAlgn val="ctr"/>
        <c:lblOffset val="0"/>
        <c:tickLblSkip val="1"/>
        <c:tickMarkSkip val="1"/>
        <c:noMultiLvlLbl val="1"/>
      </c:catAx>
      <c:valAx>
        <c:axId val="452223504"/>
        <c:scaling>
          <c:orientation val="minMax"/>
          <c:max val="190"/>
          <c:min val="90"/>
        </c:scaling>
        <c:delete val="0"/>
        <c:axPos val="l"/>
        <c:numFmt formatCode="0" sourceLinked="0"/>
        <c:majorTickMark val="out"/>
        <c:minorTickMark val="none"/>
        <c:tickLblPos val="nextTo"/>
        <c:spPr>
          <a:ln w="3175">
            <a:solidFill>
              <a:sysClr val="windowText" lastClr="000000">
                <a:lumMod val="50000"/>
                <a:lumOff val="50000"/>
              </a:sysClr>
            </a:solidFill>
          </a:ln>
        </c:spPr>
        <c:txPr>
          <a:bodyPr rot="0" vert="horz"/>
          <a:lstStyle/>
          <a:p>
            <a:pPr>
              <a:defRPr sz="700"/>
            </a:pPr>
            <a:endParaRPr lang="lv-LV"/>
          </a:p>
        </c:txPr>
        <c:crossAx val="451606896"/>
        <c:crosses val="autoZero"/>
        <c:crossBetween val="between"/>
      </c:valAx>
      <c:spPr>
        <a:noFill/>
        <a:ln w="24631">
          <a:noFill/>
        </a:ln>
      </c:spPr>
    </c:plotArea>
    <c:legend>
      <c:legendPos val="l"/>
      <c:layout>
        <c:manualLayout>
          <c:xMode val="edge"/>
          <c:yMode val="edge"/>
          <c:x val="0.10413997520382945"/>
          <c:y val="2.6427919157807685E-2"/>
          <c:w val="0.73360767860221854"/>
          <c:h val="0.22110391288616274"/>
        </c:manualLayout>
      </c:layout>
      <c:overlay val="0"/>
      <c:txPr>
        <a:bodyPr/>
        <a:lstStyle/>
        <a:p>
          <a:pPr>
            <a:defRPr sz="700"/>
          </a:pPr>
          <a:endParaRPr lang="lv-LV"/>
        </a:p>
      </c:txPr>
    </c:legend>
    <c:plotVisOnly val="1"/>
    <c:dispBlanksAs val="gap"/>
    <c:showDLblsOverMax val="0"/>
  </c:chart>
  <c:spPr>
    <a:noFill/>
    <a:ln>
      <a:noFill/>
    </a:ln>
  </c:spPr>
  <c:txPr>
    <a:bodyPr/>
    <a:lstStyle/>
    <a:p>
      <a:pPr>
        <a:defRPr sz="800" b="0" i="0" u="none" strike="noStrike" baseline="0">
          <a:solidFill>
            <a:srgbClr val="000000"/>
          </a:solidFill>
          <a:latin typeface="Arial Nova" panose="020B0504020202020204" pitchFamily="34" charset="0"/>
          <a:ea typeface="Arial"/>
          <a:cs typeface="Arial"/>
        </a:defRPr>
      </a:pPr>
      <a:endParaRPr lang="lv-LV"/>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101772378739184E-2"/>
          <c:y val="6.9182389937106917E-2"/>
          <c:w val="0.91589822762126083"/>
          <c:h val="0.56114336911387175"/>
        </c:manualLayout>
      </c:layout>
      <c:barChart>
        <c:barDir val="col"/>
        <c:grouping val="clustered"/>
        <c:varyColors val="0"/>
        <c:ser>
          <c:idx val="0"/>
          <c:order val="0"/>
          <c:tx>
            <c:strRef>
              <c:f>Sheet1!$B$1</c:f>
              <c:strCache>
                <c:ptCount val="1"/>
                <c:pt idx="0">
                  <c:v>Būvniecības izmaksas </c:v>
                </c:pt>
              </c:strCache>
            </c:strRef>
          </c:tx>
          <c:spPr>
            <a:solidFill>
              <a:srgbClr val="C00000">
                <a:alpha val="82000"/>
              </a:srgbClr>
            </a:solidFill>
            <a:ln w="0">
              <a:solidFill>
                <a:schemeClr val="tx1"/>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3"/>
                <c:pt idx="0">
                  <c:v>2017-2019</c:v>
                </c:pt>
                <c:pt idx="1">
                  <c:v>2020</c:v>
                </c:pt>
                <c:pt idx="2">
                  <c:v>2021 1.pusg.</c:v>
                </c:pt>
              </c:strCache>
            </c:strRef>
          </c:cat>
          <c:val>
            <c:numRef>
              <c:f>Sheet1!$B$2:$B$6</c:f>
              <c:numCache>
                <c:formatCode>0.0</c:formatCode>
                <c:ptCount val="3"/>
                <c:pt idx="0">
                  <c:v>2.3920806269954937</c:v>
                </c:pt>
                <c:pt idx="1">
                  <c:v>1.3623978201634941</c:v>
                </c:pt>
                <c:pt idx="2">
                  <c:v>2.3326753992463694</c:v>
                </c:pt>
              </c:numCache>
            </c:numRef>
          </c:val>
          <c:extLst>
            <c:ext xmlns:c16="http://schemas.microsoft.com/office/drawing/2014/chart" uri="{C3380CC4-5D6E-409C-BE32-E72D297353CC}">
              <c16:uniqueId val="{00000000-2EE1-4155-8437-A5CAA5925E55}"/>
            </c:ext>
          </c:extLst>
        </c:ser>
        <c:ser>
          <c:idx val="1"/>
          <c:order val="1"/>
          <c:tx>
            <c:strRef>
              <c:f>Sheet1!$C$1</c:f>
              <c:strCache>
                <c:ptCount val="1"/>
                <c:pt idx="0">
                  <c:v>Būvmateriāli</c:v>
                </c:pt>
              </c:strCache>
            </c:strRef>
          </c:tx>
          <c:spPr>
            <a:solidFill>
              <a:srgbClr val="FFC000">
                <a:lumMod val="60000"/>
                <a:lumOff val="40000"/>
              </a:srgbClr>
            </a:solidFill>
            <a:ln w="0">
              <a:solidFill>
                <a:sysClr val="windowText" lastClr="00000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3"/>
                <c:pt idx="0">
                  <c:v>2017-2019</c:v>
                </c:pt>
                <c:pt idx="1">
                  <c:v>2020</c:v>
                </c:pt>
                <c:pt idx="2">
                  <c:v>2021 1.pusg.</c:v>
                </c:pt>
              </c:strCache>
            </c:strRef>
          </c:cat>
          <c:val>
            <c:numRef>
              <c:f>Sheet1!$C$2:$C$6</c:f>
              <c:numCache>
                <c:formatCode>0.0</c:formatCode>
                <c:ptCount val="3"/>
                <c:pt idx="0">
                  <c:v>0.4537238175630165</c:v>
                </c:pt>
                <c:pt idx="1">
                  <c:v>-0.66539923954373137</c:v>
                </c:pt>
                <c:pt idx="2">
                  <c:v>2.0136778115501528</c:v>
                </c:pt>
              </c:numCache>
            </c:numRef>
          </c:val>
          <c:extLst>
            <c:ext xmlns:c16="http://schemas.microsoft.com/office/drawing/2014/chart" uri="{C3380CC4-5D6E-409C-BE32-E72D297353CC}">
              <c16:uniqueId val="{00000001-2EE1-4155-8437-A5CAA5925E55}"/>
            </c:ext>
          </c:extLst>
        </c:ser>
        <c:ser>
          <c:idx val="2"/>
          <c:order val="2"/>
          <c:tx>
            <c:strRef>
              <c:f>Sheet1!$D$1</c:f>
              <c:strCache>
                <c:ptCount val="1"/>
                <c:pt idx="0">
                  <c:v>Strādnieku darba samaksa</c:v>
                </c:pt>
              </c:strCache>
            </c:strRef>
          </c:tx>
          <c:spPr>
            <a:solidFill>
              <a:srgbClr val="5B9BD5">
                <a:lumMod val="60000"/>
                <a:lumOff val="40000"/>
              </a:srgbClr>
            </a:solidFill>
            <a:ln w="0">
              <a:solidFill>
                <a:sysClr val="windowText" lastClr="000000"/>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3"/>
                <c:pt idx="0">
                  <c:v>2017-2019</c:v>
                </c:pt>
                <c:pt idx="1">
                  <c:v>2020</c:v>
                </c:pt>
                <c:pt idx="2">
                  <c:v>2021 1.pusg.</c:v>
                </c:pt>
              </c:strCache>
            </c:strRef>
          </c:cat>
          <c:val>
            <c:numRef>
              <c:f>Sheet1!$D$2:$D$6</c:f>
              <c:numCache>
                <c:formatCode>0.0</c:formatCode>
                <c:ptCount val="3"/>
                <c:pt idx="0">
                  <c:v>6.0823832121442933</c:v>
                </c:pt>
                <c:pt idx="1">
                  <c:v>6.9749216300940589</c:v>
                </c:pt>
                <c:pt idx="2">
                  <c:v>3.6230803637989908</c:v>
                </c:pt>
              </c:numCache>
            </c:numRef>
          </c:val>
          <c:extLst>
            <c:ext xmlns:c16="http://schemas.microsoft.com/office/drawing/2014/chart" uri="{C3380CC4-5D6E-409C-BE32-E72D297353CC}">
              <c16:uniqueId val="{00000002-2EE1-4155-8437-A5CAA5925E55}"/>
            </c:ext>
          </c:extLst>
        </c:ser>
        <c:ser>
          <c:idx val="3"/>
          <c:order val="3"/>
          <c:tx>
            <c:strRef>
              <c:f>Sheet1!$E$1</c:f>
              <c:strCache>
                <c:ptCount val="1"/>
                <c:pt idx="0">
                  <c:v>Mašīnu un mehānismu uzturēšana, ekspluatācija</c:v>
                </c:pt>
              </c:strCache>
            </c:strRef>
          </c:tx>
          <c:spPr>
            <a:solidFill>
              <a:srgbClr val="70AD47">
                <a:lumMod val="60000"/>
                <a:lumOff val="40000"/>
              </a:srgbClr>
            </a:solidFill>
            <a:ln w="0">
              <a:solidFill>
                <a:srgbClr val="70AD47">
                  <a:lumMod val="75000"/>
                </a:srgb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3"/>
                <c:pt idx="0">
                  <c:v>2017-2019</c:v>
                </c:pt>
                <c:pt idx="1">
                  <c:v>2020</c:v>
                </c:pt>
                <c:pt idx="2">
                  <c:v>2021 1.pusg.</c:v>
                </c:pt>
              </c:strCache>
            </c:strRef>
          </c:cat>
          <c:val>
            <c:numRef>
              <c:f>Sheet1!$E$2:$E$6</c:f>
              <c:numCache>
                <c:formatCode>0.0</c:formatCode>
                <c:ptCount val="3"/>
                <c:pt idx="0">
                  <c:v>3.5684346931289923</c:v>
                </c:pt>
                <c:pt idx="1">
                  <c:v>0.64874884151990386</c:v>
                </c:pt>
                <c:pt idx="2">
                  <c:v>1.921300572695344</c:v>
                </c:pt>
              </c:numCache>
            </c:numRef>
          </c:val>
          <c:extLst>
            <c:ext xmlns:c16="http://schemas.microsoft.com/office/drawing/2014/chart" uri="{C3380CC4-5D6E-409C-BE32-E72D297353CC}">
              <c16:uniqueId val="{00000003-2EE1-4155-8437-A5CAA5925E55}"/>
            </c:ext>
          </c:extLst>
        </c:ser>
        <c:dLbls>
          <c:showLegendKey val="0"/>
          <c:showVal val="0"/>
          <c:showCatName val="0"/>
          <c:showSerName val="0"/>
          <c:showPercent val="0"/>
          <c:showBubbleSize val="0"/>
        </c:dLbls>
        <c:gapWidth val="119"/>
        <c:axId val="1526836800"/>
        <c:axId val="1350114048"/>
      </c:barChart>
      <c:catAx>
        <c:axId val="1526836800"/>
        <c:scaling>
          <c:orientation val="minMax"/>
        </c:scaling>
        <c:delete val="0"/>
        <c:axPos val="b"/>
        <c:numFmt formatCode="General" sourceLinked="1"/>
        <c:majorTickMark val="none"/>
        <c:minorTickMark val="none"/>
        <c:tickLblPos val="low"/>
        <c:spPr>
          <a:noFill/>
          <a:ln w="9525" cap="flat" cmpd="sng" algn="ctr">
            <a:solidFill>
              <a:sysClr val="windowText" lastClr="000000">
                <a:lumMod val="50000"/>
                <a:lumOff val="50000"/>
              </a:sys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1350114048"/>
        <c:crosses val="autoZero"/>
        <c:auto val="1"/>
        <c:lblAlgn val="ctr"/>
        <c:lblOffset val="100"/>
        <c:noMultiLvlLbl val="0"/>
      </c:catAx>
      <c:valAx>
        <c:axId val="1350114048"/>
        <c:scaling>
          <c:orientation val="minMax"/>
        </c:scaling>
        <c:delete val="0"/>
        <c:axPos val="l"/>
        <c:numFmt formatCode="0" sourceLinked="0"/>
        <c:majorTickMark val="out"/>
        <c:minorTickMark val="none"/>
        <c:tickLblPos val="nextTo"/>
        <c:spPr>
          <a:noFill/>
          <a:ln>
            <a:solidFill>
              <a:sysClr val="windowText" lastClr="000000">
                <a:lumMod val="50000"/>
                <a:lumOff val="50000"/>
              </a:sys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1526836800"/>
        <c:crosses val="autoZero"/>
        <c:crossBetween val="between"/>
      </c:valAx>
      <c:spPr>
        <a:noFill/>
        <a:ln>
          <a:noFill/>
        </a:ln>
        <a:effectLst/>
      </c:spPr>
    </c:plotArea>
    <c:legend>
      <c:legendPos val="b"/>
      <c:layout>
        <c:manualLayout>
          <c:xMode val="edge"/>
          <c:yMode val="edge"/>
          <c:x val="4.3573009594998782E-2"/>
          <c:y val="0.75794982684057277"/>
          <c:w val="0.86637379496617362"/>
          <c:h val="0.220168228229631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latin typeface="Arial Nova" panose="020B0504020202020204" pitchFamily="34" charset="0"/>
        </a:defRPr>
      </a:pPr>
      <a:endParaRPr lang="lv-LV"/>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9114173228346E-2"/>
          <c:y val="4.3650793650793648E-2"/>
          <c:w val="0.9126755249343832"/>
          <c:h val="0.80772372203474563"/>
        </c:manualLayout>
      </c:layout>
      <c:lineChart>
        <c:grouping val="standard"/>
        <c:varyColors val="0"/>
        <c:ser>
          <c:idx val="1"/>
          <c:order val="0"/>
          <c:tx>
            <c:strRef>
              <c:f>Sheet1!$C$1</c:f>
              <c:strCache>
                <c:ptCount val="1"/>
                <c:pt idx="0">
                  <c:v>Vakanču skaits</c:v>
                </c:pt>
              </c:strCache>
            </c:strRef>
          </c:tx>
          <c:spPr>
            <a:ln w="28575" cap="rnd">
              <a:solidFill>
                <a:schemeClr val="accent2"/>
              </a:solidFill>
              <a:round/>
            </a:ln>
            <a:effectLst/>
          </c:spPr>
          <c:marker>
            <c:symbol val="none"/>
          </c:marker>
          <c:cat>
            <c:multiLvlStrRef>
              <c:f>Sheet1!$A$2:$B$55</c:f>
              <c:multiLvlStrCache>
                <c:ptCount val="26"/>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pt idx="22">
                    <c:v>III</c:v>
                  </c:pt>
                  <c:pt idx="23">
                    <c:v>IV</c:v>
                  </c:pt>
                  <c:pt idx="24">
                    <c:v>I</c:v>
                  </c:pt>
                  <c:pt idx="25">
                    <c:v>II</c:v>
                  </c:pt>
                </c:lvl>
                <c:lvl>
                  <c:pt idx="0">
                    <c:v>2015</c:v>
                  </c:pt>
                  <c:pt idx="4">
                    <c:v>2016</c:v>
                  </c:pt>
                  <c:pt idx="8">
                    <c:v>2017</c:v>
                  </c:pt>
                  <c:pt idx="12">
                    <c:v>2018</c:v>
                  </c:pt>
                  <c:pt idx="16">
                    <c:v>2019</c:v>
                  </c:pt>
                  <c:pt idx="20">
                    <c:v>2020</c:v>
                  </c:pt>
                  <c:pt idx="24">
                    <c:v>2021</c:v>
                  </c:pt>
                </c:lvl>
              </c:multiLvlStrCache>
            </c:multiLvlStrRef>
          </c:cat>
          <c:val>
            <c:numRef>
              <c:f>Sheet1!$C$2:$C$55</c:f>
              <c:numCache>
                <c:formatCode>General</c:formatCode>
                <c:ptCount val="26"/>
                <c:pt idx="0">
                  <c:v>0.377</c:v>
                </c:pt>
                <c:pt idx="1">
                  <c:v>0.253</c:v>
                </c:pt>
                <c:pt idx="2">
                  <c:v>0.39700000000000002</c:v>
                </c:pt>
                <c:pt idx="3">
                  <c:v>0.314</c:v>
                </c:pt>
                <c:pt idx="4">
                  <c:v>0.49099999999999999</c:v>
                </c:pt>
                <c:pt idx="5">
                  <c:v>0.61199999999999999</c:v>
                </c:pt>
                <c:pt idx="6">
                  <c:v>0.49199999999999999</c:v>
                </c:pt>
                <c:pt idx="7">
                  <c:v>0.56699999999999995</c:v>
                </c:pt>
                <c:pt idx="8">
                  <c:v>1.498</c:v>
                </c:pt>
                <c:pt idx="9">
                  <c:v>1.3080000000000001</c:v>
                </c:pt>
                <c:pt idx="10">
                  <c:v>2.6030000000000002</c:v>
                </c:pt>
                <c:pt idx="11">
                  <c:v>3.2919999999999998</c:v>
                </c:pt>
                <c:pt idx="12">
                  <c:v>4.742</c:v>
                </c:pt>
                <c:pt idx="13">
                  <c:v>5.7140000000000004</c:v>
                </c:pt>
                <c:pt idx="14">
                  <c:v>7.048</c:v>
                </c:pt>
                <c:pt idx="15">
                  <c:v>5.3360000000000003</c:v>
                </c:pt>
                <c:pt idx="16">
                  <c:v>9.3620000000000001</c:v>
                </c:pt>
                <c:pt idx="17">
                  <c:v>12.29</c:v>
                </c:pt>
                <c:pt idx="18">
                  <c:v>11.365</c:v>
                </c:pt>
                <c:pt idx="19">
                  <c:v>10.738</c:v>
                </c:pt>
                <c:pt idx="20">
                  <c:v>10.898</c:v>
                </c:pt>
                <c:pt idx="21">
                  <c:v>7.593</c:v>
                </c:pt>
                <c:pt idx="22">
                  <c:v>6.72</c:v>
                </c:pt>
                <c:pt idx="23">
                  <c:v>5.9390000000000001</c:v>
                </c:pt>
                <c:pt idx="24">
                  <c:v>6.7910000000000004</c:v>
                </c:pt>
                <c:pt idx="25">
                  <c:v>6.8689999999999998</c:v>
                </c:pt>
              </c:numCache>
            </c:numRef>
          </c:val>
          <c:smooth val="0"/>
          <c:extLst>
            <c:ext xmlns:c16="http://schemas.microsoft.com/office/drawing/2014/chart" uri="{C3380CC4-5D6E-409C-BE32-E72D297353CC}">
              <c16:uniqueId val="{00000000-881B-4883-A8E7-EBF32745B748}"/>
            </c:ext>
          </c:extLst>
        </c:ser>
        <c:dLbls>
          <c:showLegendKey val="0"/>
          <c:showVal val="0"/>
          <c:showCatName val="0"/>
          <c:showSerName val="0"/>
          <c:showPercent val="0"/>
          <c:showBubbleSize val="0"/>
        </c:dLbls>
        <c:smooth val="0"/>
        <c:axId val="603432496"/>
        <c:axId val="473871072"/>
      </c:lineChart>
      <c:catAx>
        <c:axId val="603432496"/>
        <c:scaling>
          <c:orientation val="minMax"/>
        </c:scaling>
        <c:delete val="0"/>
        <c:axPos val="b"/>
        <c:numFmt formatCode="General" sourceLinked="1"/>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473871072"/>
        <c:crosses val="autoZero"/>
        <c:auto val="1"/>
        <c:lblAlgn val="ctr"/>
        <c:lblOffset val="100"/>
        <c:noMultiLvlLbl val="0"/>
      </c:catAx>
      <c:valAx>
        <c:axId val="473871072"/>
        <c:scaling>
          <c:orientation val="minMax"/>
        </c:scaling>
        <c:delete val="0"/>
        <c:axPos val="l"/>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603432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spcAft>
          <a:spcPts val="600"/>
        </a:spcAft>
        <a:defRPr sz="800">
          <a:latin typeface="Arial Nova" panose="020B0504020202020204" pitchFamily="34" charset="0"/>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9114173228346E-2"/>
          <c:y val="4.3650793650793648E-2"/>
          <c:w val="0.8814708355630303"/>
          <c:h val="0.80772372203474563"/>
        </c:manualLayout>
      </c:layout>
      <c:lineChart>
        <c:grouping val="standard"/>
        <c:varyColors val="0"/>
        <c:ser>
          <c:idx val="1"/>
          <c:order val="0"/>
          <c:tx>
            <c:strRef>
              <c:f>Sheet1!$C$1</c:f>
              <c:strCache>
                <c:ptCount val="1"/>
                <c:pt idx="0">
                  <c:v>Aizņemtās darbavietas</c:v>
                </c:pt>
              </c:strCache>
            </c:strRef>
          </c:tx>
          <c:spPr>
            <a:ln w="28575" cap="rnd">
              <a:solidFill>
                <a:schemeClr val="accent3">
                  <a:lumMod val="50000"/>
                </a:schemeClr>
              </a:solidFill>
              <a:round/>
            </a:ln>
            <a:effectLst/>
          </c:spPr>
          <c:marker>
            <c:symbol val="none"/>
          </c:marker>
          <c:cat>
            <c:multiLvlStrRef>
              <c:f>Sheet1!$A$2:$B$56</c:f>
              <c:multiLvlStrCache>
                <c:ptCount val="2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pt idx="22">
                    <c:v>III</c:v>
                  </c:pt>
                  <c:pt idx="23">
                    <c:v>IV</c:v>
                  </c:pt>
                  <c:pt idx="24">
                    <c:v>I</c:v>
                  </c:pt>
                </c:lvl>
                <c:lvl>
                  <c:pt idx="0">
                    <c:v>2015</c:v>
                  </c:pt>
                  <c:pt idx="4">
                    <c:v>2016</c:v>
                  </c:pt>
                  <c:pt idx="8">
                    <c:v>2017</c:v>
                  </c:pt>
                  <c:pt idx="12">
                    <c:v>2018</c:v>
                  </c:pt>
                  <c:pt idx="16">
                    <c:v>2019</c:v>
                  </c:pt>
                  <c:pt idx="20">
                    <c:v>2020</c:v>
                  </c:pt>
                  <c:pt idx="24">
                    <c:v>2021</c:v>
                  </c:pt>
                </c:lvl>
              </c:multiLvlStrCache>
            </c:multiLvlStrRef>
          </c:cat>
          <c:val>
            <c:numRef>
              <c:f>Sheet1!$C$2:$C$56</c:f>
              <c:numCache>
                <c:formatCode>General</c:formatCode>
                <c:ptCount val="26"/>
                <c:pt idx="0">
                  <c:v>57.295000000000002</c:v>
                </c:pt>
                <c:pt idx="1">
                  <c:v>61.655000000000001</c:v>
                </c:pt>
                <c:pt idx="2">
                  <c:v>61.363</c:v>
                </c:pt>
                <c:pt idx="3">
                  <c:v>54.609000000000002</c:v>
                </c:pt>
                <c:pt idx="4">
                  <c:v>50.359000000000002</c:v>
                </c:pt>
                <c:pt idx="5">
                  <c:v>55.954999999999998</c:v>
                </c:pt>
                <c:pt idx="6">
                  <c:v>56.860999999999997</c:v>
                </c:pt>
                <c:pt idx="7">
                  <c:v>53.472999999999999</c:v>
                </c:pt>
                <c:pt idx="8">
                  <c:v>52.484999999999999</c:v>
                </c:pt>
                <c:pt idx="9">
                  <c:v>59.567</c:v>
                </c:pt>
                <c:pt idx="10">
                  <c:v>61.74</c:v>
                </c:pt>
                <c:pt idx="11">
                  <c:v>58.701000000000001</c:v>
                </c:pt>
                <c:pt idx="12">
                  <c:v>57.728999999999999</c:v>
                </c:pt>
                <c:pt idx="13">
                  <c:v>64.155000000000001</c:v>
                </c:pt>
                <c:pt idx="14">
                  <c:v>64.697999999999993</c:v>
                </c:pt>
                <c:pt idx="15">
                  <c:v>63.088999999999999</c:v>
                </c:pt>
                <c:pt idx="16">
                  <c:v>61.405000000000001</c:v>
                </c:pt>
                <c:pt idx="17">
                  <c:v>65.896000000000001</c:v>
                </c:pt>
                <c:pt idx="18">
                  <c:v>66.14</c:v>
                </c:pt>
                <c:pt idx="19">
                  <c:v>62.319000000000003</c:v>
                </c:pt>
                <c:pt idx="20">
                  <c:v>61.848999999999997</c:v>
                </c:pt>
                <c:pt idx="21">
                  <c:v>63.622999999999998</c:v>
                </c:pt>
                <c:pt idx="22">
                  <c:v>63.822000000000003</c:v>
                </c:pt>
                <c:pt idx="23">
                  <c:v>60.881</c:v>
                </c:pt>
                <c:pt idx="24">
                  <c:v>63.781999999999996</c:v>
                </c:pt>
              </c:numCache>
            </c:numRef>
          </c:val>
          <c:smooth val="0"/>
          <c:extLst>
            <c:ext xmlns:c16="http://schemas.microsoft.com/office/drawing/2014/chart" uri="{C3380CC4-5D6E-409C-BE32-E72D297353CC}">
              <c16:uniqueId val="{00000000-284A-4C8D-8BFB-D7E629E0C30E}"/>
            </c:ext>
          </c:extLst>
        </c:ser>
        <c:ser>
          <c:idx val="0"/>
          <c:order val="1"/>
          <c:tx>
            <c:strRef>
              <c:f>Sheet1!$D$1</c:f>
              <c:strCache>
                <c:ptCount val="1"/>
                <c:pt idx="0">
                  <c:v>Column2</c:v>
                </c:pt>
              </c:strCache>
            </c:strRef>
          </c:tx>
          <c:spPr>
            <a:ln w="28575" cap="rnd">
              <a:solidFill>
                <a:schemeClr val="accent1"/>
              </a:solidFill>
              <a:round/>
            </a:ln>
            <a:effectLst/>
          </c:spPr>
          <c:marker>
            <c:symbol val="none"/>
          </c:marker>
          <c:cat>
            <c:multiLvlStrRef>
              <c:f>Sheet1!$A$2:$B$56</c:f>
              <c:multiLvlStrCache>
                <c:ptCount val="2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pt idx="22">
                    <c:v>III</c:v>
                  </c:pt>
                  <c:pt idx="23">
                    <c:v>IV</c:v>
                  </c:pt>
                  <c:pt idx="24">
                    <c:v>I</c:v>
                  </c:pt>
                </c:lvl>
                <c:lvl>
                  <c:pt idx="0">
                    <c:v>2015</c:v>
                  </c:pt>
                  <c:pt idx="4">
                    <c:v>2016</c:v>
                  </c:pt>
                  <c:pt idx="8">
                    <c:v>2017</c:v>
                  </c:pt>
                  <c:pt idx="12">
                    <c:v>2018</c:v>
                  </c:pt>
                  <c:pt idx="16">
                    <c:v>2019</c:v>
                  </c:pt>
                  <c:pt idx="20">
                    <c:v>2020</c:v>
                  </c:pt>
                  <c:pt idx="24">
                    <c:v>2021</c:v>
                  </c:pt>
                </c:lvl>
              </c:multiLvlStrCache>
            </c:multiLvlStrRef>
          </c:cat>
          <c:val>
            <c:numRef>
              <c:f>Sheet1!$D$2:$D$56</c:f>
              <c:numCache>
                <c:formatCode>General</c:formatCode>
                <c:ptCount val="26"/>
                <c:pt idx="24" formatCode="0.0%">
                  <c:v>3.8710202752218814E-2</c:v>
                </c:pt>
                <c:pt idx="25" formatCode="0%">
                  <c:v>-1</c:v>
                </c:pt>
              </c:numCache>
            </c:numRef>
          </c:val>
          <c:smooth val="0"/>
          <c:extLst>
            <c:ext xmlns:c16="http://schemas.microsoft.com/office/drawing/2014/chart" uri="{C3380CC4-5D6E-409C-BE32-E72D297353CC}">
              <c16:uniqueId val="{00000001-284A-4C8D-8BFB-D7E629E0C30E}"/>
            </c:ext>
          </c:extLst>
        </c:ser>
        <c:dLbls>
          <c:showLegendKey val="0"/>
          <c:showVal val="0"/>
          <c:showCatName val="0"/>
          <c:showSerName val="0"/>
          <c:showPercent val="0"/>
          <c:showBubbleSize val="0"/>
        </c:dLbls>
        <c:smooth val="0"/>
        <c:axId val="603432496"/>
        <c:axId val="473871072"/>
      </c:lineChart>
      <c:catAx>
        <c:axId val="603432496"/>
        <c:scaling>
          <c:orientation val="minMax"/>
        </c:scaling>
        <c:delete val="0"/>
        <c:axPos val="b"/>
        <c:numFmt formatCode="General" sourceLinked="1"/>
        <c:majorTickMark val="none"/>
        <c:minorTickMark val="none"/>
        <c:tickLblPos val="low"/>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473871072"/>
        <c:crosses val="autoZero"/>
        <c:auto val="1"/>
        <c:lblAlgn val="ctr"/>
        <c:lblOffset val="100"/>
        <c:noMultiLvlLbl val="0"/>
      </c:catAx>
      <c:valAx>
        <c:axId val="473871072"/>
        <c:scaling>
          <c:orientation val="minMax"/>
          <c:min val="50"/>
        </c:scaling>
        <c:delete val="0"/>
        <c:axPos val="l"/>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603432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spcAft>
          <a:spcPts val="600"/>
        </a:spcAft>
        <a:defRPr sz="800">
          <a:latin typeface="Arial Nova" panose="020B0504020202020204" pitchFamily="34" charset="0"/>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9114173228346E-2"/>
          <c:y val="4.3650793650793648E-2"/>
          <c:w val="0.9126755249343832"/>
          <c:h val="0.80772372203474563"/>
        </c:manualLayout>
      </c:layout>
      <c:lineChart>
        <c:grouping val="standard"/>
        <c:varyColors val="0"/>
        <c:ser>
          <c:idx val="0"/>
          <c:order val="0"/>
          <c:tx>
            <c:strRef>
              <c:f>Sheet1!$B$1</c:f>
              <c:strCache>
                <c:ptCount val="1"/>
                <c:pt idx="0">
                  <c:v>Nodarbinātības gaidas nākamajiem 3 mēnešiem</c:v>
                </c:pt>
              </c:strCache>
            </c:strRef>
          </c:tx>
          <c:spPr>
            <a:ln w="28575" cap="rnd">
              <a:solidFill>
                <a:schemeClr val="accent6">
                  <a:lumMod val="75000"/>
                </a:schemeClr>
              </a:solidFill>
              <a:round/>
            </a:ln>
            <a:effectLst/>
          </c:spPr>
          <c:marker>
            <c:symbol val="none"/>
          </c:marker>
          <c:cat>
            <c:strRef>
              <c:f>Sheet1!$A$2:$A$338</c:f>
              <c:strCache>
                <c:ptCount val="199"/>
                <c:pt idx="0">
                  <c:v>2005-01</c:v>
                </c:pt>
                <c:pt idx="1">
                  <c:v>2005-02</c:v>
                </c:pt>
                <c:pt idx="2">
                  <c:v>2005-03</c:v>
                </c:pt>
                <c:pt idx="3">
                  <c:v>2005-04</c:v>
                </c:pt>
                <c:pt idx="4">
                  <c:v>2005-05</c:v>
                </c:pt>
                <c:pt idx="5">
                  <c:v>2005-06</c:v>
                </c:pt>
                <c:pt idx="6">
                  <c:v>2005-07</c:v>
                </c:pt>
                <c:pt idx="7">
                  <c:v>2005-08</c:v>
                </c:pt>
                <c:pt idx="8">
                  <c:v>2005-09</c:v>
                </c:pt>
                <c:pt idx="9">
                  <c:v>2005-10</c:v>
                </c:pt>
                <c:pt idx="10">
                  <c:v>2005-11</c:v>
                </c:pt>
                <c:pt idx="11">
                  <c:v>2005-12</c:v>
                </c:pt>
                <c:pt idx="12">
                  <c:v>2006-01</c:v>
                </c:pt>
                <c:pt idx="13">
                  <c:v>2006-02</c:v>
                </c:pt>
                <c:pt idx="14">
                  <c:v>2006-03</c:v>
                </c:pt>
                <c:pt idx="15">
                  <c:v>2006-04</c:v>
                </c:pt>
                <c:pt idx="16">
                  <c:v>2006-05</c:v>
                </c:pt>
                <c:pt idx="17">
                  <c:v>2006-06</c:v>
                </c:pt>
                <c:pt idx="18">
                  <c:v>2006-07</c:v>
                </c:pt>
                <c:pt idx="19">
                  <c:v>2006-08</c:v>
                </c:pt>
                <c:pt idx="20">
                  <c:v>2006-09</c:v>
                </c:pt>
                <c:pt idx="21">
                  <c:v>2006-10</c:v>
                </c:pt>
                <c:pt idx="22">
                  <c:v>2006-11</c:v>
                </c:pt>
                <c:pt idx="23">
                  <c:v>2006-12</c:v>
                </c:pt>
                <c:pt idx="24">
                  <c:v>2007-01</c:v>
                </c:pt>
                <c:pt idx="25">
                  <c:v>2007-02</c:v>
                </c:pt>
                <c:pt idx="26">
                  <c:v>2007-03</c:v>
                </c:pt>
                <c:pt idx="27">
                  <c:v>2007-04</c:v>
                </c:pt>
                <c:pt idx="28">
                  <c:v>2007-05</c:v>
                </c:pt>
                <c:pt idx="29">
                  <c:v>2007-06</c:v>
                </c:pt>
                <c:pt idx="30">
                  <c:v>2007-07</c:v>
                </c:pt>
                <c:pt idx="31">
                  <c:v>2007-08</c:v>
                </c:pt>
                <c:pt idx="32">
                  <c:v>2007-09</c:v>
                </c:pt>
                <c:pt idx="33">
                  <c:v>2007-10</c:v>
                </c:pt>
                <c:pt idx="34">
                  <c:v>2007-11</c:v>
                </c:pt>
                <c:pt idx="35">
                  <c:v>2007-12</c:v>
                </c:pt>
                <c:pt idx="36">
                  <c:v>2008-01</c:v>
                </c:pt>
                <c:pt idx="37">
                  <c:v>2008-02</c:v>
                </c:pt>
                <c:pt idx="38">
                  <c:v>2008-03</c:v>
                </c:pt>
                <c:pt idx="39">
                  <c:v>2008-04</c:v>
                </c:pt>
                <c:pt idx="40">
                  <c:v>2008-05</c:v>
                </c:pt>
                <c:pt idx="41">
                  <c:v>2008-06</c:v>
                </c:pt>
                <c:pt idx="42">
                  <c:v>2008-07</c:v>
                </c:pt>
                <c:pt idx="43">
                  <c:v>2008-08</c:v>
                </c:pt>
                <c:pt idx="44">
                  <c:v>2008-09</c:v>
                </c:pt>
                <c:pt idx="45">
                  <c:v>2008-10</c:v>
                </c:pt>
                <c:pt idx="46">
                  <c:v>2008-11</c:v>
                </c:pt>
                <c:pt idx="47">
                  <c:v>2008-12</c:v>
                </c:pt>
                <c:pt idx="48">
                  <c:v>2009-01</c:v>
                </c:pt>
                <c:pt idx="49">
                  <c:v>2009-02</c:v>
                </c:pt>
                <c:pt idx="50">
                  <c:v>2009-03</c:v>
                </c:pt>
                <c:pt idx="51">
                  <c:v>2009-04</c:v>
                </c:pt>
                <c:pt idx="52">
                  <c:v>2009-05</c:v>
                </c:pt>
                <c:pt idx="53">
                  <c:v>2009-06</c:v>
                </c:pt>
                <c:pt idx="54">
                  <c:v>2009-07</c:v>
                </c:pt>
                <c:pt idx="55">
                  <c:v>2009-08</c:v>
                </c:pt>
                <c:pt idx="56">
                  <c:v>2009-09</c:v>
                </c:pt>
                <c:pt idx="57">
                  <c:v>2009-10</c:v>
                </c:pt>
                <c:pt idx="58">
                  <c:v>2009-11</c:v>
                </c:pt>
                <c:pt idx="59">
                  <c:v>2009-12</c:v>
                </c:pt>
                <c:pt idx="60">
                  <c:v>2010-01</c:v>
                </c:pt>
                <c:pt idx="61">
                  <c:v>2010-02</c:v>
                </c:pt>
                <c:pt idx="62">
                  <c:v>2010-03</c:v>
                </c:pt>
                <c:pt idx="63">
                  <c:v>2010-04</c:v>
                </c:pt>
                <c:pt idx="64">
                  <c:v>2010-05</c:v>
                </c:pt>
                <c:pt idx="65">
                  <c:v>2010-06</c:v>
                </c:pt>
                <c:pt idx="66">
                  <c:v>2010-07</c:v>
                </c:pt>
                <c:pt idx="67">
                  <c:v>2010-08</c:v>
                </c:pt>
                <c:pt idx="68">
                  <c:v>2010-09</c:v>
                </c:pt>
                <c:pt idx="69">
                  <c:v>2010-10</c:v>
                </c:pt>
                <c:pt idx="70">
                  <c:v>2010-11</c:v>
                </c:pt>
                <c:pt idx="71">
                  <c:v>2010-12</c:v>
                </c:pt>
                <c:pt idx="72">
                  <c:v>2011-01</c:v>
                </c:pt>
                <c:pt idx="73">
                  <c:v>2011-02</c:v>
                </c:pt>
                <c:pt idx="74">
                  <c:v>2011-03</c:v>
                </c:pt>
                <c:pt idx="75">
                  <c:v>2011-04</c:v>
                </c:pt>
                <c:pt idx="76">
                  <c:v>2011-05</c:v>
                </c:pt>
                <c:pt idx="77">
                  <c:v>2011-06</c:v>
                </c:pt>
                <c:pt idx="78">
                  <c:v>2011-07</c:v>
                </c:pt>
                <c:pt idx="79">
                  <c:v>2011-08</c:v>
                </c:pt>
                <c:pt idx="80">
                  <c:v>2011-09</c:v>
                </c:pt>
                <c:pt idx="81">
                  <c:v>2011-10</c:v>
                </c:pt>
                <c:pt idx="82">
                  <c:v>2011-11</c:v>
                </c:pt>
                <c:pt idx="83">
                  <c:v>2011-12</c:v>
                </c:pt>
                <c:pt idx="84">
                  <c:v>2012-01</c:v>
                </c:pt>
                <c:pt idx="85">
                  <c:v>2012-02</c:v>
                </c:pt>
                <c:pt idx="86">
                  <c:v>2012-03</c:v>
                </c:pt>
                <c:pt idx="87">
                  <c:v>2012-04</c:v>
                </c:pt>
                <c:pt idx="88">
                  <c:v>2012-05</c:v>
                </c:pt>
                <c:pt idx="89">
                  <c:v>2012-06</c:v>
                </c:pt>
                <c:pt idx="90">
                  <c:v>2012-07</c:v>
                </c:pt>
                <c:pt idx="91">
                  <c:v>2012-08</c:v>
                </c:pt>
                <c:pt idx="92">
                  <c:v>2012-09</c:v>
                </c:pt>
                <c:pt idx="93">
                  <c:v>2012-10</c:v>
                </c:pt>
                <c:pt idx="94">
                  <c:v>2012-11</c:v>
                </c:pt>
                <c:pt idx="95">
                  <c:v>2012-12</c:v>
                </c:pt>
                <c:pt idx="96">
                  <c:v>2013-01</c:v>
                </c:pt>
                <c:pt idx="97">
                  <c:v>2013-02</c:v>
                </c:pt>
                <c:pt idx="98">
                  <c:v>2013-03</c:v>
                </c:pt>
                <c:pt idx="99">
                  <c:v>2013-04</c:v>
                </c:pt>
                <c:pt idx="100">
                  <c:v>2013-05</c:v>
                </c:pt>
                <c:pt idx="101">
                  <c:v>2013-06</c:v>
                </c:pt>
                <c:pt idx="102">
                  <c:v>2013-07</c:v>
                </c:pt>
                <c:pt idx="103">
                  <c:v>2013-08</c:v>
                </c:pt>
                <c:pt idx="104">
                  <c:v>2013-09</c:v>
                </c:pt>
                <c:pt idx="105">
                  <c:v>2013-10</c:v>
                </c:pt>
                <c:pt idx="106">
                  <c:v>2013-11</c:v>
                </c:pt>
                <c:pt idx="107">
                  <c:v>2013-12</c:v>
                </c:pt>
                <c:pt idx="108">
                  <c:v>2014-01</c:v>
                </c:pt>
                <c:pt idx="109">
                  <c:v>2014-02</c:v>
                </c:pt>
                <c:pt idx="110">
                  <c:v>2014-03</c:v>
                </c:pt>
                <c:pt idx="111">
                  <c:v>2014-04</c:v>
                </c:pt>
                <c:pt idx="112">
                  <c:v>2014-05</c:v>
                </c:pt>
                <c:pt idx="113">
                  <c:v>2014-06</c:v>
                </c:pt>
                <c:pt idx="114">
                  <c:v>2014-07</c:v>
                </c:pt>
                <c:pt idx="115">
                  <c:v>2014-08</c:v>
                </c:pt>
                <c:pt idx="116">
                  <c:v>2014-09</c:v>
                </c:pt>
                <c:pt idx="117">
                  <c:v>2014-10</c:v>
                </c:pt>
                <c:pt idx="118">
                  <c:v>2014-11</c:v>
                </c:pt>
                <c:pt idx="119">
                  <c:v>2014-12</c:v>
                </c:pt>
                <c:pt idx="120">
                  <c:v>2015-01</c:v>
                </c:pt>
                <c:pt idx="121">
                  <c:v>2015-02</c:v>
                </c:pt>
                <c:pt idx="122">
                  <c:v>2015-03</c:v>
                </c:pt>
                <c:pt idx="123">
                  <c:v>2015-04</c:v>
                </c:pt>
                <c:pt idx="124">
                  <c:v>2015-05</c:v>
                </c:pt>
                <c:pt idx="125">
                  <c:v>2015-06</c:v>
                </c:pt>
                <c:pt idx="126">
                  <c:v>2015-07</c:v>
                </c:pt>
                <c:pt idx="127">
                  <c:v>2015-08</c:v>
                </c:pt>
                <c:pt idx="128">
                  <c:v>2015-09</c:v>
                </c:pt>
                <c:pt idx="129">
                  <c:v>2015-10</c:v>
                </c:pt>
                <c:pt idx="130">
                  <c:v>2015-11</c:v>
                </c:pt>
                <c:pt idx="131">
                  <c:v>2015-12</c:v>
                </c:pt>
                <c:pt idx="132">
                  <c:v>2016-01</c:v>
                </c:pt>
                <c:pt idx="133">
                  <c:v>2016-02</c:v>
                </c:pt>
                <c:pt idx="134">
                  <c:v>2016-03</c:v>
                </c:pt>
                <c:pt idx="135">
                  <c:v>2016-04</c:v>
                </c:pt>
                <c:pt idx="136">
                  <c:v>2016-05</c:v>
                </c:pt>
                <c:pt idx="137">
                  <c:v>2016-06</c:v>
                </c:pt>
                <c:pt idx="138">
                  <c:v>2016-07</c:v>
                </c:pt>
                <c:pt idx="139">
                  <c:v>2016-08</c:v>
                </c:pt>
                <c:pt idx="140">
                  <c:v>2016-09</c:v>
                </c:pt>
                <c:pt idx="141">
                  <c:v>2016-10</c:v>
                </c:pt>
                <c:pt idx="142">
                  <c:v>2016-11</c:v>
                </c:pt>
                <c:pt idx="143">
                  <c:v>2016-12</c:v>
                </c:pt>
                <c:pt idx="144">
                  <c:v>2017-01</c:v>
                </c:pt>
                <c:pt idx="145">
                  <c:v>2017-02</c:v>
                </c:pt>
                <c:pt idx="146">
                  <c:v>2017-03</c:v>
                </c:pt>
                <c:pt idx="147">
                  <c:v>2017-04</c:v>
                </c:pt>
                <c:pt idx="148">
                  <c:v>2017-05</c:v>
                </c:pt>
                <c:pt idx="149">
                  <c:v>2017-06</c:v>
                </c:pt>
                <c:pt idx="150">
                  <c:v>2017-07</c:v>
                </c:pt>
                <c:pt idx="151">
                  <c:v>2017-08</c:v>
                </c:pt>
                <c:pt idx="152">
                  <c:v>2017-09</c:v>
                </c:pt>
                <c:pt idx="153">
                  <c:v>2017-10</c:v>
                </c:pt>
                <c:pt idx="154">
                  <c:v>2017-11</c:v>
                </c:pt>
                <c:pt idx="155">
                  <c:v>2017-12</c:v>
                </c:pt>
                <c:pt idx="156">
                  <c:v>2018-01</c:v>
                </c:pt>
                <c:pt idx="157">
                  <c:v>2018-02</c:v>
                </c:pt>
                <c:pt idx="158">
                  <c:v>2018-03</c:v>
                </c:pt>
                <c:pt idx="159">
                  <c:v>2018-04</c:v>
                </c:pt>
                <c:pt idx="160">
                  <c:v>2018-05</c:v>
                </c:pt>
                <c:pt idx="161">
                  <c:v>2018-06</c:v>
                </c:pt>
                <c:pt idx="162">
                  <c:v>2018-07</c:v>
                </c:pt>
                <c:pt idx="163">
                  <c:v>2018-08</c:v>
                </c:pt>
                <c:pt idx="164">
                  <c:v>2018-09</c:v>
                </c:pt>
                <c:pt idx="165">
                  <c:v>2018-10</c:v>
                </c:pt>
                <c:pt idx="166">
                  <c:v>2018-11</c:v>
                </c:pt>
                <c:pt idx="167">
                  <c:v>2018-12</c:v>
                </c:pt>
                <c:pt idx="168">
                  <c:v>2019-01</c:v>
                </c:pt>
                <c:pt idx="169">
                  <c:v>2019-02</c:v>
                </c:pt>
                <c:pt idx="170">
                  <c:v>2019-03</c:v>
                </c:pt>
                <c:pt idx="171">
                  <c:v>2019-04</c:v>
                </c:pt>
                <c:pt idx="172">
                  <c:v>2019-05</c:v>
                </c:pt>
                <c:pt idx="173">
                  <c:v>2019-06</c:v>
                </c:pt>
                <c:pt idx="174">
                  <c:v>2019-07</c:v>
                </c:pt>
                <c:pt idx="175">
                  <c:v>2019-08</c:v>
                </c:pt>
                <c:pt idx="176">
                  <c:v>2019-09</c:v>
                </c:pt>
                <c:pt idx="177">
                  <c:v>2019-10</c:v>
                </c:pt>
                <c:pt idx="178">
                  <c:v>2019-11</c:v>
                </c:pt>
                <c:pt idx="179">
                  <c:v>2019-12</c:v>
                </c:pt>
                <c:pt idx="180">
                  <c:v>2020-01</c:v>
                </c:pt>
                <c:pt idx="181">
                  <c:v>2020-02</c:v>
                </c:pt>
                <c:pt idx="182">
                  <c:v>2020-03</c:v>
                </c:pt>
                <c:pt idx="183">
                  <c:v>2020-04</c:v>
                </c:pt>
                <c:pt idx="184">
                  <c:v>2020-05</c:v>
                </c:pt>
                <c:pt idx="185">
                  <c:v>2020-06</c:v>
                </c:pt>
                <c:pt idx="186">
                  <c:v>2020-07</c:v>
                </c:pt>
                <c:pt idx="187">
                  <c:v>2020-08</c:v>
                </c:pt>
                <c:pt idx="188">
                  <c:v>2020-09</c:v>
                </c:pt>
                <c:pt idx="189">
                  <c:v>2020-10</c:v>
                </c:pt>
                <c:pt idx="190">
                  <c:v>2020-11</c:v>
                </c:pt>
                <c:pt idx="191">
                  <c:v>2020-12</c:v>
                </c:pt>
                <c:pt idx="192">
                  <c:v>2021-01</c:v>
                </c:pt>
                <c:pt idx="193">
                  <c:v>2021-02</c:v>
                </c:pt>
                <c:pt idx="194">
                  <c:v>2021-03</c:v>
                </c:pt>
                <c:pt idx="195">
                  <c:v>2021-04</c:v>
                </c:pt>
                <c:pt idx="196">
                  <c:v>2021-05</c:v>
                </c:pt>
                <c:pt idx="197">
                  <c:v>2021-06</c:v>
                </c:pt>
                <c:pt idx="198">
                  <c:v>2021-07</c:v>
                </c:pt>
              </c:strCache>
            </c:strRef>
          </c:cat>
          <c:val>
            <c:numRef>
              <c:f>Sheet1!$B$2:$B$338</c:f>
              <c:numCache>
                <c:formatCode>General</c:formatCode>
                <c:ptCount val="199"/>
                <c:pt idx="0">
                  <c:v>18</c:v>
                </c:pt>
                <c:pt idx="1">
                  <c:v>13.7</c:v>
                </c:pt>
                <c:pt idx="2">
                  <c:v>21.6</c:v>
                </c:pt>
                <c:pt idx="3">
                  <c:v>18.3</c:v>
                </c:pt>
                <c:pt idx="4">
                  <c:v>18</c:v>
                </c:pt>
                <c:pt idx="5">
                  <c:v>17</c:v>
                </c:pt>
                <c:pt idx="6">
                  <c:v>19</c:v>
                </c:pt>
                <c:pt idx="7">
                  <c:v>20.8</c:v>
                </c:pt>
                <c:pt idx="8">
                  <c:v>28.9</c:v>
                </c:pt>
                <c:pt idx="9">
                  <c:v>23.3</c:v>
                </c:pt>
                <c:pt idx="10">
                  <c:v>29.3</c:v>
                </c:pt>
                <c:pt idx="11">
                  <c:v>20.9</c:v>
                </c:pt>
                <c:pt idx="12">
                  <c:v>22.9</c:v>
                </c:pt>
                <c:pt idx="13">
                  <c:v>21.5</c:v>
                </c:pt>
                <c:pt idx="14">
                  <c:v>21.3</c:v>
                </c:pt>
                <c:pt idx="15">
                  <c:v>21.6</c:v>
                </c:pt>
                <c:pt idx="16">
                  <c:v>25.3</c:v>
                </c:pt>
                <c:pt idx="17">
                  <c:v>23.3</c:v>
                </c:pt>
                <c:pt idx="18">
                  <c:v>23.9</c:v>
                </c:pt>
                <c:pt idx="19">
                  <c:v>25.8</c:v>
                </c:pt>
                <c:pt idx="20">
                  <c:v>20.6</c:v>
                </c:pt>
                <c:pt idx="21">
                  <c:v>24</c:v>
                </c:pt>
                <c:pt idx="22">
                  <c:v>26.6</c:v>
                </c:pt>
                <c:pt idx="23">
                  <c:v>34.5</c:v>
                </c:pt>
                <c:pt idx="24">
                  <c:v>29.9</c:v>
                </c:pt>
                <c:pt idx="25">
                  <c:v>27.6</c:v>
                </c:pt>
                <c:pt idx="26">
                  <c:v>32.5</c:v>
                </c:pt>
                <c:pt idx="27">
                  <c:v>28</c:v>
                </c:pt>
                <c:pt idx="28">
                  <c:v>22.4</c:v>
                </c:pt>
                <c:pt idx="29">
                  <c:v>20.8</c:v>
                </c:pt>
                <c:pt idx="30">
                  <c:v>19.100000000000001</c:v>
                </c:pt>
                <c:pt idx="31">
                  <c:v>21.9</c:v>
                </c:pt>
                <c:pt idx="32">
                  <c:v>28</c:v>
                </c:pt>
                <c:pt idx="33">
                  <c:v>23.6</c:v>
                </c:pt>
                <c:pt idx="34">
                  <c:v>19.2</c:v>
                </c:pt>
                <c:pt idx="35">
                  <c:v>16.399999999999999</c:v>
                </c:pt>
                <c:pt idx="36">
                  <c:v>6.7</c:v>
                </c:pt>
                <c:pt idx="37">
                  <c:v>6</c:v>
                </c:pt>
                <c:pt idx="38">
                  <c:v>-4.7</c:v>
                </c:pt>
                <c:pt idx="39">
                  <c:v>-17.899999999999999</c:v>
                </c:pt>
                <c:pt idx="40">
                  <c:v>-17.5</c:v>
                </c:pt>
                <c:pt idx="41">
                  <c:v>-19.3</c:v>
                </c:pt>
                <c:pt idx="42">
                  <c:v>-20</c:v>
                </c:pt>
                <c:pt idx="43">
                  <c:v>-27.6</c:v>
                </c:pt>
                <c:pt idx="44">
                  <c:v>-29.7</c:v>
                </c:pt>
                <c:pt idx="45">
                  <c:v>-28.4</c:v>
                </c:pt>
                <c:pt idx="46">
                  <c:v>-34.5</c:v>
                </c:pt>
                <c:pt idx="47">
                  <c:v>-41.7</c:v>
                </c:pt>
                <c:pt idx="48">
                  <c:v>-52.7</c:v>
                </c:pt>
                <c:pt idx="49">
                  <c:v>-64.900000000000006</c:v>
                </c:pt>
                <c:pt idx="50">
                  <c:v>-72.5</c:v>
                </c:pt>
                <c:pt idx="51">
                  <c:v>-70</c:v>
                </c:pt>
                <c:pt idx="52">
                  <c:v>-74.400000000000006</c:v>
                </c:pt>
                <c:pt idx="53">
                  <c:v>-68.5</c:v>
                </c:pt>
                <c:pt idx="54">
                  <c:v>-68.5</c:v>
                </c:pt>
                <c:pt idx="55">
                  <c:v>-62.6</c:v>
                </c:pt>
                <c:pt idx="56">
                  <c:v>-52.6</c:v>
                </c:pt>
                <c:pt idx="57">
                  <c:v>-50.4</c:v>
                </c:pt>
                <c:pt idx="58">
                  <c:v>-49.6</c:v>
                </c:pt>
                <c:pt idx="59">
                  <c:v>-45.1</c:v>
                </c:pt>
                <c:pt idx="60">
                  <c:v>-46.3</c:v>
                </c:pt>
                <c:pt idx="61">
                  <c:v>-46.1</c:v>
                </c:pt>
                <c:pt idx="62">
                  <c:v>-43.6</c:v>
                </c:pt>
                <c:pt idx="63">
                  <c:v>-33.6</c:v>
                </c:pt>
                <c:pt idx="64">
                  <c:v>-30.3</c:v>
                </c:pt>
                <c:pt idx="65">
                  <c:v>-21.9</c:v>
                </c:pt>
                <c:pt idx="66">
                  <c:v>-22.3</c:v>
                </c:pt>
                <c:pt idx="67">
                  <c:v>-22.1</c:v>
                </c:pt>
                <c:pt idx="68">
                  <c:v>-21.7</c:v>
                </c:pt>
                <c:pt idx="69">
                  <c:v>-1.2</c:v>
                </c:pt>
                <c:pt idx="70">
                  <c:v>-19.600000000000001</c:v>
                </c:pt>
                <c:pt idx="71">
                  <c:v>-16.2</c:v>
                </c:pt>
                <c:pt idx="72">
                  <c:v>-16.7</c:v>
                </c:pt>
                <c:pt idx="73">
                  <c:v>-12.7</c:v>
                </c:pt>
                <c:pt idx="74">
                  <c:v>1.4</c:v>
                </c:pt>
                <c:pt idx="75">
                  <c:v>3.9</c:v>
                </c:pt>
                <c:pt idx="76">
                  <c:v>2</c:v>
                </c:pt>
                <c:pt idx="77">
                  <c:v>4.5999999999999996</c:v>
                </c:pt>
                <c:pt idx="78">
                  <c:v>6.9</c:v>
                </c:pt>
                <c:pt idx="79">
                  <c:v>3.4</c:v>
                </c:pt>
                <c:pt idx="80">
                  <c:v>-5.8</c:v>
                </c:pt>
                <c:pt idx="81">
                  <c:v>-6.6</c:v>
                </c:pt>
                <c:pt idx="82">
                  <c:v>8.3000000000000007</c:v>
                </c:pt>
                <c:pt idx="83">
                  <c:v>-3.9</c:v>
                </c:pt>
                <c:pt idx="84">
                  <c:v>-7.4</c:v>
                </c:pt>
                <c:pt idx="85">
                  <c:v>0.9</c:v>
                </c:pt>
                <c:pt idx="86">
                  <c:v>11.9</c:v>
                </c:pt>
                <c:pt idx="87">
                  <c:v>14.6</c:v>
                </c:pt>
                <c:pt idx="88">
                  <c:v>11.1</c:v>
                </c:pt>
                <c:pt idx="89">
                  <c:v>8.1999999999999993</c:v>
                </c:pt>
                <c:pt idx="90">
                  <c:v>3.8</c:v>
                </c:pt>
                <c:pt idx="91">
                  <c:v>3.2</c:v>
                </c:pt>
                <c:pt idx="92">
                  <c:v>0.4</c:v>
                </c:pt>
                <c:pt idx="93">
                  <c:v>-12.7</c:v>
                </c:pt>
                <c:pt idx="94">
                  <c:v>-13.4</c:v>
                </c:pt>
                <c:pt idx="95">
                  <c:v>-7.7</c:v>
                </c:pt>
                <c:pt idx="96">
                  <c:v>-1</c:v>
                </c:pt>
                <c:pt idx="97">
                  <c:v>5.6</c:v>
                </c:pt>
                <c:pt idx="98">
                  <c:v>-0.1</c:v>
                </c:pt>
                <c:pt idx="99">
                  <c:v>0.6</c:v>
                </c:pt>
                <c:pt idx="100">
                  <c:v>2.5</c:v>
                </c:pt>
                <c:pt idx="101">
                  <c:v>0.2</c:v>
                </c:pt>
                <c:pt idx="102">
                  <c:v>2.6</c:v>
                </c:pt>
                <c:pt idx="103">
                  <c:v>-3.6</c:v>
                </c:pt>
                <c:pt idx="104">
                  <c:v>-2.9</c:v>
                </c:pt>
                <c:pt idx="105">
                  <c:v>-6.9</c:v>
                </c:pt>
                <c:pt idx="106">
                  <c:v>-6.7</c:v>
                </c:pt>
                <c:pt idx="107">
                  <c:v>-4.4000000000000004</c:v>
                </c:pt>
                <c:pt idx="108">
                  <c:v>-0.5</c:v>
                </c:pt>
                <c:pt idx="109">
                  <c:v>0.1</c:v>
                </c:pt>
                <c:pt idx="110">
                  <c:v>1.6</c:v>
                </c:pt>
                <c:pt idx="111">
                  <c:v>-0.2</c:v>
                </c:pt>
                <c:pt idx="112">
                  <c:v>-2</c:v>
                </c:pt>
                <c:pt idx="113">
                  <c:v>-9.6</c:v>
                </c:pt>
                <c:pt idx="114">
                  <c:v>-8.4</c:v>
                </c:pt>
                <c:pt idx="115">
                  <c:v>-7.7</c:v>
                </c:pt>
                <c:pt idx="116">
                  <c:v>-5.8</c:v>
                </c:pt>
                <c:pt idx="117">
                  <c:v>-10.5</c:v>
                </c:pt>
                <c:pt idx="118">
                  <c:v>-11.3</c:v>
                </c:pt>
                <c:pt idx="119">
                  <c:v>-10.1</c:v>
                </c:pt>
                <c:pt idx="120">
                  <c:v>-6.2</c:v>
                </c:pt>
                <c:pt idx="121">
                  <c:v>-7.4</c:v>
                </c:pt>
                <c:pt idx="122">
                  <c:v>-9.8000000000000007</c:v>
                </c:pt>
                <c:pt idx="123">
                  <c:v>-8.5</c:v>
                </c:pt>
                <c:pt idx="124">
                  <c:v>-12.5</c:v>
                </c:pt>
                <c:pt idx="125">
                  <c:v>-12</c:v>
                </c:pt>
                <c:pt idx="126">
                  <c:v>-15.1</c:v>
                </c:pt>
                <c:pt idx="127">
                  <c:v>-15.9</c:v>
                </c:pt>
                <c:pt idx="128">
                  <c:v>-22.4</c:v>
                </c:pt>
                <c:pt idx="129">
                  <c:v>-18.399999999999999</c:v>
                </c:pt>
                <c:pt idx="130">
                  <c:v>-16.8</c:v>
                </c:pt>
                <c:pt idx="131">
                  <c:v>-13.4</c:v>
                </c:pt>
                <c:pt idx="132">
                  <c:v>-10.8</c:v>
                </c:pt>
                <c:pt idx="133">
                  <c:v>-18.100000000000001</c:v>
                </c:pt>
                <c:pt idx="134">
                  <c:v>-18.7</c:v>
                </c:pt>
                <c:pt idx="135">
                  <c:v>-22.3</c:v>
                </c:pt>
                <c:pt idx="136">
                  <c:v>-23</c:v>
                </c:pt>
                <c:pt idx="137">
                  <c:v>-20.399999999999999</c:v>
                </c:pt>
                <c:pt idx="138">
                  <c:v>-18.100000000000001</c:v>
                </c:pt>
                <c:pt idx="139">
                  <c:v>-14.1</c:v>
                </c:pt>
                <c:pt idx="140">
                  <c:v>-9.4</c:v>
                </c:pt>
                <c:pt idx="141">
                  <c:v>-8.6</c:v>
                </c:pt>
                <c:pt idx="142">
                  <c:v>-4.8</c:v>
                </c:pt>
                <c:pt idx="143">
                  <c:v>-4.4000000000000004</c:v>
                </c:pt>
                <c:pt idx="144">
                  <c:v>-0.1</c:v>
                </c:pt>
                <c:pt idx="145">
                  <c:v>5</c:v>
                </c:pt>
                <c:pt idx="146">
                  <c:v>-1</c:v>
                </c:pt>
                <c:pt idx="147">
                  <c:v>0.6</c:v>
                </c:pt>
                <c:pt idx="148">
                  <c:v>3.5</c:v>
                </c:pt>
                <c:pt idx="149">
                  <c:v>1.9</c:v>
                </c:pt>
                <c:pt idx="150">
                  <c:v>2.2000000000000002</c:v>
                </c:pt>
                <c:pt idx="151">
                  <c:v>0.8</c:v>
                </c:pt>
                <c:pt idx="152">
                  <c:v>3.7</c:v>
                </c:pt>
                <c:pt idx="153">
                  <c:v>4.5999999999999996</c:v>
                </c:pt>
                <c:pt idx="154">
                  <c:v>6.4</c:v>
                </c:pt>
                <c:pt idx="155">
                  <c:v>11.7</c:v>
                </c:pt>
                <c:pt idx="156">
                  <c:v>10.4</c:v>
                </c:pt>
                <c:pt idx="157">
                  <c:v>7.4</c:v>
                </c:pt>
                <c:pt idx="158">
                  <c:v>5.2</c:v>
                </c:pt>
                <c:pt idx="159">
                  <c:v>6</c:v>
                </c:pt>
                <c:pt idx="160">
                  <c:v>7.6</c:v>
                </c:pt>
                <c:pt idx="161">
                  <c:v>6.9</c:v>
                </c:pt>
                <c:pt idx="162">
                  <c:v>6.3</c:v>
                </c:pt>
                <c:pt idx="163">
                  <c:v>10.199999999999999</c:v>
                </c:pt>
                <c:pt idx="164">
                  <c:v>8.4</c:v>
                </c:pt>
                <c:pt idx="165">
                  <c:v>11.8</c:v>
                </c:pt>
                <c:pt idx="166">
                  <c:v>7.8</c:v>
                </c:pt>
                <c:pt idx="167">
                  <c:v>9.5</c:v>
                </c:pt>
                <c:pt idx="168">
                  <c:v>7.3</c:v>
                </c:pt>
                <c:pt idx="169">
                  <c:v>5.8</c:v>
                </c:pt>
                <c:pt idx="170">
                  <c:v>12.2</c:v>
                </c:pt>
                <c:pt idx="171">
                  <c:v>8.1999999999999993</c:v>
                </c:pt>
                <c:pt idx="172">
                  <c:v>3.9</c:v>
                </c:pt>
                <c:pt idx="173">
                  <c:v>3.7</c:v>
                </c:pt>
                <c:pt idx="174">
                  <c:v>-2.1</c:v>
                </c:pt>
                <c:pt idx="175">
                  <c:v>-1.5</c:v>
                </c:pt>
                <c:pt idx="176">
                  <c:v>-0.7</c:v>
                </c:pt>
                <c:pt idx="177">
                  <c:v>-3.7</c:v>
                </c:pt>
                <c:pt idx="178">
                  <c:v>0.1</c:v>
                </c:pt>
                <c:pt idx="179">
                  <c:v>1.2</c:v>
                </c:pt>
                <c:pt idx="180">
                  <c:v>0.1</c:v>
                </c:pt>
                <c:pt idx="181">
                  <c:v>0.4</c:v>
                </c:pt>
                <c:pt idx="182">
                  <c:v>-14.7</c:v>
                </c:pt>
                <c:pt idx="183">
                  <c:v>-31.9</c:v>
                </c:pt>
                <c:pt idx="184">
                  <c:v>-24.3</c:v>
                </c:pt>
                <c:pt idx="185">
                  <c:v>-13.1</c:v>
                </c:pt>
                <c:pt idx="186">
                  <c:v>-15.2</c:v>
                </c:pt>
                <c:pt idx="187">
                  <c:v>-6.3</c:v>
                </c:pt>
                <c:pt idx="188">
                  <c:v>-5.9</c:v>
                </c:pt>
                <c:pt idx="189">
                  <c:v>-8.1</c:v>
                </c:pt>
                <c:pt idx="190">
                  <c:v>-12</c:v>
                </c:pt>
                <c:pt idx="191">
                  <c:v>-11.5</c:v>
                </c:pt>
                <c:pt idx="192">
                  <c:v>-12.1</c:v>
                </c:pt>
                <c:pt idx="193">
                  <c:v>-10.4</c:v>
                </c:pt>
                <c:pt idx="194">
                  <c:v>-7.1</c:v>
                </c:pt>
                <c:pt idx="195">
                  <c:v>2</c:v>
                </c:pt>
                <c:pt idx="196">
                  <c:v>2.6</c:v>
                </c:pt>
                <c:pt idx="197">
                  <c:v>2.2000000000000002</c:v>
                </c:pt>
                <c:pt idx="198">
                  <c:v>6.8</c:v>
                </c:pt>
              </c:numCache>
            </c:numRef>
          </c:val>
          <c:smooth val="0"/>
          <c:extLst>
            <c:ext xmlns:c16="http://schemas.microsoft.com/office/drawing/2014/chart" uri="{C3380CC4-5D6E-409C-BE32-E72D297353CC}">
              <c16:uniqueId val="{00000000-CD18-4B76-A1F2-CDD7DA169664}"/>
            </c:ext>
          </c:extLst>
        </c:ser>
        <c:ser>
          <c:idx val="1"/>
          <c:order val="1"/>
          <c:tx>
            <c:strRef>
              <c:f>Sheet1!$C$1</c:f>
              <c:strCache>
                <c:ptCount val="1"/>
                <c:pt idx="0">
                  <c:v>Būvniecības nozares konfidences rādītājs</c:v>
                </c:pt>
              </c:strCache>
            </c:strRef>
          </c:tx>
          <c:spPr>
            <a:ln w="28575" cap="rnd">
              <a:solidFill>
                <a:schemeClr val="accent5">
                  <a:lumMod val="50000"/>
                </a:schemeClr>
              </a:solidFill>
              <a:round/>
            </a:ln>
            <a:effectLst/>
          </c:spPr>
          <c:marker>
            <c:symbol val="none"/>
          </c:marker>
          <c:cat>
            <c:strRef>
              <c:f>Sheet1!$A$2:$A$338</c:f>
              <c:strCache>
                <c:ptCount val="199"/>
                <c:pt idx="0">
                  <c:v>2005-01</c:v>
                </c:pt>
                <c:pt idx="1">
                  <c:v>2005-02</c:v>
                </c:pt>
                <c:pt idx="2">
                  <c:v>2005-03</c:v>
                </c:pt>
                <c:pt idx="3">
                  <c:v>2005-04</c:v>
                </c:pt>
                <c:pt idx="4">
                  <c:v>2005-05</c:v>
                </c:pt>
                <c:pt idx="5">
                  <c:v>2005-06</c:v>
                </c:pt>
                <c:pt idx="6">
                  <c:v>2005-07</c:v>
                </c:pt>
                <c:pt idx="7">
                  <c:v>2005-08</c:v>
                </c:pt>
                <c:pt idx="8">
                  <c:v>2005-09</c:v>
                </c:pt>
                <c:pt idx="9">
                  <c:v>2005-10</c:v>
                </c:pt>
                <c:pt idx="10">
                  <c:v>2005-11</c:v>
                </c:pt>
                <c:pt idx="11">
                  <c:v>2005-12</c:v>
                </c:pt>
                <c:pt idx="12">
                  <c:v>2006-01</c:v>
                </c:pt>
                <c:pt idx="13">
                  <c:v>2006-02</c:v>
                </c:pt>
                <c:pt idx="14">
                  <c:v>2006-03</c:v>
                </c:pt>
                <c:pt idx="15">
                  <c:v>2006-04</c:v>
                </c:pt>
                <c:pt idx="16">
                  <c:v>2006-05</c:v>
                </c:pt>
                <c:pt idx="17">
                  <c:v>2006-06</c:v>
                </c:pt>
                <c:pt idx="18">
                  <c:v>2006-07</c:v>
                </c:pt>
                <c:pt idx="19">
                  <c:v>2006-08</c:v>
                </c:pt>
                <c:pt idx="20">
                  <c:v>2006-09</c:v>
                </c:pt>
                <c:pt idx="21">
                  <c:v>2006-10</c:v>
                </c:pt>
                <c:pt idx="22">
                  <c:v>2006-11</c:v>
                </c:pt>
                <c:pt idx="23">
                  <c:v>2006-12</c:v>
                </c:pt>
                <c:pt idx="24">
                  <c:v>2007-01</c:v>
                </c:pt>
                <c:pt idx="25">
                  <c:v>2007-02</c:v>
                </c:pt>
                <c:pt idx="26">
                  <c:v>2007-03</c:v>
                </c:pt>
                <c:pt idx="27">
                  <c:v>2007-04</c:v>
                </c:pt>
                <c:pt idx="28">
                  <c:v>2007-05</c:v>
                </c:pt>
                <c:pt idx="29">
                  <c:v>2007-06</c:v>
                </c:pt>
                <c:pt idx="30">
                  <c:v>2007-07</c:v>
                </c:pt>
                <c:pt idx="31">
                  <c:v>2007-08</c:v>
                </c:pt>
                <c:pt idx="32">
                  <c:v>2007-09</c:v>
                </c:pt>
                <c:pt idx="33">
                  <c:v>2007-10</c:v>
                </c:pt>
                <c:pt idx="34">
                  <c:v>2007-11</c:v>
                </c:pt>
                <c:pt idx="35">
                  <c:v>2007-12</c:v>
                </c:pt>
                <c:pt idx="36">
                  <c:v>2008-01</c:v>
                </c:pt>
                <c:pt idx="37">
                  <c:v>2008-02</c:v>
                </c:pt>
                <c:pt idx="38">
                  <c:v>2008-03</c:v>
                </c:pt>
                <c:pt idx="39">
                  <c:v>2008-04</c:v>
                </c:pt>
                <c:pt idx="40">
                  <c:v>2008-05</c:v>
                </c:pt>
                <c:pt idx="41">
                  <c:v>2008-06</c:v>
                </c:pt>
                <c:pt idx="42">
                  <c:v>2008-07</c:v>
                </c:pt>
                <c:pt idx="43">
                  <c:v>2008-08</c:v>
                </c:pt>
                <c:pt idx="44">
                  <c:v>2008-09</c:v>
                </c:pt>
                <c:pt idx="45">
                  <c:v>2008-10</c:v>
                </c:pt>
                <c:pt idx="46">
                  <c:v>2008-11</c:v>
                </c:pt>
                <c:pt idx="47">
                  <c:v>2008-12</c:v>
                </c:pt>
                <c:pt idx="48">
                  <c:v>2009-01</c:v>
                </c:pt>
                <c:pt idx="49">
                  <c:v>2009-02</c:v>
                </c:pt>
                <c:pt idx="50">
                  <c:v>2009-03</c:v>
                </c:pt>
                <c:pt idx="51">
                  <c:v>2009-04</c:v>
                </c:pt>
                <c:pt idx="52">
                  <c:v>2009-05</c:v>
                </c:pt>
                <c:pt idx="53">
                  <c:v>2009-06</c:v>
                </c:pt>
                <c:pt idx="54">
                  <c:v>2009-07</c:v>
                </c:pt>
                <c:pt idx="55">
                  <c:v>2009-08</c:v>
                </c:pt>
                <c:pt idx="56">
                  <c:v>2009-09</c:v>
                </c:pt>
                <c:pt idx="57">
                  <c:v>2009-10</c:v>
                </c:pt>
                <c:pt idx="58">
                  <c:v>2009-11</c:v>
                </c:pt>
                <c:pt idx="59">
                  <c:v>2009-12</c:v>
                </c:pt>
                <c:pt idx="60">
                  <c:v>2010-01</c:v>
                </c:pt>
                <c:pt idx="61">
                  <c:v>2010-02</c:v>
                </c:pt>
                <c:pt idx="62">
                  <c:v>2010-03</c:v>
                </c:pt>
                <c:pt idx="63">
                  <c:v>2010-04</c:v>
                </c:pt>
                <c:pt idx="64">
                  <c:v>2010-05</c:v>
                </c:pt>
                <c:pt idx="65">
                  <c:v>2010-06</c:v>
                </c:pt>
                <c:pt idx="66">
                  <c:v>2010-07</c:v>
                </c:pt>
                <c:pt idx="67">
                  <c:v>2010-08</c:v>
                </c:pt>
                <c:pt idx="68">
                  <c:v>2010-09</c:v>
                </c:pt>
                <c:pt idx="69">
                  <c:v>2010-10</c:v>
                </c:pt>
                <c:pt idx="70">
                  <c:v>2010-11</c:v>
                </c:pt>
                <c:pt idx="71">
                  <c:v>2010-12</c:v>
                </c:pt>
                <c:pt idx="72">
                  <c:v>2011-01</c:v>
                </c:pt>
                <c:pt idx="73">
                  <c:v>2011-02</c:v>
                </c:pt>
                <c:pt idx="74">
                  <c:v>2011-03</c:v>
                </c:pt>
                <c:pt idx="75">
                  <c:v>2011-04</c:v>
                </c:pt>
                <c:pt idx="76">
                  <c:v>2011-05</c:v>
                </c:pt>
                <c:pt idx="77">
                  <c:v>2011-06</c:v>
                </c:pt>
                <c:pt idx="78">
                  <c:v>2011-07</c:v>
                </c:pt>
                <c:pt idx="79">
                  <c:v>2011-08</c:v>
                </c:pt>
                <c:pt idx="80">
                  <c:v>2011-09</c:v>
                </c:pt>
                <c:pt idx="81">
                  <c:v>2011-10</c:v>
                </c:pt>
                <c:pt idx="82">
                  <c:v>2011-11</c:v>
                </c:pt>
                <c:pt idx="83">
                  <c:v>2011-12</c:v>
                </c:pt>
                <c:pt idx="84">
                  <c:v>2012-01</c:v>
                </c:pt>
                <c:pt idx="85">
                  <c:v>2012-02</c:v>
                </c:pt>
                <c:pt idx="86">
                  <c:v>2012-03</c:v>
                </c:pt>
                <c:pt idx="87">
                  <c:v>2012-04</c:v>
                </c:pt>
                <c:pt idx="88">
                  <c:v>2012-05</c:v>
                </c:pt>
                <c:pt idx="89">
                  <c:v>2012-06</c:v>
                </c:pt>
                <c:pt idx="90">
                  <c:v>2012-07</c:v>
                </c:pt>
                <c:pt idx="91">
                  <c:v>2012-08</c:v>
                </c:pt>
                <c:pt idx="92">
                  <c:v>2012-09</c:v>
                </c:pt>
                <c:pt idx="93">
                  <c:v>2012-10</c:v>
                </c:pt>
                <c:pt idx="94">
                  <c:v>2012-11</c:v>
                </c:pt>
                <c:pt idx="95">
                  <c:v>2012-12</c:v>
                </c:pt>
                <c:pt idx="96">
                  <c:v>2013-01</c:v>
                </c:pt>
                <c:pt idx="97">
                  <c:v>2013-02</c:v>
                </c:pt>
                <c:pt idx="98">
                  <c:v>2013-03</c:v>
                </c:pt>
                <c:pt idx="99">
                  <c:v>2013-04</c:v>
                </c:pt>
                <c:pt idx="100">
                  <c:v>2013-05</c:v>
                </c:pt>
                <c:pt idx="101">
                  <c:v>2013-06</c:v>
                </c:pt>
                <c:pt idx="102">
                  <c:v>2013-07</c:v>
                </c:pt>
                <c:pt idx="103">
                  <c:v>2013-08</c:v>
                </c:pt>
                <c:pt idx="104">
                  <c:v>2013-09</c:v>
                </c:pt>
                <c:pt idx="105">
                  <c:v>2013-10</c:v>
                </c:pt>
                <c:pt idx="106">
                  <c:v>2013-11</c:v>
                </c:pt>
                <c:pt idx="107">
                  <c:v>2013-12</c:v>
                </c:pt>
                <c:pt idx="108">
                  <c:v>2014-01</c:v>
                </c:pt>
                <c:pt idx="109">
                  <c:v>2014-02</c:v>
                </c:pt>
                <c:pt idx="110">
                  <c:v>2014-03</c:v>
                </c:pt>
                <c:pt idx="111">
                  <c:v>2014-04</c:v>
                </c:pt>
                <c:pt idx="112">
                  <c:v>2014-05</c:v>
                </c:pt>
                <c:pt idx="113">
                  <c:v>2014-06</c:v>
                </c:pt>
                <c:pt idx="114">
                  <c:v>2014-07</c:v>
                </c:pt>
                <c:pt idx="115">
                  <c:v>2014-08</c:v>
                </c:pt>
                <c:pt idx="116">
                  <c:v>2014-09</c:v>
                </c:pt>
                <c:pt idx="117">
                  <c:v>2014-10</c:v>
                </c:pt>
                <c:pt idx="118">
                  <c:v>2014-11</c:v>
                </c:pt>
                <c:pt idx="119">
                  <c:v>2014-12</c:v>
                </c:pt>
                <c:pt idx="120">
                  <c:v>2015-01</c:v>
                </c:pt>
                <c:pt idx="121">
                  <c:v>2015-02</c:v>
                </c:pt>
                <c:pt idx="122">
                  <c:v>2015-03</c:v>
                </c:pt>
                <c:pt idx="123">
                  <c:v>2015-04</c:v>
                </c:pt>
                <c:pt idx="124">
                  <c:v>2015-05</c:v>
                </c:pt>
                <c:pt idx="125">
                  <c:v>2015-06</c:v>
                </c:pt>
                <c:pt idx="126">
                  <c:v>2015-07</c:v>
                </c:pt>
                <c:pt idx="127">
                  <c:v>2015-08</c:v>
                </c:pt>
                <c:pt idx="128">
                  <c:v>2015-09</c:v>
                </c:pt>
                <c:pt idx="129">
                  <c:v>2015-10</c:v>
                </c:pt>
                <c:pt idx="130">
                  <c:v>2015-11</c:v>
                </c:pt>
                <c:pt idx="131">
                  <c:v>2015-12</c:v>
                </c:pt>
                <c:pt idx="132">
                  <c:v>2016-01</c:v>
                </c:pt>
                <c:pt idx="133">
                  <c:v>2016-02</c:v>
                </c:pt>
                <c:pt idx="134">
                  <c:v>2016-03</c:v>
                </c:pt>
                <c:pt idx="135">
                  <c:v>2016-04</c:v>
                </c:pt>
                <c:pt idx="136">
                  <c:v>2016-05</c:v>
                </c:pt>
                <c:pt idx="137">
                  <c:v>2016-06</c:v>
                </c:pt>
                <c:pt idx="138">
                  <c:v>2016-07</c:v>
                </c:pt>
                <c:pt idx="139">
                  <c:v>2016-08</c:v>
                </c:pt>
                <c:pt idx="140">
                  <c:v>2016-09</c:v>
                </c:pt>
                <c:pt idx="141">
                  <c:v>2016-10</c:v>
                </c:pt>
                <c:pt idx="142">
                  <c:v>2016-11</c:v>
                </c:pt>
                <c:pt idx="143">
                  <c:v>2016-12</c:v>
                </c:pt>
                <c:pt idx="144">
                  <c:v>2017-01</c:v>
                </c:pt>
                <c:pt idx="145">
                  <c:v>2017-02</c:v>
                </c:pt>
                <c:pt idx="146">
                  <c:v>2017-03</c:v>
                </c:pt>
                <c:pt idx="147">
                  <c:v>2017-04</c:v>
                </c:pt>
                <c:pt idx="148">
                  <c:v>2017-05</c:v>
                </c:pt>
                <c:pt idx="149">
                  <c:v>2017-06</c:v>
                </c:pt>
                <c:pt idx="150">
                  <c:v>2017-07</c:v>
                </c:pt>
                <c:pt idx="151">
                  <c:v>2017-08</c:v>
                </c:pt>
                <c:pt idx="152">
                  <c:v>2017-09</c:v>
                </c:pt>
                <c:pt idx="153">
                  <c:v>2017-10</c:v>
                </c:pt>
                <c:pt idx="154">
                  <c:v>2017-11</c:v>
                </c:pt>
                <c:pt idx="155">
                  <c:v>2017-12</c:v>
                </c:pt>
                <c:pt idx="156">
                  <c:v>2018-01</c:v>
                </c:pt>
                <c:pt idx="157">
                  <c:v>2018-02</c:v>
                </c:pt>
                <c:pt idx="158">
                  <c:v>2018-03</c:v>
                </c:pt>
                <c:pt idx="159">
                  <c:v>2018-04</c:v>
                </c:pt>
                <c:pt idx="160">
                  <c:v>2018-05</c:v>
                </c:pt>
                <c:pt idx="161">
                  <c:v>2018-06</c:v>
                </c:pt>
                <c:pt idx="162">
                  <c:v>2018-07</c:v>
                </c:pt>
                <c:pt idx="163">
                  <c:v>2018-08</c:v>
                </c:pt>
                <c:pt idx="164">
                  <c:v>2018-09</c:v>
                </c:pt>
                <c:pt idx="165">
                  <c:v>2018-10</c:v>
                </c:pt>
                <c:pt idx="166">
                  <c:v>2018-11</c:v>
                </c:pt>
                <c:pt idx="167">
                  <c:v>2018-12</c:v>
                </c:pt>
                <c:pt idx="168">
                  <c:v>2019-01</c:v>
                </c:pt>
                <c:pt idx="169">
                  <c:v>2019-02</c:v>
                </c:pt>
                <c:pt idx="170">
                  <c:v>2019-03</c:v>
                </c:pt>
                <c:pt idx="171">
                  <c:v>2019-04</c:v>
                </c:pt>
                <c:pt idx="172">
                  <c:v>2019-05</c:v>
                </c:pt>
                <c:pt idx="173">
                  <c:v>2019-06</c:v>
                </c:pt>
                <c:pt idx="174">
                  <c:v>2019-07</c:v>
                </c:pt>
                <c:pt idx="175">
                  <c:v>2019-08</c:v>
                </c:pt>
                <c:pt idx="176">
                  <c:v>2019-09</c:v>
                </c:pt>
                <c:pt idx="177">
                  <c:v>2019-10</c:v>
                </c:pt>
                <c:pt idx="178">
                  <c:v>2019-11</c:v>
                </c:pt>
                <c:pt idx="179">
                  <c:v>2019-12</c:v>
                </c:pt>
                <c:pt idx="180">
                  <c:v>2020-01</c:v>
                </c:pt>
                <c:pt idx="181">
                  <c:v>2020-02</c:v>
                </c:pt>
                <c:pt idx="182">
                  <c:v>2020-03</c:v>
                </c:pt>
                <c:pt idx="183">
                  <c:v>2020-04</c:v>
                </c:pt>
                <c:pt idx="184">
                  <c:v>2020-05</c:v>
                </c:pt>
                <c:pt idx="185">
                  <c:v>2020-06</c:v>
                </c:pt>
                <c:pt idx="186">
                  <c:v>2020-07</c:v>
                </c:pt>
                <c:pt idx="187">
                  <c:v>2020-08</c:v>
                </c:pt>
                <c:pt idx="188">
                  <c:v>2020-09</c:v>
                </c:pt>
                <c:pt idx="189">
                  <c:v>2020-10</c:v>
                </c:pt>
                <c:pt idx="190">
                  <c:v>2020-11</c:v>
                </c:pt>
                <c:pt idx="191">
                  <c:v>2020-12</c:v>
                </c:pt>
                <c:pt idx="192">
                  <c:v>2021-01</c:v>
                </c:pt>
                <c:pt idx="193">
                  <c:v>2021-02</c:v>
                </c:pt>
                <c:pt idx="194">
                  <c:v>2021-03</c:v>
                </c:pt>
                <c:pt idx="195">
                  <c:v>2021-04</c:v>
                </c:pt>
                <c:pt idx="196">
                  <c:v>2021-05</c:v>
                </c:pt>
                <c:pt idx="197">
                  <c:v>2021-06</c:v>
                </c:pt>
                <c:pt idx="198">
                  <c:v>2021-07</c:v>
                </c:pt>
              </c:strCache>
            </c:strRef>
          </c:cat>
          <c:val>
            <c:numRef>
              <c:f>Sheet1!$C$2:$C$338</c:f>
              <c:numCache>
                <c:formatCode>General</c:formatCode>
                <c:ptCount val="199"/>
                <c:pt idx="0">
                  <c:v>1</c:v>
                </c:pt>
                <c:pt idx="1">
                  <c:v>-0.7</c:v>
                </c:pt>
                <c:pt idx="2">
                  <c:v>4.5</c:v>
                </c:pt>
                <c:pt idx="3">
                  <c:v>3.8</c:v>
                </c:pt>
                <c:pt idx="4">
                  <c:v>3.8</c:v>
                </c:pt>
                <c:pt idx="5">
                  <c:v>6.3</c:v>
                </c:pt>
                <c:pt idx="6">
                  <c:v>4.5</c:v>
                </c:pt>
                <c:pt idx="7">
                  <c:v>7.6</c:v>
                </c:pt>
                <c:pt idx="8">
                  <c:v>9.4</c:v>
                </c:pt>
                <c:pt idx="9">
                  <c:v>7.1</c:v>
                </c:pt>
                <c:pt idx="10">
                  <c:v>13.2</c:v>
                </c:pt>
                <c:pt idx="11">
                  <c:v>8.4</c:v>
                </c:pt>
                <c:pt idx="12">
                  <c:v>9.4</c:v>
                </c:pt>
                <c:pt idx="13">
                  <c:v>9.1</c:v>
                </c:pt>
                <c:pt idx="14">
                  <c:v>11.3</c:v>
                </c:pt>
                <c:pt idx="15">
                  <c:v>10.9</c:v>
                </c:pt>
                <c:pt idx="16">
                  <c:v>13.2</c:v>
                </c:pt>
                <c:pt idx="17">
                  <c:v>13.2</c:v>
                </c:pt>
                <c:pt idx="18">
                  <c:v>12.7</c:v>
                </c:pt>
                <c:pt idx="19">
                  <c:v>13</c:v>
                </c:pt>
                <c:pt idx="20">
                  <c:v>9.9</c:v>
                </c:pt>
                <c:pt idx="21">
                  <c:v>10.1</c:v>
                </c:pt>
                <c:pt idx="22">
                  <c:v>11.5</c:v>
                </c:pt>
                <c:pt idx="23">
                  <c:v>17.899999999999999</c:v>
                </c:pt>
                <c:pt idx="24">
                  <c:v>19.2</c:v>
                </c:pt>
                <c:pt idx="25">
                  <c:v>15</c:v>
                </c:pt>
                <c:pt idx="26">
                  <c:v>18.399999999999999</c:v>
                </c:pt>
                <c:pt idx="27">
                  <c:v>17.600000000000001</c:v>
                </c:pt>
                <c:pt idx="28">
                  <c:v>12.3</c:v>
                </c:pt>
                <c:pt idx="29">
                  <c:v>12.6</c:v>
                </c:pt>
                <c:pt idx="30">
                  <c:v>9.1999999999999993</c:v>
                </c:pt>
                <c:pt idx="31">
                  <c:v>7.6</c:v>
                </c:pt>
                <c:pt idx="32">
                  <c:v>11.1</c:v>
                </c:pt>
                <c:pt idx="33">
                  <c:v>6.5</c:v>
                </c:pt>
                <c:pt idx="34">
                  <c:v>1.9</c:v>
                </c:pt>
                <c:pt idx="35">
                  <c:v>1.3</c:v>
                </c:pt>
                <c:pt idx="36">
                  <c:v>-5.4</c:v>
                </c:pt>
                <c:pt idx="37">
                  <c:v>-6.7</c:v>
                </c:pt>
                <c:pt idx="38">
                  <c:v>-13.4</c:v>
                </c:pt>
                <c:pt idx="39">
                  <c:v>-24</c:v>
                </c:pt>
                <c:pt idx="40">
                  <c:v>-27.9</c:v>
                </c:pt>
                <c:pt idx="41">
                  <c:v>-30.5</c:v>
                </c:pt>
                <c:pt idx="42">
                  <c:v>-36.299999999999997</c:v>
                </c:pt>
                <c:pt idx="43">
                  <c:v>-42.9</c:v>
                </c:pt>
                <c:pt idx="44">
                  <c:v>-47</c:v>
                </c:pt>
                <c:pt idx="45">
                  <c:v>-47.2</c:v>
                </c:pt>
                <c:pt idx="46">
                  <c:v>-52.3</c:v>
                </c:pt>
                <c:pt idx="47">
                  <c:v>-58.6</c:v>
                </c:pt>
                <c:pt idx="48">
                  <c:v>-62.4</c:v>
                </c:pt>
                <c:pt idx="49">
                  <c:v>-67.8</c:v>
                </c:pt>
                <c:pt idx="50">
                  <c:v>-75.400000000000006</c:v>
                </c:pt>
                <c:pt idx="51">
                  <c:v>-74.400000000000006</c:v>
                </c:pt>
                <c:pt idx="52">
                  <c:v>-78.7</c:v>
                </c:pt>
                <c:pt idx="53">
                  <c:v>-76.900000000000006</c:v>
                </c:pt>
                <c:pt idx="54">
                  <c:v>-79.400000000000006</c:v>
                </c:pt>
                <c:pt idx="55">
                  <c:v>-76.599999999999994</c:v>
                </c:pt>
                <c:pt idx="56">
                  <c:v>-72.400000000000006</c:v>
                </c:pt>
                <c:pt idx="57">
                  <c:v>-70.2</c:v>
                </c:pt>
                <c:pt idx="58">
                  <c:v>-69.2</c:v>
                </c:pt>
                <c:pt idx="59">
                  <c:v>-66.2</c:v>
                </c:pt>
                <c:pt idx="60">
                  <c:v>-65.900000000000006</c:v>
                </c:pt>
                <c:pt idx="61">
                  <c:v>-61.9</c:v>
                </c:pt>
                <c:pt idx="62">
                  <c:v>-61.2</c:v>
                </c:pt>
                <c:pt idx="63">
                  <c:v>-55.9</c:v>
                </c:pt>
                <c:pt idx="64">
                  <c:v>-51.2</c:v>
                </c:pt>
                <c:pt idx="65">
                  <c:v>-51.2</c:v>
                </c:pt>
                <c:pt idx="66">
                  <c:v>-45.5</c:v>
                </c:pt>
                <c:pt idx="67">
                  <c:v>-43.9</c:v>
                </c:pt>
                <c:pt idx="68">
                  <c:v>-44.9</c:v>
                </c:pt>
                <c:pt idx="69">
                  <c:v>-32.1</c:v>
                </c:pt>
                <c:pt idx="70">
                  <c:v>-42</c:v>
                </c:pt>
                <c:pt idx="71">
                  <c:v>-39.5</c:v>
                </c:pt>
                <c:pt idx="72">
                  <c:v>-39.299999999999997</c:v>
                </c:pt>
                <c:pt idx="73">
                  <c:v>-35</c:v>
                </c:pt>
                <c:pt idx="74">
                  <c:v>-27.2</c:v>
                </c:pt>
                <c:pt idx="75">
                  <c:v>-28.2</c:v>
                </c:pt>
                <c:pt idx="76">
                  <c:v>-24.9</c:v>
                </c:pt>
                <c:pt idx="77">
                  <c:v>-21.9</c:v>
                </c:pt>
                <c:pt idx="78">
                  <c:v>-17.100000000000001</c:v>
                </c:pt>
                <c:pt idx="79">
                  <c:v>-19.100000000000001</c:v>
                </c:pt>
                <c:pt idx="80">
                  <c:v>-21.7</c:v>
                </c:pt>
                <c:pt idx="81">
                  <c:v>-21.4</c:v>
                </c:pt>
                <c:pt idx="82">
                  <c:v>-12.4</c:v>
                </c:pt>
                <c:pt idx="83">
                  <c:v>-18.7</c:v>
                </c:pt>
                <c:pt idx="84">
                  <c:v>-22.2</c:v>
                </c:pt>
                <c:pt idx="85">
                  <c:v>-19</c:v>
                </c:pt>
                <c:pt idx="86">
                  <c:v>-11.2</c:v>
                </c:pt>
                <c:pt idx="87">
                  <c:v>-4.8</c:v>
                </c:pt>
                <c:pt idx="88">
                  <c:v>-7.9</c:v>
                </c:pt>
                <c:pt idx="89">
                  <c:v>-9.6</c:v>
                </c:pt>
                <c:pt idx="90">
                  <c:v>-13.4</c:v>
                </c:pt>
                <c:pt idx="91">
                  <c:v>-11.6</c:v>
                </c:pt>
                <c:pt idx="92">
                  <c:v>-12.4</c:v>
                </c:pt>
                <c:pt idx="93">
                  <c:v>-20.8</c:v>
                </c:pt>
                <c:pt idx="94">
                  <c:v>-20.399999999999999</c:v>
                </c:pt>
                <c:pt idx="95">
                  <c:v>-18.899999999999999</c:v>
                </c:pt>
                <c:pt idx="96">
                  <c:v>-18.399999999999999</c:v>
                </c:pt>
                <c:pt idx="97">
                  <c:v>-17.100000000000001</c:v>
                </c:pt>
                <c:pt idx="98">
                  <c:v>-19.899999999999999</c:v>
                </c:pt>
                <c:pt idx="99">
                  <c:v>-19.600000000000001</c:v>
                </c:pt>
                <c:pt idx="100">
                  <c:v>-16.399999999999999</c:v>
                </c:pt>
                <c:pt idx="101">
                  <c:v>-14.5</c:v>
                </c:pt>
                <c:pt idx="102">
                  <c:v>-15.1</c:v>
                </c:pt>
                <c:pt idx="103">
                  <c:v>-19.5</c:v>
                </c:pt>
                <c:pt idx="104">
                  <c:v>-18.600000000000001</c:v>
                </c:pt>
                <c:pt idx="105">
                  <c:v>-20.100000000000001</c:v>
                </c:pt>
                <c:pt idx="106">
                  <c:v>-19.600000000000001</c:v>
                </c:pt>
                <c:pt idx="107">
                  <c:v>-18.2</c:v>
                </c:pt>
                <c:pt idx="108">
                  <c:v>-15.6</c:v>
                </c:pt>
                <c:pt idx="109">
                  <c:v>-16</c:v>
                </c:pt>
                <c:pt idx="110">
                  <c:v>-12.5</c:v>
                </c:pt>
                <c:pt idx="111">
                  <c:v>-14</c:v>
                </c:pt>
                <c:pt idx="112">
                  <c:v>-17.100000000000001</c:v>
                </c:pt>
                <c:pt idx="113">
                  <c:v>-20.3</c:v>
                </c:pt>
                <c:pt idx="114">
                  <c:v>-21.8</c:v>
                </c:pt>
                <c:pt idx="115">
                  <c:v>-18.8</c:v>
                </c:pt>
                <c:pt idx="116">
                  <c:v>-18.2</c:v>
                </c:pt>
                <c:pt idx="117">
                  <c:v>-21.3</c:v>
                </c:pt>
                <c:pt idx="118">
                  <c:v>-20.7</c:v>
                </c:pt>
                <c:pt idx="119">
                  <c:v>-21.5</c:v>
                </c:pt>
                <c:pt idx="120">
                  <c:v>-16.8</c:v>
                </c:pt>
                <c:pt idx="121">
                  <c:v>-20</c:v>
                </c:pt>
                <c:pt idx="122">
                  <c:v>-21.4</c:v>
                </c:pt>
                <c:pt idx="123">
                  <c:v>-20.399999999999999</c:v>
                </c:pt>
                <c:pt idx="124">
                  <c:v>-23.8</c:v>
                </c:pt>
                <c:pt idx="125">
                  <c:v>-22.7</c:v>
                </c:pt>
                <c:pt idx="126">
                  <c:v>-25.2</c:v>
                </c:pt>
                <c:pt idx="127">
                  <c:v>-27.7</c:v>
                </c:pt>
                <c:pt idx="128">
                  <c:v>-32.700000000000003</c:v>
                </c:pt>
                <c:pt idx="129">
                  <c:v>-29.9</c:v>
                </c:pt>
                <c:pt idx="130">
                  <c:v>-32.700000000000003</c:v>
                </c:pt>
                <c:pt idx="131">
                  <c:v>-31.7</c:v>
                </c:pt>
                <c:pt idx="132">
                  <c:v>-27.2</c:v>
                </c:pt>
                <c:pt idx="133">
                  <c:v>-30</c:v>
                </c:pt>
                <c:pt idx="134">
                  <c:v>-32.200000000000003</c:v>
                </c:pt>
                <c:pt idx="135">
                  <c:v>-34</c:v>
                </c:pt>
                <c:pt idx="136">
                  <c:v>-36.4</c:v>
                </c:pt>
                <c:pt idx="137">
                  <c:v>-36.700000000000003</c:v>
                </c:pt>
                <c:pt idx="138">
                  <c:v>-35.9</c:v>
                </c:pt>
                <c:pt idx="139">
                  <c:v>-32.799999999999997</c:v>
                </c:pt>
                <c:pt idx="140">
                  <c:v>-30.2</c:v>
                </c:pt>
                <c:pt idx="141">
                  <c:v>-29.8</c:v>
                </c:pt>
                <c:pt idx="142">
                  <c:v>-27.6</c:v>
                </c:pt>
                <c:pt idx="143">
                  <c:v>-24.4</c:v>
                </c:pt>
                <c:pt idx="144">
                  <c:v>-21.2</c:v>
                </c:pt>
                <c:pt idx="145">
                  <c:v>-16.899999999999999</c:v>
                </c:pt>
                <c:pt idx="146">
                  <c:v>-19</c:v>
                </c:pt>
                <c:pt idx="147">
                  <c:v>-17.100000000000001</c:v>
                </c:pt>
                <c:pt idx="148">
                  <c:v>-11.4</c:v>
                </c:pt>
                <c:pt idx="149">
                  <c:v>-13</c:v>
                </c:pt>
                <c:pt idx="150">
                  <c:v>-10.199999999999999</c:v>
                </c:pt>
                <c:pt idx="151">
                  <c:v>-11.9</c:v>
                </c:pt>
                <c:pt idx="152">
                  <c:v>-9.6</c:v>
                </c:pt>
                <c:pt idx="153">
                  <c:v>-7.4</c:v>
                </c:pt>
                <c:pt idx="154">
                  <c:v>-5.0999999999999996</c:v>
                </c:pt>
                <c:pt idx="155">
                  <c:v>-0.6</c:v>
                </c:pt>
                <c:pt idx="156">
                  <c:v>-1.7</c:v>
                </c:pt>
                <c:pt idx="157">
                  <c:v>-1.2</c:v>
                </c:pt>
                <c:pt idx="158">
                  <c:v>-3.5</c:v>
                </c:pt>
                <c:pt idx="159">
                  <c:v>-2.8</c:v>
                </c:pt>
                <c:pt idx="160">
                  <c:v>-1.2</c:v>
                </c:pt>
                <c:pt idx="161">
                  <c:v>-0.5</c:v>
                </c:pt>
                <c:pt idx="162">
                  <c:v>-1.1000000000000001</c:v>
                </c:pt>
                <c:pt idx="163">
                  <c:v>-0.6</c:v>
                </c:pt>
                <c:pt idx="164">
                  <c:v>0.7</c:v>
                </c:pt>
                <c:pt idx="165">
                  <c:v>0</c:v>
                </c:pt>
                <c:pt idx="166">
                  <c:v>-0.8</c:v>
                </c:pt>
                <c:pt idx="167">
                  <c:v>0.6</c:v>
                </c:pt>
                <c:pt idx="168">
                  <c:v>-1</c:v>
                </c:pt>
                <c:pt idx="169">
                  <c:v>-2.1</c:v>
                </c:pt>
                <c:pt idx="170">
                  <c:v>1.8</c:v>
                </c:pt>
                <c:pt idx="171">
                  <c:v>-0.5</c:v>
                </c:pt>
                <c:pt idx="172">
                  <c:v>-2.6</c:v>
                </c:pt>
                <c:pt idx="173">
                  <c:v>-4.4000000000000004</c:v>
                </c:pt>
                <c:pt idx="174">
                  <c:v>-9.3000000000000007</c:v>
                </c:pt>
                <c:pt idx="175">
                  <c:v>-9.1999999999999993</c:v>
                </c:pt>
                <c:pt idx="176">
                  <c:v>-9.9</c:v>
                </c:pt>
                <c:pt idx="177">
                  <c:v>-10.6</c:v>
                </c:pt>
                <c:pt idx="178">
                  <c:v>-10.1</c:v>
                </c:pt>
                <c:pt idx="179">
                  <c:v>-9.3000000000000007</c:v>
                </c:pt>
                <c:pt idx="180">
                  <c:v>-10.7</c:v>
                </c:pt>
                <c:pt idx="181">
                  <c:v>-10.7</c:v>
                </c:pt>
                <c:pt idx="182">
                  <c:v>-18</c:v>
                </c:pt>
                <c:pt idx="183">
                  <c:v>-32.5</c:v>
                </c:pt>
                <c:pt idx="184">
                  <c:v>-33.1</c:v>
                </c:pt>
                <c:pt idx="185">
                  <c:v>-24.3</c:v>
                </c:pt>
                <c:pt idx="186">
                  <c:v>-23.2</c:v>
                </c:pt>
                <c:pt idx="187">
                  <c:v>-19.100000000000001</c:v>
                </c:pt>
                <c:pt idx="188">
                  <c:v>-18</c:v>
                </c:pt>
                <c:pt idx="189">
                  <c:v>-21.4</c:v>
                </c:pt>
                <c:pt idx="190">
                  <c:v>-20.2</c:v>
                </c:pt>
                <c:pt idx="191">
                  <c:v>-22.5</c:v>
                </c:pt>
                <c:pt idx="192">
                  <c:v>-21.2</c:v>
                </c:pt>
                <c:pt idx="193">
                  <c:v>-21.6</c:v>
                </c:pt>
                <c:pt idx="194">
                  <c:v>-21.1</c:v>
                </c:pt>
                <c:pt idx="195">
                  <c:v>-13.7</c:v>
                </c:pt>
                <c:pt idx="196">
                  <c:v>-10.5</c:v>
                </c:pt>
                <c:pt idx="197">
                  <c:v>-13.5</c:v>
                </c:pt>
                <c:pt idx="198">
                  <c:v>-8.3000000000000007</c:v>
                </c:pt>
              </c:numCache>
            </c:numRef>
          </c:val>
          <c:smooth val="0"/>
          <c:extLst>
            <c:ext xmlns:c16="http://schemas.microsoft.com/office/drawing/2014/chart" uri="{C3380CC4-5D6E-409C-BE32-E72D297353CC}">
              <c16:uniqueId val="{00000001-CD18-4B76-A1F2-CDD7DA169664}"/>
            </c:ext>
          </c:extLst>
        </c:ser>
        <c:ser>
          <c:idx val="2"/>
          <c:order val="2"/>
          <c:tx>
            <c:strRef>
              <c:f>Sheet1!$D$1</c:f>
              <c:strCache>
                <c:ptCount val="1"/>
                <c:pt idx="0">
                  <c:v>Factors limiting building activity - Shortage of labour</c:v>
                </c:pt>
              </c:strCache>
            </c:strRef>
          </c:tx>
          <c:spPr>
            <a:ln w="28575" cap="rnd">
              <a:solidFill>
                <a:schemeClr val="accent3"/>
              </a:solidFill>
              <a:round/>
            </a:ln>
            <a:effectLst/>
          </c:spPr>
          <c:marker>
            <c:symbol val="none"/>
          </c:marker>
          <c:cat>
            <c:strRef>
              <c:f>Sheet1!$A$2:$A$338</c:f>
              <c:strCache>
                <c:ptCount val="199"/>
                <c:pt idx="0">
                  <c:v>2005-01</c:v>
                </c:pt>
                <c:pt idx="1">
                  <c:v>2005-02</c:v>
                </c:pt>
                <c:pt idx="2">
                  <c:v>2005-03</c:v>
                </c:pt>
                <c:pt idx="3">
                  <c:v>2005-04</c:v>
                </c:pt>
                <c:pt idx="4">
                  <c:v>2005-05</c:v>
                </c:pt>
                <c:pt idx="5">
                  <c:v>2005-06</c:v>
                </c:pt>
                <c:pt idx="6">
                  <c:v>2005-07</c:v>
                </c:pt>
                <c:pt idx="7">
                  <c:v>2005-08</c:v>
                </c:pt>
                <c:pt idx="8">
                  <c:v>2005-09</c:v>
                </c:pt>
                <c:pt idx="9">
                  <c:v>2005-10</c:v>
                </c:pt>
                <c:pt idx="10">
                  <c:v>2005-11</c:v>
                </c:pt>
                <c:pt idx="11">
                  <c:v>2005-12</c:v>
                </c:pt>
                <c:pt idx="12">
                  <c:v>2006-01</c:v>
                </c:pt>
                <c:pt idx="13">
                  <c:v>2006-02</c:v>
                </c:pt>
                <c:pt idx="14">
                  <c:v>2006-03</c:v>
                </c:pt>
                <c:pt idx="15">
                  <c:v>2006-04</c:v>
                </c:pt>
                <c:pt idx="16">
                  <c:v>2006-05</c:v>
                </c:pt>
                <c:pt idx="17">
                  <c:v>2006-06</c:v>
                </c:pt>
                <c:pt idx="18">
                  <c:v>2006-07</c:v>
                </c:pt>
                <c:pt idx="19">
                  <c:v>2006-08</c:v>
                </c:pt>
                <c:pt idx="20">
                  <c:v>2006-09</c:v>
                </c:pt>
                <c:pt idx="21">
                  <c:v>2006-10</c:v>
                </c:pt>
                <c:pt idx="22">
                  <c:v>2006-11</c:v>
                </c:pt>
                <c:pt idx="23">
                  <c:v>2006-12</c:v>
                </c:pt>
                <c:pt idx="24">
                  <c:v>2007-01</c:v>
                </c:pt>
                <c:pt idx="25">
                  <c:v>2007-02</c:v>
                </c:pt>
                <c:pt idx="26">
                  <c:v>2007-03</c:v>
                </c:pt>
                <c:pt idx="27">
                  <c:v>2007-04</c:v>
                </c:pt>
                <c:pt idx="28">
                  <c:v>2007-05</c:v>
                </c:pt>
                <c:pt idx="29">
                  <c:v>2007-06</c:v>
                </c:pt>
                <c:pt idx="30">
                  <c:v>2007-07</c:v>
                </c:pt>
                <c:pt idx="31">
                  <c:v>2007-08</c:v>
                </c:pt>
                <c:pt idx="32">
                  <c:v>2007-09</c:v>
                </c:pt>
                <c:pt idx="33">
                  <c:v>2007-10</c:v>
                </c:pt>
                <c:pt idx="34">
                  <c:v>2007-11</c:v>
                </c:pt>
                <c:pt idx="35">
                  <c:v>2007-12</c:v>
                </c:pt>
                <c:pt idx="36">
                  <c:v>2008-01</c:v>
                </c:pt>
                <c:pt idx="37">
                  <c:v>2008-02</c:v>
                </c:pt>
                <c:pt idx="38">
                  <c:v>2008-03</c:v>
                </c:pt>
                <c:pt idx="39">
                  <c:v>2008-04</c:v>
                </c:pt>
                <c:pt idx="40">
                  <c:v>2008-05</c:v>
                </c:pt>
                <c:pt idx="41">
                  <c:v>2008-06</c:v>
                </c:pt>
                <c:pt idx="42">
                  <c:v>2008-07</c:v>
                </c:pt>
                <c:pt idx="43">
                  <c:v>2008-08</c:v>
                </c:pt>
                <c:pt idx="44">
                  <c:v>2008-09</c:v>
                </c:pt>
                <c:pt idx="45">
                  <c:v>2008-10</c:v>
                </c:pt>
                <c:pt idx="46">
                  <c:v>2008-11</c:v>
                </c:pt>
                <c:pt idx="47">
                  <c:v>2008-12</c:v>
                </c:pt>
                <c:pt idx="48">
                  <c:v>2009-01</c:v>
                </c:pt>
                <c:pt idx="49">
                  <c:v>2009-02</c:v>
                </c:pt>
                <c:pt idx="50">
                  <c:v>2009-03</c:v>
                </c:pt>
                <c:pt idx="51">
                  <c:v>2009-04</c:v>
                </c:pt>
                <c:pt idx="52">
                  <c:v>2009-05</c:v>
                </c:pt>
                <c:pt idx="53">
                  <c:v>2009-06</c:v>
                </c:pt>
                <c:pt idx="54">
                  <c:v>2009-07</c:v>
                </c:pt>
                <c:pt idx="55">
                  <c:v>2009-08</c:v>
                </c:pt>
                <c:pt idx="56">
                  <c:v>2009-09</c:v>
                </c:pt>
                <c:pt idx="57">
                  <c:v>2009-10</c:v>
                </c:pt>
                <c:pt idx="58">
                  <c:v>2009-11</c:v>
                </c:pt>
                <c:pt idx="59">
                  <c:v>2009-12</c:v>
                </c:pt>
                <c:pt idx="60">
                  <c:v>2010-01</c:v>
                </c:pt>
                <c:pt idx="61">
                  <c:v>2010-02</c:v>
                </c:pt>
                <c:pt idx="62">
                  <c:v>2010-03</c:v>
                </c:pt>
                <c:pt idx="63">
                  <c:v>2010-04</c:v>
                </c:pt>
                <c:pt idx="64">
                  <c:v>2010-05</c:v>
                </c:pt>
                <c:pt idx="65">
                  <c:v>2010-06</c:v>
                </c:pt>
                <c:pt idx="66">
                  <c:v>2010-07</c:v>
                </c:pt>
                <c:pt idx="67">
                  <c:v>2010-08</c:v>
                </c:pt>
                <c:pt idx="68">
                  <c:v>2010-09</c:v>
                </c:pt>
                <c:pt idx="69">
                  <c:v>2010-10</c:v>
                </c:pt>
                <c:pt idx="70">
                  <c:v>2010-11</c:v>
                </c:pt>
                <c:pt idx="71">
                  <c:v>2010-12</c:v>
                </c:pt>
                <c:pt idx="72">
                  <c:v>2011-01</c:v>
                </c:pt>
                <c:pt idx="73">
                  <c:v>2011-02</c:v>
                </c:pt>
                <c:pt idx="74">
                  <c:v>2011-03</c:v>
                </c:pt>
                <c:pt idx="75">
                  <c:v>2011-04</c:v>
                </c:pt>
                <c:pt idx="76">
                  <c:v>2011-05</c:v>
                </c:pt>
                <c:pt idx="77">
                  <c:v>2011-06</c:v>
                </c:pt>
                <c:pt idx="78">
                  <c:v>2011-07</c:v>
                </c:pt>
                <c:pt idx="79">
                  <c:v>2011-08</c:v>
                </c:pt>
                <c:pt idx="80">
                  <c:v>2011-09</c:v>
                </c:pt>
                <c:pt idx="81">
                  <c:v>2011-10</c:v>
                </c:pt>
                <c:pt idx="82">
                  <c:v>2011-11</c:v>
                </c:pt>
                <c:pt idx="83">
                  <c:v>2011-12</c:v>
                </c:pt>
                <c:pt idx="84">
                  <c:v>2012-01</c:v>
                </c:pt>
                <c:pt idx="85">
                  <c:v>2012-02</c:v>
                </c:pt>
                <c:pt idx="86">
                  <c:v>2012-03</c:v>
                </c:pt>
                <c:pt idx="87">
                  <c:v>2012-04</c:v>
                </c:pt>
                <c:pt idx="88">
                  <c:v>2012-05</c:v>
                </c:pt>
                <c:pt idx="89">
                  <c:v>2012-06</c:v>
                </c:pt>
                <c:pt idx="90">
                  <c:v>2012-07</c:v>
                </c:pt>
                <c:pt idx="91">
                  <c:v>2012-08</c:v>
                </c:pt>
                <c:pt idx="92">
                  <c:v>2012-09</c:v>
                </c:pt>
                <c:pt idx="93">
                  <c:v>2012-10</c:v>
                </c:pt>
                <c:pt idx="94">
                  <c:v>2012-11</c:v>
                </c:pt>
                <c:pt idx="95">
                  <c:v>2012-12</c:v>
                </c:pt>
                <c:pt idx="96">
                  <c:v>2013-01</c:v>
                </c:pt>
                <c:pt idx="97">
                  <c:v>2013-02</c:v>
                </c:pt>
                <c:pt idx="98">
                  <c:v>2013-03</c:v>
                </c:pt>
                <c:pt idx="99">
                  <c:v>2013-04</c:v>
                </c:pt>
                <c:pt idx="100">
                  <c:v>2013-05</c:v>
                </c:pt>
                <c:pt idx="101">
                  <c:v>2013-06</c:v>
                </c:pt>
                <c:pt idx="102">
                  <c:v>2013-07</c:v>
                </c:pt>
                <c:pt idx="103">
                  <c:v>2013-08</c:v>
                </c:pt>
                <c:pt idx="104">
                  <c:v>2013-09</c:v>
                </c:pt>
                <c:pt idx="105">
                  <c:v>2013-10</c:v>
                </c:pt>
                <c:pt idx="106">
                  <c:v>2013-11</c:v>
                </c:pt>
                <c:pt idx="107">
                  <c:v>2013-12</c:v>
                </c:pt>
                <c:pt idx="108">
                  <c:v>2014-01</c:v>
                </c:pt>
                <c:pt idx="109">
                  <c:v>2014-02</c:v>
                </c:pt>
                <c:pt idx="110">
                  <c:v>2014-03</c:v>
                </c:pt>
                <c:pt idx="111">
                  <c:v>2014-04</c:v>
                </c:pt>
                <c:pt idx="112">
                  <c:v>2014-05</c:v>
                </c:pt>
                <c:pt idx="113">
                  <c:v>2014-06</c:v>
                </c:pt>
                <c:pt idx="114">
                  <c:v>2014-07</c:v>
                </c:pt>
                <c:pt idx="115">
                  <c:v>2014-08</c:v>
                </c:pt>
                <c:pt idx="116">
                  <c:v>2014-09</c:v>
                </c:pt>
                <c:pt idx="117">
                  <c:v>2014-10</c:v>
                </c:pt>
                <c:pt idx="118">
                  <c:v>2014-11</c:v>
                </c:pt>
                <c:pt idx="119">
                  <c:v>2014-12</c:v>
                </c:pt>
                <c:pt idx="120">
                  <c:v>2015-01</c:v>
                </c:pt>
                <c:pt idx="121">
                  <c:v>2015-02</c:v>
                </c:pt>
                <c:pt idx="122">
                  <c:v>2015-03</c:v>
                </c:pt>
                <c:pt idx="123">
                  <c:v>2015-04</c:v>
                </c:pt>
                <c:pt idx="124">
                  <c:v>2015-05</c:v>
                </c:pt>
                <c:pt idx="125">
                  <c:v>2015-06</c:v>
                </c:pt>
                <c:pt idx="126">
                  <c:v>2015-07</c:v>
                </c:pt>
                <c:pt idx="127">
                  <c:v>2015-08</c:v>
                </c:pt>
                <c:pt idx="128">
                  <c:v>2015-09</c:v>
                </c:pt>
                <c:pt idx="129">
                  <c:v>2015-10</c:v>
                </c:pt>
                <c:pt idx="130">
                  <c:v>2015-11</c:v>
                </c:pt>
                <c:pt idx="131">
                  <c:v>2015-12</c:v>
                </c:pt>
                <c:pt idx="132">
                  <c:v>2016-01</c:v>
                </c:pt>
                <c:pt idx="133">
                  <c:v>2016-02</c:v>
                </c:pt>
                <c:pt idx="134">
                  <c:v>2016-03</c:v>
                </c:pt>
                <c:pt idx="135">
                  <c:v>2016-04</c:v>
                </c:pt>
                <c:pt idx="136">
                  <c:v>2016-05</c:v>
                </c:pt>
                <c:pt idx="137">
                  <c:v>2016-06</c:v>
                </c:pt>
                <c:pt idx="138">
                  <c:v>2016-07</c:v>
                </c:pt>
                <c:pt idx="139">
                  <c:v>2016-08</c:v>
                </c:pt>
                <c:pt idx="140">
                  <c:v>2016-09</c:v>
                </c:pt>
                <c:pt idx="141">
                  <c:v>2016-10</c:v>
                </c:pt>
                <c:pt idx="142">
                  <c:v>2016-11</c:v>
                </c:pt>
                <c:pt idx="143">
                  <c:v>2016-12</c:v>
                </c:pt>
                <c:pt idx="144">
                  <c:v>2017-01</c:v>
                </c:pt>
                <c:pt idx="145">
                  <c:v>2017-02</c:v>
                </c:pt>
                <c:pt idx="146">
                  <c:v>2017-03</c:v>
                </c:pt>
                <c:pt idx="147">
                  <c:v>2017-04</c:v>
                </c:pt>
                <c:pt idx="148">
                  <c:v>2017-05</c:v>
                </c:pt>
                <c:pt idx="149">
                  <c:v>2017-06</c:v>
                </c:pt>
                <c:pt idx="150">
                  <c:v>2017-07</c:v>
                </c:pt>
                <c:pt idx="151">
                  <c:v>2017-08</c:v>
                </c:pt>
                <c:pt idx="152">
                  <c:v>2017-09</c:v>
                </c:pt>
                <c:pt idx="153">
                  <c:v>2017-10</c:v>
                </c:pt>
                <c:pt idx="154">
                  <c:v>2017-11</c:v>
                </c:pt>
                <c:pt idx="155">
                  <c:v>2017-12</c:v>
                </c:pt>
                <c:pt idx="156">
                  <c:v>2018-01</c:v>
                </c:pt>
                <c:pt idx="157">
                  <c:v>2018-02</c:v>
                </c:pt>
                <c:pt idx="158">
                  <c:v>2018-03</c:v>
                </c:pt>
                <c:pt idx="159">
                  <c:v>2018-04</c:v>
                </c:pt>
                <c:pt idx="160">
                  <c:v>2018-05</c:v>
                </c:pt>
                <c:pt idx="161">
                  <c:v>2018-06</c:v>
                </c:pt>
                <c:pt idx="162">
                  <c:v>2018-07</c:v>
                </c:pt>
                <c:pt idx="163">
                  <c:v>2018-08</c:v>
                </c:pt>
                <c:pt idx="164">
                  <c:v>2018-09</c:v>
                </c:pt>
                <c:pt idx="165">
                  <c:v>2018-10</c:v>
                </c:pt>
                <c:pt idx="166">
                  <c:v>2018-11</c:v>
                </c:pt>
                <c:pt idx="167">
                  <c:v>2018-12</c:v>
                </c:pt>
                <c:pt idx="168">
                  <c:v>2019-01</c:v>
                </c:pt>
                <c:pt idx="169">
                  <c:v>2019-02</c:v>
                </c:pt>
                <c:pt idx="170">
                  <c:v>2019-03</c:v>
                </c:pt>
                <c:pt idx="171">
                  <c:v>2019-04</c:v>
                </c:pt>
                <c:pt idx="172">
                  <c:v>2019-05</c:v>
                </c:pt>
                <c:pt idx="173">
                  <c:v>2019-06</c:v>
                </c:pt>
                <c:pt idx="174">
                  <c:v>2019-07</c:v>
                </c:pt>
                <c:pt idx="175">
                  <c:v>2019-08</c:v>
                </c:pt>
                <c:pt idx="176">
                  <c:v>2019-09</c:v>
                </c:pt>
                <c:pt idx="177">
                  <c:v>2019-10</c:v>
                </c:pt>
                <c:pt idx="178">
                  <c:v>2019-11</c:v>
                </c:pt>
                <c:pt idx="179">
                  <c:v>2019-12</c:v>
                </c:pt>
                <c:pt idx="180">
                  <c:v>2020-01</c:v>
                </c:pt>
                <c:pt idx="181">
                  <c:v>2020-02</c:v>
                </c:pt>
                <c:pt idx="182">
                  <c:v>2020-03</c:v>
                </c:pt>
                <c:pt idx="183">
                  <c:v>2020-04</c:v>
                </c:pt>
                <c:pt idx="184">
                  <c:v>2020-05</c:v>
                </c:pt>
                <c:pt idx="185">
                  <c:v>2020-06</c:v>
                </c:pt>
                <c:pt idx="186">
                  <c:v>2020-07</c:v>
                </c:pt>
                <c:pt idx="187">
                  <c:v>2020-08</c:v>
                </c:pt>
                <c:pt idx="188">
                  <c:v>2020-09</c:v>
                </c:pt>
                <c:pt idx="189">
                  <c:v>2020-10</c:v>
                </c:pt>
                <c:pt idx="190">
                  <c:v>2020-11</c:v>
                </c:pt>
                <c:pt idx="191">
                  <c:v>2020-12</c:v>
                </c:pt>
                <c:pt idx="192">
                  <c:v>2021-01</c:v>
                </c:pt>
                <c:pt idx="193">
                  <c:v>2021-02</c:v>
                </c:pt>
                <c:pt idx="194">
                  <c:v>2021-03</c:v>
                </c:pt>
                <c:pt idx="195">
                  <c:v>2021-04</c:v>
                </c:pt>
                <c:pt idx="196">
                  <c:v>2021-05</c:v>
                </c:pt>
                <c:pt idx="197">
                  <c:v>2021-06</c:v>
                </c:pt>
                <c:pt idx="198">
                  <c:v>2021-07</c:v>
                </c:pt>
              </c:strCache>
            </c:strRef>
          </c:cat>
          <c:val>
            <c:numRef>
              <c:f>Sheet1!$D$2:$D$338</c:f>
            </c:numRef>
          </c:val>
          <c:smooth val="0"/>
          <c:extLst>
            <c:ext xmlns:c16="http://schemas.microsoft.com/office/drawing/2014/chart" uri="{C3380CC4-5D6E-409C-BE32-E72D297353CC}">
              <c16:uniqueId val="{00000002-CD18-4B76-A1F2-CDD7DA169664}"/>
            </c:ext>
          </c:extLst>
        </c:ser>
        <c:dLbls>
          <c:showLegendKey val="0"/>
          <c:showVal val="0"/>
          <c:showCatName val="0"/>
          <c:showSerName val="0"/>
          <c:showPercent val="0"/>
          <c:showBubbleSize val="0"/>
        </c:dLbls>
        <c:smooth val="0"/>
        <c:axId val="603432496"/>
        <c:axId val="473871072"/>
      </c:lineChart>
      <c:catAx>
        <c:axId val="6034324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473871072"/>
        <c:crosses val="autoZero"/>
        <c:auto val="1"/>
        <c:lblAlgn val="ctr"/>
        <c:lblOffset val="100"/>
        <c:noMultiLvlLbl val="0"/>
      </c:catAx>
      <c:valAx>
        <c:axId val="473871072"/>
        <c:scaling>
          <c:orientation val="minMax"/>
          <c:max val="40"/>
          <c:min val="-80"/>
        </c:scaling>
        <c:delete val="0"/>
        <c:axPos val="l"/>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603432496"/>
        <c:crosses val="autoZero"/>
        <c:crossBetween val="between"/>
      </c:valAx>
      <c:spPr>
        <a:noFill/>
        <a:ln>
          <a:noFill/>
        </a:ln>
        <a:effectLst/>
      </c:spPr>
    </c:plotArea>
    <c:legend>
      <c:legendPos val="b"/>
      <c:layout>
        <c:manualLayout>
          <c:xMode val="edge"/>
          <c:yMode val="edge"/>
          <c:x val="0.42627313742644912"/>
          <c:y val="0.53277118715548077"/>
          <c:w val="0.56981661606024736"/>
          <c:h val="0.2677671434737954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spcAft>
          <a:spcPts val="600"/>
        </a:spcAft>
        <a:defRPr sz="800">
          <a:latin typeface="Arial Nova" panose="020B0504020202020204" pitchFamily="34" charset="0"/>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9114173228346E-2"/>
          <c:y val="4.3650793650793648E-2"/>
          <c:w val="0.9126755249343832"/>
          <c:h val="0.80772372203474563"/>
        </c:manualLayout>
      </c:layout>
      <c:lineChart>
        <c:grouping val="standard"/>
        <c:varyColors val="0"/>
        <c:ser>
          <c:idx val="0"/>
          <c:order val="0"/>
          <c:tx>
            <c:strRef>
              <c:f>Sheet1!$B$1</c:f>
              <c:strCache>
                <c:ptCount val="1"/>
                <c:pt idx="0">
                  <c:v>Factors limiting building activity - Shortage of labour</c:v>
                </c:pt>
              </c:strCache>
            </c:strRef>
          </c:tx>
          <c:spPr>
            <a:ln w="28575" cap="rnd">
              <a:solidFill>
                <a:schemeClr val="accent6">
                  <a:lumMod val="75000"/>
                </a:schemeClr>
              </a:solidFill>
              <a:round/>
            </a:ln>
            <a:effectLst/>
          </c:spPr>
          <c:marker>
            <c:symbol val="none"/>
          </c:marker>
          <c:cat>
            <c:strRef>
              <c:f>Sheet1!$A$2:$A$338</c:f>
              <c:strCache>
                <c:ptCount val="199"/>
                <c:pt idx="0">
                  <c:v>2005-01</c:v>
                </c:pt>
                <c:pt idx="1">
                  <c:v>2005-02</c:v>
                </c:pt>
                <c:pt idx="2">
                  <c:v>2005-03</c:v>
                </c:pt>
                <c:pt idx="3">
                  <c:v>2005-04</c:v>
                </c:pt>
                <c:pt idx="4">
                  <c:v>2005-05</c:v>
                </c:pt>
                <c:pt idx="5">
                  <c:v>2005-06</c:v>
                </c:pt>
                <c:pt idx="6">
                  <c:v>2005-07</c:v>
                </c:pt>
                <c:pt idx="7">
                  <c:v>2005-08</c:v>
                </c:pt>
                <c:pt idx="8">
                  <c:v>2005-09</c:v>
                </c:pt>
                <c:pt idx="9">
                  <c:v>2005-10</c:v>
                </c:pt>
                <c:pt idx="10">
                  <c:v>2005-11</c:v>
                </c:pt>
                <c:pt idx="11">
                  <c:v>2005-12</c:v>
                </c:pt>
                <c:pt idx="12">
                  <c:v>2006-01</c:v>
                </c:pt>
                <c:pt idx="13">
                  <c:v>2006-02</c:v>
                </c:pt>
                <c:pt idx="14">
                  <c:v>2006-03</c:v>
                </c:pt>
                <c:pt idx="15">
                  <c:v>2006-04</c:v>
                </c:pt>
                <c:pt idx="16">
                  <c:v>2006-05</c:v>
                </c:pt>
                <c:pt idx="17">
                  <c:v>2006-06</c:v>
                </c:pt>
                <c:pt idx="18">
                  <c:v>2006-07</c:v>
                </c:pt>
                <c:pt idx="19">
                  <c:v>2006-08</c:v>
                </c:pt>
                <c:pt idx="20">
                  <c:v>2006-09</c:v>
                </c:pt>
                <c:pt idx="21">
                  <c:v>2006-10</c:v>
                </c:pt>
                <c:pt idx="22">
                  <c:v>2006-11</c:v>
                </c:pt>
                <c:pt idx="23">
                  <c:v>2006-12</c:v>
                </c:pt>
                <c:pt idx="24">
                  <c:v>2007-01</c:v>
                </c:pt>
                <c:pt idx="25">
                  <c:v>2007-02</c:v>
                </c:pt>
                <c:pt idx="26">
                  <c:v>2007-03</c:v>
                </c:pt>
                <c:pt idx="27">
                  <c:v>2007-04</c:v>
                </c:pt>
                <c:pt idx="28">
                  <c:v>2007-05</c:v>
                </c:pt>
                <c:pt idx="29">
                  <c:v>2007-06</c:v>
                </c:pt>
                <c:pt idx="30">
                  <c:v>2007-07</c:v>
                </c:pt>
                <c:pt idx="31">
                  <c:v>2007-08</c:v>
                </c:pt>
                <c:pt idx="32">
                  <c:v>2007-09</c:v>
                </c:pt>
                <c:pt idx="33">
                  <c:v>2007-10</c:v>
                </c:pt>
                <c:pt idx="34">
                  <c:v>2007-11</c:v>
                </c:pt>
                <c:pt idx="35">
                  <c:v>2007-12</c:v>
                </c:pt>
                <c:pt idx="36">
                  <c:v>2008-01</c:v>
                </c:pt>
                <c:pt idx="37">
                  <c:v>2008-02</c:v>
                </c:pt>
                <c:pt idx="38">
                  <c:v>2008-03</c:v>
                </c:pt>
                <c:pt idx="39">
                  <c:v>2008-04</c:v>
                </c:pt>
                <c:pt idx="40">
                  <c:v>2008-05</c:v>
                </c:pt>
                <c:pt idx="41">
                  <c:v>2008-06</c:v>
                </c:pt>
                <c:pt idx="42">
                  <c:v>2008-07</c:v>
                </c:pt>
                <c:pt idx="43">
                  <c:v>2008-08</c:v>
                </c:pt>
                <c:pt idx="44">
                  <c:v>2008-09</c:v>
                </c:pt>
                <c:pt idx="45">
                  <c:v>2008-10</c:v>
                </c:pt>
                <c:pt idx="46">
                  <c:v>2008-11</c:v>
                </c:pt>
                <c:pt idx="47">
                  <c:v>2008-12</c:v>
                </c:pt>
                <c:pt idx="48">
                  <c:v>2009-01</c:v>
                </c:pt>
                <c:pt idx="49">
                  <c:v>2009-02</c:v>
                </c:pt>
                <c:pt idx="50">
                  <c:v>2009-03</c:v>
                </c:pt>
                <c:pt idx="51">
                  <c:v>2009-04</c:v>
                </c:pt>
                <c:pt idx="52">
                  <c:v>2009-05</c:v>
                </c:pt>
                <c:pt idx="53">
                  <c:v>2009-06</c:v>
                </c:pt>
                <c:pt idx="54">
                  <c:v>2009-07</c:v>
                </c:pt>
                <c:pt idx="55">
                  <c:v>2009-08</c:v>
                </c:pt>
                <c:pt idx="56">
                  <c:v>2009-09</c:v>
                </c:pt>
                <c:pt idx="57">
                  <c:v>2009-10</c:v>
                </c:pt>
                <c:pt idx="58">
                  <c:v>2009-11</c:v>
                </c:pt>
                <c:pt idx="59">
                  <c:v>2009-12</c:v>
                </c:pt>
                <c:pt idx="60">
                  <c:v>2010-01</c:v>
                </c:pt>
                <c:pt idx="61">
                  <c:v>2010-02</c:v>
                </c:pt>
                <c:pt idx="62">
                  <c:v>2010-03</c:v>
                </c:pt>
                <c:pt idx="63">
                  <c:v>2010-04</c:v>
                </c:pt>
                <c:pt idx="64">
                  <c:v>2010-05</c:v>
                </c:pt>
                <c:pt idx="65">
                  <c:v>2010-06</c:v>
                </c:pt>
                <c:pt idx="66">
                  <c:v>2010-07</c:v>
                </c:pt>
                <c:pt idx="67">
                  <c:v>2010-08</c:v>
                </c:pt>
                <c:pt idx="68">
                  <c:v>2010-09</c:v>
                </c:pt>
                <c:pt idx="69">
                  <c:v>2010-10</c:v>
                </c:pt>
                <c:pt idx="70">
                  <c:v>2010-11</c:v>
                </c:pt>
                <c:pt idx="71">
                  <c:v>2010-12</c:v>
                </c:pt>
                <c:pt idx="72">
                  <c:v>2011-01</c:v>
                </c:pt>
                <c:pt idx="73">
                  <c:v>2011-02</c:v>
                </c:pt>
                <c:pt idx="74">
                  <c:v>2011-03</c:v>
                </c:pt>
                <c:pt idx="75">
                  <c:v>2011-04</c:v>
                </c:pt>
                <c:pt idx="76">
                  <c:v>2011-05</c:v>
                </c:pt>
                <c:pt idx="77">
                  <c:v>2011-06</c:v>
                </c:pt>
                <c:pt idx="78">
                  <c:v>2011-07</c:v>
                </c:pt>
                <c:pt idx="79">
                  <c:v>2011-08</c:v>
                </c:pt>
                <c:pt idx="80">
                  <c:v>2011-09</c:v>
                </c:pt>
                <c:pt idx="81">
                  <c:v>2011-10</c:v>
                </c:pt>
                <c:pt idx="82">
                  <c:v>2011-11</c:v>
                </c:pt>
                <c:pt idx="83">
                  <c:v>2011-12</c:v>
                </c:pt>
                <c:pt idx="84">
                  <c:v>2012-01</c:v>
                </c:pt>
                <c:pt idx="85">
                  <c:v>2012-02</c:v>
                </c:pt>
                <c:pt idx="86">
                  <c:v>2012-03</c:v>
                </c:pt>
                <c:pt idx="87">
                  <c:v>2012-04</c:v>
                </c:pt>
                <c:pt idx="88">
                  <c:v>2012-05</c:v>
                </c:pt>
                <c:pt idx="89">
                  <c:v>2012-06</c:v>
                </c:pt>
                <c:pt idx="90">
                  <c:v>2012-07</c:v>
                </c:pt>
                <c:pt idx="91">
                  <c:v>2012-08</c:v>
                </c:pt>
                <c:pt idx="92">
                  <c:v>2012-09</c:v>
                </c:pt>
                <c:pt idx="93">
                  <c:v>2012-10</c:v>
                </c:pt>
                <c:pt idx="94">
                  <c:v>2012-11</c:v>
                </c:pt>
                <c:pt idx="95">
                  <c:v>2012-12</c:v>
                </c:pt>
                <c:pt idx="96">
                  <c:v>2013-01</c:v>
                </c:pt>
                <c:pt idx="97">
                  <c:v>2013-02</c:v>
                </c:pt>
                <c:pt idx="98">
                  <c:v>2013-03</c:v>
                </c:pt>
                <c:pt idx="99">
                  <c:v>2013-04</c:v>
                </c:pt>
                <c:pt idx="100">
                  <c:v>2013-05</c:v>
                </c:pt>
                <c:pt idx="101">
                  <c:v>2013-06</c:v>
                </c:pt>
                <c:pt idx="102">
                  <c:v>2013-07</c:v>
                </c:pt>
                <c:pt idx="103">
                  <c:v>2013-08</c:v>
                </c:pt>
                <c:pt idx="104">
                  <c:v>2013-09</c:v>
                </c:pt>
                <c:pt idx="105">
                  <c:v>2013-10</c:v>
                </c:pt>
                <c:pt idx="106">
                  <c:v>2013-11</c:v>
                </c:pt>
                <c:pt idx="107">
                  <c:v>2013-12</c:v>
                </c:pt>
                <c:pt idx="108">
                  <c:v>2014-01</c:v>
                </c:pt>
                <c:pt idx="109">
                  <c:v>2014-02</c:v>
                </c:pt>
                <c:pt idx="110">
                  <c:v>2014-03</c:v>
                </c:pt>
                <c:pt idx="111">
                  <c:v>2014-04</c:v>
                </c:pt>
                <c:pt idx="112">
                  <c:v>2014-05</c:v>
                </c:pt>
                <c:pt idx="113">
                  <c:v>2014-06</c:v>
                </c:pt>
                <c:pt idx="114">
                  <c:v>2014-07</c:v>
                </c:pt>
                <c:pt idx="115">
                  <c:v>2014-08</c:v>
                </c:pt>
                <c:pt idx="116">
                  <c:v>2014-09</c:v>
                </c:pt>
                <c:pt idx="117">
                  <c:v>2014-10</c:v>
                </c:pt>
                <c:pt idx="118">
                  <c:v>2014-11</c:v>
                </c:pt>
                <c:pt idx="119">
                  <c:v>2014-12</c:v>
                </c:pt>
                <c:pt idx="120">
                  <c:v>2015-01</c:v>
                </c:pt>
                <c:pt idx="121">
                  <c:v>2015-02</c:v>
                </c:pt>
                <c:pt idx="122">
                  <c:v>2015-03</c:v>
                </c:pt>
                <c:pt idx="123">
                  <c:v>2015-04</c:v>
                </c:pt>
                <c:pt idx="124">
                  <c:v>2015-05</c:v>
                </c:pt>
                <c:pt idx="125">
                  <c:v>2015-06</c:v>
                </c:pt>
                <c:pt idx="126">
                  <c:v>2015-07</c:v>
                </c:pt>
                <c:pt idx="127">
                  <c:v>2015-08</c:v>
                </c:pt>
                <c:pt idx="128">
                  <c:v>2015-09</c:v>
                </c:pt>
                <c:pt idx="129">
                  <c:v>2015-10</c:v>
                </c:pt>
                <c:pt idx="130">
                  <c:v>2015-11</c:v>
                </c:pt>
                <c:pt idx="131">
                  <c:v>2015-12</c:v>
                </c:pt>
                <c:pt idx="132">
                  <c:v>2016-01</c:v>
                </c:pt>
                <c:pt idx="133">
                  <c:v>2016-02</c:v>
                </c:pt>
                <c:pt idx="134">
                  <c:v>2016-03</c:v>
                </c:pt>
                <c:pt idx="135">
                  <c:v>2016-04</c:v>
                </c:pt>
                <c:pt idx="136">
                  <c:v>2016-05</c:v>
                </c:pt>
                <c:pt idx="137">
                  <c:v>2016-06</c:v>
                </c:pt>
                <c:pt idx="138">
                  <c:v>2016-07</c:v>
                </c:pt>
                <c:pt idx="139">
                  <c:v>2016-08</c:v>
                </c:pt>
                <c:pt idx="140">
                  <c:v>2016-09</c:v>
                </c:pt>
                <c:pt idx="141">
                  <c:v>2016-10</c:v>
                </c:pt>
                <c:pt idx="142">
                  <c:v>2016-11</c:v>
                </c:pt>
                <c:pt idx="143">
                  <c:v>2016-12</c:v>
                </c:pt>
                <c:pt idx="144">
                  <c:v>2017-01</c:v>
                </c:pt>
                <c:pt idx="145">
                  <c:v>2017-02</c:v>
                </c:pt>
                <c:pt idx="146">
                  <c:v>2017-03</c:v>
                </c:pt>
                <c:pt idx="147">
                  <c:v>2017-04</c:v>
                </c:pt>
                <c:pt idx="148">
                  <c:v>2017-05</c:v>
                </c:pt>
                <c:pt idx="149">
                  <c:v>2017-06</c:v>
                </c:pt>
                <c:pt idx="150">
                  <c:v>2017-07</c:v>
                </c:pt>
                <c:pt idx="151">
                  <c:v>2017-08</c:v>
                </c:pt>
                <c:pt idx="152">
                  <c:v>2017-09</c:v>
                </c:pt>
                <c:pt idx="153">
                  <c:v>2017-10</c:v>
                </c:pt>
                <c:pt idx="154">
                  <c:v>2017-11</c:v>
                </c:pt>
                <c:pt idx="155">
                  <c:v>2017-12</c:v>
                </c:pt>
                <c:pt idx="156">
                  <c:v>2018-01</c:v>
                </c:pt>
                <c:pt idx="157">
                  <c:v>2018-02</c:v>
                </c:pt>
                <c:pt idx="158">
                  <c:v>2018-03</c:v>
                </c:pt>
                <c:pt idx="159">
                  <c:v>2018-04</c:v>
                </c:pt>
                <c:pt idx="160">
                  <c:v>2018-05</c:v>
                </c:pt>
                <c:pt idx="161">
                  <c:v>2018-06</c:v>
                </c:pt>
                <c:pt idx="162">
                  <c:v>2018-07</c:v>
                </c:pt>
                <c:pt idx="163">
                  <c:v>2018-08</c:v>
                </c:pt>
                <c:pt idx="164">
                  <c:v>2018-09</c:v>
                </c:pt>
                <c:pt idx="165">
                  <c:v>2018-10</c:v>
                </c:pt>
                <c:pt idx="166">
                  <c:v>2018-11</c:v>
                </c:pt>
                <c:pt idx="167">
                  <c:v>2018-12</c:v>
                </c:pt>
                <c:pt idx="168">
                  <c:v>2019-01</c:v>
                </c:pt>
                <c:pt idx="169">
                  <c:v>2019-02</c:v>
                </c:pt>
                <c:pt idx="170">
                  <c:v>2019-03</c:v>
                </c:pt>
                <c:pt idx="171">
                  <c:v>2019-04</c:v>
                </c:pt>
                <c:pt idx="172">
                  <c:v>2019-05</c:v>
                </c:pt>
                <c:pt idx="173">
                  <c:v>2019-06</c:v>
                </c:pt>
                <c:pt idx="174">
                  <c:v>2019-07</c:v>
                </c:pt>
                <c:pt idx="175">
                  <c:v>2019-08</c:v>
                </c:pt>
                <c:pt idx="176">
                  <c:v>2019-09</c:v>
                </c:pt>
                <c:pt idx="177">
                  <c:v>2019-10</c:v>
                </c:pt>
                <c:pt idx="178">
                  <c:v>2019-11</c:v>
                </c:pt>
                <c:pt idx="179">
                  <c:v>2019-12</c:v>
                </c:pt>
                <c:pt idx="180">
                  <c:v>2020-01</c:v>
                </c:pt>
                <c:pt idx="181">
                  <c:v>2020-02</c:v>
                </c:pt>
                <c:pt idx="182">
                  <c:v>2020-03</c:v>
                </c:pt>
                <c:pt idx="183">
                  <c:v>2020-04</c:v>
                </c:pt>
                <c:pt idx="184">
                  <c:v>2020-05</c:v>
                </c:pt>
                <c:pt idx="185">
                  <c:v>2020-06</c:v>
                </c:pt>
                <c:pt idx="186">
                  <c:v>2020-07</c:v>
                </c:pt>
                <c:pt idx="187">
                  <c:v>2020-08</c:v>
                </c:pt>
                <c:pt idx="188">
                  <c:v>2020-09</c:v>
                </c:pt>
                <c:pt idx="189">
                  <c:v>2020-10</c:v>
                </c:pt>
                <c:pt idx="190">
                  <c:v>2020-11</c:v>
                </c:pt>
                <c:pt idx="191">
                  <c:v>2020-12</c:v>
                </c:pt>
                <c:pt idx="192">
                  <c:v>2021-01</c:v>
                </c:pt>
                <c:pt idx="193">
                  <c:v>2021-02</c:v>
                </c:pt>
                <c:pt idx="194">
                  <c:v>2021-03</c:v>
                </c:pt>
                <c:pt idx="195">
                  <c:v>2021-04</c:v>
                </c:pt>
                <c:pt idx="196">
                  <c:v>2021-05</c:v>
                </c:pt>
                <c:pt idx="197">
                  <c:v>2021-06</c:v>
                </c:pt>
                <c:pt idx="198">
                  <c:v>2021-07</c:v>
                </c:pt>
              </c:strCache>
            </c:strRef>
          </c:cat>
          <c:val>
            <c:numRef>
              <c:f>Sheet1!$B$2:$B$338</c:f>
              <c:numCache>
                <c:formatCode>General</c:formatCode>
                <c:ptCount val="199"/>
                <c:pt idx="0">
                  <c:v>21.4</c:v>
                </c:pt>
                <c:pt idx="1">
                  <c:v>19.899999999999999</c:v>
                </c:pt>
                <c:pt idx="2">
                  <c:v>20.3</c:v>
                </c:pt>
                <c:pt idx="3">
                  <c:v>26.8</c:v>
                </c:pt>
                <c:pt idx="4">
                  <c:v>30.9</c:v>
                </c:pt>
                <c:pt idx="5">
                  <c:v>36.200000000000003</c:v>
                </c:pt>
                <c:pt idx="6">
                  <c:v>31.8</c:v>
                </c:pt>
                <c:pt idx="7">
                  <c:v>30.3</c:v>
                </c:pt>
                <c:pt idx="8">
                  <c:v>37.1</c:v>
                </c:pt>
                <c:pt idx="9">
                  <c:v>37.799999999999997</c:v>
                </c:pt>
                <c:pt idx="10">
                  <c:v>40.9</c:v>
                </c:pt>
                <c:pt idx="11">
                  <c:v>43.2</c:v>
                </c:pt>
                <c:pt idx="12">
                  <c:v>40</c:v>
                </c:pt>
                <c:pt idx="13">
                  <c:v>37</c:v>
                </c:pt>
                <c:pt idx="14">
                  <c:v>39.9</c:v>
                </c:pt>
                <c:pt idx="15">
                  <c:v>41.9</c:v>
                </c:pt>
                <c:pt idx="16">
                  <c:v>49.3</c:v>
                </c:pt>
                <c:pt idx="17">
                  <c:v>51.9</c:v>
                </c:pt>
                <c:pt idx="18">
                  <c:v>51.2</c:v>
                </c:pt>
                <c:pt idx="19">
                  <c:v>51.4</c:v>
                </c:pt>
                <c:pt idx="20">
                  <c:v>49.5</c:v>
                </c:pt>
                <c:pt idx="21">
                  <c:v>51.1</c:v>
                </c:pt>
                <c:pt idx="22">
                  <c:v>48.9</c:v>
                </c:pt>
                <c:pt idx="23">
                  <c:v>52.2</c:v>
                </c:pt>
                <c:pt idx="24">
                  <c:v>54</c:v>
                </c:pt>
                <c:pt idx="25">
                  <c:v>52.2</c:v>
                </c:pt>
                <c:pt idx="26">
                  <c:v>51.1</c:v>
                </c:pt>
                <c:pt idx="27">
                  <c:v>50.8</c:v>
                </c:pt>
                <c:pt idx="28">
                  <c:v>56.6</c:v>
                </c:pt>
                <c:pt idx="29">
                  <c:v>56.4</c:v>
                </c:pt>
                <c:pt idx="30">
                  <c:v>52.9</c:v>
                </c:pt>
                <c:pt idx="31">
                  <c:v>51.9</c:v>
                </c:pt>
                <c:pt idx="32">
                  <c:v>49.3</c:v>
                </c:pt>
                <c:pt idx="33">
                  <c:v>47.5</c:v>
                </c:pt>
                <c:pt idx="34">
                  <c:v>41.5</c:v>
                </c:pt>
                <c:pt idx="35">
                  <c:v>39.9</c:v>
                </c:pt>
                <c:pt idx="36">
                  <c:v>31.9</c:v>
                </c:pt>
                <c:pt idx="37">
                  <c:v>28</c:v>
                </c:pt>
                <c:pt idx="38">
                  <c:v>26.1</c:v>
                </c:pt>
                <c:pt idx="39">
                  <c:v>21.6</c:v>
                </c:pt>
                <c:pt idx="40">
                  <c:v>12.7</c:v>
                </c:pt>
                <c:pt idx="41">
                  <c:v>10.9</c:v>
                </c:pt>
                <c:pt idx="42">
                  <c:v>4</c:v>
                </c:pt>
                <c:pt idx="43">
                  <c:v>2.1</c:v>
                </c:pt>
                <c:pt idx="44">
                  <c:v>0.1</c:v>
                </c:pt>
                <c:pt idx="45">
                  <c:v>0.7</c:v>
                </c:pt>
                <c:pt idx="46">
                  <c:v>0.3</c:v>
                </c:pt>
                <c:pt idx="47">
                  <c:v>-0.3</c:v>
                </c:pt>
                <c:pt idx="48">
                  <c:v>1.7</c:v>
                </c:pt>
                <c:pt idx="49">
                  <c:v>6.3</c:v>
                </c:pt>
                <c:pt idx="50">
                  <c:v>5.7</c:v>
                </c:pt>
                <c:pt idx="51">
                  <c:v>3.1</c:v>
                </c:pt>
                <c:pt idx="52">
                  <c:v>0</c:v>
                </c:pt>
                <c:pt idx="53">
                  <c:v>-1.8</c:v>
                </c:pt>
                <c:pt idx="54">
                  <c:v>-2.2000000000000002</c:v>
                </c:pt>
                <c:pt idx="55">
                  <c:v>-2.5</c:v>
                </c:pt>
                <c:pt idx="56">
                  <c:v>-4</c:v>
                </c:pt>
                <c:pt idx="57">
                  <c:v>-4.5</c:v>
                </c:pt>
                <c:pt idx="58">
                  <c:v>-0.6</c:v>
                </c:pt>
                <c:pt idx="59">
                  <c:v>1.9</c:v>
                </c:pt>
                <c:pt idx="60">
                  <c:v>4.2</c:v>
                </c:pt>
                <c:pt idx="61">
                  <c:v>8.1999999999999993</c:v>
                </c:pt>
                <c:pt idx="62">
                  <c:v>8.1</c:v>
                </c:pt>
                <c:pt idx="63">
                  <c:v>8.1</c:v>
                </c:pt>
                <c:pt idx="64">
                  <c:v>4.5</c:v>
                </c:pt>
                <c:pt idx="65">
                  <c:v>3.4</c:v>
                </c:pt>
                <c:pt idx="66">
                  <c:v>5.3</c:v>
                </c:pt>
                <c:pt idx="67">
                  <c:v>7.6</c:v>
                </c:pt>
                <c:pt idx="68">
                  <c:v>7.5</c:v>
                </c:pt>
                <c:pt idx="69">
                  <c:v>3.9</c:v>
                </c:pt>
                <c:pt idx="70">
                  <c:v>8.5</c:v>
                </c:pt>
                <c:pt idx="71">
                  <c:v>5</c:v>
                </c:pt>
                <c:pt idx="72">
                  <c:v>6.7</c:v>
                </c:pt>
                <c:pt idx="73">
                  <c:v>9</c:v>
                </c:pt>
                <c:pt idx="74">
                  <c:v>11.3</c:v>
                </c:pt>
                <c:pt idx="75">
                  <c:v>13.7</c:v>
                </c:pt>
                <c:pt idx="76">
                  <c:v>13.8</c:v>
                </c:pt>
                <c:pt idx="77">
                  <c:v>12.3</c:v>
                </c:pt>
                <c:pt idx="78">
                  <c:v>16.5</c:v>
                </c:pt>
                <c:pt idx="79">
                  <c:v>14.3</c:v>
                </c:pt>
                <c:pt idx="80">
                  <c:v>16.7</c:v>
                </c:pt>
                <c:pt idx="81">
                  <c:v>17.399999999999999</c:v>
                </c:pt>
                <c:pt idx="82">
                  <c:v>18.3</c:v>
                </c:pt>
                <c:pt idx="83">
                  <c:v>12.1</c:v>
                </c:pt>
                <c:pt idx="84">
                  <c:v>12.5</c:v>
                </c:pt>
                <c:pt idx="85">
                  <c:v>13.5</c:v>
                </c:pt>
                <c:pt idx="86">
                  <c:v>13.2</c:v>
                </c:pt>
                <c:pt idx="87">
                  <c:v>25.7</c:v>
                </c:pt>
                <c:pt idx="88">
                  <c:v>16.3</c:v>
                </c:pt>
                <c:pt idx="89">
                  <c:v>16.2</c:v>
                </c:pt>
                <c:pt idx="90">
                  <c:v>19.100000000000001</c:v>
                </c:pt>
                <c:pt idx="91">
                  <c:v>19.2</c:v>
                </c:pt>
                <c:pt idx="92">
                  <c:v>19.5</c:v>
                </c:pt>
                <c:pt idx="93">
                  <c:v>18.399999999999999</c:v>
                </c:pt>
                <c:pt idx="94">
                  <c:v>16.7</c:v>
                </c:pt>
                <c:pt idx="95">
                  <c:v>4.0999999999999996</c:v>
                </c:pt>
                <c:pt idx="96">
                  <c:v>13.5</c:v>
                </c:pt>
                <c:pt idx="97">
                  <c:v>11.3</c:v>
                </c:pt>
                <c:pt idx="98">
                  <c:v>12.9</c:v>
                </c:pt>
                <c:pt idx="99">
                  <c:v>8</c:v>
                </c:pt>
                <c:pt idx="100">
                  <c:v>13.4</c:v>
                </c:pt>
                <c:pt idx="101">
                  <c:v>14</c:v>
                </c:pt>
                <c:pt idx="102">
                  <c:v>14.6</c:v>
                </c:pt>
                <c:pt idx="103">
                  <c:v>14.1</c:v>
                </c:pt>
                <c:pt idx="104">
                  <c:v>11.7</c:v>
                </c:pt>
                <c:pt idx="105">
                  <c:v>13.3</c:v>
                </c:pt>
                <c:pt idx="106">
                  <c:v>13.5</c:v>
                </c:pt>
                <c:pt idx="107">
                  <c:v>16.7</c:v>
                </c:pt>
                <c:pt idx="108">
                  <c:v>15.8</c:v>
                </c:pt>
                <c:pt idx="109">
                  <c:v>13.3</c:v>
                </c:pt>
                <c:pt idx="110">
                  <c:v>15.6</c:v>
                </c:pt>
                <c:pt idx="111">
                  <c:v>11.7</c:v>
                </c:pt>
                <c:pt idx="112">
                  <c:v>14.6</c:v>
                </c:pt>
                <c:pt idx="113">
                  <c:v>15.1</c:v>
                </c:pt>
                <c:pt idx="114">
                  <c:v>13.1</c:v>
                </c:pt>
                <c:pt idx="115">
                  <c:v>15</c:v>
                </c:pt>
                <c:pt idx="116">
                  <c:v>13.1</c:v>
                </c:pt>
                <c:pt idx="117">
                  <c:v>12.8</c:v>
                </c:pt>
                <c:pt idx="118">
                  <c:v>12.8</c:v>
                </c:pt>
                <c:pt idx="119">
                  <c:v>16.399999999999999</c:v>
                </c:pt>
                <c:pt idx="120">
                  <c:v>15</c:v>
                </c:pt>
                <c:pt idx="121">
                  <c:v>13.7</c:v>
                </c:pt>
                <c:pt idx="122">
                  <c:v>12</c:v>
                </c:pt>
                <c:pt idx="123">
                  <c:v>9.8000000000000007</c:v>
                </c:pt>
                <c:pt idx="124">
                  <c:v>9.8000000000000007</c:v>
                </c:pt>
                <c:pt idx="125">
                  <c:v>10.8</c:v>
                </c:pt>
                <c:pt idx="126">
                  <c:v>6.9</c:v>
                </c:pt>
                <c:pt idx="127">
                  <c:v>5.7</c:v>
                </c:pt>
                <c:pt idx="128">
                  <c:v>7.2</c:v>
                </c:pt>
                <c:pt idx="129">
                  <c:v>6.1</c:v>
                </c:pt>
                <c:pt idx="130">
                  <c:v>5.9</c:v>
                </c:pt>
                <c:pt idx="131">
                  <c:v>10.6</c:v>
                </c:pt>
                <c:pt idx="132">
                  <c:v>6.3</c:v>
                </c:pt>
                <c:pt idx="133">
                  <c:v>8</c:v>
                </c:pt>
                <c:pt idx="134">
                  <c:v>7.3</c:v>
                </c:pt>
                <c:pt idx="135">
                  <c:v>5.4</c:v>
                </c:pt>
                <c:pt idx="136">
                  <c:v>6.7</c:v>
                </c:pt>
                <c:pt idx="137">
                  <c:v>7</c:v>
                </c:pt>
                <c:pt idx="138">
                  <c:v>5.8</c:v>
                </c:pt>
                <c:pt idx="139">
                  <c:v>5.0999999999999996</c:v>
                </c:pt>
                <c:pt idx="140">
                  <c:v>5.7</c:v>
                </c:pt>
                <c:pt idx="141">
                  <c:v>6.9</c:v>
                </c:pt>
                <c:pt idx="142">
                  <c:v>6.7</c:v>
                </c:pt>
                <c:pt idx="143">
                  <c:v>9.9</c:v>
                </c:pt>
                <c:pt idx="144">
                  <c:v>10.7</c:v>
                </c:pt>
                <c:pt idx="145">
                  <c:v>11.7</c:v>
                </c:pt>
                <c:pt idx="146">
                  <c:v>11.7</c:v>
                </c:pt>
                <c:pt idx="147">
                  <c:v>13.6</c:v>
                </c:pt>
                <c:pt idx="148">
                  <c:v>13.3</c:v>
                </c:pt>
                <c:pt idx="149">
                  <c:v>15</c:v>
                </c:pt>
                <c:pt idx="150">
                  <c:v>17.3</c:v>
                </c:pt>
                <c:pt idx="151">
                  <c:v>13.5</c:v>
                </c:pt>
                <c:pt idx="152">
                  <c:v>15.4</c:v>
                </c:pt>
                <c:pt idx="153">
                  <c:v>18.2</c:v>
                </c:pt>
                <c:pt idx="154">
                  <c:v>16.600000000000001</c:v>
                </c:pt>
                <c:pt idx="155">
                  <c:v>20.8</c:v>
                </c:pt>
                <c:pt idx="156">
                  <c:v>19.2</c:v>
                </c:pt>
                <c:pt idx="157">
                  <c:v>20.399999999999999</c:v>
                </c:pt>
                <c:pt idx="158">
                  <c:v>16.899999999999999</c:v>
                </c:pt>
                <c:pt idx="159">
                  <c:v>16.7</c:v>
                </c:pt>
                <c:pt idx="160">
                  <c:v>23.5</c:v>
                </c:pt>
                <c:pt idx="161">
                  <c:v>24.2</c:v>
                </c:pt>
                <c:pt idx="162">
                  <c:v>22.6</c:v>
                </c:pt>
                <c:pt idx="163">
                  <c:v>27.1</c:v>
                </c:pt>
                <c:pt idx="164">
                  <c:v>26.1</c:v>
                </c:pt>
                <c:pt idx="165">
                  <c:v>25.3</c:v>
                </c:pt>
                <c:pt idx="166">
                  <c:v>25.7</c:v>
                </c:pt>
                <c:pt idx="167">
                  <c:v>20.9</c:v>
                </c:pt>
                <c:pt idx="168">
                  <c:v>23</c:v>
                </c:pt>
                <c:pt idx="169">
                  <c:v>23.7</c:v>
                </c:pt>
                <c:pt idx="170">
                  <c:v>24.2</c:v>
                </c:pt>
                <c:pt idx="171">
                  <c:v>26.3</c:v>
                </c:pt>
                <c:pt idx="172">
                  <c:v>28</c:v>
                </c:pt>
                <c:pt idx="173">
                  <c:v>28.1</c:v>
                </c:pt>
                <c:pt idx="174">
                  <c:v>26.5</c:v>
                </c:pt>
                <c:pt idx="175">
                  <c:v>23.5</c:v>
                </c:pt>
                <c:pt idx="176">
                  <c:v>20.100000000000001</c:v>
                </c:pt>
                <c:pt idx="177">
                  <c:v>19.8</c:v>
                </c:pt>
                <c:pt idx="178">
                  <c:v>18.399999999999999</c:v>
                </c:pt>
                <c:pt idx="179">
                  <c:v>18.8</c:v>
                </c:pt>
                <c:pt idx="180">
                  <c:v>20.100000000000001</c:v>
                </c:pt>
                <c:pt idx="181">
                  <c:v>17.7</c:v>
                </c:pt>
                <c:pt idx="182">
                  <c:v>16.2</c:v>
                </c:pt>
                <c:pt idx="183">
                  <c:v>12.4</c:v>
                </c:pt>
                <c:pt idx="184">
                  <c:v>6.6</c:v>
                </c:pt>
                <c:pt idx="185">
                  <c:v>11</c:v>
                </c:pt>
                <c:pt idx="186">
                  <c:v>11</c:v>
                </c:pt>
                <c:pt idx="187">
                  <c:v>11.3</c:v>
                </c:pt>
                <c:pt idx="188">
                  <c:v>10.4</c:v>
                </c:pt>
                <c:pt idx="189">
                  <c:v>8</c:v>
                </c:pt>
                <c:pt idx="190">
                  <c:v>11.1</c:v>
                </c:pt>
                <c:pt idx="191">
                  <c:v>9.5</c:v>
                </c:pt>
                <c:pt idx="192">
                  <c:v>11.3</c:v>
                </c:pt>
                <c:pt idx="193">
                  <c:v>11.1</c:v>
                </c:pt>
                <c:pt idx="194">
                  <c:v>12.8</c:v>
                </c:pt>
                <c:pt idx="195">
                  <c:v>13.1</c:v>
                </c:pt>
                <c:pt idx="196">
                  <c:v>14.9</c:v>
                </c:pt>
                <c:pt idx="197">
                  <c:v>13.6</c:v>
                </c:pt>
                <c:pt idx="198">
                  <c:v>20.5</c:v>
                </c:pt>
              </c:numCache>
            </c:numRef>
          </c:val>
          <c:smooth val="0"/>
          <c:extLst>
            <c:ext xmlns:c16="http://schemas.microsoft.com/office/drawing/2014/chart" uri="{C3380CC4-5D6E-409C-BE32-E72D297353CC}">
              <c16:uniqueId val="{00000000-B17B-4681-AB33-9A02D9A51F53}"/>
            </c:ext>
          </c:extLst>
        </c:ser>
        <c:dLbls>
          <c:showLegendKey val="0"/>
          <c:showVal val="0"/>
          <c:showCatName val="0"/>
          <c:showSerName val="0"/>
          <c:showPercent val="0"/>
          <c:showBubbleSize val="0"/>
        </c:dLbls>
        <c:smooth val="0"/>
        <c:axId val="603432496"/>
        <c:axId val="473871072"/>
      </c:lineChart>
      <c:catAx>
        <c:axId val="60343249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473871072"/>
        <c:crosses val="autoZero"/>
        <c:auto val="1"/>
        <c:lblAlgn val="ctr"/>
        <c:lblOffset val="100"/>
        <c:noMultiLvlLbl val="0"/>
      </c:catAx>
      <c:valAx>
        <c:axId val="473871072"/>
        <c:scaling>
          <c:orientation val="minMax"/>
        </c:scaling>
        <c:delete val="0"/>
        <c:axPos val="l"/>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603432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spcAft>
          <a:spcPts val="600"/>
        </a:spcAft>
        <a:defRPr sz="800">
          <a:latin typeface="Arial Nova" panose="020B0504020202020204" pitchFamily="34" charset="0"/>
        </a:defRPr>
      </a:pPr>
      <a:endParaRPr lang="lv-LV"/>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5.4278238543149677E-2"/>
          <c:y val="9.1682505204090936E-3"/>
          <c:w val="0.92653588781189111"/>
          <c:h val="0.95226410223312252"/>
        </c:manualLayout>
      </c:layout>
      <c:lineChart>
        <c:grouping val="standard"/>
        <c:varyColors val="0"/>
        <c:ser>
          <c:idx val="0"/>
          <c:order val="0"/>
          <c:tx>
            <c:strRef>
              <c:f>Sheet1!$B$1</c:f>
              <c:strCache>
                <c:ptCount val="1"/>
                <c:pt idx="0">
                  <c:v>Darbaspēka pieprasījums</c:v>
                </c:pt>
              </c:strCache>
            </c:strRef>
          </c:tx>
          <c:spPr>
            <a:ln w="28575" cap="rnd">
              <a:solidFill>
                <a:schemeClr val="accent5">
                  <a:lumMod val="75000"/>
                </a:schemeClr>
              </a:solidFill>
              <a:round/>
            </a:ln>
            <a:effectLst/>
          </c:spPr>
          <c:marker>
            <c:symbol val="none"/>
          </c:marker>
          <c:cat>
            <c:strRef>
              <c:f>Sheet1!$A$2:$A$34</c:f>
              <c:strCache>
                <c:ptCount val="9"/>
                <c:pt idx="0">
                  <c:v>2019</c:v>
                </c:pt>
                <c:pt idx="1">
                  <c:v>2020</c:v>
                </c:pt>
                <c:pt idx="2">
                  <c:v>2021</c:v>
                </c:pt>
                <c:pt idx="3">
                  <c:v>2022</c:v>
                </c:pt>
                <c:pt idx="4">
                  <c:v>2023</c:v>
                </c:pt>
                <c:pt idx="5">
                  <c:v>2024</c:v>
                </c:pt>
                <c:pt idx="6">
                  <c:v>2025</c:v>
                </c:pt>
                <c:pt idx="7">
                  <c:v>2026</c:v>
                </c:pt>
                <c:pt idx="8">
                  <c:v>2027</c:v>
                </c:pt>
              </c:strCache>
            </c:strRef>
          </c:cat>
          <c:val>
            <c:numRef>
              <c:f>Sheet1!$B$2:$B$34</c:f>
              <c:numCache>
                <c:formatCode>0.0</c:formatCode>
                <c:ptCount val="9"/>
                <c:pt idx="0">
                  <c:v>81.099999999999994</c:v>
                </c:pt>
                <c:pt idx="1">
                  <c:v>76.242000000000004</c:v>
                </c:pt>
                <c:pt idx="2">
                  <c:v>78.83</c:v>
                </c:pt>
                <c:pt idx="3">
                  <c:v>80.123999999999995</c:v>
                </c:pt>
                <c:pt idx="4">
                  <c:v>82.778000000000006</c:v>
                </c:pt>
                <c:pt idx="5">
                  <c:v>85.489000000000004</c:v>
                </c:pt>
                <c:pt idx="6">
                  <c:v>88.022000000000006</c:v>
                </c:pt>
                <c:pt idx="7">
                  <c:v>88.77</c:v>
                </c:pt>
                <c:pt idx="8">
                  <c:v>88.611999999999995</c:v>
                </c:pt>
              </c:numCache>
            </c:numRef>
          </c:val>
          <c:smooth val="1"/>
          <c:extLst>
            <c:ext xmlns:c16="http://schemas.microsoft.com/office/drawing/2014/chart" uri="{C3380CC4-5D6E-409C-BE32-E72D297353CC}">
              <c16:uniqueId val="{00000000-578F-4902-9F07-C02669EE71DB}"/>
            </c:ext>
          </c:extLst>
        </c:ser>
        <c:ser>
          <c:idx val="1"/>
          <c:order val="1"/>
          <c:tx>
            <c:strRef>
              <c:f>Sheet1!$C$1</c:f>
              <c:strCache>
                <c:ptCount val="1"/>
                <c:pt idx="0">
                  <c:v>Darbaspēka piedāvājums</c:v>
                </c:pt>
              </c:strCache>
            </c:strRef>
          </c:tx>
          <c:spPr>
            <a:ln w="28575" cap="rnd">
              <a:solidFill>
                <a:schemeClr val="bg1">
                  <a:lumMod val="50000"/>
                </a:schemeClr>
              </a:solidFill>
              <a:round/>
            </a:ln>
            <a:effectLst/>
          </c:spPr>
          <c:marker>
            <c:symbol val="none"/>
          </c:marker>
          <c:cat>
            <c:strRef>
              <c:f>Sheet1!$A$2:$A$34</c:f>
              <c:strCache>
                <c:ptCount val="9"/>
                <c:pt idx="0">
                  <c:v>2019</c:v>
                </c:pt>
                <c:pt idx="1">
                  <c:v>2020</c:v>
                </c:pt>
                <c:pt idx="2">
                  <c:v>2021</c:v>
                </c:pt>
                <c:pt idx="3">
                  <c:v>2022</c:v>
                </c:pt>
                <c:pt idx="4">
                  <c:v>2023</c:v>
                </c:pt>
                <c:pt idx="5">
                  <c:v>2024</c:v>
                </c:pt>
                <c:pt idx="6">
                  <c:v>2025</c:v>
                </c:pt>
                <c:pt idx="7">
                  <c:v>2026</c:v>
                </c:pt>
                <c:pt idx="8">
                  <c:v>2027</c:v>
                </c:pt>
              </c:strCache>
            </c:strRef>
          </c:cat>
          <c:val>
            <c:numRef>
              <c:f>Sheet1!$C$2:$C$34</c:f>
              <c:numCache>
                <c:formatCode>0.0</c:formatCode>
                <c:ptCount val="9"/>
                <c:pt idx="0">
                  <c:v>88.385420996266461</c:v>
                </c:pt>
                <c:pt idx="1">
                  <c:v>87.353598614383102</c:v>
                </c:pt>
                <c:pt idx="2">
                  <c:v>87.332809019573034</c:v>
                </c:pt>
                <c:pt idx="3">
                  <c:v>87.229031244272448</c:v>
                </c:pt>
                <c:pt idx="4">
                  <c:v>88.127901727812585</c:v>
                </c:pt>
                <c:pt idx="5">
                  <c:v>89.383032543471572</c:v>
                </c:pt>
                <c:pt idx="6">
                  <c:v>90.803688142922994</c:v>
                </c:pt>
                <c:pt idx="7">
                  <c:v>90.958342896961099</c:v>
                </c:pt>
                <c:pt idx="8">
                  <c:v>90.555316312757</c:v>
                </c:pt>
              </c:numCache>
            </c:numRef>
          </c:val>
          <c:smooth val="1"/>
          <c:extLst>
            <c:ext xmlns:c16="http://schemas.microsoft.com/office/drawing/2014/chart" uri="{C3380CC4-5D6E-409C-BE32-E72D297353CC}">
              <c16:uniqueId val="{00000001-578F-4902-9F07-C02669EE71DB}"/>
            </c:ext>
          </c:extLst>
        </c:ser>
        <c:dLbls>
          <c:showLegendKey val="0"/>
          <c:showVal val="0"/>
          <c:showCatName val="0"/>
          <c:showSerName val="0"/>
          <c:showPercent val="0"/>
          <c:showBubbleSize val="0"/>
        </c:dLbls>
        <c:smooth val="0"/>
        <c:axId val="788185776"/>
        <c:axId val="788194304"/>
      </c:lineChart>
      <c:catAx>
        <c:axId val="78818577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788194304"/>
        <c:crosses val="autoZero"/>
        <c:auto val="1"/>
        <c:lblAlgn val="ctr"/>
        <c:lblOffset val="100"/>
        <c:tickLblSkip val="1"/>
        <c:noMultiLvlLbl val="0"/>
      </c:catAx>
      <c:valAx>
        <c:axId val="788194304"/>
        <c:scaling>
          <c:orientation val="minMax"/>
          <c:min val="70"/>
        </c:scaling>
        <c:delete val="0"/>
        <c:axPos val="l"/>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788185776"/>
        <c:crosses val="autoZero"/>
        <c:crossBetween val="between"/>
      </c:valAx>
      <c:spPr>
        <a:noFill/>
        <a:ln>
          <a:noFill/>
        </a:ln>
        <a:effectLst/>
      </c:spPr>
    </c:plotArea>
    <c:legend>
      <c:legendPos val="r"/>
      <c:layout>
        <c:manualLayout>
          <c:xMode val="edge"/>
          <c:yMode val="edge"/>
          <c:x val="0.33060485061082145"/>
          <c:y val="0.60964048901782009"/>
          <c:w val="0.57460841953135877"/>
          <c:h val="0.1886137588064649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latin typeface="Arial Nova" panose="020B0504020202020204" pitchFamily="34" charset="0"/>
        </a:defRPr>
      </a:pPr>
      <a:endParaRPr lang="lv-LV"/>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5.4278238543149677E-2"/>
          <c:y val="9.1682505204090936E-3"/>
          <c:w val="0.90074611079804578"/>
          <c:h val="0.95226410223312252"/>
        </c:manualLayout>
      </c:layout>
      <c:barChart>
        <c:barDir val="col"/>
        <c:grouping val="clustered"/>
        <c:varyColors val="0"/>
        <c:ser>
          <c:idx val="0"/>
          <c:order val="0"/>
          <c:tx>
            <c:strRef>
              <c:f>Sheet1!$B$1</c:f>
              <c:strCache>
                <c:ptCount val="1"/>
                <c:pt idx="0">
                  <c:v>Darbaspēka pieprasījums</c:v>
                </c:pt>
              </c:strCache>
            </c:strRef>
          </c:tx>
          <c:spPr>
            <a:solidFill>
              <a:schemeClr val="accent5">
                <a:lumMod val="75000"/>
              </a:schemeClr>
            </a:solidFill>
            <a:ln>
              <a:solidFill>
                <a:schemeClr val="accent5">
                  <a:lumMod val="75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Augstākā izglītība</c:v>
                </c:pt>
                <c:pt idx="1">
                  <c:v>Vidējā profesionālā izglītība</c:v>
                </c:pt>
              </c:strCache>
            </c:strRef>
          </c:cat>
          <c:val>
            <c:numRef>
              <c:f>Sheet1!$B$2:$B$3</c:f>
              <c:numCache>
                <c:formatCode>0.0</c:formatCode>
                <c:ptCount val="2"/>
                <c:pt idx="0">
                  <c:v>27.346961771237357</c:v>
                </c:pt>
                <c:pt idx="1">
                  <c:v>27.7</c:v>
                </c:pt>
              </c:numCache>
            </c:numRef>
          </c:val>
          <c:extLst>
            <c:ext xmlns:c16="http://schemas.microsoft.com/office/drawing/2014/chart" uri="{C3380CC4-5D6E-409C-BE32-E72D297353CC}">
              <c16:uniqueId val="{00000000-D542-4505-870C-782C944BD7F4}"/>
            </c:ext>
          </c:extLst>
        </c:ser>
        <c:ser>
          <c:idx val="1"/>
          <c:order val="1"/>
          <c:tx>
            <c:strRef>
              <c:f>Sheet1!$C$1</c:f>
              <c:strCache>
                <c:ptCount val="1"/>
                <c:pt idx="0">
                  <c:v>Darbaspēka piedāvājums</c:v>
                </c:pt>
              </c:strCache>
            </c:strRef>
          </c:tx>
          <c:spPr>
            <a:solidFill>
              <a:schemeClr val="bg1">
                <a:lumMod val="50000"/>
              </a:schemeClr>
            </a:solidFill>
            <a:ln>
              <a:solidFill>
                <a:schemeClr val="bg1">
                  <a:lumMod val="50000"/>
                </a:schemeClr>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Nova" panose="020B0504020202020204" pitchFamily="34"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Augstākā izglītība</c:v>
                </c:pt>
                <c:pt idx="1">
                  <c:v>Vidējā profesionālā izglītība</c:v>
                </c:pt>
              </c:strCache>
            </c:strRef>
          </c:cat>
          <c:val>
            <c:numRef>
              <c:f>Sheet1!$C$2:$C$3</c:f>
              <c:numCache>
                <c:formatCode>0.0</c:formatCode>
                <c:ptCount val="2"/>
                <c:pt idx="0">
                  <c:v>20.190400977280369</c:v>
                </c:pt>
                <c:pt idx="1">
                  <c:v>22</c:v>
                </c:pt>
              </c:numCache>
            </c:numRef>
          </c:val>
          <c:extLst>
            <c:ext xmlns:c16="http://schemas.microsoft.com/office/drawing/2014/chart" uri="{C3380CC4-5D6E-409C-BE32-E72D297353CC}">
              <c16:uniqueId val="{00000001-D542-4505-870C-782C944BD7F4}"/>
            </c:ext>
          </c:extLst>
        </c:ser>
        <c:dLbls>
          <c:showLegendKey val="0"/>
          <c:showVal val="0"/>
          <c:showCatName val="0"/>
          <c:showSerName val="0"/>
          <c:showPercent val="0"/>
          <c:showBubbleSize val="0"/>
        </c:dLbls>
        <c:gapWidth val="150"/>
        <c:axId val="788185776"/>
        <c:axId val="788194304"/>
      </c:barChart>
      <c:catAx>
        <c:axId val="78818577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788194304"/>
        <c:crosses val="autoZero"/>
        <c:auto val="1"/>
        <c:lblAlgn val="ctr"/>
        <c:lblOffset val="100"/>
        <c:noMultiLvlLbl val="0"/>
      </c:catAx>
      <c:valAx>
        <c:axId val="788194304"/>
        <c:scaling>
          <c:orientation val="minMax"/>
          <c:max val="80"/>
          <c:min val="0"/>
        </c:scaling>
        <c:delete val="0"/>
        <c:axPos val="l"/>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crossAx val="788185776"/>
        <c:crosses val="autoZero"/>
        <c:crossBetween val="between"/>
        <c:majorUnit val="40"/>
      </c:valAx>
      <c:spPr>
        <a:solidFill>
          <a:schemeClr val="bg1">
            <a:lumMod val="95000"/>
          </a:schemeClr>
        </a:solidFill>
        <a:ln>
          <a:noFill/>
        </a:ln>
        <a:effectLst/>
      </c:spPr>
    </c:plotArea>
    <c:legend>
      <c:legendPos val="r"/>
      <c:layout>
        <c:manualLayout>
          <c:xMode val="edge"/>
          <c:yMode val="edge"/>
          <c:x val="7.1261538461538446E-2"/>
          <c:y val="4.6754659930960556E-2"/>
          <c:w val="0.51859807916082878"/>
          <c:h val="0.1456486860048109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Nova" panose="020B0504020202020204" pitchFamily="34" charset="0"/>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noFill/>
      <a:round/>
    </a:ln>
    <a:effectLst/>
  </c:spPr>
  <c:txPr>
    <a:bodyPr/>
    <a:lstStyle/>
    <a:p>
      <a:pPr>
        <a:defRPr sz="800">
          <a:latin typeface="Arial Nova" panose="020B0504020202020204" pitchFamily="34" charset="0"/>
        </a:defRPr>
      </a:pPr>
      <a:endParaRPr lang="lv-LV"/>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72232214516084"/>
          <c:y val="5.5443548387096774E-2"/>
          <c:w val="0.81526549133481285"/>
          <c:h val="0.80218718249936505"/>
        </c:manualLayout>
      </c:layout>
      <c:lineChart>
        <c:grouping val="standard"/>
        <c:varyColors val="0"/>
        <c:ser>
          <c:idx val="0"/>
          <c:order val="0"/>
          <c:tx>
            <c:strRef>
              <c:f>'Q03'!$C$36</c:f>
              <c:strCache>
                <c:ptCount val="1"/>
                <c:pt idx="0">
                  <c:v>BPA</c:v>
                </c:pt>
              </c:strCache>
            </c:strRef>
          </c:tx>
          <c:spPr>
            <a:ln w="19050" cap="rnd">
              <a:solidFill>
                <a:schemeClr val="tx1">
                  <a:lumMod val="50000"/>
                  <a:lumOff val="50000"/>
                </a:schemeClr>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'Q03'!$H$37:$H$46</c:f>
              <c:numCache>
                <c:formatCode>General</c:formatCode>
                <c:ptCount val="10"/>
                <c:pt idx="0">
                  <c:v>12.200000000000003</c:v>
                </c:pt>
                <c:pt idx="1">
                  <c:v>14.799999999999997</c:v>
                </c:pt>
                <c:pt idx="2">
                  <c:v>7.2999999999999972</c:v>
                </c:pt>
                <c:pt idx="3">
                  <c:v>10.599999999999994</c:v>
                </c:pt>
                <c:pt idx="4">
                  <c:v>-0.59999999999999432</c:v>
                </c:pt>
                <c:pt idx="5">
                  <c:v>-16.599999999999994</c:v>
                </c:pt>
                <c:pt idx="6">
                  <c:v>18.599999999999994</c:v>
                </c:pt>
                <c:pt idx="7">
                  <c:v>21.900000000000006</c:v>
                </c:pt>
                <c:pt idx="8">
                  <c:v>2.9000000000000057</c:v>
                </c:pt>
                <c:pt idx="9">
                  <c:v>2.7000000000000028</c:v>
                </c:pt>
              </c:numCache>
            </c:numRef>
          </c:val>
          <c:smooth val="0"/>
          <c:extLst>
            <c:ext xmlns:c16="http://schemas.microsoft.com/office/drawing/2014/chart" uri="{C3380CC4-5D6E-409C-BE32-E72D297353CC}">
              <c16:uniqueId val="{00000000-BA0D-40B9-8CF5-D92FD770EC39}"/>
            </c:ext>
          </c:extLst>
        </c:ser>
        <c:ser>
          <c:idx val="1"/>
          <c:order val="1"/>
          <c:tx>
            <c:strRef>
              <c:f>'Q03'!$D$36</c:f>
              <c:strCache>
                <c:ptCount val="1"/>
                <c:pt idx="0">
                  <c:v>Statistiskā prognoze</c:v>
                </c:pt>
              </c:strCache>
            </c:strRef>
          </c:tx>
          <c:spPr>
            <a:ln w="19050" cap="rnd">
              <a:solidFill>
                <a:schemeClr val="accent5">
                  <a:lumMod val="60000"/>
                  <a:lumOff val="40000"/>
                </a:schemeClr>
              </a:solidFill>
              <a:prstDash val="sysDash"/>
              <a:round/>
            </a:ln>
            <a:effectLst/>
          </c:spPr>
          <c:marker>
            <c:symbol val="none"/>
          </c:marker>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'Q03'!$I$37:$I$51</c:f>
              <c:numCache>
                <c:formatCode>General</c:formatCode>
                <c:ptCount val="15"/>
                <c:pt idx="10">
                  <c:v>4.5238322588872961</c:v>
                </c:pt>
                <c:pt idx="11">
                  <c:v>4.1852497327432729</c:v>
                </c:pt>
                <c:pt idx="12">
                  <c:v>3.873753808690779</c:v>
                </c:pt>
                <c:pt idx="13">
                  <c:v>3.5862191095653912</c:v>
                </c:pt>
                <c:pt idx="14">
                  <c:v>3.3199832770418851</c:v>
                </c:pt>
              </c:numCache>
            </c:numRef>
          </c:val>
          <c:smooth val="0"/>
          <c:extLst>
            <c:ext xmlns:c16="http://schemas.microsoft.com/office/drawing/2014/chart" uri="{C3380CC4-5D6E-409C-BE32-E72D297353CC}">
              <c16:uniqueId val="{00000001-BA0D-40B9-8CF5-D92FD770EC39}"/>
            </c:ext>
          </c:extLst>
        </c:ser>
        <c:ser>
          <c:idx val="2"/>
          <c:order val="2"/>
          <c:tx>
            <c:strRef>
              <c:f>'Q03'!$E$36</c:f>
              <c:strCache>
                <c:ptCount val="1"/>
                <c:pt idx="0">
                  <c:v>Kombinētā prognoze</c:v>
                </c:pt>
              </c:strCache>
            </c:strRef>
          </c:tx>
          <c:spPr>
            <a:ln w="28575" cap="rnd">
              <a:solidFill>
                <a:schemeClr val="tx1"/>
              </a:solidFill>
              <a:round/>
            </a:ln>
            <a:effectLst/>
          </c:spPr>
          <c:marker>
            <c:symbol val="none"/>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'Q03'!$J$37:$J$51</c:f>
              <c:numCache>
                <c:formatCode>General</c:formatCode>
                <c:ptCount val="15"/>
                <c:pt idx="10">
                  <c:v>6.6309637484912685</c:v>
                </c:pt>
                <c:pt idx="11">
                  <c:v>7.1402439139906875</c:v>
                </c:pt>
                <c:pt idx="12">
                  <c:v>6.4725911900596742</c:v>
                </c:pt>
                <c:pt idx="13">
                  <c:v>5.0931095547826999</c:v>
                </c:pt>
                <c:pt idx="14">
                  <c:v>4.8724916385209411</c:v>
                </c:pt>
              </c:numCache>
            </c:numRef>
          </c:val>
          <c:smooth val="0"/>
          <c:extLst>
            <c:ext xmlns:c16="http://schemas.microsoft.com/office/drawing/2014/chart" uri="{C3380CC4-5D6E-409C-BE32-E72D297353CC}">
              <c16:uniqueId val="{00000002-BA0D-40B9-8CF5-D92FD770EC39}"/>
            </c:ext>
          </c:extLst>
        </c:ser>
        <c:ser>
          <c:idx val="3"/>
          <c:order val="3"/>
          <c:tx>
            <c:strRef>
              <c:f>'Q03'!$F$36</c:f>
              <c:strCache>
                <c:ptCount val="1"/>
                <c:pt idx="0">
                  <c:v>Ekspertu prognoze</c:v>
                </c:pt>
              </c:strCache>
            </c:strRef>
          </c:tx>
          <c:spPr>
            <a:ln w="19050" cap="rnd">
              <a:solidFill>
                <a:schemeClr val="accent2">
                  <a:lumMod val="60000"/>
                  <a:lumOff val="40000"/>
                </a:schemeClr>
              </a:solidFill>
              <a:prstDash val="sysDash"/>
              <a:round/>
            </a:ln>
            <a:effectLst/>
          </c:spPr>
          <c:marker>
            <c:symbol val="none"/>
          </c:marker>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'Q03'!$K$37:$K$51</c:f>
              <c:numCache>
                <c:formatCode>General</c:formatCode>
                <c:ptCount val="15"/>
                <c:pt idx="10">
                  <c:v>8.7380952380952408</c:v>
                </c:pt>
                <c:pt idx="11">
                  <c:v>10.095238095238102</c:v>
                </c:pt>
                <c:pt idx="12">
                  <c:v>9.0714285714285694</c:v>
                </c:pt>
                <c:pt idx="13">
                  <c:v>6.5999999999999943</c:v>
                </c:pt>
                <c:pt idx="14">
                  <c:v>6.4249999999999972</c:v>
                </c:pt>
              </c:numCache>
            </c:numRef>
          </c:val>
          <c:smooth val="0"/>
          <c:extLst>
            <c:ext xmlns:c16="http://schemas.microsoft.com/office/drawing/2014/chart" uri="{C3380CC4-5D6E-409C-BE32-E72D297353CC}">
              <c16:uniqueId val="{00000003-BA0D-40B9-8CF5-D92FD770EC39}"/>
            </c:ext>
          </c:extLst>
        </c:ser>
        <c:dLbls>
          <c:showLegendKey val="0"/>
          <c:showVal val="0"/>
          <c:showCatName val="0"/>
          <c:showSerName val="0"/>
          <c:showPercent val="0"/>
          <c:showBubbleSize val="0"/>
        </c:dLbls>
        <c:smooth val="0"/>
        <c:axId val="1267990128"/>
        <c:axId val="1267990960"/>
      </c:lineChart>
      <c:catAx>
        <c:axId val="1267990128"/>
        <c:scaling>
          <c:orientation val="minMax"/>
        </c:scaling>
        <c:delete val="0"/>
        <c:axPos val="b"/>
        <c:numFmt formatCode="General" sourceLinked="1"/>
        <c:majorTickMark val="none"/>
        <c:minorTickMark val="none"/>
        <c:tickLblPos val="low"/>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800" b="0" i="0" u="none" strike="noStrike" kern="1200" baseline="0">
                <a:solidFill>
                  <a:schemeClr val="bg1">
                    <a:lumMod val="50000"/>
                  </a:schemeClr>
                </a:solidFill>
                <a:latin typeface="+mn-lt"/>
                <a:ea typeface="+mn-ea"/>
                <a:cs typeface="+mn-cs"/>
              </a:defRPr>
            </a:pPr>
            <a:endParaRPr lang="lv-LV"/>
          </a:p>
        </c:txPr>
        <c:crossAx val="1267990960"/>
        <c:crosses val="autoZero"/>
        <c:auto val="1"/>
        <c:lblAlgn val="ctr"/>
        <c:lblOffset val="100"/>
        <c:noMultiLvlLbl val="0"/>
      </c:catAx>
      <c:valAx>
        <c:axId val="126799096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Izmaiņas procentos pret iepriekšējo gadu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bg1">
                    <a:lumMod val="50000"/>
                  </a:schemeClr>
                </a:solidFill>
                <a:latin typeface="+mn-lt"/>
                <a:ea typeface="+mn-ea"/>
                <a:cs typeface="+mn-cs"/>
              </a:defRPr>
            </a:pPr>
            <a:endParaRPr lang="lv-LV"/>
          </a:p>
        </c:txPr>
        <c:crossAx val="1267990128"/>
        <c:crosses val="autoZero"/>
        <c:crossBetween val="between"/>
      </c:valAx>
      <c:spPr>
        <a:noFill/>
        <a:ln>
          <a:noFill/>
        </a:ln>
        <a:effectLst/>
      </c:spPr>
    </c:plotArea>
    <c:legend>
      <c:legendPos val="r"/>
      <c:layout>
        <c:manualLayout>
          <c:xMode val="edge"/>
          <c:yMode val="edge"/>
          <c:x val="0.68416218666883588"/>
          <c:y val="0.53683880492760983"/>
          <c:w val="0.28056000055555613"/>
          <c:h val="0.29930626111252223"/>
        </c:manualLayout>
      </c:layout>
      <c:overlay val="0"/>
      <c:spPr>
        <a:noFill/>
        <a:ln>
          <a:solidFill>
            <a:srgbClr val="C00000"/>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10482812280569"/>
          <c:y val="6.0142154182613448E-2"/>
          <c:w val="0.82132081445950866"/>
          <c:h val="0.7744884472819793"/>
        </c:manualLayout>
      </c:layout>
      <c:lineChart>
        <c:grouping val="standard"/>
        <c:varyColors val="0"/>
        <c:ser>
          <c:idx val="0"/>
          <c:order val="0"/>
          <c:tx>
            <c:strRef>
              <c:f>'Q03'!$C$53</c:f>
              <c:strCache>
                <c:ptCount val="1"/>
                <c:pt idx="0">
                  <c:v>BII</c:v>
                </c:pt>
              </c:strCache>
            </c:strRef>
          </c:tx>
          <c:spPr>
            <a:ln w="19050" cap="rnd">
              <a:solidFill>
                <a:srgbClr val="C00000"/>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'Q03'!$H$54:$H$63</c:f>
              <c:numCache>
                <c:formatCode>General</c:formatCode>
                <c:ptCount val="10"/>
                <c:pt idx="0">
                  <c:v>2.0999999999999943</c:v>
                </c:pt>
                <c:pt idx="1">
                  <c:v>6.7999999999999972</c:v>
                </c:pt>
                <c:pt idx="2">
                  <c:v>2.5</c:v>
                </c:pt>
                <c:pt idx="3">
                  <c:v>0.40000000000000568</c:v>
                </c:pt>
                <c:pt idx="4">
                  <c:v>9.9999999999994316E-2</c:v>
                </c:pt>
                <c:pt idx="5">
                  <c:v>-0.5</c:v>
                </c:pt>
                <c:pt idx="6">
                  <c:v>1.9000000000000057</c:v>
                </c:pt>
                <c:pt idx="7">
                  <c:v>4.4000000000000057</c:v>
                </c:pt>
                <c:pt idx="8">
                  <c:v>4.0999999999999943</c:v>
                </c:pt>
                <c:pt idx="9">
                  <c:v>1.2999999999999972</c:v>
                </c:pt>
              </c:numCache>
            </c:numRef>
          </c:val>
          <c:smooth val="0"/>
          <c:extLst>
            <c:ext xmlns:c16="http://schemas.microsoft.com/office/drawing/2014/chart" uri="{C3380CC4-5D6E-409C-BE32-E72D297353CC}">
              <c16:uniqueId val="{00000000-8EA8-4230-B4D3-A3BD1DF4165A}"/>
            </c:ext>
          </c:extLst>
        </c:ser>
        <c:ser>
          <c:idx val="1"/>
          <c:order val="1"/>
          <c:tx>
            <c:strRef>
              <c:f>'Q03'!$D$36</c:f>
              <c:strCache>
                <c:ptCount val="1"/>
                <c:pt idx="0">
                  <c:v>Statistiskā prognoze</c:v>
                </c:pt>
              </c:strCache>
            </c:strRef>
          </c:tx>
          <c:spPr>
            <a:ln w="19050" cap="rnd">
              <a:solidFill>
                <a:schemeClr val="accent5">
                  <a:lumMod val="60000"/>
                  <a:lumOff val="40000"/>
                </a:schemeClr>
              </a:solidFill>
              <a:prstDash val="sysDash"/>
              <a:round/>
            </a:ln>
            <a:effectLst/>
          </c:spPr>
          <c:marker>
            <c:symbol val="none"/>
          </c:marker>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'Q03'!$I$54:$I$68</c:f>
              <c:numCache>
                <c:formatCode>General</c:formatCode>
                <c:ptCount val="15"/>
                <c:pt idx="10">
                  <c:v>1.7773431717411512</c:v>
                </c:pt>
                <c:pt idx="11">
                  <c:v>1.7169777456392268</c:v>
                </c:pt>
                <c:pt idx="12">
                  <c:v>1.6614731757731818</c:v>
                </c:pt>
                <c:pt idx="13">
                  <c:v>1.6102650710147088</c:v>
                </c:pt>
                <c:pt idx="14">
                  <c:v>1.5628731583752398</c:v>
                </c:pt>
              </c:numCache>
            </c:numRef>
          </c:val>
          <c:smooth val="0"/>
          <c:extLst>
            <c:ext xmlns:c16="http://schemas.microsoft.com/office/drawing/2014/chart" uri="{C3380CC4-5D6E-409C-BE32-E72D297353CC}">
              <c16:uniqueId val="{00000001-8EA8-4230-B4D3-A3BD1DF4165A}"/>
            </c:ext>
          </c:extLst>
        </c:ser>
        <c:ser>
          <c:idx val="2"/>
          <c:order val="2"/>
          <c:tx>
            <c:strRef>
              <c:f>'Q03'!$E$36</c:f>
              <c:strCache>
                <c:ptCount val="1"/>
                <c:pt idx="0">
                  <c:v>Kombinētā prognoze</c:v>
                </c:pt>
              </c:strCache>
            </c:strRef>
          </c:tx>
          <c:spPr>
            <a:ln w="28575" cap="rnd">
              <a:solidFill>
                <a:schemeClr val="tx1"/>
              </a:solidFill>
              <a:round/>
            </a:ln>
            <a:effectLst/>
          </c:spPr>
          <c:marker>
            <c:symbol val="none"/>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'Q03'!$J$54:$J$68</c:f>
              <c:numCache>
                <c:formatCode>General</c:formatCode>
                <c:ptCount val="15"/>
                <c:pt idx="10">
                  <c:v>6.5886715858705713</c:v>
                </c:pt>
                <c:pt idx="11">
                  <c:v>5.5959888728196177</c:v>
                </c:pt>
                <c:pt idx="12">
                  <c:v>3.6807365878865994</c:v>
                </c:pt>
                <c:pt idx="13">
                  <c:v>3.4761851670862995</c:v>
                </c:pt>
                <c:pt idx="14">
                  <c:v>2.5840681581349827</c:v>
                </c:pt>
              </c:numCache>
            </c:numRef>
          </c:val>
          <c:smooth val="0"/>
          <c:extLst>
            <c:ext xmlns:c16="http://schemas.microsoft.com/office/drawing/2014/chart" uri="{C3380CC4-5D6E-409C-BE32-E72D297353CC}">
              <c16:uniqueId val="{00000002-8EA8-4230-B4D3-A3BD1DF4165A}"/>
            </c:ext>
          </c:extLst>
        </c:ser>
        <c:ser>
          <c:idx val="3"/>
          <c:order val="3"/>
          <c:tx>
            <c:strRef>
              <c:f>'Q03'!$F$36</c:f>
              <c:strCache>
                <c:ptCount val="1"/>
                <c:pt idx="0">
                  <c:v>Ekspertu prognoze</c:v>
                </c:pt>
              </c:strCache>
            </c:strRef>
          </c:tx>
          <c:spPr>
            <a:ln w="19050" cap="rnd">
              <a:solidFill>
                <a:schemeClr val="accent4"/>
              </a:solidFill>
              <a:prstDash val="sysDash"/>
              <a:round/>
            </a:ln>
            <a:effectLst/>
          </c:spPr>
          <c:marker>
            <c:symbol val="none"/>
          </c:marker>
          <c:cat>
            <c:strRef>
              <c:f>'Q03'!$B$37:$B$51</c:f>
              <c:strCach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strCache>
            </c:strRef>
          </c:cat>
          <c:val>
            <c:numRef>
              <c:f>'Q03'!$K$54:$K$68</c:f>
              <c:numCache>
                <c:formatCode>General</c:formatCode>
                <c:ptCount val="15"/>
                <c:pt idx="10">
                  <c:v>11.400000000000006</c:v>
                </c:pt>
                <c:pt idx="11">
                  <c:v>9.4749999999999943</c:v>
                </c:pt>
                <c:pt idx="12">
                  <c:v>5.7000000000000028</c:v>
                </c:pt>
                <c:pt idx="13">
                  <c:v>5.3421052631578902</c:v>
                </c:pt>
                <c:pt idx="14">
                  <c:v>3.6052631578947398</c:v>
                </c:pt>
              </c:numCache>
            </c:numRef>
          </c:val>
          <c:smooth val="0"/>
          <c:extLst>
            <c:ext xmlns:c16="http://schemas.microsoft.com/office/drawing/2014/chart" uri="{C3380CC4-5D6E-409C-BE32-E72D297353CC}">
              <c16:uniqueId val="{00000003-8EA8-4230-B4D3-A3BD1DF4165A}"/>
            </c:ext>
          </c:extLst>
        </c:ser>
        <c:dLbls>
          <c:showLegendKey val="0"/>
          <c:showVal val="0"/>
          <c:showCatName val="0"/>
          <c:showSerName val="0"/>
          <c:showPercent val="0"/>
          <c:showBubbleSize val="0"/>
        </c:dLbls>
        <c:smooth val="0"/>
        <c:axId val="1267990128"/>
        <c:axId val="1267990960"/>
      </c:lineChart>
      <c:catAx>
        <c:axId val="1267990128"/>
        <c:scaling>
          <c:orientation val="minMax"/>
        </c:scaling>
        <c:delete val="0"/>
        <c:axPos val="b"/>
        <c:numFmt formatCode="General" sourceLinked="1"/>
        <c:majorTickMark val="none"/>
        <c:minorTickMark val="none"/>
        <c:tickLblPos val="low"/>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800" b="0" i="0" u="none" strike="noStrike" kern="1200" baseline="0">
                <a:solidFill>
                  <a:schemeClr val="bg1">
                    <a:lumMod val="50000"/>
                  </a:schemeClr>
                </a:solidFill>
                <a:latin typeface="+mn-lt"/>
                <a:ea typeface="+mn-ea"/>
                <a:cs typeface="+mn-cs"/>
              </a:defRPr>
            </a:pPr>
            <a:endParaRPr lang="lv-LV"/>
          </a:p>
        </c:txPr>
        <c:crossAx val="1267990960"/>
        <c:crosses val="autoZero"/>
        <c:auto val="1"/>
        <c:lblAlgn val="ctr"/>
        <c:lblOffset val="100"/>
        <c:noMultiLvlLbl val="0"/>
      </c:catAx>
      <c:valAx>
        <c:axId val="1267990960"/>
        <c:scaling>
          <c:orientation val="minMax"/>
          <c:min val="-8"/>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Izmaiņas procentos pret iepriekšējo gadu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bg1">
                    <a:lumMod val="50000"/>
                  </a:schemeClr>
                </a:solidFill>
                <a:latin typeface="+mn-lt"/>
                <a:ea typeface="+mn-ea"/>
                <a:cs typeface="+mn-cs"/>
              </a:defRPr>
            </a:pPr>
            <a:endParaRPr lang="lv-LV"/>
          </a:p>
        </c:txPr>
        <c:crossAx val="1267990128"/>
        <c:crosses val="autoZero"/>
        <c:crossBetween val="between"/>
      </c:valAx>
      <c:spPr>
        <a:noFill/>
        <a:ln>
          <a:noFill/>
        </a:ln>
        <a:effectLst/>
      </c:spPr>
    </c:plotArea>
    <c:legend>
      <c:legendPos val="r"/>
      <c:layout>
        <c:manualLayout>
          <c:xMode val="edge"/>
          <c:yMode val="edge"/>
          <c:x val="0.43205885405899536"/>
          <c:y val="0.63837517166559754"/>
          <c:w val="0.51919848503483412"/>
          <c:h val="0.19891942156765666"/>
        </c:manualLayout>
      </c:layout>
      <c:overlay val="0"/>
      <c:spPr>
        <a:noFill/>
        <a:ln>
          <a:solidFill>
            <a:srgbClr val="C00000"/>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lv-LV" sz="1000" b="1" i="0" baseline="0">
                <a:solidFill>
                  <a:sysClr val="windowText" lastClr="000000"/>
                </a:solidFill>
                <a:effectLst/>
              </a:rPr>
              <a:t>Būvniecības izmaksu izmaiņas, </a:t>
            </a:r>
            <a:br>
              <a:rPr lang="lv-LV" sz="1000" b="1" i="0" baseline="0">
                <a:solidFill>
                  <a:sysClr val="windowText" lastClr="000000"/>
                </a:solidFill>
                <a:effectLst/>
              </a:rPr>
            </a:br>
            <a:r>
              <a:rPr lang="lv-LV" sz="1000" b="1" i="0" baseline="0">
                <a:solidFill>
                  <a:sysClr val="windowText" lastClr="000000"/>
                </a:solidFill>
                <a:effectLst/>
              </a:rPr>
              <a:t>mainoties būvniecības produkcijas apjomam</a:t>
            </a:r>
            <a:endParaRPr lang="lv-LV" sz="1000">
              <a:solidFill>
                <a:sysClr val="windowText" lastClr="000000"/>
              </a:solidFill>
              <a:effectLst/>
            </a:endParaRPr>
          </a:p>
        </c:rich>
      </c:tx>
      <c:overlay val="0"/>
      <c:spPr>
        <a:noFill/>
        <a:ln>
          <a:noFill/>
        </a:ln>
        <a:effectLst/>
      </c:spPr>
    </c:title>
    <c:autoTitleDeleted val="0"/>
    <c:plotArea>
      <c:layout>
        <c:manualLayout>
          <c:layoutTarget val="inner"/>
          <c:xMode val="edge"/>
          <c:yMode val="edge"/>
          <c:x val="0.10607"/>
          <c:y val="0.17344907407407406"/>
          <c:w val="0.86181722222222212"/>
          <c:h val="0.79421296296296306"/>
        </c:manualLayout>
      </c:layout>
      <c:lineChart>
        <c:grouping val="standard"/>
        <c:varyColors val="0"/>
        <c:ser>
          <c:idx val="1"/>
          <c:order val="0"/>
          <c:tx>
            <c:v>Būvniecības izmaksu izmaiņas</c:v>
          </c:tx>
          <c:spPr>
            <a:ln w="25400" cap="rnd" cmpd="sng">
              <a:solidFill>
                <a:schemeClr val="tx1"/>
              </a:solidFill>
              <a:prstDash val="sysDash"/>
              <a:round/>
            </a:ln>
            <a:effectLst/>
          </c:spPr>
          <c:marker>
            <c:symbol val="none"/>
          </c:marker>
          <c:cat>
            <c:numRef>
              <c:f>Sheet1!$A$2:$A$19</c:f>
              <c:numCache>
                <c:formatCode>General</c:formatCode>
                <c:ptCount val="18"/>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numCache>
            </c:numRef>
          </c:cat>
          <c:val>
            <c:numRef>
              <c:f>Sheet1!$J$2:$J$16</c:f>
              <c:numCache>
                <c:formatCode>General</c:formatCode>
                <c:ptCount val="15"/>
                <c:pt idx="0">
                  <c:v>20.900000000000006</c:v>
                </c:pt>
                <c:pt idx="1">
                  <c:v>26.200000000000003</c:v>
                </c:pt>
                <c:pt idx="2">
                  <c:v>14.400000000000006</c:v>
                </c:pt>
                <c:pt idx="3">
                  <c:v>-10.900000000000006</c:v>
                </c:pt>
                <c:pt idx="4">
                  <c:v>-2.7000000000000028</c:v>
                </c:pt>
                <c:pt idx="5">
                  <c:v>2.0999999999999943</c:v>
                </c:pt>
                <c:pt idx="6">
                  <c:v>6.7999999999999972</c:v>
                </c:pt>
                <c:pt idx="7">
                  <c:v>2.5</c:v>
                </c:pt>
                <c:pt idx="8">
                  <c:v>0.40000000000000568</c:v>
                </c:pt>
                <c:pt idx="9">
                  <c:v>9.9999999999994316E-2</c:v>
                </c:pt>
                <c:pt idx="10">
                  <c:v>-0.5</c:v>
                </c:pt>
                <c:pt idx="11">
                  <c:v>1.9000000000000057</c:v>
                </c:pt>
                <c:pt idx="12">
                  <c:v>4.4000000000000004</c:v>
                </c:pt>
                <c:pt idx="13">
                  <c:v>4.0999999999999996</c:v>
                </c:pt>
                <c:pt idx="14">
                  <c:v>1.3</c:v>
                </c:pt>
              </c:numCache>
            </c:numRef>
          </c:val>
          <c:smooth val="1"/>
          <c:extLst>
            <c:ext xmlns:c16="http://schemas.microsoft.com/office/drawing/2014/chart" uri="{C3380CC4-5D6E-409C-BE32-E72D297353CC}">
              <c16:uniqueId val="{00000000-DFD9-4224-ADC9-5781E279CD98}"/>
            </c:ext>
          </c:extLst>
        </c:ser>
        <c:ser>
          <c:idx val="3"/>
          <c:order val="1"/>
          <c:tx>
            <c:v>Būvniecības izmaksu kombinētā prognoze</c:v>
          </c:tx>
          <c:spPr>
            <a:ln w="25400">
              <a:prstDash val="sysDash"/>
            </a:ln>
          </c:spPr>
          <c:marker>
            <c:symbol val="none"/>
          </c:marker>
          <c:dLbls>
            <c:dLbl>
              <c:idx val="15"/>
              <c:layout>
                <c:manualLayout>
                  <c:x val="-2.8415422331178962E-2"/>
                  <c:y val="4.12509593246353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D9-4224-ADC9-5781E279CD98}"/>
                </c:ext>
              </c:extLst>
            </c:dLbl>
            <c:dLbl>
              <c:idx val="16"/>
              <c:layout>
                <c:manualLayout>
                  <c:x val="-3.0644082906173389E-2"/>
                  <c:y val="2.97390636991557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FD9-4224-ADC9-5781E279CD98}"/>
                </c:ext>
              </c:extLst>
            </c:dLbl>
            <c:dLbl>
              <c:idx val="17"/>
              <c:layout>
                <c:manualLayout>
                  <c:x val="-2.6186761756184534E-2"/>
                  <c:y val="1.43898695318495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D9-4224-ADC9-5781E279CD98}"/>
                </c:ext>
              </c:extLst>
            </c:dLbl>
            <c:numFmt formatCode="#,##0.0" sourceLinked="0"/>
            <c:spPr>
              <a:noFill/>
              <a:ln>
                <a:noFill/>
              </a:ln>
              <a:effectLst/>
            </c:spPr>
            <c:txPr>
              <a:bodyPr wrap="square" lIns="38100" tIns="19050" rIns="38100" bIns="19050" anchor="ctr">
                <a:spAutoFit/>
              </a:bodyPr>
              <a:lstStyle/>
              <a:p>
                <a:pPr>
                  <a:defRPr b="1">
                    <a:solidFill>
                      <a:schemeClr val="accent2"/>
                    </a:solidFill>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Sheet1!$A$2:$A$19</c:f>
              <c:numCache>
                <c:formatCode>General</c:formatCode>
                <c:ptCount val="18"/>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numCache>
            </c:numRef>
          </c:cat>
          <c:val>
            <c:numRef>
              <c:f>Sheet1!$O$2:$O$19</c:f>
              <c:numCache>
                <c:formatCode>General</c:formatCode>
                <c:ptCount val="18"/>
                <c:pt idx="15" formatCode="0.00">
                  <c:v>6.6</c:v>
                </c:pt>
                <c:pt idx="16" formatCode="0.00">
                  <c:v>5.6</c:v>
                </c:pt>
                <c:pt idx="17" formatCode="0.00">
                  <c:v>3.7</c:v>
                </c:pt>
              </c:numCache>
            </c:numRef>
          </c:val>
          <c:smooth val="1"/>
          <c:extLst>
            <c:ext xmlns:c16="http://schemas.microsoft.com/office/drawing/2014/chart" uri="{C3380CC4-5D6E-409C-BE32-E72D297353CC}">
              <c16:uniqueId val="{00000004-DFD9-4224-ADC9-5781E279CD98}"/>
            </c:ext>
          </c:extLst>
        </c:ser>
        <c:ser>
          <c:idx val="0"/>
          <c:order val="2"/>
          <c:tx>
            <c:v>Būvniecības produkcijas apjoma izmaiņas</c:v>
          </c:tx>
          <c:spPr>
            <a:ln w="25400" cap="rnd">
              <a:solidFill>
                <a:schemeClr val="tx1">
                  <a:lumMod val="65000"/>
                  <a:lumOff val="35000"/>
                </a:schemeClr>
              </a:solidFill>
              <a:prstDash val="solid"/>
              <a:round/>
            </a:ln>
            <a:effectLst/>
          </c:spPr>
          <c:marker>
            <c:symbol val="none"/>
          </c:marker>
          <c:cat>
            <c:numRef>
              <c:f>Sheet1!$A$2:$A$19</c:f>
              <c:numCache>
                <c:formatCode>General</c:formatCode>
                <c:ptCount val="18"/>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numCache>
            </c:numRef>
          </c:cat>
          <c:val>
            <c:numRef>
              <c:f>Sheet1!$B$2:$B$16</c:f>
              <c:numCache>
                <c:formatCode>General</c:formatCode>
                <c:ptCount val="15"/>
                <c:pt idx="0">
                  <c:v>14</c:v>
                </c:pt>
                <c:pt idx="1">
                  <c:v>12.3</c:v>
                </c:pt>
                <c:pt idx="2">
                  <c:v>-2.8</c:v>
                </c:pt>
                <c:pt idx="3">
                  <c:v>-44.4</c:v>
                </c:pt>
                <c:pt idx="4">
                  <c:v>-15.7</c:v>
                </c:pt>
                <c:pt idx="5">
                  <c:v>12.2</c:v>
                </c:pt>
                <c:pt idx="6">
                  <c:v>14.8</c:v>
                </c:pt>
                <c:pt idx="7">
                  <c:v>7.3</c:v>
                </c:pt>
                <c:pt idx="8">
                  <c:v>10.6</c:v>
                </c:pt>
                <c:pt idx="9">
                  <c:v>-0.6</c:v>
                </c:pt>
                <c:pt idx="10">
                  <c:v>-16.600000000000001</c:v>
                </c:pt>
                <c:pt idx="11">
                  <c:v>18.600000000000001</c:v>
                </c:pt>
                <c:pt idx="12">
                  <c:v>21.9</c:v>
                </c:pt>
                <c:pt idx="13">
                  <c:v>2.9</c:v>
                </c:pt>
                <c:pt idx="14">
                  <c:v>2.7</c:v>
                </c:pt>
              </c:numCache>
            </c:numRef>
          </c:val>
          <c:smooth val="1"/>
          <c:extLst>
            <c:ext xmlns:c16="http://schemas.microsoft.com/office/drawing/2014/chart" uri="{C3380CC4-5D6E-409C-BE32-E72D297353CC}">
              <c16:uniqueId val="{00000005-DFD9-4224-ADC9-5781E279CD98}"/>
            </c:ext>
          </c:extLst>
        </c:ser>
        <c:ser>
          <c:idx val="2"/>
          <c:order val="3"/>
          <c:tx>
            <c:v>Būvniecības produkcijas apjoma kombinētā prognoze</c:v>
          </c:tx>
          <c:spPr>
            <a:ln w="25400"/>
          </c:spPr>
          <c:marker>
            <c:symbol val="none"/>
          </c:marker>
          <c:dLbls>
            <c:numFmt formatCode="#,##0.0" sourceLinked="0"/>
            <c:spPr>
              <a:noFill/>
              <a:ln>
                <a:noFill/>
              </a:ln>
              <a:effectLst/>
            </c:spPr>
            <c:txPr>
              <a:bodyPr wrap="square" lIns="38100" tIns="19050" rIns="38100" bIns="19050" anchor="ctr">
                <a:spAutoFit/>
              </a:bodyPr>
              <a:lstStyle/>
              <a:p>
                <a:pPr>
                  <a:defRPr b="1">
                    <a:solidFill>
                      <a:schemeClr val="bg1">
                        <a:lumMod val="50000"/>
                      </a:schemeClr>
                    </a:solidFill>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Sheet1!$A$2:$A$19</c:f>
              <c:numCache>
                <c:formatCode>General</c:formatCode>
                <c:ptCount val="18"/>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numCache>
            </c:numRef>
          </c:cat>
          <c:val>
            <c:numRef>
              <c:f>Sheet1!$M$2:$M$19</c:f>
              <c:numCache>
                <c:formatCode>General</c:formatCode>
                <c:ptCount val="18"/>
                <c:pt idx="15" formatCode="0.00">
                  <c:v>6.6</c:v>
                </c:pt>
                <c:pt idx="16" formatCode="0.00">
                  <c:v>7.1</c:v>
                </c:pt>
                <c:pt idx="17" formatCode="0.00">
                  <c:v>6.5</c:v>
                </c:pt>
              </c:numCache>
            </c:numRef>
          </c:val>
          <c:smooth val="1"/>
          <c:extLst>
            <c:ext xmlns:c16="http://schemas.microsoft.com/office/drawing/2014/chart" uri="{C3380CC4-5D6E-409C-BE32-E72D297353CC}">
              <c16:uniqueId val="{00000006-DFD9-4224-ADC9-5781E279CD98}"/>
            </c:ext>
          </c:extLst>
        </c:ser>
        <c:dLbls>
          <c:showLegendKey val="0"/>
          <c:showVal val="0"/>
          <c:showCatName val="0"/>
          <c:showSerName val="0"/>
          <c:showPercent val="0"/>
          <c:showBubbleSize val="0"/>
        </c:dLbls>
        <c:smooth val="0"/>
        <c:axId val="152779392"/>
        <c:axId val="152785280"/>
      </c:lineChart>
      <c:catAx>
        <c:axId val="1527793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152785280"/>
        <c:crosses val="autoZero"/>
        <c:auto val="1"/>
        <c:lblAlgn val="ctr"/>
        <c:lblOffset val="100"/>
        <c:noMultiLvlLbl val="0"/>
      </c:catAx>
      <c:valAx>
        <c:axId val="1527852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lv-LV" sz="800" b="1" i="0" baseline="0">
                    <a:solidFill>
                      <a:sysClr val="windowText" lastClr="000000"/>
                    </a:solidFill>
                    <a:effectLst/>
                  </a:rPr>
                  <a:t>Būvniecības izmaksu izmaiņas </a:t>
                </a:r>
                <a:endParaRPr lang="lv-LV" sz="800">
                  <a:solidFill>
                    <a:sysClr val="windowText" lastClr="000000"/>
                  </a:solidFill>
                  <a:effectLst/>
                </a:endParaRPr>
              </a:p>
              <a:p>
                <a:pPr>
                  <a:defRPr sz="800" b="0" i="0" u="none" strike="noStrike" kern="1200" baseline="0">
                    <a:solidFill>
                      <a:sysClr val="windowText" lastClr="000000"/>
                    </a:solidFill>
                    <a:latin typeface="+mn-lt"/>
                    <a:ea typeface="+mn-ea"/>
                    <a:cs typeface="+mn-cs"/>
                  </a:defRPr>
                </a:pPr>
                <a:r>
                  <a:rPr lang="lv-LV" sz="800" b="1" i="0" baseline="0">
                    <a:solidFill>
                      <a:sysClr val="windowText" lastClr="000000"/>
                    </a:solidFill>
                    <a:effectLst/>
                  </a:rPr>
                  <a:t>← procentos pret iepriekšējo gadu →</a:t>
                </a:r>
                <a:endParaRPr lang="lv-LV" sz="800">
                  <a:solidFill>
                    <a:sysClr val="windowText" lastClr="000000"/>
                  </a:solidFill>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lv-LV"/>
          </a:p>
        </c:txPr>
        <c:crossAx val="152779392"/>
        <c:crosses val="autoZero"/>
        <c:crossBetween val="between"/>
      </c:valAx>
      <c:spPr>
        <a:noFill/>
        <a:ln>
          <a:noFill/>
        </a:ln>
        <a:effectLst/>
      </c:spPr>
    </c:plotArea>
    <c:legend>
      <c:legendPos val="r"/>
      <c:layout>
        <c:manualLayout>
          <c:xMode val="edge"/>
          <c:yMode val="edge"/>
          <c:x val="0.45197802220424371"/>
          <c:y val="0.66620125573328659"/>
          <c:w val="0.48891759044939975"/>
          <c:h val="0.2424513992542950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v-LV" sz="1100">
                <a:latin typeface="Arial" panose="020B0604020202020204" pitchFamily="34" charset="0"/>
                <a:cs typeface="Arial" panose="020B0604020202020204" pitchFamily="34" charset="0"/>
              </a:rPr>
              <a:t>Kopējās resursu veidu</a:t>
            </a:r>
            <a:r>
              <a:rPr lang="lv-LV" sz="1100" baseline="0">
                <a:latin typeface="Arial" panose="020B0604020202020204" pitchFamily="34" charset="0"/>
                <a:cs typeface="Arial" panose="020B0604020202020204" pitchFamily="34" charset="0"/>
              </a:rPr>
              <a:t> izmaksu izmaiņu prognozes procentos pret iepriekšējo gadu 2021.-2025. gadam</a:t>
            </a:r>
            <a:endParaRPr lang="lv-LV"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title>
    <c:autoTitleDeleted val="0"/>
    <c:plotArea>
      <c:layout/>
      <c:lineChart>
        <c:grouping val="standard"/>
        <c:varyColors val="0"/>
        <c:ser>
          <c:idx val="0"/>
          <c:order val="0"/>
          <c:tx>
            <c:strRef>
              <c:f>'Q04'!$C$7</c:f>
              <c:strCache>
                <c:ptCount val="1"/>
                <c:pt idx="0">
                  <c:v>Būvmateriālu izmaksu izmaiņas</c:v>
                </c:pt>
              </c:strCache>
            </c:strRef>
          </c:tx>
          <c:spPr>
            <a:ln w="28575" cap="rnd">
              <a:solidFill>
                <a:schemeClr val="accent1"/>
              </a:solidFill>
              <a:round/>
            </a:ln>
            <a:effectLst/>
          </c:spPr>
          <c:marker>
            <c:symbol val="none"/>
          </c:marker>
          <c:cat>
            <c:strRef>
              <c:f>'Q04'!$B$9:$B$13</c:f>
              <c:strCache>
                <c:ptCount val="5"/>
                <c:pt idx="0">
                  <c:v>2021.</c:v>
                </c:pt>
                <c:pt idx="1">
                  <c:v>2022.</c:v>
                </c:pt>
                <c:pt idx="2">
                  <c:v>2023.</c:v>
                </c:pt>
                <c:pt idx="3">
                  <c:v>2024.</c:v>
                </c:pt>
                <c:pt idx="4">
                  <c:v>2025.</c:v>
                </c:pt>
              </c:strCache>
            </c:strRef>
          </c:cat>
          <c:val>
            <c:numRef>
              <c:f>'Q04'!$D$46:$D$50</c:f>
              <c:numCache>
                <c:formatCode>0.00</c:formatCode>
                <c:ptCount val="5"/>
                <c:pt idx="0">
                  <c:v>12.619047619047619</c:v>
                </c:pt>
                <c:pt idx="1">
                  <c:v>7.3095238095238093</c:v>
                </c:pt>
                <c:pt idx="2">
                  <c:v>5.4047619047619051</c:v>
                </c:pt>
                <c:pt idx="3">
                  <c:v>3.6749999999999998</c:v>
                </c:pt>
                <c:pt idx="4">
                  <c:v>3.0750000000000002</c:v>
                </c:pt>
              </c:numCache>
            </c:numRef>
          </c:val>
          <c:smooth val="0"/>
          <c:extLst>
            <c:ext xmlns:c16="http://schemas.microsoft.com/office/drawing/2014/chart" uri="{C3380CC4-5D6E-409C-BE32-E72D297353CC}">
              <c16:uniqueId val="{00000000-3C94-46C1-89A2-F97B33B57EBD}"/>
            </c:ext>
          </c:extLst>
        </c:ser>
        <c:ser>
          <c:idx val="1"/>
          <c:order val="1"/>
          <c:tx>
            <c:strRef>
              <c:f>'Q04'!$G$7</c:f>
              <c:strCache>
                <c:ptCount val="1"/>
                <c:pt idx="0">
                  <c:v>Strādnieku darba samaksas izmaksu izmaiņas</c:v>
                </c:pt>
              </c:strCache>
            </c:strRef>
          </c:tx>
          <c:spPr>
            <a:ln w="28575" cap="rnd">
              <a:solidFill>
                <a:schemeClr val="accent2"/>
              </a:solidFill>
              <a:round/>
            </a:ln>
            <a:effectLst/>
          </c:spPr>
          <c:marker>
            <c:symbol val="none"/>
          </c:marker>
          <c:cat>
            <c:strRef>
              <c:f>'Q04'!$B$9:$B$13</c:f>
              <c:strCache>
                <c:ptCount val="5"/>
                <c:pt idx="0">
                  <c:v>2021.</c:v>
                </c:pt>
                <c:pt idx="1">
                  <c:v>2022.</c:v>
                </c:pt>
                <c:pt idx="2">
                  <c:v>2023.</c:v>
                </c:pt>
                <c:pt idx="3">
                  <c:v>2024.</c:v>
                </c:pt>
                <c:pt idx="4">
                  <c:v>2025.</c:v>
                </c:pt>
              </c:strCache>
            </c:strRef>
          </c:cat>
          <c:val>
            <c:numRef>
              <c:f>'Q04'!$H$46:$H$50</c:f>
              <c:numCache>
                <c:formatCode>0.00</c:formatCode>
                <c:ptCount val="5"/>
                <c:pt idx="0">
                  <c:v>7.1190476190476186</c:v>
                </c:pt>
                <c:pt idx="1">
                  <c:v>7.666666666666667</c:v>
                </c:pt>
                <c:pt idx="2">
                  <c:v>6.5476190476190474</c:v>
                </c:pt>
                <c:pt idx="3">
                  <c:v>5.5</c:v>
                </c:pt>
                <c:pt idx="4">
                  <c:v>5.05</c:v>
                </c:pt>
              </c:numCache>
            </c:numRef>
          </c:val>
          <c:smooth val="0"/>
          <c:extLst>
            <c:ext xmlns:c16="http://schemas.microsoft.com/office/drawing/2014/chart" uri="{C3380CC4-5D6E-409C-BE32-E72D297353CC}">
              <c16:uniqueId val="{00000001-3C94-46C1-89A2-F97B33B57EBD}"/>
            </c:ext>
          </c:extLst>
        </c:ser>
        <c:ser>
          <c:idx val="2"/>
          <c:order val="2"/>
          <c:tx>
            <c:strRef>
              <c:f>'Q04'!$C$15</c:f>
              <c:strCache>
                <c:ptCount val="1"/>
                <c:pt idx="0">
                  <c:v>Mašīnu un mehānismu uzturēšanas un ekspluatācijas izmaksu izmaiņas</c:v>
                </c:pt>
              </c:strCache>
            </c:strRef>
          </c:tx>
          <c:spPr>
            <a:ln w="28575" cap="rnd">
              <a:solidFill>
                <a:schemeClr val="accent3"/>
              </a:solidFill>
              <a:round/>
            </a:ln>
            <a:effectLst/>
          </c:spPr>
          <c:marker>
            <c:symbol val="none"/>
          </c:marker>
          <c:val>
            <c:numRef>
              <c:f>'Q04'!$D$54:$D$58</c:f>
              <c:numCache>
                <c:formatCode>0.00</c:formatCode>
                <c:ptCount val="5"/>
                <c:pt idx="0">
                  <c:v>3.5714285714285716</c:v>
                </c:pt>
                <c:pt idx="1">
                  <c:v>3.5857142857142854</c:v>
                </c:pt>
                <c:pt idx="2">
                  <c:v>3.1428571428571428</c:v>
                </c:pt>
                <c:pt idx="3">
                  <c:v>3.6</c:v>
                </c:pt>
                <c:pt idx="4">
                  <c:v>2.9750000000000001</c:v>
                </c:pt>
              </c:numCache>
            </c:numRef>
          </c:val>
          <c:smooth val="0"/>
          <c:extLst>
            <c:ext xmlns:c16="http://schemas.microsoft.com/office/drawing/2014/chart" uri="{C3380CC4-5D6E-409C-BE32-E72D297353CC}">
              <c16:uniqueId val="{00000002-3C94-46C1-89A2-F97B33B57EBD}"/>
            </c:ext>
          </c:extLst>
        </c:ser>
        <c:ser>
          <c:idx val="3"/>
          <c:order val="3"/>
          <c:tx>
            <c:strRef>
              <c:f>'Q04'!$G$15</c:f>
              <c:strCache>
                <c:ptCount val="1"/>
                <c:pt idx="0">
                  <c:v>Arhitektūras un inženiertehniskie pakalpojumi; tehniskā pārbaude un analīze</c:v>
                </c:pt>
              </c:strCache>
            </c:strRef>
          </c:tx>
          <c:spPr>
            <a:ln w="28575" cap="rnd">
              <a:solidFill>
                <a:schemeClr val="accent4"/>
              </a:solidFill>
              <a:round/>
            </a:ln>
            <a:effectLst/>
          </c:spPr>
          <c:marker>
            <c:symbol val="none"/>
          </c:marker>
          <c:val>
            <c:numRef>
              <c:f>'Q04'!$H$54:$H$58</c:f>
              <c:numCache>
                <c:formatCode>0.00</c:formatCode>
                <c:ptCount val="5"/>
                <c:pt idx="0">
                  <c:v>4.8</c:v>
                </c:pt>
                <c:pt idx="1">
                  <c:v>5.85</c:v>
                </c:pt>
                <c:pt idx="2">
                  <c:v>4.5250000000000004</c:v>
                </c:pt>
                <c:pt idx="3">
                  <c:v>4.2631578947368425</c:v>
                </c:pt>
                <c:pt idx="4">
                  <c:v>4.3421052631578947</c:v>
                </c:pt>
              </c:numCache>
            </c:numRef>
          </c:val>
          <c:smooth val="0"/>
          <c:extLst>
            <c:ext xmlns:c16="http://schemas.microsoft.com/office/drawing/2014/chart" uri="{C3380CC4-5D6E-409C-BE32-E72D297353CC}">
              <c16:uniqueId val="{00000003-3C94-46C1-89A2-F97B33B57EBD}"/>
            </c:ext>
          </c:extLst>
        </c:ser>
        <c:dLbls>
          <c:showLegendKey val="0"/>
          <c:showVal val="0"/>
          <c:showCatName val="0"/>
          <c:showSerName val="0"/>
          <c:showPercent val="0"/>
          <c:showBubbleSize val="0"/>
        </c:dLbls>
        <c:smooth val="0"/>
        <c:axId val="17293471"/>
        <c:axId val="17294303"/>
      </c:lineChart>
      <c:catAx>
        <c:axId val="1729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4303"/>
        <c:crosses val="autoZero"/>
        <c:auto val="1"/>
        <c:lblAlgn val="ctr"/>
        <c:lblOffset val="100"/>
        <c:noMultiLvlLbl val="0"/>
      </c:catAx>
      <c:valAx>
        <c:axId val="172943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v-LV" sz="1100">
                <a:latin typeface="Arial" panose="020B0604020202020204" pitchFamily="34" charset="0"/>
                <a:cs typeface="Arial" panose="020B0604020202020204" pitchFamily="34" charset="0"/>
              </a:rPr>
              <a:t>Dzīvojamo ēku izmaksu izmaiņu prognozes pa resursu veidiem 2021.-2025. gadam</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title>
    <c:autoTitleDeleted val="0"/>
    <c:plotArea>
      <c:layout/>
      <c:lineChart>
        <c:grouping val="standard"/>
        <c:varyColors val="0"/>
        <c:ser>
          <c:idx val="0"/>
          <c:order val="0"/>
          <c:tx>
            <c:strRef>
              <c:f>Q04_APAK!$C$7</c:f>
              <c:strCache>
                <c:ptCount val="1"/>
                <c:pt idx="0">
                  <c:v>Būvmateriālu izmaksu izmaiņas</c:v>
                </c:pt>
              </c:strCache>
            </c:strRef>
          </c:tx>
          <c:spPr>
            <a:ln w="28575" cap="rnd">
              <a:solidFill>
                <a:schemeClr val="accent1"/>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Q04_APAK!$D$9:$D$13</c:f>
              <c:numCache>
                <c:formatCode>0.00</c:formatCode>
                <c:ptCount val="5"/>
                <c:pt idx="0">
                  <c:v>14.714285714285714</c:v>
                </c:pt>
                <c:pt idx="1">
                  <c:v>5.5714285714285712</c:v>
                </c:pt>
                <c:pt idx="2">
                  <c:v>2.5714285714285716</c:v>
                </c:pt>
                <c:pt idx="3">
                  <c:v>6</c:v>
                </c:pt>
                <c:pt idx="4">
                  <c:v>8.4285714285714288</c:v>
                </c:pt>
              </c:numCache>
            </c:numRef>
          </c:val>
          <c:smooth val="0"/>
          <c:extLst>
            <c:ext xmlns:c16="http://schemas.microsoft.com/office/drawing/2014/chart" uri="{C3380CC4-5D6E-409C-BE32-E72D297353CC}">
              <c16:uniqueId val="{00000000-1666-46CE-BC43-406CDCEBF7F7}"/>
            </c:ext>
          </c:extLst>
        </c:ser>
        <c:ser>
          <c:idx val="1"/>
          <c:order val="1"/>
          <c:tx>
            <c:strRef>
              <c:f>Q04_APAK!$G$7</c:f>
              <c:strCache>
                <c:ptCount val="1"/>
                <c:pt idx="0">
                  <c:v>Strādnieku darba samaksas izmaksu izmaiņas</c:v>
                </c:pt>
              </c:strCache>
            </c:strRef>
          </c:tx>
          <c:spPr>
            <a:ln w="28575" cap="rnd">
              <a:solidFill>
                <a:schemeClr val="accent2"/>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Q04_APAK!$H$9:$H$13</c:f>
              <c:numCache>
                <c:formatCode>0.00</c:formatCode>
                <c:ptCount val="5"/>
                <c:pt idx="0">
                  <c:v>7</c:v>
                </c:pt>
                <c:pt idx="1">
                  <c:v>3.4285714285714284</c:v>
                </c:pt>
                <c:pt idx="2">
                  <c:v>3.8571428571428572</c:v>
                </c:pt>
                <c:pt idx="3">
                  <c:v>6</c:v>
                </c:pt>
                <c:pt idx="4">
                  <c:v>6.5714285714285712</c:v>
                </c:pt>
              </c:numCache>
            </c:numRef>
          </c:val>
          <c:smooth val="0"/>
          <c:extLst>
            <c:ext xmlns:c16="http://schemas.microsoft.com/office/drawing/2014/chart" uri="{C3380CC4-5D6E-409C-BE32-E72D297353CC}">
              <c16:uniqueId val="{00000001-1666-46CE-BC43-406CDCEBF7F7}"/>
            </c:ext>
          </c:extLst>
        </c:ser>
        <c:ser>
          <c:idx val="2"/>
          <c:order val="2"/>
          <c:tx>
            <c:strRef>
              <c:f>Q04_APAK!$C$15</c:f>
              <c:strCache>
                <c:ptCount val="1"/>
                <c:pt idx="0">
                  <c:v>Mašīnu un mehānismu uzturēšanas un ekspluatācijas izmaksu izmaiņas</c:v>
                </c:pt>
              </c:strCache>
            </c:strRef>
          </c:tx>
          <c:spPr>
            <a:ln w="28575" cap="rnd">
              <a:solidFill>
                <a:schemeClr val="accent3"/>
              </a:solidFill>
              <a:round/>
            </a:ln>
            <a:effectLst/>
          </c:spPr>
          <c:marker>
            <c:symbol val="none"/>
          </c:marker>
          <c:val>
            <c:numRef>
              <c:f>Q04_APAK!$D$17:$D$21</c:f>
              <c:numCache>
                <c:formatCode>0.00</c:formatCode>
                <c:ptCount val="5"/>
                <c:pt idx="0">
                  <c:v>4.5714285714285712</c:v>
                </c:pt>
                <c:pt idx="1">
                  <c:v>5</c:v>
                </c:pt>
                <c:pt idx="2">
                  <c:v>5.5714285714285712</c:v>
                </c:pt>
                <c:pt idx="3">
                  <c:v>5.7142857142857144</c:v>
                </c:pt>
                <c:pt idx="4">
                  <c:v>6.4285714285714288</c:v>
                </c:pt>
              </c:numCache>
            </c:numRef>
          </c:val>
          <c:smooth val="0"/>
          <c:extLst>
            <c:ext xmlns:c16="http://schemas.microsoft.com/office/drawing/2014/chart" uri="{C3380CC4-5D6E-409C-BE32-E72D297353CC}">
              <c16:uniqueId val="{00000002-1666-46CE-BC43-406CDCEBF7F7}"/>
            </c:ext>
          </c:extLst>
        </c:ser>
        <c:ser>
          <c:idx val="3"/>
          <c:order val="3"/>
          <c:tx>
            <c:strRef>
              <c:f>Q04_APAK!$G$15</c:f>
              <c:strCache>
                <c:ptCount val="1"/>
                <c:pt idx="0">
                  <c:v>Arhitektūras un inženiertehniskie pakalpojumi; tehniskā pārbaude un analīze</c:v>
                </c:pt>
              </c:strCache>
            </c:strRef>
          </c:tx>
          <c:spPr>
            <a:ln w="28575" cap="rnd">
              <a:solidFill>
                <a:schemeClr val="accent4"/>
              </a:solidFill>
              <a:round/>
            </a:ln>
            <a:effectLst/>
          </c:spPr>
          <c:marker>
            <c:symbol val="none"/>
          </c:marker>
          <c:val>
            <c:numRef>
              <c:f>Q04_APAK!$H$17:$H$21</c:f>
              <c:numCache>
                <c:formatCode>0.00</c:formatCode>
                <c:ptCount val="5"/>
                <c:pt idx="0">
                  <c:v>5.1428571428571432</c:v>
                </c:pt>
                <c:pt idx="1">
                  <c:v>5.8571428571428568</c:v>
                </c:pt>
                <c:pt idx="2">
                  <c:v>1.7142857142857142</c:v>
                </c:pt>
                <c:pt idx="3">
                  <c:v>5</c:v>
                </c:pt>
                <c:pt idx="4">
                  <c:v>7.4285714285714288</c:v>
                </c:pt>
              </c:numCache>
            </c:numRef>
          </c:val>
          <c:smooth val="0"/>
          <c:extLst>
            <c:ext xmlns:c16="http://schemas.microsoft.com/office/drawing/2014/chart" uri="{C3380CC4-5D6E-409C-BE32-E72D297353CC}">
              <c16:uniqueId val="{00000003-1666-46CE-BC43-406CDCEBF7F7}"/>
            </c:ext>
          </c:extLst>
        </c:ser>
        <c:dLbls>
          <c:showLegendKey val="0"/>
          <c:showVal val="0"/>
          <c:showCatName val="0"/>
          <c:showSerName val="0"/>
          <c:showPercent val="0"/>
          <c:showBubbleSize val="0"/>
        </c:dLbls>
        <c:smooth val="0"/>
        <c:axId val="17293471"/>
        <c:axId val="17294303"/>
      </c:lineChart>
      <c:catAx>
        <c:axId val="1729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4303"/>
        <c:crosses val="autoZero"/>
        <c:auto val="1"/>
        <c:lblAlgn val="ctr"/>
        <c:lblOffset val="100"/>
        <c:noMultiLvlLbl val="0"/>
      </c:catAx>
      <c:valAx>
        <c:axId val="172943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v-LV" sz="1100" b="0" i="0" baseline="0">
                <a:effectLst/>
                <a:latin typeface="Arial" panose="020B0604020202020204" pitchFamily="34" charset="0"/>
                <a:cs typeface="Arial" panose="020B0604020202020204" pitchFamily="34" charset="0"/>
              </a:rPr>
              <a:t>Transporta objektu izmaksu izmaiņu prognozes pa resursu veidiem 2021.-2025. gadam</a:t>
            </a:r>
            <a:endParaRPr lang="lv-LV" sz="11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title>
    <c:autoTitleDeleted val="0"/>
    <c:plotArea>
      <c:layout/>
      <c:lineChart>
        <c:grouping val="standard"/>
        <c:varyColors val="0"/>
        <c:ser>
          <c:idx val="0"/>
          <c:order val="0"/>
          <c:tx>
            <c:strRef>
              <c:f>Q04_APAK!$C$7</c:f>
              <c:strCache>
                <c:ptCount val="1"/>
                <c:pt idx="0">
                  <c:v>Būvmateriālu izmaksu izmaiņas</c:v>
                </c:pt>
              </c:strCache>
            </c:strRef>
          </c:tx>
          <c:spPr>
            <a:ln w="28575" cap="rnd">
              <a:solidFill>
                <a:schemeClr val="accent1"/>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Q04_APAK!$D$44:$D$48</c:f>
              <c:numCache>
                <c:formatCode>0.00</c:formatCode>
                <c:ptCount val="5"/>
                <c:pt idx="0">
                  <c:v>10</c:v>
                </c:pt>
                <c:pt idx="1">
                  <c:v>9</c:v>
                </c:pt>
                <c:pt idx="2">
                  <c:v>7</c:v>
                </c:pt>
                <c:pt idx="3">
                  <c:v>4.5</c:v>
                </c:pt>
                <c:pt idx="4">
                  <c:v>4.25</c:v>
                </c:pt>
              </c:numCache>
            </c:numRef>
          </c:val>
          <c:smooth val="0"/>
          <c:extLst>
            <c:ext xmlns:c16="http://schemas.microsoft.com/office/drawing/2014/chart" uri="{C3380CC4-5D6E-409C-BE32-E72D297353CC}">
              <c16:uniqueId val="{00000000-B415-430F-8FF9-F89FCF45CEE8}"/>
            </c:ext>
          </c:extLst>
        </c:ser>
        <c:ser>
          <c:idx val="1"/>
          <c:order val="1"/>
          <c:tx>
            <c:strRef>
              <c:f>Q04_APAK!$G$7</c:f>
              <c:strCache>
                <c:ptCount val="1"/>
                <c:pt idx="0">
                  <c:v>Strādnieku darba samaksas izmaksu izmaiņas</c:v>
                </c:pt>
              </c:strCache>
            </c:strRef>
          </c:tx>
          <c:spPr>
            <a:ln w="28575" cap="rnd">
              <a:solidFill>
                <a:schemeClr val="accent2"/>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Q04_APAK!$H$44:$H$48</c:f>
              <c:numCache>
                <c:formatCode>0.00</c:formatCode>
                <c:ptCount val="5"/>
                <c:pt idx="0">
                  <c:v>8</c:v>
                </c:pt>
                <c:pt idx="1">
                  <c:v>4.25</c:v>
                </c:pt>
                <c:pt idx="2">
                  <c:v>4</c:v>
                </c:pt>
                <c:pt idx="3">
                  <c:v>3</c:v>
                </c:pt>
                <c:pt idx="4">
                  <c:v>2.75</c:v>
                </c:pt>
              </c:numCache>
            </c:numRef>
          </c:val>
          <c:smooth val="0"/>
          <c:extLst>
            <c:ext xmlns:c16="http://schemas.microsoft.com/office/drawing/2014/chart" uri="{C3380CC4-5D6E-409C-BE32-E72D297353CC}">
              <c16:uniqueId val="{00000001-B415-430F-8FF9-F89FCF45CEE8}"/>
            </c:ext>
          </c:extLst>
        </c:ser>
        <c:ser>
          <c:idx val="2"/>
          <c:order val="2"/>
          <c:tx>
            <c:strRef>
              <c:f>Q04_APAK!$C$15</c:f>
              <c:strCache>
                <c:ptCount val="1"/>
                <c:pt idx="0">
                  <c:v>Mašīnu un mehānismu uzturēšanas un ekspluatācijas izmaksu izmaiņas</c:v>
                </c:pt>
              </c:strCache>
            </c:strRef>
          </c:tx>
          <c:spPr>
            <a:ln w="28575" cap="rnd">
              <a:solidFill>
                <a:schemeClr val="accent3"/>
              </a:solidFill>
              <a:round/>
            </a:ln>
            <a:effectLst/>
          </c:spPr>
          <c:marker>
            <c:symbol val="none"/>
          </c:marker>
          <c:val>
            <c:numRef>
              <c:f>Q04_APAK!$D$52:$D$56</c:f>
              <c:numCache>
                <c:formatCode>0.00</c:formatCode>
                <c:ptCount val="5"/>
                <c:pt idx="0">
                  <c:v>10</c:v>
                </c:pt>
                <c:pt idx="1">
                  <c:v>7.6</c:v>
                </c:pt>
                <c:pt idx="2">
                  <c:v>4</c:v>
                </c:pt>
                <c:pt idx="3">
                  <c:v>3.5</c:v>
                </c:pt>
                <c:pt idx="4">
                  <c:v>2</c:v>
                </c:pt>
              </c:numCache>
            </c:numRef>
          </c:val>
          <c:smooth val="0"/>
          <c:extLst>
            <c:ext xmlns:c16="http://schemas.microsoft.com/office/drawing/2014/chart" uri="{C3380CC4-5D6E-409C-BE32-E72D297353CC}">
              <c16:uniqueId val="{00000002-B415-430F-8FF9-F89FCF45CEE8}"/>
            </c:ext>
          </c:extLst>
        </c:ser>
        <c:ser>
          <c:idx val="3"/>
          <c:order val="3"/>
          <c:tx>
            <c:strRef>
              <c:f>Q04_APAK!$G$15</c:f>
              <c:strCache>
                <c:ptCount val="1"/>
                <c:pt idx="0">
                  <c:v>Arhitektūras un inženiertehniskie pakalpojumi; tehniskā pārbaude un analīze</c:v>
                </c:pt>
              </c:strCache>
            </c:strRef>
          </c:tx>
          <c:spPr>
            <a:ln w="28575" cap="rnd">
              <a:solidFill>
                <a:schemeClr val="accent4"/>
              </a:solidFill>
              <a:round/>
            </a:ln>
            <a:effectLst/>
          </c:spPr>
          <c:marker>
            <c:symbol val="none"/>
          </c:marker>
          <c:val>
            <c:numRef>
              <c:f>Q04_APAK!$H$52:$H$56</c:f>
              <c:numCache>
                <c:formatCode>0.00</c:formatCode>
                <c:ptCount val="5"/>
                <c:pt idx="0">
                  <c:v>7.833333333333333</c:v>
                </c:pt>
                <c:pt idx="1">
                  <c:v>7.2</c:v>
                </c:pt>
                <c:pt idx="2">
                  <c:v>10</c:v>
                </c:pt>
                <c:pt idx="3">
                  <c:v>8.4</c:v>
                </c:pt>
                <c:pt idx="4">
                  <c:v>10.4</c:v>
                </c:pt>
              </c:numCache>
            </c:numRef>
          </c:val>
          <c:smooth val="0"/>
          <c:extLst>
            <c:ext xmlns:c16="http://schemas.microsoft.com/office/drawing/2014/chart" uri="{C3380CC4-5D6E-409C-BE32-E72D297353CC}">
              <c16:uniqueId val="{00000003-B415-430F-8FF9-F89FCF45CEE8}"/>
            </c:ext>
          </c:extLst>
        </c:ser>
        <c:dLbls>
          <c:showLegendKey val="0"/>
          <c:showVal val="0"/>
          <c:showCatName val="0"/>
          <c:showSerName val="0"/>
          <c:showPercent val="0"/>
          <c:showBubbleSize val="0"/>
        </c:dLbls>
        <c:smooth val="0"/>
        <c:axId val="17293471"/>
        <c:axId val="17294303"/>
      </c:lineChart>
      <c:catAx>
        <c:axId val="1729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4303"/>
        <c:crosses val="autoZero"/>
        <c:auto val="1"/>
        <c:lblAlgn val="ctr"/>
        <c:lblOffset val="100"/>
        <c:noMultiLvlLbl val="0"/>
      </c:catAx>
      <c:valAx>
        <c:axId val="172943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lv-LV" sz="1100" b="0" i="0" baseline="0">
                <a:effectLst/>
                <a:latin typeface="Arial" panose="020B0604020202020204" pitchFamily="34" charset="0"/>
                <a:cs typeface="Arial" panose="020B0604020202020204" pitchFamily="34" charset="0"/>
              </a:rPr>
              <a:t>Pilsētsaimniecības infrastruktūras izmaksu izmaiņu prognozes pa resursu veidiem 2021.-2025. gadam</a:t>
            </a:r>
            <a:endParaRPr lang="lv-LV" sz="11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title>
    <c:autoTitleDeleted val="0"/>
    <c:plotArea>
      <c:layout/>
      <c:lineChart>
        <c:grouping val="standard"/>
        <c:varyColors val="0"/>
        <c:ser>
          <c:idx val="0"/>
          <c:order val="0"/>
          <c:tx>
            <c:strRef>
              <c:f>Q04_APAK!$C$7</c:f>
              <c:strCache>
                <c:ptCount val="1"/>
                <c:pt idx="0">
                  <c:v>Būvmateriālu izmaksu izmaiņas</c:v>
                </c:pt>
              </c:strCache>
            </c:strRef>
          </c:tx>
          <c:spPr>
            <a:ln w="28575" cap="rnd">
              <a:solidFill>
                <a:schemeClr val="accent1"/>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Q04_APAK!$D$64:$D$68</c:f>
              <c:numCache>
                <c:formatCode>0.00</c:formatCode>
                <c:ptCount val="5"/>
                <c:pt idx="0">
                  <c:v>15.285714285714286</c:v>
                </c:pt>
                <c:pt idx="1">
                  <c:v>10.428571428571429</c:v>
                </c:pt>
                <c:pt idx="2">
                  <c:v>6.1428571428571432</c:v>
                </c:pt>
                <c:pt idx="3">
                  <c:v>4.2857142857142856</c:v>
                </c:pt>
                <c:pt idx="4">
                  <c:v>3.8571428571428572</c:v>
                </c:pt>
              </c:numCache>
            </c:numRef>
          </c:val>
          <c:smooth val="0"/>
          <c:extLst>
            <c:ext xmlns:c16="http://schemas.microsoft.com/office/drawing/2014/chart" uri="{C3380CC4-5D6E-409C-BE32-E72D297353CC}">
              <c16:uniqueId val="{00000000-EEED-4797-BF4A-604F661168CE}"/>
            </c:ext>
          </c:extLst>
        </c:ser>
        <c:ser>
          <c:idx val="1"/>
          <c:order val="1"/>
          <c:tx>
            <c:strRef>
              <c:f>Q04_APAK!$G$7</c:f>
              <c:strCache>
                <c:ptCount val="1"/>
                <c:pt idx="0">
                  <c:v>Strādnieku darba samaksas izmaksu izmaiņas</c:v>
                </c:pt>
              </c:strCache>
            </c:strRef>
          </c:tx>
          <c:spPr>
            <a:ln w="28575" cap="rnd">
              <a:solidFill>
                <a:schemeClr val="accent2"/>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Q04_APAK!$H$64:$H$68</c:f>
              <c:numCache>
                <c:formatCode>0.00</c:formatCode>
                <c:ptCount val="5"/>
                <c:pt idx="0">
                  <c:v>7.5714285714285712</c:v>
                </c:pt>
                <c:pt idx="1">
                  <c:v>10</c:v>
                </c:pt>
                <c:pt idx="2">
                  <c:v>7.2857142857142856</c:v>
                </c:pt>
                <c:pt idx="3">
                  <c:v>7</c:v>
                </c:pt>
                <c:pt idx="4">
                  <c:v>5.5714285714285712</c:v>
                </c:pt>
              </c:numCache>
            </c:numRef>
          </c:val>
          <c:smooth val="0"/>
          <c:extLst>
            <c:ext xmlns:c16="http://schemas.microsoft.com/office/drawing/2014/chart" uri="{C3380CC4-5D6E-409C-BE32-E72D297353CC}">
              <c16:uniqueId val="{00000001-EEED-4797-BF4A-604F661168CE}"/>
            </c:ext>
          </c:extLst>
        </c:ser>
        <c:ser>
          <c:idx val="2"/>
          <c:order val="2"/>
          <c:tx>
            <c:strRef>
              <c:f>Q04_APAK!$C$15</c:f>
              <c:strCache>
                <c:ptCount val="1"/>
                <c:pt idx="0">
                  <c:v>Mašīnu un mehānismu uzturēšanas un ekspluatācijas izmaksu izmaiņas</c:v>
                </c:pt>
              </c:strCache>
            </c:strRef>
          </c:tx>
          <c:spPr>
            <a:ln w="28575" cap="rnd">
              <a:solidFill>
                <a:schemeClr val="accent3"/>
              </a:solidFill>
              <a:round/>
            </a:ln>
            <a:effectLst/>
          </c:spPr>
          <c:marker>
            <c:symbol val="none"/>
          </c:marker>
          <c:val>
            <c:numRef>
              <c:f>Q04_APAK!$D$72:$D$76</c:f>
              <c:numCache>
                <c:formatCode>0.00</c:formatCode>
                <c:ptCount val="5"/>
                <c:pt idx="0">
                  <c:v>6.5714285714285712</c:v>
                </c:pt>
                <c:pt idx="1">
                  <c:v>5.5714285714285712</c:v>
                </c:pt>
                <c:pt idx="2">
                  <c:v>5.1428571428571432</c:v>
                </c:pt>
                <c:pt idx="3">
                  <c:v>4.8571428571428568</c:v>
                </c:pt>
                <c:pt idx="4">
                  <c:v>4.4285714285714288</c:v>
                </c:pt>
              </c:numCache>
            </c:numRef>
          </c:val>
          <c:smooth val="0"/>
          <c:extLst>
            <c:ext xmlns:c16="http://schemas.microsoft.com/office/drawing/2014/chart" uri="{C3380CC4-5D6E-409C-BE32-E72D297353CC}">
              <c16:uniqueId val="{00000002-EEED-4797-BF4A-604F661168CE}"/>
            </c:ext>
          </c:extLst>
        </c:ser>
        <c:ser>
          <c:idx val="3"/>
          <c:order val="3"/>
          <c:tx>
            <c:strRef>
              <c:f>Q04_APAK!$G$15</c:f>
              <c:strCache>
                <c:ptCount val="1"/>
                <c:pt idx="0">
                  <c:v>Arhitektūras un inženiertehniskie pakalpojumi; tehniskā pārbaude un analīze</c:v>
                </c:pt>
              </c:strCache>
            </c:strRef>
          </c:tx>
          <c:spPr>
            <a:ln w="28575" cap="rnd">
              <a:solidFill>
                <a:schemeClr val="accent4"/>
              </a:solidFill>
              <a:round/>
            </a:ln>
            <a:effectLst/>
          </c:spPr>
          <c:marker>
            <c:symbol val="none"/>
          </c:marker>
          <c:val>
            <c:numRef>
              <c:f>Q04_APAK!$H$72:$H$76</c:f>
              <c:numCache>
                <c:formatCode>0.00</c:formatCode>
                <c:ptCount val="5"/>
                <c:pt idx="0">
                  <c:v>7.7142857142857144</c:v>
                </c:pt>
                <c:pt idx="1">
                  <c:v>8</c:v>
                </c:pt>
                <c:pt idx="2">
                  <c:v>7.8571428571428568</c:v>
                </c:pt>
                <c:pt idx="3">
                  <c:v>6.8571428571428568</c:v>
                </c:pt>
                <c:pt idx="4">
                  <c:v>6</c:v>
                </c:pt>
              </c:numCache>
            </c:numRef>
          </c:val>
          <c:smooth val="0"/>
          <c:extLst>
            <c:ext xmlns:c16="http://schemas.microsoft.com/office/drawing/2014/chart" uri="{C3380CC4-5D6E-409C-BE32-E72D297353CC}">
              <c16:uniqueId val="{00000003-EEED-4797-BF4A-604F661168CE}"/>
            </c:ext>
          </c:extLst>
        </c:ser>
        <c:dLbls>
          <c:showLegendKey val="0"/>
          <c:showVal val="0"/>
          <c:showCatName val="0"/>
          <c:showSerName val="0"/>
          <c:showPercent val="0"/>
          <c:showBubbleSize val="0"/>
        </c:dLbls>
        <c:smooth val="0"/>
        <c:axId val="17293471"/>
        <c:axId val="17294303"/>
      </c:lineChart>
      <c:catAx>
        <c:axId val="1729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4303"/>
        <c:crosses val="autoZero"/>
        <c:auto val="1"/>
        <c:lblAlgn val="ctr"/>
        <c:lblOffset val="100"/>
        <c:noMultiLvlLbl val="0"/>
      </c:catAx>
      <c:valAx>
        <c:axId val="172943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lv-LV" sz="1100">
                <a:latin typeface="Arial" panose="020B0604020202020204" pitchFamily="34" charset="0"/>
                <a:cs typeface="Arial" panose="020B0604020202020204" pitchFamily="34" charset="0"/>
              </a:rPr>
              <a:t>Specializēto būvdarbu</a:t>
            </a:r>
            <a:r>
              <a:rPr lang="lv-LV" sz="1100" b="0" i="0" baseline="0">
                <a:effectLst/>
                <a:latin typeface="Arial" panose="020B0604020202020204" pitchFamily="34" charset="0"/>
                <a:cs typeface="Arial" panose="020B0604020202020204" pitchFamily="34" charset="0"/>
              </a:rPr>
              <a:t> izmaksu izmaiņu prognozes pa resursu veidiem 2021.-2025. gadam</a:t>
            </a:r>
            <a:endParaRPr lang="lv-LV" sz="1100">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sz="1100">
                <a:solidFill>
                  <a:sysClr val="windowText" lastClr="000000">
                    <a:lumMod val="65000"/>
                    <a:lumOff val="35000"/>
                  </a:sysClr>
                </a:solidFill>
                <a:latin typeface="Arial" panose="020B0604020202020204" pitchFamily="34" charset="0"/>
                <a:cs typeface="Arial" panose="020B0604020202020204" pitchFamily="34" charset="0"/>
              </a:defRPr>
            </a:pPr>
            <a:endParaRPr lang="lv-LV"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lv-LV"/>
        </a:p>
      </c:txPr>
    </c:title>
    <c:autoTitleDeleted val="0"/>
    <c:plotArea>
      <c:layout/>
      <c:lineChart>
        <c:grouping val="standard"/>
        <c:varyColors val="0"/>
        <c:ser>
          <c:idx val="0"/>
          <c:order val="0"/>
          <c:tx>
            <c:strRef>
              <c:f>Q04_APAK!$C$7</c:f>
              <c:strCache>
                <c:ptCount val="1"/>
                <c:pt idx="0">
                  <c:v>Būvmateriālu izmaksu izmaiņas</c:v>
                </c:pt>
              </c:strCache>
            </c:strRef>
          </c:tx>
          <c:spPr>
            <a:ln w="28575" cap="rnd">
              <a:solidFill>
                <a:schemeClr val="accent1"/>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Q04_APAK!$D$82:$D$86</c:f>
              <c:numCache>
                <c:formatCode>0.00</c:formatCode>
                <c:ptCount val="5"/>
                <c:pt idx="0">
                  <c:v>15.833333333333334</c:v>
                </c:pt>
                <c:pt idx="1">
                  <c:v>6.7142857142857144</c:v>
                </c:pt>
                <c:pt idx="2">
                  <c:v>4.7142857142857144</c:v>
                </c:pt>
                <c:pt idx="3">
                  <c:v>4.2857142857142856</c:v>
                </c:pt>
                <c:pt idx="4">
                  <c:v>3.4285714285714284</c:v>
                </c:pt>
              </c:numCache>
            </c:numRef>
          </c:val>
          <c:smooth val="0"/>
          <c:extLst>
            <c:ext xmlns:c16="http://schemas.microsoft.com/office/drawing/2014/chart" uri="{C3380CC4-5D6E-409C-BE32-E72D297353CC}">
              <c16:uniqueId val="{00000000-D98A-4F40-9E16-CE0DA4C185F9}"/>
            </c:ext>
          </c:extLst>
        </c:ser>
        <c:ser>
          <c:idx val="1"/>
          <c:order val="1"/>
          <c:tx>
            <c:strRef>
              <c:f>Q04_APAK!$G$7</c:f>
              <c:strCache>
                <c:ptCount val="1"/>
                <c:pt idx="0">
                  <c:v>Strādnieku darba samaksas izmaksu izmaiņas</c:v>
                </c:pt>
              </c:strCache>
            </c:strRef>
          </c:tx>
          <c:spPr>
            <a:ln w="28575" cap="rnd">
              <a:solidFill>
                <a:schemeClr val="accent2"/>
              </a:solidFill>
              <a:round/>
            </a:ln>
            <a:effectLst/>
          </c:spPr>
          <c:marker>
            <c:symbol val="none"/>
          </c:marker>
          <c:cat>
            <c:strRef>
              <c:f>Q04_APAK!$B$9:$B$13</c:f>
              <c:strCache>
                <c:ptCount val="5"/>
                <c:pt idx="0">
                  <c:v>2021.</c:v>
                </c:pt>
                <c:pt idx="1">
                  <c:v>2022.</c:v>
                </c:pt>
                <c:pt idx="2">
                  <c:v>2023.</c:v>
                </c:pt>
                <c:pt idx="3">
                  <c:v>2024.</c:v>
                </c:pt>
                <c:pt idx="4">
                  <c:v>2025.</c:v>
                </c:pt>
              </c:strCache>
            </c:strRef>
          </c:cat>
          <c:val>
            <c:numRef>
              <c:f>Q04_APAK!$H$82:$H$86</c:f>
              <c:numCache>
                <c:formatCode>0.00</c:formatCode>
                <c:ptCount val="5"/>
                <c:pt idx="0">
                  <c:v>5.1428571428571432</c:v>
                </c:pt>
                <c:pt idx="1">
                  <c:v>8.2857142857142865</c:v>
                </c:pt>
                <c:pt idx="2">
                  <c:v>5.5714285714285712</c:v>
                </c:pt>
                <c:pt idx="3">
                  <c:v>5.4285714285714288</c:v>
                </c:pt>
                <c:pt idx="4">
                  <c:v>4.2857142857142856</c:v>
                </c:pt>
              </c:numCache>
            </c:numRef>
          </c:val>
          <c:smooth val="0"/>
          <c:extLst>
            <c:ext xmlns:c16="http://schemas.microsoft.com/office/drawing/2014/chart" uri="{C3380CC4-5D6E-409C-BE32-E72D297353CC}">
              <c16:uniqueId val="{00000001-D98A-4F40-9E16-CE0DA4C185F9}"/>
            </c:ext>
          </c:extLst>
        </c:ser>
        <c:ser>
          <c:idx val="2"/>
          <c:order val="2"/>
          <c:tx>
            <c:strRef>
              <c:f>Q04_APAK!$C$15</c:f>
              <c:strCache>
                <c:ptCount val="1"/>
                <c:pt idx="0">
                  <c:v>Mašīnu un mehānismu uzturēšanas un ekspluatācijas izmaksu izmaiņas</c:v>
                </c:pt>
              </c:strCache>
            </c:strRef>
          </c:tx>
          <c:spPr>
            <a:ln w="28575" cap="rnd">
              <a:solidFill>
                <a:schemeClr val="accent3"/>
              </a:solidFill>
              <a:round/>
            </a:ln>
            <a:effectLst/>
          </c:spPr>
          <c:marker>
            <c:symbol val="none"/>
          </c:marker>
          <c:val>
            <c:numRef>
              <c:f>Q04_APAK!$D$90:$D$94</c:f>
              <c:numCache>
                <c:formatCode>0.00</c:formatCode>
                <c:ptCount val="5"/>
                <c:pt idx="0">
                  <c:v>7.4285714285714288</c:v>
                </c:pt>
                <c:pt idx="1">
                  <c:v>8.2857142857142865</c:v>
                </c:pt>
                <c:pt idx="2">
                  <c:v>5.7142857142857144</c:v>
                </c:pt>
                <c:pt idx="3">
                  <c:v>5</c:v>
                </c:pt>
                <c:pt idx="4">
                  <c:v>4</c:v>
                </c:pt>
              </c:numCache>
            </c:numRef>
          </c:val>
          <c:smooth val="0"/>
          <c:extLst>
            <c:ext xmlns:c16="http://schemas.microsoft.com/office/drawing/2014/chart" uri="{C3380CC4-5D6E-409C-BE32-E72D297353CC}">
              <c16:uniqueId val="{00000002-D98A-4F40-9E16-CE0DA4C185F9}"/>
            </c:ext>
          </c:extLst>
        </c:ser>
        <c:ser>
          <c:idx val="3"/>
          <c:order val="3"/>
          <c:tx>
            <c:strRef>
              <c:f>Q04_APAK!$G$15</c:f>
              <c:strCache>
                <c:ptCount val="1"/>
                <c:pt idx="0">
                  <c:v>Arhitektūras un inženiertehniskie pakalpojumi; tehniskā pārbaude un analīze</c:v>
                </c:pt>
              </c:strCache>
            </c:strRef>
          </c:tx>
          <c:spPr>
            <a:ln w="28575" cap="rnd">
              <a:solidFill>
                <a:schemeClr val="accent4"/>
              </a:solidFill>
              <a:round/>
            </a:ln>
            <a:effectLst/>
          </c:spPr>
          <c:marker>
            <c:symbol val="none"/>
          </c:marker>
          <c:val>
            <c:numRef>
              <c:f>Q04_APAK!$H$90:$H$94</c:f>
              <c:numCache>
                <c:formatCode>0.00</c:formatCode>
                <c:ptCount val="5"/>
                <c:pt idx="0">
                  <c:v>7.4285714285714288</c:v>
                </c:pt>
                <c:pt idx="1">
                  <c:v>7.7142857142857144</c:v>
                </c:pt>
                <c:pt idx="2">
                  <c:v>6.4285714285714288</c:v>
                </c:pt>
                <c:pt idx="3">
                  <c:v>4.5714285714285712</c:v>
                </c:pt>
                <c:pt idx="4">
                  <c:v>4</c:v>
                </c:pt>
              </c:numCache>
            </c:numRef>
          </c:val>
          <c:smooth val="0"/>
          <c:extLst>
            <c:ext xmlns:c16="http://schemas.microsoft.com/office/drawing/2014/chart" uri="{C3380CC4-5D6E-409C-BE32-E72D297353CC}">
              <c16:uniqueId val="{00000003-D98A-4F40-9E16-CE0DA4C185F9}"/>
            </c:ext>
          </c:extLst>
        </c:ser>
        <c:dLbls>
          <c:showLegendKey val="0"/>
          <c:showVal val="0"/>
          <c:showCatName val="0"/>
          <c:showSerName val="0"/>
          <c:showPercent val="0"/>
          <c:showBubbleSize val="0"/>
        </c:dLbls>
        <c:smooth val="0"/>
        <c:axId val="17293471"/>
        <c:axId val="17294303"/>
      </c:lineChart>
      <c:catAx>
        <c:axId val="1729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4303"/>
        <c:crosses val="autoZero"/>
        <c:auto val="1"/>
        <c:lblAlgn val="ctr"/>
        <c:lblOffset val="100"/>
        <c:noMultiLvlLbl val="0"/>
      </c:catAx>
      <c:valAx>
        <c:axId val="172943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1729347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lv-LV" sz="1000"/>
              <a:t>Būvmateriālu izmaksu izmaiņas un to prognozes procentos pret iepriekšējo gadu</a:t>
            </a:r>
            <a:br>
              <a:rPr lang="lv-LV" sz="1000"/>
            </a:br>
            <a:r>
              <a:rPr lang="lv-LV" sz="1000"/>
              <a:t>Būvniecības pamata materiāli</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0.4248380393128825"/>
          <c:y val="0.19141266019009864"/>
          <c:w val="0.55441955348801741"/>
          <c:h val="0.6752571014498604"/>
        </c:manualLayout>
      </c:layout>
      <c:barChart>
        <c:barDir val="bar"/>
        <c:grouping val="clustered"/>
        <c:varyColors val="0"/>
        <c:ser>
          <c:idx val="0"/>
          <c:order val="0"/>
          <c:tx>
            <c:strRef>
              <c:f>Q04_Tirg!$G$8</c:f>
              <c:strCache>
                <c:ptCount val="1"/>
                <c:pt idx="0">
                  <c:v>2020.</c:v>
                </c:pt>
              </c:strCache>
            </c:strRef>
          </c:tx>
          <c:spPr>
            <a:solidFill>
              <a:schemeClr val="accent1"/>
            </a:solidFill>
            <a:ln>
              <a:noFill/>
            </a:ln>
            <a:effectLst/>
          </c:spPr>
          <c:invertIfNegative val="0"/>
          <c:cat>
            <c:strRef>
              <c:f>Q04_Tirg!$B$10:$B$16</c:f>
              <c:strCache>
                <c:ptCount val="7"/>
                <c:pt idx="0">
                  <c:v>Cements, betons, pildvielas</c:v>
                </c:pt>
                <c:pt idx="1">
                  <c:v>Bitumena izstrādājumi</c:v>
                </c:pt>
                <c:pt idx="2">
                  <c:v>Smilts, grants, dolomīts, māls</c:v>
                </c:pt>
                <c:pt idx="3">
                  <c:v>Metālizstrādājumi, ieskaitot stieņus caurules</c:v>
                </c:pt>
                <c:pt idx="4">
                  <c:v>Kokmateriāli</c:v>
                </c:pt>
                <c:pt idx="5">
                  <c:v>Stikla izstrādājumi</c:v>
                </c:pt>
                <c:pt idx="6">
                  <c:v>Citi (polimēru izstrādājumi, gumijas, u.c.)</c:v>
                </c:pt>
              </c:strCache>
            </c:strRef>
          </c:cat>
          <c:val>
            <c:numRef>
              <c:f>Q04_Tirg!$G$10:$G$16</c:f>
              <c:numCache>
                <c:formatCode>0.00</c:formatCode>
                <c:ptCount val="7"/>
                <c:pt idx="0">
                  <c:v>3</c:v>
                </c:pt>
                <c:pt idx="1">
                  <c:v>4.5</c:v>
                </c:pt>
                <c:pt idx="2">
                  <c:v>2.4</c:v>
                </c:pt>
                <c:pt idx="3">
                  <c:v>11.25</c:v>
                </c:pt>
                <c:pt idx="4">
                  <c:v>13</c:v>
                </c:pt>
                <c:pt idx="5">
                  <c:v>3.6666666666666665</c:v>
                </c:pt>
                <c:pt idx="6">
                  <c:v>10</c:v>
                </c:pt>
              </c:numCache>
            </c:numRef>
          </c:val>
          <c:extLst>
            <c:ext xmlns:c16="http://schemas.microsoft.com/office/drawing/2014/chart" uri="{C3380CC4-5D6E-409C-BE32-E72D297353CC}">
              <c16:uniqueId val="{00000000-8F76-4083-929C-34511C1FC795}"/>
            </c:ext>
          </c:extLst>
        </c:ser>
        <c:ser>
          <c:idx val="1"/>
          <c:order val="1"/>
          <c:tx>
            <c:strRef>
              <c:f>Q04_Tirg!$H$8</c:f>
              <c:strCache>
                <c:ptCount val="1"/>
                <c:pt idx="0">
                  <c:v>2021.</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Q04_Tirg!$B$10:$B$16</c:f>
              <c:strCache>
                <c:ptCount val="7"/>
                <c:pt idx="0">
                  <c:v>Cements, betons, pildvielas</c:v>
                </c:pt>
                <c:pt idx="1">
                  <c:v>Bitumena izstrādājumi</c:v>
                </c:pt>
                <c:pt idx="2">
                  <c:v>Smilts, grants, dolomīts, māls</c:v>
                </c:pt>
                <c:pt idx="3">
                  <c:v>Metālizstrādājumi, ieskaitot stieņus caurules</c:v>
                </c:pt>
                <c:pt idx="4">
                  <c:v>Kokmateriāli</c:v>
                </c:pt>
                <c:pt idx="5">
                  <c:v>Stikla izstrādājumi</c:v>
                </c:pt>
                <c:pt idx="6">
                  <c:v>Citi (polimēru izstrādājumi, gumijas, u.c.)</c:v>
                </c:pt>
              </c:strCache>
            </c:strRef>
          </c:cat>
          <c:val>
            <c:numRef>
              <c:f>Q04_Tirg!$H$10:$H$16</c:f>
              <c:numCache>
                <c:formatCode>0.00</c:formatCode>
                <c:ptCount val="7"/>
                <c:pt idx="0">
                  <c:v>6.2</c:v>
                </c:pt>
                <c:pt idx="1">
                  <c:v>6</c:v>
                </c:pt>
                <c:pt idx="2">
                  <c:v>7.6</c:v>
                </c:pt>
                <c:pt idx="3">
                  <c:v>24.25</c:v>
                </c:pt>
                <c:pt idx="4">
                  <c:v>30</c:v>
                </c:pt>
                <c:pt idx="5">
                  <c:v>4</c:v>
                </c:pt>
                <c:pt idx="6">
                  <c:v>6.75</c:v>
                </c:pt>
              </c:numCache>
            </c:numRef>
          </c:val>
          <c:extLst>
            <c:ext xmlns:c16="http://schemas.microsoft.com/office/drawing/2014/chart" uri="{C3380CC4-5D6E-409C-BE32-E72D297353CC}">
              <c16:uniqueId val="{00000001-8F76-4083-929C-34511C1FC795}"/>
            </c:ext>
          </c:extLst>
        </c:ser>
        <c:ser>
          <c:idx val="2"/>
          <c:order val="2"/>
          <c:tx>
            <c:strRef>
              <c:f>Q04_Tirg!$I$8</c:f>
              <c:strCache>
                <c:ptCount val="1"/>
                <c:pt idx="0">
                  <c:v>2022.-2025.</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Q04_Tirg!$B$10:$B$16</c:f>
              <c:strCache>
                <c:ptCount val="7"/>
                <c:pt idx="0">
                  <c:v>Cements, betons, pildvielas</c:v>
                </c:pt>
                <c:pt idx="1">
                  <c:v>Bitumena izstrādājumi</c:v>
                </c:pt>
                <c:pt idx="2">
                  <c:v>Smilts, grants, dolomīts, māls</c:v>
                </c:pt>
                <c:pt idx="3">
                  <c:v>Metālizstrādājumi, ieskaitot stieņus caurules</c:v>
                </c:pt>
                <c:pt idx="4">
                  <c:v>Kokmateriāli</c:v>
                </c:pt>
                <c:pt idx="5">
                  <c:v>Stikla izstrādājumi</c:v>
                </c:pt>
                <c:pt idx="6">
                  <c:v>Citi (polimēru izstrādājumi, gumijas, u.c.)</c:v>
                </c:pt>
              </c:strCache>
            </c:strRef>
          </c:cat>
          <c:val>
            <c:numRef>
              <c:f>Q04_Tirg!$I$10:$I$16</c:f>
              <c:numCache>
                <c:formatCode>0.00</c:formatCode>
                <c:ptCount val="7"/>
                <c:pt idx="0">
                  <c:v>4.5</c:v>
                </c:pt>
                <c:pt idx="1">
                  <c:v>4.666666666666667</c:v>
                </c:pt>
                <c:pt idx="2">
                  <c:v>6.75</c:v>
                </c:pt>
                <c:pt idx="3">
                  <c:v>6.666666666666667</c:v>
                </c:pt>
                <c:pt idx="4">
                  <c:v>5.333333333333333</c:v>
                </c:pt>
                <c:pt idx="5">
                  <c:v>4</c:v>
                </c:pt>
                <c:pt idx="6">
                  <c:v>4</c:v>
                </c:pt>
              </c:numCache>
            </c:numRef>
          </c:val>
          <c:extLst>
            <c:ext xmlns:c16="http://schemas.microsoft.com/office/drawing/2014/chart" uri="{C3380CC4-5D6E-409C-BE32-E72D297353CC}">
              <c16:uniqueId val="{00000002-8F76-4083-929C-34511C1FC795}"/>
            </c:ext>
          </c:extLst>
        </c:ser>
        <c:dLbls>
          <c:showLegendKey val="0"/>
          <c:showVal val="0"/>
          <c:showCatName val="0"/>
          <c:showSerName val="0"/>
          <c:showPercent val="0"/>
          <c:showBubbleSize val="0"/>
        </c:dLbls>
        <c:gapWidth val="100"/>
        <c:axId val="735319696"/>
        <c:axId val="735318448"/>
      </c:barChart>
      <c:dateAx>
        <c:axId val="7353196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35318448"/>
        <c:crosses val="autoZero"/>
        <c:auto val="0"/>
        <c:lblOffset val="100"/>
        <c:baseTimeUnit val="days"/>
      </c:dateAx>
      <c:valAx>
        <c:axId val="735318448"/>
        <c:scaling>
          <c:orientation val="minMax"/>
        </c:scaling>
        <c:delete val="1"/>
        <c:axPos val="b"/>
        <c:numFmt formatCode="0" sourceLinked="0"/>
        <c:majorTickMark val="none"/>
        <c:minorTickMark val="none"/>
        <c:tickLblPos val="nextTo"/>
        <c:crossAx val="735319696"/>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lv-LV" sz="1000"/>
              <a:t>Būvmateriālu izmaksu izmaiņas un to prognozes</a:t>
            </a:r>
            <a:r>
              <a:rPr lang="lv-LV" sz="1000" b="0" i="0" u="none" strike="noStrike" baseline="0">
                <a:effectLst/>
              </a:rPr>
              <a:t> procentos pret iepriekšējo gadu</a:t>
            </a:r>
            <a:br>
              <a:rPr lang="lv-LV" sz="1000"/>
            </a:br>
            <a:r>
              <a:rPr lang="lv-LV" sz="1000" b="1"/>
              <a:t>Apdares materiāli</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Q04_Tirg!$G$8</c:f>
              <c:strCache>
                <c:ptCount val="1"/>
                <c:pt idx="0">
                  <c:v>2020.</c:v>
                </c:pt>
              </c:strCache>
            </c:strRef>
          </c:tx>
          <c:spPr>
            <a:solidFill>
              <a:schemeClr val="accent1"/>
            </a:solidFill>
            <a:ln>
              <a:noFill/>
            </a:ln>
            <a:effectLst/>
          </c:spPr>
          <c:invertIfNegative val="0"/>
          <c:cat>
            <c:strRef>
              <c:f>Q04_Tirg!$B$18:$B$20</c:f>
              <c:strCache>
                <c:ptCount val="3"/>
                <c:pt idx="0">
                  <c:v>Ārējās apdares materiāli (jumta segumi, izolācijas, apšuvumi, durvis, logi, apdares, u.c.)</c:v>
                </c:pt>
                <c:pt idx="1">
                  <c:v>Iekšējās apdares materiāli (sienas, grīdas segumi, griesti, koka izstrādājumi, virtuvju apdares, sanitārtehnika, u.c.)</c:v>
                </c:pt>
                <c:pt idx="2">
                  <c:v>Citi materiāli (krāsas, pārklājumi, līmes, celtniecības piederumi- stiprinājumi, skrūves, u.c.)</c:v>
                </c:pt>
              </c:strCache>
            </c:strRef>
          </c:cat>
          <c:val>
            <c:numRef>
              <c:f>Q04_Tirg!$G$18:$G$20</c:f>
              <c:numCache>
                <c:formatCode>0.00</c:formatCode>
                <c:ptCount val="3"/>
                <c:pt idx="0">
                  <c:v>2.3333333333333335</c:v>
                </c:pt>
                <c:pt idx="1">
                  <c:v>3</c:v>
                </c:pt>
                <c:pt idx="2">
                  <c:v>3.3333333333333335</c:v>
                </c:pt>
              </c:numCache>
            </c:numRef>
          </c:val>
          <c:extLst>
            <c:ext xmlns:c16="http://schemas.microsoft.com/office/drawing/2014/chart" uri="{C3380CC4-5D6E-409C-BE32-E72D297353CC}">
              <c16:uniqueId val="{00000000-FEB2-45FA-B8BF-496B13BC7C27}"/>
            </c:ext>
          </c:extLst>
        </c:ser>
        <c:ser>
          <c:idx val="1"/>
          <c:order val="1"/>
          <c:tx>
            <c:strRef>
              <c:f>Q04_Tirg!$H$8</c:f>
              <c:strCache>
                <c:ptCount val="1"/>
                <c:pt idx="0">
                  <c:v>2021.</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Q04_Tirg!$B$18:$B$20</c:f>
              <c:strCache>
                <c:ptCount val="3"/>
                <c:pt idx="0">
                  <c:v>Ārējās apdares materiāli (jumta segumi, izolācijas, apšuvumi, durvis, logi, apdares, u.c.)</c:v>
                </c:pt>
                <c:pt idx="1">
                  <c:v>Iekšējās apdares materiāli (sienas, grīdas segumi, griesti, koka izstrādājumi, virtuvju apdares, sanitārtehnika, u.c.)</c:v>
                </c:pt>
                <c:pt idx="2">
                  <c:v>Citi materiāli (krāsas, pārklājumi, līmes, celtniecības piederumi- stiprinājumi, skrūves, u.c.)</c:v>
                </c:pt>
              </c:strCache>
            </c:strRef>
          </c:cat>
          <c:val>
            <c:numRef>
              <c:f>Q04_Tirg!$H$18:$H$20</c:f>
              <c:numCache>
                <c:formatCode>0.00</c:formatCode>
                <c:ptCount val="3"/>
                <c:pt idx="0">
                  <c:v>6.333333333333333</c:v>
                </c:pt>
                <c:pt idx="1">
                  <c:v>11</c:v>
                </c:pt>
                <c:pt idx="2">
                  <c:v>9.3333333333333339</c:v>
                </c:pt>
              </c:numCache>
            </c:numRef>
          </c:val>
          <c:extLst>
            <c:ext xmlns:c16="http://schemas.microsoft.com/office/drawing/2014/chart" uri="{C3380CC4-5D6E-409C-BE32-E72D297353CC}">
              <c16:uniqueId val="{00000001-FEB2-45FA-B8BF-496B13BC7C27}"/>
            </c:ext>
          </c:extLst>
        </c:ser>
        <c:ser>
          <c:idx val="2"/>
          <c:order val="2"/>
          <c:tx>
            <c:strRef>
              <c:f>Q04_Tirg!$I$8</c:f>
              <c:strCache>
                <c:ptCount val="1"/>
                <c:pt idx="0">
                  <c:v>2022.-2025.</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Q04_Tirg!$B$18:$B$20</c:f>
              <c:strCache>
                <c:ptCount val="3"/>
                <c:pt idx="0">
                  <c:v>Ārējās apdares materiāli (jumta segumi, izolācijas, apšuvumi, durvis, logi, apdares, u.c.)</c:v>
                </c:pt>
                <c:pt idx="1">
                  <c:v>Iekšējās apdares materiāli (sienas, grīdas segumi, griesti, koka izstrādājumi, virtuvju apdares, sanitārtehnika, u.c.)</c:v>
                </c:pt>
                <c:pt idx="2">
                  <c:v>Citi materiāli (krāsas, pārklājumi, līmes, celtniecības piederumi- stiprinājumi, skrūves, u.c.)</c:v>
                </c:pt>
              </c:strCache>
            </c:strRef>
          </c:cat>
          <c:val>
            <c:numRef>
              <c:f>Q04_Tirg!$I$18:$I$20</c:f>
              <c:numCache>
                <c:formatCode>0.00</c:formatCode>
                <c:ptCount val="3"/>
                <c:pt idx="0">
                  <c:v>6</c:v>
                </c:pt>
                <c:pt idx="1">
                  <c:v>6.333333333333333</c:v>
                </c:pt>
                <c:pt idx="2">
                  <c:v>6.333333333333333</c:v>
                </c:pt>
              </c:numCache>
            </c:numRef>
          </c:val>
          <c:extLst>
            <c:ext xmlns:c16="http://schemas.microsoft.com/office/drawing/2014/chart" uri="{C3380CC4-5D6E-409C-BE32-E72D297353CC}">
              <c16:uniqueId val="{00000002-FEB2-45FA-B8BF-496B13BC7C27}"/>
            </c:ext>
          </c:extLst>
        </c:ser>
        <c:dLbls>
          <c:showLegendKey val="0"/>
          <c:showVal val="0"/>
          <c:showCatName val="0"/>
          <c:showSerName val="0"/>
          <c:showPercent val="0"/>
          <c:showBubbleSize val="0"/>
        </c:dLbls>
        <c:gapWidth val="219"/>
        <c:axId val="735319696"/>
        <c:axId val="735318448"/>
      </c:barChart>
      <c:dateAx>
        <c:axId val="7353196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35318448"/>
        <c:crosses val="autoZero"/>
        <c:auto val="0"/>
        <c:lblOffset val="100"/>
        <c:baseTimeUnit val="days"/>
      </c:dateAx>
      <c:valAx>
        <c:axId val="735318448"/>
        <c:scaling>
          <c:orientation val="minMax"/>
        </c:scaling>
        <c:delete val="1"/>
        <c:axPos val="b"/>
        <c:numFmt formatCode="0" sourceLinked="0"/>
        <c:majorTickMark val="none"/>
        <c:minorTickMark val="none"/>
        <c:tickLblPos val="nextTo"/>
        <c:crossAx val="735319696"/>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lv-LV" sz="1000"/>
              <a:t>Būvmateriālu izmaksu izmaiņas un to prognozes</a:t>
            </a:r>
            <a:r>
              <a:rPr lang="lv-LV" sz="1000" b="0" i="0" u="none" strike="noStrike" baseline="0">
                <a:effectLst/>
              </a:rPr>
              <a:t> procentos pret iepriekšējo gadu</a:t>
            </a:r>
            <a:br>
              <a:rPr lang="lv-LV" sz="1000"/>
            </a:br>
            <a:r>
              <a:rPr lang="lv-LV" sz="1000" b="1"/>
              <a:t>Galvenās sistēmu iekārtas</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Q04_Tirg!$G$8</c:f>
              <c:strCache>
                <c:ptCount val="1"/>
                <c:pt idx="0">
                  <c:v>2020.</c:v>
                </c:pt>
              </c:strCache>
            </c:strRef>
          </c:tx>
          <c:spPr>
            <a:solidFill>
              <a:schemeClr val="accent1"/>
            </a:solidFill>
            <a:ln>
              <a:noFill/>
            </a:ln>
            <a:effectLst/>
          </c:spPr>
          <c:invertIfNegative val="0"/>
          <c:cat>
            <c:strRef>
              <c:f>Q04_Tirg!$B$22:$B$28</c:f>
              <c:strCache>
                <c:ptCount val="7"/>
                <c:pt idx="0">
                  <c:v>Elektroenerģijas sistēmas (elektroenerģijas ražošana, komunikācijas (augstsprieguma, zemsprieguma kabeļi), sadales skapji, sadales ierīces, u.c.)</c:v>
                </c:pt>
                <c:pt idx="1">
                  <c:v>Automatizācijas sistēmas (vadības ierīces, apgaismojuma vadības ierīces, u.c.)</c:v>
                </c:pt>
                <c:pt idx="2">
                  <c:v>Ugunsdzēsības un drošības vadības sistēmas</c:v>
                </c:pt>
                <c:pt idx="3">
                  <c:v>Santehnikas sistēmas</c:v>
                </c:pt>
                <c:pt idx="4">
                  <c:v>Apkures un dzesēšanas sistēmas</c:v>
                </c:pt>
                <c:pt idx="5">
                  <c:v>Apgaismojuma sistēmas</c:v>
                </c:pt>
                <c:pt idx="6">
                  <c:v>Lifti un eskalatori</c:v>
                </c:pt>
              </c:strCache>
            </c:strRef>
          </c:cat>
          <c:val>
            <c:numRef>
              <c:f>Q04_Tirg!$G$22:$G$28</c:f>
              <c:numCache>
                <c:formatCode>0.00</c:formatCode>
                <c:ptCount val="7"/>
                <c:pt idx="0">
                  <c:v>3.3333333333333335</c:v>
                </c:pt>
                <c:pt idx="1">
                  <c:v>3</c:v>
                </c:pt>
                <c:pt idx="2">
                  <c:v>3</c:v>
                </c:pt>
                <c:pt idx="3">
                  <c:v>2.3333333333333335</c:v>
                </c:pt>
                <c:pt idx="4">
                  <c:v>1.6666666666666667</c:v>
                </c:pt>
                <c:pt idx="5">
                  <c:v>1.6666666666666667</c:v>
                </c:pt>
                <c:pt idx="6">
                  <c:v>1.6666666666666667</c:v>
                </c:pt>
              </c:numCache>
            </c:numRef>
          </c:val>
          <c:extLst>
            <c:ext xmlns:c16="http://schemas.microsoft.com/office/drawing/2014/chart" uri="{C3380CC4-5D6E-409C-BE32-E72D297353CC}">
              <c16:uniqueId val="{00000000-E2D0-412F-9FDF-326E51170AEB}"/>
            </c:ext>
          </c:extLst>
        </c:ser>
        <c:ser>
          <c:idx val="1"/>
          <c:order val="1"/>
          <c:tx>
            <c:strRef>
              <c:f>Q04_Tirg!$H$8</c:f>
              <c:strCache>
                <c:ptCount val="1"/>
                <c:pt idx="0">
                  <c:v>2021.</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Q04_Tirg!$B$22:$B$28</c:f>
              <c:strCache>
                <c:ptCount val="7"/>
                <c:pt idx="0">
                  <c:v>Elektroenerģijas sistēmas (elektroenerģijas ražošana, komunikācijas (augstsprieguma, zemsprieguma kabeļi), sadales skapji, sadales ierīces, u.c.)</c:v>
                </c:pt>
                <c:pt idx="1">
                  <c:v>Automatizācijas sistēmas (vadības ierīces, apgaismojuma vadības ierīces, u.c.)</c:v>
                </c:pt>
                <c:pt idx="2">
                  <c:v>Ugunsdzēsības un drošības vadības sistēmas</c:v>
                </c:pt>
                <c:pt idx="3">
                  <c:v>Santehnikas sistēmas</c:v>
                </c:pt>
                <c:pt idx="4">
                  <c:v>Apkures un dzesēšanas sistēmas</c:v>
                </c:pt>
                <c:pt idx="5">
                  <c:v>Apgaismojuma sistēmas</c:v>
                </c:pt>
                <c:pt idx="6">
                  <c:v>Lifti un eskalatori</c:v>
                </c:pt>
              </c:strCache>
            </c:strRef>
          </c:cat>
          <c:val>
            <c:numRef>
              <c:f>Q04_Tirg!$H$22:$H$28</c:f>
              <c:numCache>
                <c:formatCode>0.00</c:formatCode>
                <c:ptCount val="7"/>
                <c:pt idx="0">
                  <c:v>16</c:v>
                </c:pt>
                <c:pt idx="1">
                  <c:v>5.666666666666667</c:v>
                </c:pt>
                <c:pt idx="2">
                  <c:v>5</c:v>
                </c:pt>
                <c:pt idx="3">
                  <c:v>5.333333333333333</c:v>
                </c:pt>
                <c:pt idx="4">
                  <c:v>5.333333333333333</c:v>
                </c:pt>
                <c:pt idx="5">
                  <c:v>4</c:v>
                </c:pt>
                <c:pt idx="6">
                  <c:v>7.666666666666667</c:v>
                </c:pt>
              </c:numCache>
            </c:numRef>
          </c:val>
          <c:extLst>
            <c:ext xmlns:c16="http://schemas.microsoft.com/office/drawing/2014/chart" uri="{C3380CC4-5D6E-409C-BE32-E72D297353CC}">
              <c16:uniqueId val="{00000001-E2D0-412F-9FDF-326E51170AEB}"/>
            </c:ext>
          </c:extLst>
        </c:ser>
        <c:ser>
          <c:idx val="2"/>
          <c:order val="2"/>
          <c:tx>
            <c:strRef>
              <c:f>Q04_Tirg!$I$8</c:f>
              <c:strCache>
                <c:ptCount val="1"/>
                <c:pt idx="0">
                  <c:v>2022.-2025.</c:v>
                </c:pt>
              </c:strCache>
            </c:strRef>
          </c:tx>
          <c:spPr>
            <a:solidFill>
              <a:schemeClr val="accent3"/>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Q04_Tirg!$B$22:$B$28</c:f>
              <c:strCache>
                <c:ptCount val="7"/>
                <c:pt idx="0">
                  <c:v>Elektroenerģijas sistēmas (elektroenerģijas ražošana, komunikācijas (augstsprieguma, zemsprieguma kabeļi), sadales skapji, sadales ierīces, u.c.)</c:v>
                </c:pt>
                <c:pt idx="1">
                  <c:v>Automatizācijas sistēmas (vadības ierīces, apgaismojuma vadības ierīces, u.c.)</c:v>
                </c:pt>
                <c:pt idx="2">
                  <c:v>Ugunsdzēsības un drošības vadības sistēmas</c:v>
                </c:pt>
                <c:pt idx="3">
                  <c:v>Santehnikas sistēmas</c:v>
                </c:pt>
                <c:pt idx="4">
                  <c:v>Apkures un dzesēšanas sistēmas</c:v>
                </c:pt>
                <c:pt idx="5">
                  <c:v>Apgaismojuma sistēmas</c:v>
                </c:pt>
                <c:pt idx="6">
                  <c:v>Lifti un eskalatori</c:v>
                </c:pt>
              </c:strCache>
            </c:strRef>
          </c:cat>
          <c:val>
            <c:numRef>
              <c:f>Q04_Tirg!$I$22:$I$28</c:f>
              <c:numCache>
                <c:formatCode>0.00</c:formatCode>
                <c:ptCount val="7"/>
                <c:pt idx="0">
                  <c:v>3.3333333333333335</c:v>
                </c:pt>
                <c:pt idx="1">
                  <c:v>3.6666666666666665</c:v>
                </c:pt>
                <c:pt idx="2">
                  <c:v>5</c:v>
                </c:pt>
                <c:pt idx="3">
                  <c:v>3.3333333333333335</c:v>
                </c:pt>
                <c:pt idx="4">
                  <c:v>3.3333333333333335</c:v>
                </c:pt>
                <c:pt idx="5">
                  <c:v>2.6666666666666665</c:v>
                </c:pt>
                <c:pt idx="6">
                  <c:v>6.666666666666667</c:v>
                </c:pt>
              </c:numCache>
            </c:numRef>
          </c:val>
          <c:extLst>
            <c:ext xmlns:c16="http://schemas.microsoft.com/office/drawing/2014/chart" uri="{C3380CC4-5D6E-409C-BE32-E72D297353CC}">
              <c16:uniqueId val="{00000002-E2D0-412F-9FDF-326E51170AEB}"/>
            </c:ext>
          </c:extLst>
        </c:ser>
        <c:dLbls>
          <c:showLegendKey val="0"/>
          <c:showVal val="0"/>
          <c:showCatName val="0"/>
          <c:showSerName val="0"/>
          <c:showPercent val="0"/>
          <c:showBubbleSize val="0"/>
        </c:dLbls>
        <c:gapWidth val="100"/>
        <c:axId val="735319696"/>
        <c:axId val="735318448"/>
      </c:barChart>
      <c:dateAx>
        <c:axId val="7353196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35318448"/>
        <c:crosses val="autoZero"/>
        <c:auto val="0"/>
        <c:lblOffset val="100"/>
        <c:baseTimeUnit val="days"/>
      </c:dateAx>
      <c:valAx>
        <c:axId val="735318448"/>
        <c:scaling>
          <c:orientation val="minMax"/>
        </c:scaling>
        <c:delete val="1"/>
        <c:axPos val="b"/>
        <c:numFmt formatCode="0" sourceLinked="0"/>
        <c:majorTickMark val="none"/>
        <c:minorTickMark val="none"/>
        <c:tickLblPos val="nextTo"/>
        <c:crossAx val="735319696"/>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lv-LV" sz="1050"/>
              <a:t>Atsevišķu</a:t>
            </a:r>
            <a:r>
              <a:rPr lang="lv-LV" sz="1050" baseline="0"/>
              <a:t> metālizstrādājumu cenu dinamika un metālistrādājumu izmaksu ekspertu prognoze</a:t>
            </a:r>
            <a:br>
              <a:rPr lang="lv-LV" sz="1050" baseline="0"/>
            </a:br>
            <a:r>
              <a:rPr lang="lv-LV" sz="1050" baseline="0"/>
              <a:t>procentos pret iepriekšējo gadu</a:t>
            </a:r>
            <a:endParaRPr lang="lv-LV" sz="1050"/>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5.2523925370177783E-2"/>
          <c:y val="0.18087183750125077"/>
          <c:w val="0.92585657777447627"/>
          <c:h val="0.49098490621223667"/>
        </c:manualLayout>
      </c:layout>
      <c:lineChart>
        <c:grouping val="standard"/>
        <c:varyColors val="0"/>
        <c:ser>
          <c:idx val="0"/>
          <c:order val="0"/>
          <c:tx>
            <c:strRef>
              <c:f>CSP!$B$4</c:f>
              <c:strCache>
                <c:ptCount val="1"/>
                <c:pt idx="0">
                  <c:v>Velmētais tērauds</c:v>
                </c:pt>
              </c:strCache>
            </c:strRef>
          </c:tx>
          <c:spPr>
            <a:ln w="19050" cap="rnd">
              <a:solidFill>
                <a:schemeClr val="accent1"/>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CSP!$C$4:$H$4</c:f>
              <c:numCache>
                <c:formatCode>General</c:formatCode>
                <c:ptCount val="6"/>
                <c:pt idx="0">
                  <c:v>-4.7</c:v>
                </c:pt>
                <c:pt idx="1">
                  <c:v>-10.4</c:v>
                </c:pt>
                <c:pt idx="2">
                  <c:v>2.2000000000000002</c:v>
                </c:pt>
                <c:pt idx="3">
                  <c:v>12.2</c:v>
                </c:pt>
                <c:pt idx="4">
                  <c:v>2.2999999999999998</c:v>
                </c:pt>
                <c:pt idx="5">
                  <c:v>-2.2000000000000002</c:v>
                </c:pt>
              </c:numCache>
            </c:numRef>
          </c:val>
          <c:smooth val="0"/>
          <c:extLst>
            <c:ext xmlns:c16="http://schemas.microsoft.com/office/drawing/2014/chart" uri="{C3380CC4-5D6E-409C-BE32-E72D297353CC}">
              <c16:uniqueId val="{00000000-393F-4F35-8260-298CD2E093AA}"/>
            </c:ext>
          </c:extLst>
        </c:ser>
        <c:ser>
          <c:idx val="1"/>
          <c:order val="1"/>
          <c:tx>
            <c:strRef>
              <c:f>CSP!$B$5</c:f>
              <c:strCache>
                <c:ptCount val="1"/>
                <c:pt idx="0">
                  <c:v>Metāla  konstr. un sīkie met. izstrādājumi</c:v>
                </c:pt>
              </c:strCache>
            </c:strRef>
          </c:tx>
          <c:spPr>
            <a:ln w="19050" cap="rnd">
              <a:solidFill>
                <a:schemeClr val="accent2"/>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CSP!$C$5:$H$5</c:f>
              <c:numCache>
                <c:formatCode>General</c:formatCode>
                <c:ptCount val="6"/>
                <c:pt idx="0">
                  <c:v>-4.5</c:v>
                </c:pt>
                <c:pt idx="1">
                  <c:v>-2</c:v>
                </c:pt>
                <c:pt idx="2">
                  <c:v>1</c:v>
                </c:pt>
                <c:pt idx="3">
                  <c:v>1.5</c:v>
                </c:pt>
                <c:pt idx="4">
                  <c:v>-1.4</c:v>
                </c:pt>
                <c:pt idx="5">
                  <c:v>3.7</c:v>
                </c:pt>
              </c:numCache>
            </c:numRef>
          </c:val>
          <c:smooth val="0"/>
          <c:extLst>
            <c:ext xmlns:c16="http://schemas.microsoft.com/office/drawing/2014/chart" uri="{C3380CC4-5D6E-409C-BE32-E72D297353CC}">
              <c16:uniqueId val="{00000001-393F-4F35-8260-298CD2E093AA}"/>
            </c:ext>
          </c:extLst>
        </c:ser>
        <c:ser>
          <c:idx val="2"/>
          <c:order val="2"/>
          <c:tx>
            <c:strRef>
              <c:f>CSP!$B$6</c:f>
              <c:strCache>
                <c:ptCount val="1"/>
                <c:pt idx="0">
                  <c:v>Stiegras, stiegrojuma sieti, karkasi</c:v>
                </c:pt>
              </c:strCache>
            </c:strRef>
          </c:tx>
          <c:spPr>
            <a:ln w="19050" cap="rnd">
              <a:solidFill>
                <a:schemeClr val="accent3"/>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CSP!$C$6:$H$6</c:f>
              <c:numCache>
                <c:formatCode>General</c:formatCode>
                <c:ptCount val="6"/>
                <c:pt idx="0">
                  <c:v>-3.6</c:v>
                </c:pt>
                <c:pt idx="1">
                  <c:v>-5.7</c:v>
                </c:pt>
                <c:pt idx="2">
                  <c:v>7.3</c:v>
                </c:pt>
                <c:pt idx="3">
                  <c:v>8.1</c:v>
                </c:pt>
                <c:pt idx="4">
                  <c:v>3</c:v>
                </c:pt>
                <c:pt idx="5">
                  <c:v>-2.5</c:v>
                </c:pt>
              </c:numCache>
            </c:numRef>
          </c:val>
          <c:smooth val="0"/>
          <c:extLst>
            <c:ext xmlns:c16="http://schemas.microsoft.com/office/drawing/2014/chart" uri="{C3380CC4-5D6E-409C-BE32-E72D297353CC}">
              <c16:uniqueId val="{00000002-393F-4F35-8260-298CD2E093AA}"/>
            </c:ext>
          </c:extLst>
        </c:ser>
        <c:ser>
          <c:idx val="3"/>
          <c:order val="3"/>
          <c:tx>
            <c:strRef>
              <c:f>CSP!$B$7</c:f>
              <c:strCache>
                <c:ptCount val="1"/>
                <c:pt idx="0">
                  <c:v>Nerūsējošais tērauds</c:v>
                </c:pt>
              </c:strCache>
            </c:strRef>
          </c:tx>
          <c:spPr>
            <a:ln w="19050" cap="rnd">
              <a:solidFill>
                <a:schemeClr val="accent2">
                  <a:lumMod val="60000"/>
                  <a:lumOff val="40000"/>
                </a:schemeClr>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CSP!$C$7:$H$7</c:f>
              <c:numCache>
                <c:formatCode>General</c:formatCode>
                <c:ptCount val="6"/>
                <c:pt idx="0">
                  <c:v>-4</c:v>
                </c:pt>
                <c:pt idx="1">
                  <c:v>-5.5</c:v>
                </c:pt>
                <c:pt idx="2">
                  <c:v>1.8</c:v>
                </c:pt>
                <c:pt idx="3">
                  <c:v>4.3</c:v>
                </c:pt>
                <c:pt idx="4">
                  <c:v>1.7</c:v>
                </c:pt>
                <c:pt idx="5">
                  <c:v>0.5</c:v>
                </c:pt>
              </c:numCache>
            </c:numRef>
          </c:val>
          <c:smooth val="0"/>
          <c:extLst>
            <c:ext xmlns:c16="http://schemas.microsoft.com/office/drawing/2014/chart" uri="{C3380CC4-5D6E-409C-BE32-E72D297353CC}">
              <c16:uniqueId val="{00000003-393F-4F35-8260-298CD2E093AA}"/>
            </c:ext>
          </c:extLst>
        </c:ser>
        <c:ser>
          <c:idx val="4"/>
          <c:order val="4"/>
          <c:tx>
            <c:strRef>
              <c:f>CSP!$B$8</c:f>
              <c:strCache>
                <c:ptCount val="1"/>
                <c:pt idx="0">
                  <c:v>Tērauda caurules (parastās)</c:v>
                </c:pt>
              </c:strCache>
            </c:strRef>
          </c:tx>
          <c:spPr>
            <a:ln w="19050" cap="rnd">
              <a:solidFill>
                <a:schemeClr val="accent1">
                  <a:lumMod val="60000"/>
                  <a:lumOff val="40000"/>
                </a:schemeClr>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CSP!$C$8:$H$8</c:f>
              <c:numCache>
                <c:formatCode>General</c:formatCode>
                <c:ptCount val="6"/>
                <c:pt idx="0">
                  <c:v>-0.1</c:v>
                </c:pt>
                <c:pt idx="1">
                  <c:v>-6</c:v>
                </c:pt>
                <c:pt idx="2">
                  <c:v>16.2</c:v>
                </c:pt>
                <c:pt idx="3">
                  <c:v>3.9</c:v>
                </c:pt>
                <c:pt idx="4">
                  <c:v>-4.8</c:v>
                </c:pt>
                <c:pt idx="5">
                  <c:v>-5.3</c:v>
                </c:pt>
              </c:numCache>
            </c:numRef>
          </c:val>
          <c:smooth val="0"/>
          <c:extLst>
            <c:ext xmlns:c16="http://schemas.microsoft.com/office/drawing/2014/chart" uri="{C3380CC4-5D6E-409C-BE32-E72D297353CC}">
              <c16:uniqueId val="{00000004-393F-4F35-8260-298CD2E093AA}"/>
            </c:ext>
          </c:extLst>
        </c:ser>
        <c:ser>
          <c:idx val="5"/>
          <c:order val="5"/>
          <c:tx>
            <c:strRef>
              <c:f>CSP!$B$9</c:f>
              <c:strCache>
                <c:ptCount val="1"/>
                <c:pt idx="0">
                  <c:v>Tērauda caurules (cinkotās)</c:v>
                </c:pt>
              </c:strCache>
            </c:strRef>
          </c:tx>
          <c:spPr>
            <a:ln w="19050" cap="rnd">
              <a:solidFill>
                <a:schemeClr val="accent6"/>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CSP!$C$9:$H$9</c:f>
              <c:numCache>
                <c:formatCode>General</c:formatCode>
                <c:ptCount val="6"/>
                <c:pt idx="0">
                  <c:v>-0.5</c:v>
                </c:pt>
                <c:pt idx="1">
                  <c:v>-12.2</c:v>
                </c:pt>
                <c:pt idx="2">
                  <c:v>5.6</c:v>
                </c:pt>
                <c:pt idx="3">
                  <c:v>2.1</c:v>
                </c:pt>
                <c:pt idx="4">
                  <c:v>-2</c:v>
                </c:pt>
                <c:pt idx="5">
                  <c:v>-3</c:v>
                </c:pt>
              </c:numCache>
            </c:numRef>
          </c:val>
          <c:smooth val="0"/>
          <c:extLst>
            <c:ext xmlns:c16="http://schemas.microsoft.com/office/drawing/2014/chart" uri="{C3380CC4-5D6E-409C-BE32-E72D297353CC}">
              <c16:uniqueId val="{00000005-393F-4F35-8260-298CD2E093AA}"/>
            </c:ext>
          </c:extLst>
        </c:ser>
        <c:ser>
          <c:idx val="6"/>
          <c:order val="6"/>
          <c:tx>
            <c:strRef>
              <c:f>CSP!$B$10</c:f>
              <c:strCache>
                <c:ptCount val="1"/>
                <c:pt idx="0">
                  <c:v>Rūpnieciski izolētas tērauda caurules ar iekšējo diametru 200 mm</c:v>
                </c:pt>
              </c:strCache>
            </c:strRef>
          </c:tx>
          <c:spPr>
            <a:ln w="19050" cap="rnd">
              <a:solidFill>
                <a:schemeClr val="accent6">
                  <a:lumMod val="60000"/>
                  <a:lumOff val="40000"/>
                </a:schemeClr>
              </a:solidFill>
              <a:prstDash val="sysDash"/>
              <a:round/>
            </a:ln>
            <a:effectLst/>
          </c:spPr>
          <c:marker>
            <c:symbol val="none"/>
          </c:marker>
          <c:cat>
            <c:strRef>
              <c:f>CSP!$C$3:$J$3</c:f>
              <c:strCache>
                <c:ptCount val="8"/>
                <c:pt idx="0">
                  <c:v>2015.</c:v>
                </c:pt>
                <c:pt idx="1">
                  <c:v>2016.</c:v>
                </c:pt>
                <c:pt idx="2">
                  <c:v>2017.</c:v>
                </c:pt>
                <c:pt idx="3">
                  <c:v>2018.</c:v>
                </c:pt>
                <c:pt idx="4">
                  <c:v>2019.</c:v>
                </c:pt>
                <c:pt idx="5">
                  <c:v>2020.</c:v>
                </c:pt>
                <c:pt idx="6">
                  <c:v>2021.</c:v>
                </c:pt>
                <c:pt idx="7">
                  <c:v>2022.-2025.</c:v>
                </c:pt>
              </c:strCache>
            </c:strRef>
          </c:cat>
          <c:val>
            <c:numRef>
              <c:f>CSP!$C$10:$H$10</c:f>
              <c:numCache>
                <c:formatCode>General</c:formatCode>
                <c:ptCount val="6"/>
                <c:pt idx="0">
                  <c:v>-0.1</c:v>
                </c:pt>
                <c:pt idx="1">
                  <c:v>-3.7</c:v>
                </c:pt>
                <c:pt idx="2">
                  <c:v>1.8</c:v>
                </c:pt>
                <c:pt idx="3">
                  <c:v>4.5</c:v>
                </c:pt>
                <c:pt idx="4">
                  <c:v>2.4</c:v>
                </c:pt>
                <c:pt idx="5">
                  <c:v>3</c:v>
                </c:pt>
              </c:numCache>
            </c:numRef>
          </c:val>
          <c:smooth val="0"/>
          <c:extLst>
            <c:ext xmlns:c16="http://schemas.microsoft.com/office/drawing/2014/chart" uri="{C3380CC4-5D6E-409C-BE32-E72D297353CC}">
              <c16:uniqueId val="{00000006-393F-4F35-8260-298CD2E093AA}"/>
            </c:ext>
          </c:extLst>
        </c:ser>
        <c:ser>
          <c:idx val="7"/>
          <c:order val="7"/>
          <c:tx>
            <c:strRef>
              <c:f>CSP!$B$12</c:f>
              <c:strCache>
                <c:ptCount val="1"/>
                <c:pt idx="0">
                  <c:v>Kopējā metālizstrādājumu ekspertprognoze</c:v>
                </c:pt>
              </c:strCache>
            </c:strRef>
          </c:tx>
          <c:spPr>
            <a:ln w="28575" cap="rnd">
              <a:solidFill>
                <a:srgbClr val="FFC000"/>
              </a:solidFill>
              <a:prstDash val="dash"/>
              <a:round/>
            </a:ln>
            <a:effectLst/>
          </c:spPr>
          <c:marker>
            <c:symbol val="none"/>
          </c:marker>
          <c:dLbls>
            <c:numFmt formatCode="#,##0.0" sourceLinked="0"/>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rgbClr val="C00000"/>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CSP!$C$3:$J$3</c:f>
              <c:strCache>
                <c:ptCount val="8"/>
                <c:pt idx="0">
                  <c:v>2015.</c:v>
                </c:pt>
                <c:pt idx="1">
                  <c:v>2016.</c:v>
                </c:pt>
                <c:pt idx="2">
                  <c:v>2017.</c:v>
                </c:pt>
                <c:pt idx="3">
                  <c:v>2018.</c:v>
                </c:pt>
                <c:pt idx="4">
                  <c:v>2019.</c:v>
                </c:pt>
                <c:pt idx="5">
                  <c:v>2020.</c:v>
                </c:pt>
                <c:pt idx="6">
                  <c:v>2021.</c:v>
                </c:pt>
                <c:pt idx="7">
                  <c:v>2022.-2025.</c:v>
                </c:pt>
              </c:strCache>
            </c:strRef>
          </c:cat>
          <c:val>
            <c:numRef>
              <c:f>CSP!$C$12:$J$12</c:f>
              <c:numCache>
                <c:formatCode>General</c:formatCode>
                <c:ptCount val="8"/>
                <c:pt idx="5" formatCode="0.00">
                  <c:v>11.25</c:v>
                </c:pt>
                <c:pt idx="6" formatCode="0.00">
                  <c:v>24.25</c:v>
                </c:pt>
                <c:pt idx="7" formatCode="0.00">
                  <c:v>6.666666666666667</c:v>
                </c:pt>
              </c:numCache>
            </c:numRef>
          </c:val>
          <c:smooth val="0"/>
          <c:extLst>
            <c:ext xmlns:c16="http://schemas.microsoft.com/office/drawing/2014/chart" uri="{C3380CC4-5D6E-409C-BE32-E72D297353CC}">
              <c16:uniqueId val="{00000007-393F-4F35-8260-298CD2E093AA}"/>
            </c:ext>
          </c:extLst>
        </c:ser>
        <c:dLbls>
          <c:showLegendKey val="0"/>
          <c:showVal val="0"/>
          <c:showCatName val="0"/>
          <c:showSerName val="0"/>
          <c:showPercent val="0"/>
          <c:showBubbleSize val="0"/>
        </c:dLbls>
        <c:smooth val="0"/>
        <c:axId val="462772784"/>
        <c:axId val="462776528"/>
      </c:lineChart>
      <c:catAx>
        <c:axId val="462772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lv-LV"/>
          </a:p>
        </c:txPr>
        <c:crossAx val="462776528"/>
        <c:crosses val="autoZero"/>
        <c:auto val="1"/>
        <c:lblAlgn val="ctr"/>
        <c:lblOffset val="100"/>
        <c:noMultiLvlLbl val="0"/>
      </c:catAx>
      <c:valAx>
        <c:axId val="462776528"/>
        <c:scaling>
          <c:orientation val="minMax"/>
          <c:max val="30"/>
          <c:min val="-1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2772784"/>
        <c:crosses val="autoZero"/>
        <c:crossBetween val="between"/>
        <c:majorUnit val="5"/>
        <c:minorUnit val="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lv-LV" sz="1050"/>
              <a:t>Atsevišķu</a:t>
            </a:r>
            <a:r>
              <a:rPr lang="lv-LV" sz="1050" baseline="0"/>
              <a:t> kokmateriālu cenu dinamika un metālistrādājumu izmaksu ekspertu prognoze</a:t>
            </a:r>
            <a:br>
              <a:rPr lang="lv-LV" sz="1050" baseline="0"/>
            </a:br>
            <a:r>
              <a:rPr lang="lv-LV" sz="1050" baseline="0"/>
              <a:t>procentos pret iepriekšējo gadu</a:t>
            </a:r>
            <a:endParaRPr lang="lv-LV" sz="1050"/>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5.2523925370177783E-2"/>
          <c:y val="0.1391389311630164"/>
          <c:w val="0.92585657777447627"/>
          <c:h val="0.5256946558150819"/>
        </c:manualLayout>
      </c:layout>
      <c:lineChart>
        <c:grouping val="standard"/>
        <c:varyColors val="0"/>
        <c:ser>
          <c:idx val="7"/>
          <c:order val="0"/>
          <c:tx>
            <c:strRef>
              <c:f>CSP!$B$34</c:f>
              <c:strCache>
                <c:ptCount val="1"/>
                <c:pt idx="0">
                  <c:v>Kopējā kokmateriālu ekspertprognoze</c:v>
                </c:pt>
              </c:strCache>
            </c:strRef>
          </c:tx>
          <c:spPr>
            <a:ln w="28575" cap="rnd">
              <a:solidFill>
                <a:schemeClr val="accent2">
                  <a:lumMod val="60000"/>
                </a:schemeClr>
              </a:solidFill>
              <a:prstDash val="dash"/>
              <a:round/>
            </a:ln>
            <a:effectLst/>
          </c:spPr>
          <c:marker>
            <c:symbol val="none"/>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rgbClr val="C00000"/>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CSP!$C$3:$J$3</c:f>
              <c:strCache>
                <c:ptCount val="8"/>
                <c:pt idx="0">
                  <c:v>2015.</c:v>
                </c:pt>
                <c:pt idx="1">
                  <c:v>2016.</c:v>
                </c:pt>
                <c:pt idx="2">
                  <c:v>2017.</c:v>
                </c:pt>
                <c:pt idx="3">
                  <c:v>2018.</c:v>
                </c:pt>
                <c:pt idx="4">
                  <c:v>2019.</c:v>
                </c:pt>
                <c:pt idx="5">
                  <c:v>2020.</c:v>
                </c:pt>
                <c:pt idx="6">
                  <c:v>2021.</c:v>
                </c:pt>
                <c:pt idx="7">
                  <c:v>2022.-2025.</c:v>
                </c:pt>
              </c:strCache>
            </c:strRef>
          </c:cat>
          <c:val>
            <c:numRef>
              <c:f>CSP!$C$34:$J$34</c:f>
              <c:numCache>
                <c:formatCode>General</c:formatCode>
                <c:ptCount val="8"/>
                <c:pt idx="5" formatCode="0.00">
                  <c:v>13</c:v>
                </c:pt>
                <c:pt idx="6" formatCode="0.00">
                  <c:v>30</c:v>
                </c:pt>
                <c:pt idx="7" formatCode="0.00">
                  <c:v>5.333333333333333</c:v>
                </c:pt>
              </c:numCache>
            </c:numRef>
          </c:val>
          <c:smooth val="0"/>
          <c:extLst>
            <c:ext xmlns:c16="http://schemas.microsoft.com/office/drawing/2014/chart" uri="{C3380CC4-5D6E-409C-BE32-E72D297353CC}">
              <c16:uniqueId val="{00000000-ACD6-456B-B999-E35EE8015CB2}"/>
            </c:ext>
          </c:extLst>
        </c:ser>
        <c:ser>
          <c:idx val="0"/>
          <c:order val="1"/>
          <c:tx>
            <c:strRef>
              <c:f>CSP!$B$26</c:f>
              <c:strCache>
                <c:ptCount val="1"/>
                <c:pt idx="0">
                  <c:v>Baļķi</c:v>
                </c:pt>
              </c:strCache>
            </c:strRef>
          </c:tx>
          <c:spPr>
            <a:ln w="19050" cap="rnd">
              <a:solidFill>
                <a:schemeClr val="accent1"/>
              </a:solidFill>
              <a:prstDash val="sysDash"/>
              <a:round/>
            </a:ln>
            <a:effectLst/>
          </c:spPr>
          <c:marker>
            <c:symbol val="none"/>
          </c:marker>
          <c:val>
            <c:numRef>
              <c:f>CSP!$C$26:$H$26</c:f>
              <c:numCache>
                <c:formatCode>General</c:formatCode>
                <c:ptCount val="6"/>
                <c:pt idx="0">
                  <c:v>-2.1</c:v>
                </c:pt>
                <c:pt idx="1">
                  <c:v>-0.9</c:v>
                </c:pt>
                <c:pt idx="2">
                  <c:v>2</c:v>
                </c:pt>
                <c:pt idx="3">
                  <c:v>5.2</c:v>
                </c:pt>
                <c:pt idx="4">
                  <c:v>-0.3</c:v>
                </c:pt>
                <c:pt idx="5">
                  <c:v>0.3</c:v>
                </c:pt>
              </c:numCache>
            </c:numRef>
          </c:val>
          <c:smooth val="0"/>
          <c:extLst>
            <c:ext xmlns:c16="http://schemas.microsoft.com/office/drawing/2014/chart" uri="{C3380CC4-5D6E-409C-BE32-E72D297353CC}">
              <c16:uniqueId val="{00000001-ACD6-456B-B999-E35EE8015CB2}"/>
            </c:ext>
          </c:extLst>
        </c:ser>
        <c:ser>
          <c:idx val="1"/>
          <c:order val="2"/>
          <c:tx>
            <c:strRef>
              <c:f>CSP!$B$27</c:f>
              <c:strCache>
                <c:ptCount val="1"/>
                <c:pt idx="0">
                  <c:v>Brusas, neēvelēti dēļi</c:v>
                </c:pt>
              </c:strCache>
            </c:strRef>
          </c:tx>
          <c:spPr>
            <a:ln w="19050" cap="rnd">
              <a:solidFill>
                <a:schemeClr val="accent2"/>
              </a:solidFill>
              <a:prstDash val="sysDash"/>
              <a:round/>
            </a:ln>
            <a:effectLst/>
          </c:spPr>
          <c:marker>
            <c:symbol val="none"/>
          </c:marker>
          <c:val>
            <c:numRef>
              <c:f>CSP!$C$27:$H$27</c:f>
              <c:numCache>
                <c:formatCode>General</c:formatCode>
                <c:ptCount val="6"/>
                <c:pt idx="0">
                  <c:v>0.1</c:v>
                </c:pt>
                <c:pt idx="1">
                  <c:v>0.7</c:v>
                </c:pt>
                <c:pt idx="2">
                  <c:v>1.4</c:v>
                </c:pt>
                <c:pt idx="3">
                  <c:v>4.3</c:v>
                </c:pt>
                <c:pt idx="4">
                  <c:v>1.3</c:v>
                </c:pt>
                <c:pt idx="5">
                  <c:v>0.4</c:v>
                </c:pt>
              </c:numCache>
            </c:numRef>
          </c:val>
          <c:smooth val="0"/>
          <c:extLst>
            <c:ext xmlns:c16="http://schemas.microsoft.com/office/drawing/2014/chart" uri="{C3380CC4-5D6E-409C-BE32-E72D297353CC}">
              <c16:uniqueId val="{00000002-ACD6-456B-B999-E35EE8015CB2}"/>
            </c:ext>
          </c:extLst>
        </c:ser>
        <c:ser>
          <c:idx val="2"/>
          <c:order val="3"/>
          <c:tx>
            <c:strRef>
              <c:f>CSP!$B$28</c:f>
              <c:strCache>
                <c:ptCount val="1"/>
                <c:pt idx="0">
                  <c:v>Ēvelēti, gropēti grīdas dēļi</c:v>
                </c:pt>
              </c:strCache>
            </c:strRef>
          </c:tx>
          <c:spPr>
            <a:ln w="19050" cap="rnd">
              <a:solidFill>
                <a:schemeClr val="accent3"/>
              </a:solidFill>
              <a:prstDash val="sysDash"/>
              <a:round/>
            </a:ln>
            <a:effectLst/>
          </c:spPr>
          <c:marker>
            <c:symbol val="none"/>
          </c:marker>
          <c:val>
            <c:numRef>
              <c:f>CSP!$C$28:$H$28</c:f>
              <c:numCache>
                <c:formatCode>General</c:formatCode>
                <c:ptCount val="6"/>
                <c:pt idx="0">
                  <c:v>6.6</c:v>
                </c:pt>
                <c:pt idx="1">
                  <c:v>3</c:v>
                </c:pt>
                <c:pt idx="2">
                  <c:v>1</c:v>
                </c:pt>
                <c:pt idx="3">
                  <c:v>6.3</c:v>
                </c:pt>
                <c:pt idx="4">
                  <c:v>4.9000000000000004</c:v>
                </c:pt>
                <c:pt idx="5">
                  <c:v>0.9</c:v>
                </c:pt>
              </c:numCache>
            </c:numRef>
          </c:val>
          <c:smooth val="0"/>
          <c:extLst>
            <c:ext xmlns:c16="http://schemas.microsoft.com/office/drawing/2014/chart" uri="{C3380CC4-5D6E-409C-BE32-E72D297353CC}">
              <c16:uniqueId val="{00000003-ACD6-456B-B999-E35EE8015CB2}"/>
            </c:ext>
          </c:extLst>
        </c:ser>
        <c:ser>
          <c:idx val="3"/>
          <c:order val="4"/>
          <c:tx>
            <c:strRef>
              <c:f>CSP!$B$29</c:f>
              <c:strCache>
                <c:ptCount val="1"/>
                <c:pt idx="0">
                  <c:v>Parkets</c:v>
                </c:pt>
              </c:strCache>
            </c:strRef>
          </c:tx>
          <c:spPr>
            <a:ln w="19050" cap="rnd">
              <a:solidFill>
                <a:schemeClr val="accent4"/>
              </a:solidFill>
              <a:prstDash val="sysDash"/>
              <a:round/>
            </a:ln>
            <a:effectLst/>
          </c:spPr>
          <c:marker>
            <c:symbol val="none"/>
          </c:marker>
          <c:val>
            <c:numRef>
              <c:f>CSP!$C$29:$H$29</c:f>
              <c:numCache>
                <c:formatCode>General</c:formatCode>
                <c:ptCount val="6"/>
                <c:pt idx="0">
                  <c:v>4.9000000000000004</c:v>
                </c:pt>
                <c:pt idx="1">
                  <c:v>3.2</c:v>
                </c:pt>
                <c:pt idx="2">
                  <c:v>4</c:v>
                </c:pt>
                <c:pt idx="3">
                  <c:v>6.9</c:v>
                </c:pt>
                <c:pt idx="4">
                  <c:v>5.2</c:v>
                </c:pt>
                <c:pt idx="5">
                  <c:v>2</c:v>
                </c:pt>
              </c:numCache>
            </c:numRef>
          </c:val>
          <c:smooth val="0"/>
          <c:extLst>
            <c:ext xmlns:c16="http://schemas.microsoft.com/office/drawing/2014/chart" uri="{C3380CC4-5D6E-409C-BE32-E72D297353CC}">
              <c16:uniqueId val="{00000004-ACD6-456B-B999-E35EE8015CB2}"/>
            </c:ext>
          </c:extLst>
        </c:ser>
        <c:ser>
          <c:idx val="4"/>
          <c:order val="5"/>
          <c:tx>
            <c:strRef>
              <c:f>CSP!$B$30</c:f>
              <c:strCache>
                <c:ptCount val="1"/>
                <c:pt idx="0">
                  <c:v>Saplāksnis (finieris)</c:v>
                </c:pt>
              </c:strCache>
            </c:strRef>
          </c:tx>
          <c:spPr>
            <a:ln w="19050" cap="rnd">
              <a:solidFill>
                <a:schemeClr val="accent1">
                  <a:lumMod val="60000"/>
                  <a:lumOff val="40000"/>
                </a:schemeClr>
              </a:solidFill>
              <a:prstDash val="sysDash"/>
              <a:round/>
            </a:ln>
            <a:effectLst/>
          </c:spPr>
          <c:marker>
            <c:symbol val="none"/>
          </c:marker>
          <c:val>
            <c:numRef>
              <c:f>CSP!$C$30:$H$30</c:f>
              <c:numCache>
                <c:formatCode>General</c:formatCode>
                <c:ptCount val="6"/>
                <c:pt idx="0">
                  <c:v>4.3</c:v>
                </c:pt>
                <c:pt idx="1">
                  <c:v>-6.6</c:v>
                </c:pt>
                <c:pt idx="2">
                  <c:v>4</c:v>
                </c:pt>
                <c:pt idx="3">
                  <c:v>2.2999999999999998</c:v>
                </c:pt>
                <c:pt idx="4">
                  <c:v>-4.4000000000000004</c:v>
                </c:pt>
                <c:pt idx="5">
                  <c:v>-11.4</c:v>
                </c:pt>
              </c:numCache>
            </c:numRef>
          </c:val>
          <c:smooth val="0"/>
          <c:extLst>
            <c:ext xmlns:c16="http://schemas.microsoft.com/office/drawing/2014/chart" uri="{C3380CC4-5D6E-409C-BE32-E72D297353CC}">
              <c16:uniqueId val="{00000005-ACD6-456B-B999-E35EE8015CB2}"/>
            </c:ext>
          </c:extLst>
        </c:ser>
        <c:ser>
          <c:idx val="5"/>
          <c:order val="6"/>
          <c:tx>
            <c:strRef>
              <c:f>CSP!$B$31</c:f>
              <c:strCache>
                <c:ptCount val="1"/>
                <c:pt idx="0">
                  <c:v>Kokšķiedru plātnes</c:v>
                </c:pt>
              </c:strCache>
            </c:strRef>
          </c:tx>
          <c:spPr>
            <a:ln w="19050" cap="rnd">
              <a:solidFill>
                <a:schemeClr val="accent6"/>
              </a:solidFill>
              <a:prstDash val="sysDash"/>
              <a:round/>
            </a:ln>
            <a:effectLst/>
          </c:spPr>
          <c:marker>
            <c:symbol val="none"/>
          </c:marker>
          <c:val>
            <c:numRef>
              <c:f>CSP!$C$31:$H$31</c:f>
              <c:numCache>
                <c:formatCode>General</c:formatCode>
                <c:ptCount val="6"/>
                <c:pt idx="0">
                  <c:v>2.1</c:v>
                </c:pt>
                <c:pt idx="1">
                  <c:v>-0.2</c:v>
                </c:pt>
                <c:pt idx="2">
                  <c:v>-0.8</c:v>
                </c:pt>
                <c:pt idx="3">
                  <c:v>1.1000000000000001</c:v>
                </c:pt>
                <c:pt idx="4">
                  <c:v>6.6</c:v>
                </c:pt>
                <c:pt idx="5">
                  <c:v>3.8</c:v>
                </c:pt>
              </c:numCache>
            </c:numRef>
          </c:val>
          <c:smooth val="0"/>
          <c:extLst>
            <c:ext xmlns:c16="http://schemas.microsoft.com/office/drawing/2014/chart" uri="{C3380CC4-5D6E-409C-BE32-E72D297353CC}">
              <c16:uniqueId val="{00000006-ACD6-456B-B999-E35EE8015CB2}"/>
            </c:ext>
          </c:extLst>
        </c:ser>
        <c:ser>
          <c:idx val="6"/>
          <c:order val="7"/>
          <c:tx>
            <c:strRef>
              <c:f>CSP!$B$32</c:f>
              <c:strCache>
                <c:ptCount val="1"/>
                <c:pt idx="0">
                  <c:v>Kokskaidu plātnes</c:v>
                </c:pt>
              </c:strCache>
            </c:strRef>
          </c:tx>
          <c:spPr>
            <a:ln w="19050" cap="rnd">
              <a:solidFill>
                <a:schemeClr val="accent1">
                  <a:lumMod val="60000"/>
                </a:schemeClr>
              </a:solidFill>
              <a:prstDash val="sysDash"/>
              <a:round/>
            </a:ln>
            <a:effectLst/>
          </c:spPr>
          <c:marker>
            <c:symbol val="none"/>
          </c:marker>
          <c:val>
            <c:numRef>
              <c:f>CSP!$C$32:$H$32</c:f>
              <c:numCache>
                <c:formatCode>General</c:formatCode>
                <c:ptCount val="6"/>
                <c:pt idx="0">
                  <c:v>0</c:v>
                </c:pt>
                <c:pt idx="1">
                  <c:v>2.5</c:v>
                </c:pt>
                <c:pt idx="2">
                  <c:v>-2</c:v>
                </c:pt>
                <c:pt idx="3">
                  <c:v>0.5</c:v>
                </c:pt>
                <c:pt idx="4">
                  <c:v>3.9</c:v>
                </c:pt>
                <c:pt idx="5">
                  <c:v>2.1</c:v>
                </c:pt>
              </c:numCache>
            </c:numRef>
          </c:val>
          <c:smooth val="0"/>
          <c:extLst>
            <c:ext xmlns:c16="http://schemas.microsoft.com/office/drawing/2014/chart" uri="{C3380CC4-5D6E-409C-BE32-E72D297353CC}">
              <c16:uniqueId val="{00000007-ACD6-456B-B999-E35EE8015CB2}"/>
            </c:ext>
          </c:extLst>
        </c:ser>
        <c:dLbls>
          <c:showLegendKey val="0"/>
          <c:showVal val="0"/>
          <c:showCatName val="0"/>
          <c:showSerName val="0"/>
          <c:showPercent val="0"/>
          <c:showBubbleSize val="0"/>
        </c:dLbls>
        <c:smooth val="0"/>
        <c:axId val="462772784"/>
        <c:axId val="462776528"/>
      </c:lineChart>
      <c:catAx>
        <c:axId val="462772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lv-LV"/>
          </a:p>
        </c:txPr>
        <c:crossAx val="462776528"/>
        <c:crosses val="autoZero"/>
        <c:auto val="1"/>
        <c:lblAlgn val="ctr"/>
        <c:lblOffset val="100"/>
        <c:noMultiLvlLbl val="0"/>
      </c:catAx>
      <c:valAx>
        <c:axId val="462776528"/>
        <c:scaling>
          <c:orientation val="minMax"/>
          <c:max val="35"/>
          <c:min val="-15"/>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2772784"/>
        <c:crosses val="autoZero"/>
        <c:crossBetween val="between"/>
        <c:majorUnit val="5"/>
        <c:minorUnit val="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v-LV"/>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4045873015873018"/>
          <c:y val="5.5436507936507937E-2"/>
          <c:w val="0.54705416666666662"/>
          <c:h val="0.82765158730158728"/>
        </c:manualLayout>
      </c:layout>
      <c:barChart>
        <c:barDir val="bar"/>
        <c:grouping val="clustered"/>
        <c:varyColors val="0"/>
        <c:ser>
          <c:idx val="0"/>
          <c:order val="0"/>
          <c:tx>
            <c:strRef>
              <c:f>'Q05'!$D$7</c:f>
              <c:strCache>
                <c:ptCount val="1"/>
                <c:pt idx="0">
                  <c:v>Ietekme uz darbaspēka izmaksām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'Q05'!$C$9:$C$12</c:f>
              <c:strCache>
                <c:ptCount val="4"/>
                <c:pt idx="0">
                  <c:v>Elektroniskās darba laika uzskaites sistēmas ieviešana, t.sk. datu nodošana VEDLUDB.</c:v>
                </c:pt>
                <c:pt idx="1">
                  <c:v>EDLUS sistēmas ieviešanas sliekšņa mazināšana (darba izmaksas no 350 000 EUR un vairāk).</c:v>
                </c:pt>
                <c:pt idx="2">
                  <c:v>Administratīvās atbildības ieviešana būvniecībā no 2020.gada 1.jūlija. </c:v>
                </c:pt>
                <c:pt idx="3">
                  <c:v>Būvniecības nozares ģenerālvienošanās spēkā stāšanās par minimālo darba samaksu būvniecības nozarē.</c:v>
                </c:pt>
              </c:strCache>
            </c:strRef>
          </c:cat>
          <c:val>
            <c:numRef>
              <c:f>'Q05'!$E$134:$E$137</c:f>
              <c:numCache>
                <c:formatCode>0.00</c:formatCode>
                <c:ptCount val="4"/>
                <c:pt idx="0">
                  <c:v>4.7037037037037033</c:v>
                </c:pt>
                <c:pt idx="1">
                  <c:v>3.8461538461538463</c:v>
                </c:pt>
                <c:pt idx="2">
                  <c:v>2.9811320754716979</c:v>
                </c:pt>
                <c:pt idx="3">
                  <c:v>4.8113207547169807</c:v>
                </c:pt>
              </c:numCache>
            </c:numRef>
          </c:val>
          <c:extLst>
            <c:ext xmlns:c16="http://schemas.microsoft.com/office/drawing/2014/chart" uri="{C3380CC4-5D6E-409C-BE32-E72D297353CC}">
              <c16:uniqueId val="{00000000-8F91-45CE-A6A8-A9DE0A12167D}"/>
            </c:ext>
          </c:extLst>
        </c:ser>
        <c:ser>
          <c:idx val="1"/>
          <c:order val="1"/>
          <c:tx>
            <c:strRef>
              <c:f>'Q05'!$H$7</c:f>
              <c:strCache>
                <c:ptCount val="1"/>
                <c:pt idx="0">
                  <c:v>Ietekme uz būvmateriālu izmaksām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'Q05'!$C$9:$C$12</c:f>
              <c:strCache>
                <c:ptCount val="4"/>
                <c:pt idx="0">
                  <c:v>Elektroniskās darba laika uzskaites sistēmas ieviešana, t.sk. datu nodošana VEDLUDB.</c:v>
                </c:pt>
                <c:pt idx="1">
                  <c:v>EDLUS sistēmas ieviešanas sliekšņa mazināšana (darba izmaksas no 350 000 EUR un vairāk).</c:v>
                </c:pt>
                <c:pt idx="2">
                  <c:v>Administratīvās atbildības ieviešana būvniecībā no 2020.gada 1.jūlija. </c:v>
                </c:pt>
                <c:pt idx="3">
                  <c:v>Būvniecības nozares ģenerālvienošanās spēkā stāšanās par minimālo darba samaksu būvniecības nozarē.</c:v>
                </c:pt>
              </c:strCache>
            </c:strRef>
          </c:cat>
          <c:val>
            <c:numRef>
              <c:f>'Q05'!$I$134:$I$137</c:f>
              <c:numCache>
                <c:formatCode>0.00</c:formatCode>
                <c:ptCount val="4"/>
                <c:pt idx="0">
                  <c:v>1.7777777777777777</c:v>
                </c:pt>
                <c:pt idx="1">
                  <c:v>1.0769230769230769</c:v>
                </c:pt>
                <c:pt idx="2">
                  <c:v>1.4716981132075471</c:v>
                </c:pt>
                <c:pt idx="3">
                  <c:v>1.8113207547169812</c:v>
                </c:pt>
              </c:numCache>
            </c:numRef>
          </c:val>
          <c:extLst>
            <c:ext xmlns:c16="http://schemas.microsoft.com/office/drawing/2014/chart" uri="{C3380CC4-5D6E-409C-BE32-E72D297353CC}">
              <c16:uniqueId val="{00000001-8F91-45CE-A6A8-A9DE0A12167D}"/>
            </c:ext>
          </c:extLst>
        </c:ser>
        <c:dLbls>
          <c:dLblPos val="outEnd"/>
          <c:showLegendKey val="0"/>
          <c:showVal val="1"/>
          <c:showCatName val="0"/>
          <c:showSerName val="0"/>
          <c:showPercent val="0"/>
          <c:showBubbleSize val="0"/>
        </c:dLbls>
        <c:gapWidth val="182"/>
        <c:axId val="1194102175"/>
        <c:axId val="1194102591"/>
      </c:barChart>
      <c:catAx>
        <c:axId val="11941021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194102591"/>
        <c:crosses val="autoZero"/>
        <c:auto val="1"/>
        <c:lblAlgn val="ctr"/>
        <c:lblOffset val="100"/>
        <c:noMultiLvlLbl val="0"/>
      </c:catAx>
      <c:valAx>
        <c:axId val="1194102591"/>
        <c:scaling>
          <c:orientation val="minMax"/>
          <c:max val="10"/>
        </c:scaling>
        <c:delete val="0"/>
        <c:axPos val="b"/>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94102175"/>
        <c:crosses val="max"/>
        <c:crossBetween val="between"/>
      </c:valAx>
      <c:spPr>
        <a:noFill/>
        <a:ln>
          <a:noFill/>
        </a:ln>
        <a:effectLst/>
      </c:spPr>
    </c:plotArea>
    <c:legend>
      <c:legendPos val="r"/>
      <c:layout>
        <c:manualLayout>
          <c:xMode val="edge"/>
          <c:yMode val="edge"/>
          <c:x val="0.78813035714285706"/>
          <c:y val="0.13261190476190479"/>
          <c:w val="0.19423075396825398"/>
          <c:h val="0.623903174603174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'Q06'!$C$7</c:f>
              <c:strCache>
                <c:ptCount val="1"/>
                <c:pt idx="0">
                  <c:v>Ietekme uz darbaspēka izmaksām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'Q06'!$B$9:$B$15</c:f>
              <c:strCache>
                <c:ptCount val="7"/>
                <c:pt idx="0">
                  <c:v>Vispārējie eksperti</c:v>
                </c:pt>
                <c:pt idx="1">
                  <c:v>Dzīvojamo un nedzīvojamo ēku būvniecības apakšnozares eksperti</c:v>
                </c:pt>
                <c:pt idx="2">
                  <c:v>Transporta objektu būvniecības apakšnozares eksperti</c:v>
                </c:pt>
                <c:pt idx="3">
                  <c:v>Pilsētsaimniecības infrastruktūras objektu būvniecības apakšnozares eksperti</c:v>
                </c:pt>
                <c:pt idx="4">
                  <c:v>Specializēto būvdarbu apakšnozares eksperti</c:v>
                </c:pt>
                <c:pt idx="5">
                  <c:v>Arhitektūras un inženiertehniskie pakalpojumu, tehniskās pārbaudes un analīzes apakšnozares eksperti</c:v>
                </c:pt>
                <c:pt idx="6">
                  <c:v>Būvmateriālu tirdzniecības eksperti</c:v>
                </c:pt>
              </c:strCache>
            </c:strRef>
          </c:cat>
          <c:val>
            <c:numRef>
              <c:f>'Q06'!$D$9:$D$15</c:f>
              <c:numCache>
                <c:formatCode>0.00</c:formatCode>
                <c:ptCount val="7"/>
                <c:pt idx="0">
                  <c:v>4.2307692307692308</c:v>
                </c:pt>
                <c:pt idx="1">
                  <c:v>3.1428571428571428</c:v>
                </c:pt>
                <c:pt idx="2">
                  <c:v>3.1428571428571428</c:v>
                </c:pt>
                <c:pt idx="3">
                  <c:v>4.1428571428571432</c:v>
                </c:pt>
                <c:pt idx="4">
                  <c:v>4</c:v>
                </c:pt>
                <c:pt idx="5">
                  <c:v>3.875</c:v>
                </c:pt>
                <c:pt idx="6">
                  <c:v>4.2</c:v>
                </c:pt>
              </c:numCache>
            </c:numRef>
          </c:val>
          <c:extLst>
            <c:ext xmlns:c16="http://schemas.microsoft.com/office/drawing/2014/chart" uri="{C3380CC4-5D6E-409C-BE32-E72D297353CC}">
              <c16:uniqueId val="{00000000-79E6-4192-A5D0-CA96AE55F27E}"/>
            </c:ext>
          </c:extLst>
        </c:ser>
        <c:ser>
          <c:idx val="1"/>
          <c:order val="1"/>
          <c:tx>
            <c:strRef>
              <c:f>'Q06'!$G$7</c:f>
              <c:strCache>
                <c:ptCount val="1"/>
                <c:pt idx="0">
                  <c:v>Ietekme uz būvmateriālu izmaksām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'Q06'!$B$9:$B$15</c:f>
              <c:strCache>
                <c:ptCount val="7"/>
                <c:pt idx="0">
                  <c:v>Vispārējie eksperti</c:v>
                </c:pt>
                <c:pt idx="1">
                  <c:v>Dzīvojamo un nedzīvojamo ēku būvniecības apakšnozares eksperti</c:v>
                </c:pt>
                <c:pt idx="2">
                  <c:v>Transporta objektu būvniecības apakšnozares eksperti</c:v>
                </c:pt>
                <c:pt idx="3">
                  <c:v>Pilsētsaimniecības infrastruktūras objektu būvniecības apakšnozares eksperti</c:v>
                </c:pt>
                <c:pt idx="4">
                  <c:v>Specializēto būvdarbu apakšnozares eksperti</c:v>
                </c:pt>
                <c:pt idx="5">
                  <c:v>Arhitektūras un inženiertehniskie pakalpojumu, tehniskās pārbaudes un analīzes apakšnozares eksperti</c:v>
                </c:pt>
                <c:pt idx="6">
                  <c:v>Būvmateriālu tirdzniecības eksperti</c:v>
                </c:pt>
              </c:strCache>
            </c:strRef>
          </c:cat>
          <c:val>
            <c:numRef>
              <c:f>'Q06'!$H$9:$H$15</c:f>
              <c:numCache>
                <c:formatCode>0.00</c:formatCode>
                <c:ptCount val="7"/>
                <c:pt idx="0">
                  <c:v>5.615384615384615</c:v>
                </c:pt>
                <c:pt idx="1">
                  <c:v>7.7142857142857144</c:v>
                </c:pt>
                <c:pt idx="2">
                  <c:v>1.8571428571428572</c:v>
                </c:pt>
                <c:pt idx="3">
                  <c:v>6.1428571428571432</c:v>
                </c:pt>
                <c:pt idx="4">
                  <c:v>5</c:v>
                </c:pt>
                <c:pt idx="5">
                  <c:v>6.875</c:v>
                </c:pt>
                <c:pt idx="6">
                  <c:v>5</c:v>
                </c:pt>
              </c:numCache>
            </c:numRef>
          </c:val>
          <c:extLst>
            <c:ext xmlns:c16="http://schemas.microsoft.com/office/drawing/2014/chart" uri="{C3380CC4-5D6E-409C-BE32-E72D297353CC}">
              <c16:uniqueId val="{00000001-79E6-4192-A5D0-CA96AE55F27E}"/>
            </c:ext>
          </c:extLst>
        </c:ser>
        <c:dLbls>
          <c:dLblPos val="outEnd"/>
          <c:showLegendKey val="0"/>
          <c:showVal val="1"/>
          <c:showCatName val="0"/>
          <c:showSerName val="0"/>
          <c:showPercent val="0"/>
          <c:showBubbleSize val="0"/>
        </c:dLbls>
        <c:gapWidth val="182"/>
        <c:axId val="1194102175"/>
        <c:axId val="1194102591"/>
      </c:barChart>
      <c:catAx>
        <c:axId val="1194102175"/>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194102591"/>
        <c:crosses val="autoZero"/>
        <c:auto val="1"/>
        <c:lblAlgn val="ctr"/>
        <c:lblOffset val="100"/>
        <c:noMultiLvlLbl val="0"/>
      </c:catAx>
      <c:valAx>
        <c:axId val="1194102591"/>
        <c:scaling>
          <c:orientation val="minMax"/>
          <c:max val="10"/>
        </c:scaling>
        <c:delete val="0"/>
        <c:axPos val="t"/>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94102175"/>
        <c:crosses val="max"/>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Reversed" id="25">
  <a:schemeClr val="accent5"/>
</cs:colorStyle>
</file>

<file path=word/charts/colors11.xml><?xml version="1.0" encoding="utf-8"?>
<cs:colorStyle xmlns:cs="http://schemas.microsoft.com/office/drawing/2012/chartStyle" xmlns:a="http://schemas.openxmlformats.org/drawingml/2006/main" meth="withinLinearReversed" id="25">
  <a:schemeClr val="accent5"/>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0.50043</cdr:x>
      <cdr:y>0.08129</cdr:y>
    </cdr:from>
    <cdr:to>
      <cdr:x>0.74937</cdr:x>
      <cdr:y>0.2671</cdr:y>
    </cdr:to>
    <cdr:sp macro="" textlink="">
      <cdr:nvSpPr>
        <cdr:cNvPr id="2" name="Text Box 1"/>
        <cdr:cNvSpPr txBox="1"/>
      </cdr:nvSpPr>
      <cdr:spPr>
        <a:xfrm xmlns:a="http://schemas.openxmlformats.org/drawingml/2006/main">
          <a:off x="1441093" y="204826"/>
          <a:ext cx="716890" cy="468172"/>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Dzīvojamās mājas</a:t>
          </a:r>
        </a:p>
      </cdr:txBody>
    </cdr:sp>
  </cdr:relSizeAnchor>
  <cdr:relSizeAnchor xmlns:cdr="http://schemas.openxmlformats.org/drawingml/2006/chartDrawing">
    <cdr:from>
      <cdr:x>0.72167</cdr:x>
      <cdr:y>0.21087</cdr:y>
    </cdr:from>
    <cdr:to>
      <cdr:x>0.9989</cdr:x>
      <cdr:y>0.39668</cdr:y>
    </cdr:to>
    <cdr:sp macro="" textlink="">
      <cdr:nvSpPr>
        <cdr:cNvPr id="3" name="Text Box 2"/>
        <cdr:cNvSpPr txBox="1"/>
      </cdr:nvSpPr>
      <cdr:spPr>
        <a:xfrm xmlns:a="http://schemas.openxmlformats.org/drawingml/2006/main">
          <a:off x="2078203" y="531331"/>
          <a:ext cx="798347" cy="468182"/>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Administratīvās, sabiedriskās ēkas</a:t>
          </a:r>
        </a:p>
      </cdr:txBody>
    </cdr:sp>
  </cdr:relSizeAnchor>
  <cdr:relSizeAnchor xmlns:cdr="http://schemas.openxmlformats.org/drawingml/2006/chartDrawing">
    <cdr:from>
      <cdr:x>0.44089</cdr:x>
      <cdr:y>0.76591</cdr:y>
    </cdr:from>
    <cdr:to>
      <cdr:x>0.68983</cdr:x>
      <cdr:y>0.95171</cdr:y>
    </cdr:to>
    <cdr:sp macro="" textlink="">
      <cdr:nvSpPr>
        <cdr:cNvPr id="4" name="Text Box 3"/>
        <cdr:cNvSpPr txBox="1"/>
      </cdr:nvSpPr>
      <cdr:spPr>
        <a:xfrm xmlns:a="http://schemas.openxmlformats.org/drawingml/2006/main">
          <a:off x="1269651" y="1929852"/>
          <a:ext cx="716879" cy="468156"/>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Ceļi un dzelzceļš</a:t>
          </a:r>
        </a:p>
      </cdr:txBody>
    </cdr:sp>
  </cdr:relSizeAnchor>
  <cdr:relSizeAnchor xmlns:cdr="http://schemas.openxmlformats.org/drawingml/2006/chartDrawing">
    <cdr:from>
      <cdr:x>0.06901</cdr:x>
      <cdr:y>0.70137</cdr:y>
    </cdr:from>
    <cdr:to>
      <cdr:x>0.384</cdr:x>
      <cdr:y>0.88718</cdr:y>
    </cdr:to>
    <cdr:sp macro="" textlink="">
      <cdr:nvSpPr>
        <cdr:cNvPr id="5" name="Text Box 4"/>
        <cdr:cNvSpPr txBox="1"/>
      </cdr:nvSpPr>
      <cdr:spPr>
        <a:xfrm xmlns:a="http://schemas.openxmlformats.org/drawingml/2006/main">
          <a:off x="198725" y="1767223"/>
          <a:ext cx="907084" cy="468182"/>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Pilsētsaimniecības infrastruktūras objekti</a:t>
          </a:r>
        </a:p>
      </cdr:txBody>
    </cdr:sp>
  </cdr:relSizeAnchor>
  <cdr:relSizeAnchor xmlns:cdr="http://schemas.openxmlformats.org/drawingml/2006/chartDrawing">
    <cdr:from>
      <cdr:x>0</cdr:x>
      <cdr:y>0.54055</cdr:y>
    </cdr:from>
    <cdr:to>
      <cdr:x>0.34399</cdr:x>
      <cdr:y>0.72635</cdr:y>
    </cdr:to>
    <cdr:sp macro="" textlink="">
      <cdr:nvSpPr>
        <cdr:cNvPr id="6" name="Text Box 5"/>
        <cdr:cNvSpPr txBox="1"/>
      </cdr:nvSpPr>
      <cdr:spPr>
        <a:xfrm xmlns:a="http://schemas.openxmlformats.org/drawingml/2006/main">
          <a:off x="0" y="1362009"/>
          <a:ext cx="990597" cy="468157"/>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Pārējā inženierbūvniecība</a:t>
          </a:r>
        </a:p>
      </cdr:txBody>
    </cdr:sp>
  </cdr:relSizeAnchor>
  <cdr:relSizeAnchor xmlns:cdr="http://schemas.openxmlformats.org/drawingml/2006/chartDrawing">
    <cdr:from>
      <cdr:x>0.0389</cdr:x>
      <cdr:y>0.16972</cdr:y>
    </cdr:from>
    <cdr:to>
      <cdr:x>0.35389</cdr:x>
      <cdr:y>0.35553</cdr:y>
    </cdr:to>
    <cdr:sp macro="" textlink="">
      <cdr:nvSpPr>
        <cdr:cNvPr id="8" name="Text Box 7"/>
        <cdr:cNvSpPr txBox="1"/>
      </cdr:nvSpPr>
      <cdr:spPr>
        <a:xfrm xmlns:a="http://schemas.openxmlformats.org/drawingml/2006/main">
          <a:off x="112023" y="427632"/>
          <a:ext cx="907084" cy="468182"/>
        </a:xfrm>
        <a:prstGeom xmlns:a="http://schemas.openxmlformats.org/drawingml/2006/main" prst="rect">
          <a:avLst/>
        </a:prstGeom>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ctr"/>
          <a:r>
            <a:rPr lang="lv-LV" sz="800">
              <a:latin typeface="Arial Nova" panose="020B0504020202020204" pitchFamily="34" charset="0"/>
            </a:rPr>
            <a:t>Pārējie specializētie būvdarbi</a:t>
          </a:r>
        </a:p>
      </cdr:txBody>
    </cdr:sp>
  </cdr:relSizeAnchor>
  <cdr:relSizeAnchor xmlns:cdr="http://schemas.openxmlformats.org/drawingml/2006/chartDrawing">
    <cdr:from>
      <cdr:x>0.72277</cdr:x>
      <cdr:y>0.48053</cdr:y>
    </cdr:from>
    <cdr:to>
      <cdr:x>1</cdr:x>
      <cdr:y>0.66634</cdr:y>
    </cdr:to>
    <cdr:sp macro="" textlink="">
      <cdr:nvSpPr>
        <cdr:cNvPr id="9" name="Text Box 1"/>
        <cdr:cNvSpPr txBox="1"/>
      </cdr:nvSpPr>
      <cdr:spPr>
        <a:xfrm xmlns:a="http://schemas.openxmlformats.org/drawingml/2006/main">
          <a:off x="2081378" y="1210781"/>
          <a:ext cx="798347" cy="468182"/>
        </a:xfrm>
        <a:prstGeom xmlns:a="http://schemas.openxmlformats.org/drawingml/2006/main" prst="rect">
          <a:avLst/>
        </a:prstGeom>
      </cdr:spPr>
      <cdr:txBody>
        <a:bodyPr xmlns:a="http://schemas.openxmlformats.org/drawingml/2006/main" wrap="square" lIns="36000" tIns="36000" rIns="36000" bIns="3600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800">
              <a:latin typeface="Arial Nova" panose="020B0504020202020204" pitchFamily="34" charset="0"/>
            </a:rPr>
            <a:t>Rūpnieciskās ražošanas ēkas un noliktavas</a:t>
          </a:r>
        </a:p>
      </cdr:txBody>
    </cdr:sp>
  </cdr:relSizeAnchor>
  <cdr:relSizeAnchor xmlns:cdr="http://schemas.openxmlformats.org/drawingml/2006/chartDrawing">
    <cdr:from>
      <cdr:x>0.693</cdr:x>
      <cdr:y>0.64434</cdr:y>
    </cdr:from>
    <cdr:to>
      <cdr:x>0.97023</cdr:x>
      <cdr:y>0.83015</cdr:y>
    </cdr:to>
    <cdr:sp macro="" textlink="">
      <cdr:nvSpPr>
        <cdr:cNvPr id="10" name="Text Box 1"/>
        <cdr:cNvSpPr txBox="1"/>
      </cdr:nvSpPr>
      <cdr:spPr>
        <a:xfrm xmlns:a="http://schemas.openxmlformats.org/drawingml/2006/main">
          <a:off x="1995653" y="1623531"/>
          <a:ext cx="798347" cy="468182"/>
        </a:xfrm>
        <a:prstGeom xmlns:a="http://schemas.openxmlformats.org/drawingml/2006/main" prst="rect">
          <a:avLst/>
        </a:prstGeom>
      </cdr:spPr>
      <cdr:txBody>
        <a:bodyPr xmlns:a="http://schemas.openxmlformats.org/drawingml/2006/main" wrap="square" lIns="36000" tIns="36000" rIns="36000" bIns="3600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800">
              <a:latin typeface="Arial Nova" panose="020B0504020202020204" pitchFamily="34" charset="0"/>
            </a:rPr>
            <a:t>Lauku saimniecību nedzīvojamās ēkas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Dokumentā aprakstīti vispārīgās ekspertu aptaujas rezultāti. Tiek aplūkoti būvniecības nozares darbaspēka un būvmateriālu ietekmējošie faktori, to ietekmes pakāpe, sniegtas būvniecības nozares produkcijas izmaiņas un izmaksu izmaiņu prognozes novērtēta ēnu ekonomikas apkarošanas pasākumu ietekme uz būvniecības nozares izmaksām.</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029E03-5688-4C8A-9BF7-840009B88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41</Pages>
  <Words>46484</Words>
  <Characters>26496</Characters>
  <Application>Microsoft Office Word</Application>
  <DocSecurity>0</DocSecurity>
  <Lines>220</Lines>
  <Paragraphs>145</Paragraphs>
  <ScaleCrop>false</ScaleCrop>
  <HeadingPairs>
    <vt:vector size="2" baseType="variant">
      <vt:variant>
        <vt:lpstr>Title</vt:lpstr>
      </vt:variant>
      <vt:variant>
        <vt:i4>1</vt:i4>
      </vt:variant>
    </vt:vector>
  </HeadingPairs>
  <TitlesOfParts>
    <vt:vector size="1" baseType="lpstr">
      <vt:lpstr>Pēījuma par prognozētām izmaiņām darbaspēka un būvmateriālu izmaksā būvniecības nozarē Latvijā GALA ZIŅOJUMS</vt:lpstr>
    </vt:vector>
  </TitlesOfParts>
  <Company/>
  <LinksUpToDate>false</LinksUpToDate>
  <CharactersWithSpaces>72835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Pēījuma par prognozētām izmaiņām darbaspēka un būvmateriālu izmaksā būvniecības nozarē Latvijā GALA ZIŅOJUMS</dc:title>
  <dc:subject>Dokuments izstrādāts pēc Latvijas Republikas Ekonomikas Minsitrijas pasūtījuma EM 2018/33 un tā pieejamību reglamentē Pasūtītāja noteikti ierobežojumi</dc:subject>
  <dc:creator>Olga Feldmane</dc:creator>
  <cp:keywords/>
  <dc:description/>
  <cp:lastModifiedBy>Olga Feldmane</cp:lastModifiedBy>
  <cp:revision>18</cp:revision>
  <cp:lastPrinted>2021-08-04T13:28:00Z</cp:lastPrinted>
  <dcterms:created xsi:type="dcterms:W3CDTF">2021-08-17T10:45:00Z</dcterms:created>
  <dcterms:modified xsi:type="dcterms:W3CDTF">2021-08-19T15:23:00Z</dcterms:modified>
</cp:coreProperties>
</file>