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8830EC" w14:textId="77777777" w:rsidR="00735431" w:rsidRPr="00505227" w:rsidRDefault="00735431" w:rsidP="008C42DA">
      <w:pPr>
        <w:pBdr>
          <w:top w:val="nil"/>
          <w:left w:val="nil"/>
          <w:bottom w:val="nil"/>
          <w:right w:val="nil"/>
          <w:between w:val="nil"/>
        </w:pBdr>
        <w:jc w:val="center"/>
        <w:rPr>
          <w:b/>
          <w:color w:val="000000" w:themeColor="text1"/>
        </w:rPr>
      </w:pPr>
      <w:r w:rsidRPr="00505227">
        <w:rPr>
          <w:b/>
          <w:color w:val="000000" w:themeColor="text1"/>
        </w:rPr>
        <w:t>Informatīvais ziņojums</w:t>
      </w:r>
    </w:p>
    <w:p w14:paraId="51C99B0F" w14:textId="5DFF5CDA" w:rsidR="00735431" w:rsidRPr="00505227" w:rsidRDefault="00735431" w:rsidP="008C42DA">
      <w:pPr>
        <w:pBdr>
          <w:top w:val="nil"/>
          <w:left w:val="nil"/>
          <w:bottom w:val="nil"/>
          <w:right w:val="nil"/>
          <w:between w:val="nil"/>
        </w:pBdr>
        <w:jc w:val="center"/>
        <w:rPr>
          <w:b/>
          <w:color w:val="000000" w:themeColor="text1"/>
        </w:rPr>
      </w:pPr>
      <w:r w:rsidRPr="00505227">
        <w:rPr>
          <w:b/>
          <w:color w:val="000000" w:themeColor="text1"/>
        </w:rPr>
        <w:t>“Par Sankciju koordinācijas padomes darbību 202</w:t>
      </w:r>
      <w:r w:rsidR="007C0E63">
        <w:rPr>
          <w:b/>
          <w:color w:val="000000" w:themeColor="text1"/>
        </w:rPr>
        <w:t>3</w:t>
      </w:r>
      <w:r w:rsidRPr="00505227">
        <w:rPr>
          <w:b/>
          <w:color w:val="000000" w:themeColor="text1"/>
        </w:rPr>
        <w:t>. gadā”</w:t>
      </w:r>
    </w:p>
    <w:p w14:paraId="66564071" w14:textId="536CF823" w:rsidR="003F213B" w:rsidRPr="00505227" w:rsidRDefault="003F213B" w:rsidP="008C42DA">
      <w:pPr>
        <w:pBdr>
          <w:top w:val="nil"/>
          <w:left w:val="nil"/>
          <w:bottom w:val="nil"/>
          <w:right w:val="nil"/>
          <w:between w:val="nil"/>
        </w:pBdr>
        <w:jc w:val="center"/>
        <w:rPr>
          <w:b/>
          <w:color w:val="000000" w:themeColor="text1"/>
        </w:rPr>
      </w:pPr>
    </w:p>
    <w:p w14:paraId="16784889" w14:textId="77777777" w:rsidR="00093BD0" w:rsidRPr="00505227" w:rsidRDefault="00093BD0" w:rsidP="008C42DA">
      <w:pPr>
        <w:pBdr>
          <w:top w:val="nil"/>
          <w:left w:val="nil"/>
          <w:bottom w:val="nil"/>
          <w:right w:val="nil"/>
          <w:between w:val="nil"/>
        </w:pBdr>
        <w:jc w:val="center"/>
        <w:rPr>
          <w:b/>
          <w:color w:val="000000" w:themeColor="text1"/>
        </w:rPr>
      </w:pPr>
    </w:p>
    <w:p w14:paraId="15F327C3" w14:textId="77777777" w:rsidR="00FC2068" w:rsidRPr="00505227" w:rsidRDefault="00FC2068" w:rsidP="008C42DA">
      <w:pPr>
        <w:pBdr>
          <w:top w:val="nil"/>
          <w:left w:val="nil"/>
          <w:bottom w:val="nil"/>
          <w:right w:val="nil"/>
          <w:between w:val="nil"/>
        </w:pBdr>
        <w:jc w:val="center"/>
        <w:rPr>
          <w:b/>
          <w:color w:val="000000" w:themeColor="text1"/>
        </w:rPr>
      </w:pPr>
      <w:r w:rsidRPr="00505227">
        <w:rPr>
          <w:b/>
          <w:color w:val="000000" w:themeColor="text1"/>
        </w:rPr>
        <w:t xml:space="preserve">Kopsavilkums </w:t>
      </w:r>
    </w:p>
    <w:p w14:paraId="2C492F38" w14:textId="77777777" w:rsidR="00790520" w:rsidRPr="00505227" w:rsidRDefault="00790520" w:rsidP="008C42DA">
      <w:pPr>
        <w:pBdr>
          <w:top w:val="nil"/>
          <w:left w:val="nil"/>
          <w:bottom w:val="nil"/>
          <w:right w:val="nil"/>
          <w:between w:val="nil"/>
        </w:pBdr>
        <w:jc w:val="center"/>
        <w:rPr>
          <w:b/>
          <w:color w:val="000000" w:themeColor="text1"/>
        </w:rPr>
      </w:pPr>
    </w:p>
    <w:p w14:paraId="4AF9AEA8" w14:textId="2657C602" w:rsidR="00905702" w:rsidRPr="00EC6076" w:rsidRDefault="00905702" w:rsidP="00EC6076">
      <w:pPr>
        <w:pBdr>
          <w:top w:val="nil"/>
          <w:left w:val="nil"/>
          <w:bottom w:val="nil"/>
          <w:right w:val="nil"/>
          <w:between w:val="nil"/>
        </w:pBdr>
        <w:jc w:val="both"/>
        <w:rPr>
          <w:color w:val="000000" w:themeColor="text1"/>
        </w:rPr>
      </w:pPr>
      <w:r w:rsidRPr="00EC6076">
        <w:rPr>
          <w:color w:val="000000" w:themeColor="text1"/>
        </w:rPr>
        <w:t xml:space="preserve">Šī ziņojuma mērķis ir informēt par Sankciju koordinācijas padomes </w:t>
      </w:r>
      <w:r w:rsidR="00934785" w:rsidRPr="00EC6076">
        <w:rPr>
          <w:color w:val="000000" w:themeColor="text1"/>
        </w:rPr>
        <w:t xml:space="preserve">(turpmāk – Padome) </w:t>
      </w:r>
      <w:r w:rsidRPr="00EC6076">
        <w:rPr>
          <w:color w:val="000000" w:themeColor="text1"/>
        </w:rPr>
        <w:t>darbu 202</w:t>
      </w:r>
      <w:r w:rsidR="00D3708B">
        <w:rPr>
          <w:color w:val="000000" w:themeColor="text1"/>
        </w:rPr>
        <w:t>3</w:t>
      </w:r>
      <w:r w:rsidRPr="00EC6076">
        <w:rPr>
          <w:color w:val="000000" w:themeColor="text1"/>
        </w:rPr>
        <w:t>.</w:t>
      </w:r>
      <w:r w:rsidR="00123D6F" w:rsidRPr="00EC6076">
        <w:t> </w:t>
      </w:r>
      <w:r w:rsidRPr="00EC6076">
        <w:rPr>
          <w:color w:val="000000" w:themeColor="text1"/>
        </w:rPr>
        <w:t>gadā atbilstoši</w:t>
      </w:r>
      <w:r w:rsidR="00C57D5D" w:rsidRPr="00EC6076">
        <w:rPr>
          <w:color w:val="000000" w:themeColor="text1"/>
        </w:rPr>
        <w:t xml:space="preserve"> Ministru kabineta </w:t>
      </w:r>
      <w:r w:rsidR="00612B8D" w:rsidRPr="00EC6076">
        <w:rPr>
          <w:color w:val="000000" w:themeColor="text1"/>
        </w:rPr>
        <w:t>2019.</w:t>
      </w:r>
      <w:r w:rsidR="00123D6F" w:rsidRPr="00EC6076">
        <w:t> </w:t>
      </w:r>
      <w:r w:rsidR="00612B8D" w:rsidRPr="00EC6076">
        <w:rPr>
          <w:color w:val="000000" w:themeColor="text1"/>
        </w:rPr>
        <w:t>gada 9.</w:t>
      </w:r>
      <w:r w:rsidR="00123D6F" w:rsidRPr="00EC6076">
        <w:t> </w:t>
      </w:r>
      <w:r w:rsidR="00612B8D" w:rsidRPr="00EC6076">
        <w:rPr>
          <w:color w:val="000000" w:themeColor="text1"/>
        </w:rPr>
        <w:t xml:space="preserve">jūlija </w:t>
      </w:r>
      <w:r w:rsidR="00C57D5D" w:rsidRPr="00EC6076">
        <w:rPr>
          <w:color w:val="000000" w:themeColor="text1"/>
        </w:rPr>
        <w:t>noteikumu Nr.</w:t>
      </w:r>
      <w:r w:rsidR="00123D6F" w:rsidRPr="00EC6076">
        <w:t> </w:t>
      </w:r>
      <w:r w:rsidR="00C57D5D" w:rsidRPr="00EC6076">
        <w:rPr>
          <w:color w:val="000000" w:themeColor="text1"/>
        </w:rPr>
        <w:t>328 “Sankciju koordinācijas padomes nolikums</w:t>
      </w:r>
      <w:r w:rsidR="00612B8D" w:rsidRPr="00EC6076">
        <w:rPr>
          <w:color w:val="000000" w:themeColor="text1"/>
        </w:rPr>
        <w:t xml:space="preserve">” </w:t>
      </w:r>
      <w:r w:rsidR="00713AF2">
        <w:rPr>
          <w:color w:val="000000" w:themeColor="text1"/>
        </w:rPr>
        <w:t xml:space="preserve">(turpmāk – Nolikums) </w:t>
      </w:r>
      <w:r w:rsidR="00C57D5D" w:rsidRPr="00EC6076">
        <w:rPr>
          <w:color w:val="000000" w:themeColor="text1"/>
        </w:rPr>
        <w:t>17.</w:t>
      </w:r>
      <w:r w:rsidR="00123D6F" w:rsidRPr="00EC6076">
        <w:t> </w:t>
      </w:r>
      <w:r w:rsidR="00FA63B8" w:rsidRPr="00EC6076">
        <w:rPr>
          <w:color w:val="000000" w:themeColor="text1"/>
        </w:rPr>
        <w:t>punkt</w:t>
      </w:r>
      <w:r w:rsidR="005C6D94" w:rsidRPr="00EC6076">
        <w:rPr>
          <w:color w:val="000000" w:themeColor="text1"/>
        </w:rPr>
        <w:t>am, kas noteic</w:t>
      </w:r>
      <w:r w:rsidRPr="00EC6076">
        <w:rPr>
          <w:color w:val="000000" w:themeColor="text1"/>
        </w:rPr>
        <w:t xml:space="preserve">, ka </w:t>
      </w:r>
      <w:r w:rsidR="00110E3C" w:rsidRPr="00EC6076">
        <w:rPr>
          <w:color w:val="000000" w:themeColor="text1"/>
        </w:rPr>
        <w:t>Padome</w:t>
      </w:r>
      <w:r w:rsidR="00FA63B8" w:rsidRPr="00EC6076">
        <w:rPr>
          <w:color w:val="000000" w:themeColor="text1"/>
        </w:rPr>
        <w:t xml:space="preserve"> </w:t>
      </w:r>
      <w:r w:rsidR="00110E3C" w:rsidRPr="00EC6076">
        <w:rPr>
          <w:color w:val="000000" w:themeColor="text1"/>
        </w:rPr>
        <w:t xml:space="preserve">par savu darbību pastāvīgi informē sabiedrību un ne retāk kā reizi gadā ar Ārlietu ministrijas starpniecību informē Ministru </w:t>
      </w:r>
      <w:r w:rsidR="00FD759E" w:rsidRPr="00EC6076">
        <w:rPr>
          <w:color w:val="000000" w:themeColor="text1"/>
        </w:rPr>
        <w:t xml:space="preserve">kabinetu. </w:t>
      </w:r>
    </w:p>
    <w:p w14:paraId="25058A4B" w14:textId="77777777" w:rsidR="00905702" w:rsidRPr="00EC6076" w:rsidRDefault="00905702" w:rsidP="00EC6076">
      <w:pPr>
        <w:pBdr>
          <w:top w:val="nil"/>
          <w:left w:val="nil"/>
          <w:bottom w:val="nil"/>
          <w:right w:val="nil"/>
          <w:between w:val="nil"/>
        </w:pBdr>
        <w:jc w:val="both"/>
        <w:rPr>
          <w:color w:val="000000" w:themeColor="text1"/>
        </w:rPr>
      </w:pPr>
    </w:p>
    <w:p w14:paraId="4068B175" w14:textId="5C3597C2" w:rsidR="002C07B5" w:rsidRPr="00EC6076" w:rsidRDefault="006D19E9" w:rsidP="00EC6076">
      <w:pPr>
        <w:pBdr>
          <w:top w:val="nil"/>
          <w:left w:val="nil"/>
          <w:bottom w:val="nil"/>
          <w:right w:val="nil"/>
          <w:between w:val="nil"/>
        </w:pBdr>
        <w:jc w:val="both"/>
        <w:rPr>
          <w:rFonts w:eastAsia="Calibri"/>
          <w:lang w:eastAsia="en-US"/>
        </w:rPr>
      </w:pPr>
      <w:r w:rsidRPr="00EC6076">
        <w:rPr>
          <w:color w:val="000000" w:themeColor="text1"/>
        </w:rPr>
        <w:t>20</w:t>
      </w:r>
      <w:r w:rsidR="003F6EF5" w:rsidRPr="00EC6076">
        <w:rPr>
          <w:color w:val="000000" w:themeColor="text1"/>
        </w:rPr>
        <w:t>2</w:t>
      </w:r>
      <w:r w:rsidR="007C0E63" w:rsidRPr="00EC6076">
        <w:rPr>
          <w:color w:val="000000" w:themeColor="text1"/>
        </w:rPr>
        <w:t>3</w:t>
      </w:r>
      <w:r w:rsidRPr="00EC6076">
        <w:rPr>
          <w:color w:val="000000" w:themeColor="text1"/>
        </w:rPr>
        <w:t>.</w:t>
      </w:r>
      <w:r w:rsidR="00123D6F" w:rsidRPr="00EC6076">
        <w:t> </w:t>
      </w:r>
      <w:r w:rsidRPr="00EC6076">
        <w:rPr>
          <w:color w:val="000000" w:themeColor="text1"/>
        </w:rPr>
        <w:t>gad</w:t>
      </w:r>
      <w:r w:rsidR="00E555D3" w:rsidRPr="00EC6076">
        <w:rPr>
          <w:color w:val="000000" w:themeColor="text1"/>
        </w:rPr>
        <w:t>ā</w:t>
      </w:r>
      <w:r w:rsidRPr="00EC6076">
        <w:rPr>
          <w:color w:val="000000" w:themeColor="text1"/>
        </w:rPr>
        <w:t xml:space="preserve"> notik</w:t>
      </w:r>
      <w:r w:rsidR="003F6EF5" w:rsidRPr="00EC6076">
        <w:rPr>
          <w:color w:val="000000" w:themeColor="text1"/>
        </w:rPr>
        <w:t>u</w:t>
      </w:r>
      <w:r w:rsidR="00BC7AF6" w:rsidRPr="00EC6076">
        <w:rPr>
          <w:color w:val="000000" w:themeColor="text1"/>
        </w:rPr>
        <w:t>šas</w:t>
      </w:r>
      <w:r w:rsidRPr="00EC6076">
        <w:rPr>
          <w:color w:val="000000" w:themeColor="text1"/>
        </w:rPr>
        <w:t xml:space="preserve"> </w:t>
      </w:r>
      <w:r w:rsidR="007C0E63" w:rsidRPr="00EC6076">
        <w:rPr>
          <w:color w:val="000000" w:themeColor="text1"/>
        </w:rPr>
        <w:t>divas</w:t>
      </w:r>
      <w:r w:rsidR="00390412" w:rsidRPr="00EC6076">
        <w:rPr>
          <w:color w:val="000000" w:themeColor="text1"/>
        </w:rPr>
        <w:t xml:space="preserve"> </w:t>
      </w:r>
      <w:r w:rsidR="00612B8D" w:rsidRPr="00EC6076">
        <w:rPr>
          <w:color w:val="000000" w:themeColor="text1"/>
        </w:rPr>
        <w:t>Padomes sēde</w:t>
      </w:r>
      <w:r w:rsidR="004D1D6C" w:rsidRPr="00EC6076">
        <w:rPr>
          <w:color w:val="000000" w:themeColor="text1"/>
        </w:rPr>
        <w:t>s</w:t>
      </w:r>
      <w:r w:rsidR="00713AF2">
        <w:rPr>
          <w:color w:val="000000" w:themeColor="text1"/>
        </w:rPr>
        <w:t xml:space="preserve"> un regulāras Padomes apakšgrupas jeb Sankciju konsīlija sēdes</w:t>
      </w:r>
      <w:r w:rsidRPr="00EC6076">
        <w:rPr>
          <w:color w:val="000000" w:themeColor="text1"/>
        </w:rPr>
        <w:t xml:space="preserve">. </w:t>
      </w:r>
      <w:r w:rsidR="00390412" w:rsidRPr="00EC6076">
        <w:rPr>
          <w:color w:val="000000" w:themeColor="text1"/>
        </w:rPr>
        <w:t xml:space="preserve">Galvenais </w:t>
      </w:r>
      <w:r w:rsidR="00713AF2">
        <w:rPr>
          <w:color w:val="000000" w:themeColor="text1"/>
        </w:rPr>
        <w:t xml:space="preserve">uzdevums </w:t>
      </w:r>
      <w:r w:rsidR="00390412" w:rsidRPr="00EC6076">
        <w:rPr>
          <w:color w:val="000000" w:themeColor="text1"/>
        </w:rPr>
        <w:t>202</w:t>
      </w:r>
      <w:r w:rsidR="00FF3288" w:rsidRPr="00EC6076">
        <w:rPr>
          <w:color w:val="000000" w:themeColor="text1"/>
        </w:rPr>
        <w:t>3</w:t>
      </w:r>
      <w:r w:rsidR="00390412" w:rsidRPr="00EC6076">
        <w:rPr>
          <w:color w:val="000000" w:themeColor="text1"/>
        </w:rPr>
        <w:t xml:space="preserve">. gadā </w:t>
      </w:r>
      <w:r w:rsidR="002A0AF6" w:rsidRPr="00EC6076">
        <w:rPr>
          <w:color w:val="000000" w:themeColor="text1"/>
        </w:rPr>
        <w:t xml:space="preserve">bija Eiropas Savienības (turpmāk – ES) </w:t>
      </w:r>
      <w:r w:rsidR="00713AF2" w:rsidRPr="00EC6076">
        <w:rPr>
          <w:color w:val="000000" w:themeColor="text1"/>
        </w:rPr>
        <w:t xml:space="preserve">noteikto </w:t>
      </w:r>
      <w:r w:rsidR="002A0AF6" w:rsidRPr="00EC6076">
        <w:rPr>
          <w:color w:val="000000" w:themeColor="text1"/>
        </w:rPr>
        <w:t>plaša mēroga sankciju vienveidīga un efektīva izpilde.</w:t>
      </w:r>
      <w:r w:rsidR="002C07B5" w:rsidRPr="00EC6076">
        <w:rPr>
          <w:color w:val="000000" w:themeColor="text1"/>
        </w:rPr>
        <w:t xml:space="preserve"> </w:t>
      </w:r>
      <w:r w:rsidR="00A123EF" w:rsidRPr="00EC6076">
        <w:rPr>
          <w:color w:val="000000" w:themeColor="text1"/>
        </w:rPr>
        <w:t>Sankciju ieviešana ir ilgstošs, pastāvīgs process,</w:t>
      </w:r>
      <w:r w:rsidR="00713AF2">
        <w:rPr>
          <w:color w:val="000000" w:themeColor="text1"/>
        </w:rPr>
        <w:t xml:space="preserve"> kas</w:t>
      </w:r>
      <w:r w:rsidR="00A123EF" w:rsidRPr="00EC6076">
        <w:rPr>
          <w:color w:val="000000" w:themeColor="text1"/>
        </w:rPr>
        <w:t xml:space="preserve"> prasa nepārtrauktu</w:t>
      </w:r>
      <w:r w:rsidR="00713AF2">
        <w:rPr>
          <w:color w:val="000000" w:themeColor="text1"/>
        </w:rPr>
        <w:t xml:space="preserve"> </w:t>
      </w:r>
      <w:r w:rsidR="00A123EF" w:rsidRPr="00EC6076">
        <w:rPr>
          <w:color w:val="000000" w:themeColor="text1"/>
        </w:rPr>
        <w:t xml:space="preserve">uzraudzību un koriģēšanu. </w:t>
      </w:r>
      <w:r w:rsidR="00923E4F" w:rsidRPr="00EC6076">
        <w:rPr>
          <w:rFonts w:eastAsia="Calibri"/>
          <w:lang w:eastAsia="en-US"/>
        </w:rPr>
        <w:t xml:space="preserve">Kopumā Latvijā sankciju ieviešana noritējusi ar labiem panākumiem, kam par labu kalpojusi pieredze, kas gūta </w:t>
      </w:r>
      <w:proofErr w:type="spellStart"/>
      <w:r w:rsidR="00923E4F" w:rsidRPr="00EC6076">
        <w:rPr>
          <w:rFonts w:eastAsia="Calibri"/>
          <w:i/>
          <w:lang w:eastAsia="en-US"/>
        </w:rPr>
        <w:t>Moneyval</w:t>
      </w:r>
      <w:proofErr w:type="spellEnd"/>
      <w:r w:rsidR="00923E4F" w:rsidRPr="00EC6076">
        <w:rPr>
          <w:rFonts w:eastAsia="Calibri"/>
          <w:lang w:eastAsia="en-US"/>
        </w:rPr>
        <w:t xml:space="preserve"> </w:t>
      </w:r>
      <w:r w:rsidR="00EF4168">
        <w:rPr>
          <w:rFonts w:eastAsia="Calibri"/>
          <w:lang w:eastAsia="en-US"/>
        </w:rPr>
        <w:t xml:space="preserve">novērtēšanas </w:t>
      </w:r>
      <w:r w:rsidR="00923E4F" w:rsidRPr="00EC6076">
        <w:rPr>
          <w:rFonts w:eastAsia="Calibri"/>
          <w:lang w:eastAsia="en-US"/>
        </w:rPr>
        <w:t>procesa rezultātā, kura laikā tika izveidoti svarīgi rīki naudas atmazgāšanas apkarošanai, kas izmant</w:t>
      </w:r>
      <w:r w:rsidR="00197808" w:rsidRPr="00EC6076">
        <w:rPr>
          <w:rFonts w:eastAsia="Calibri"/>
          <w:lang w:eastAsia="en-US"/>
        </w:rPr>
        <w:t>ojami arī</w:t>
      </w:r>
      <w:r w:rsidR="00923E4F" w:rsidRPr="00EC6076">
        <w:rPr>
          <w:rFonts w:eastAsia="Calibri"/>
          <w:lang w:eastAsia="en-US"/>
        </w:rPr>
        <w:t xml:space="preserve"> sankciju piemērošanā.</w:t>
      </w:r>
      <w:r w:rsidR="00A123EF" w:rsidRPr="00EC6076">
        <w:rPr>
          <w:rFonts w:eastAsia="Calibri"/>
          <w:lang w:eastAsia="en-US"/>
        </w:rPr>
        <w:t xml:space="preserve"> Vienlaikus Padomes sēdēs norādīts, ka īpaša uzmanība jāpievērš sankciju apiešanas riskiem, kas konstatēti</w:t>
      </w:r>
      <w:r w:rsidR="00713AF2">
        <w:rPr>
          <w:rFonts w:eastAsia="Calibri"/>
          <w:lang w:eastAsia="en-US"/>
        </w:rPr>
        <w:t xml:space="preserve">, </w:t>
      </w:r>
      <w:r w:rsidR="00A123EF" w:rsidRPr="00EC6076">
        <w:rPr>
          <w:rFonts w:eastAsia="Calibri"/>
          <w:lang w:eastAsia="en-US"/>
        </w:rPr>
        <w:t xml:space="preserve">vērojot tirdzniecības un finanšu plūsmu izmaiņas uz trešajām valstīm (īpaši Centrālāzijas un Kaukāza valstis). Šis jautājums ir viena no prioritātēm ES līmenī, tādēļ </w:t>
      </w:r>
      <w:r w:rsidR="00713AF2">
        <w:rPr>
          <w:rFonts w:eastAsia="Calibri"/>
          <w:lang w:eastAsia="en-US"/>
        </w:rPr>
        <w:t xml:space="preserve">Eiropas Komisijā </w:t>
      </w:r>
      <w:r w:rsidR="00A123EF" w:rsidRPr="00EC6076">
        <w:rPr>
          <w:rFonts w:eastAsia="Calibri"/>
          <w:lang w:eastAsia="en-US"/>
        </w:rPr>
        <w:t>ir nozīmēts īpašais sūtnis, kas strādā ar augsta riska valstīm.</w:t>
      </w:r>
      <w:r w:rsidR="00923E4F" w:rsidRPr="00EC6076">
        <w:rPr>
          <w:rFonts w:eastAsia="Calibri"/>
          <w:lang w:eastAsia="en-US"/>
        </w:rPr>
        <w:t xml:space="preserve"> Latvijas gadījumā, esot uz ES ārējās robežas ar Krievij</w:t>
      </w:r>
      <w:r w:rsidR="00035521" w:rsidRPr="00EC6076">
        <w:rPr>
          <w:rFonts w:eastAsia="Calibri"/>
          <w:lang w:eastAsia="en-US"/>
        </w:rPr>
        <w:t xml:space="preserve">u </w:t>
      </w:r>
      <w:r w:rsidR="00923E4F" w:rsidRPr="00EC6076">
        <w:rPr>
          <w:rFonts w:eastAsia="Calibri"/>
          <w:lang w:eastAsia="en-US"/>
        </w:rPr>
        <w:t xml:space="preserve">un Baltkrieviju, </w:t>
      </w:r>
      <w:r w:rsidR="00B45348" w:rsidRPr="00EC6076">
        <w:rPr>
          <w:rFonts w:eastAsia="Calibri"/>
          <w:lang w:eastAsia="en-US"/>
        </w:rPr>
        <w:t>iestādēm jābūt īpaši vērīgām, jo pastāv augsti sankciju apiešanas un neievērošanas riski.</w:t>
      </w:r>
    </w:p>
    <w:p w14:paraId="32D08865" w14:textId="050D4B35" w:rsidR="00923E4F" w:rsidRPr="00EC6076" w:rsidRDefault="00923E4F" w:rsidP="00EC6076">
      <w:pPr>
        <w:pBdr>
          <w:top w:val="nil"/>
          <w:left w:val="nil"/>
          <w:bottom w:val="nil"/>
          <w:right w:val="nil"/>
          <w:between w:val="nil"/>
        </w:pBdr>
        <w:jc w:val="both"/>
        <w:rPr>
          <w:color w:val="000000" w:themeColor="text1"/>
        </w:rPr>
      </w:pPr>
    </w:p>
    <w:p w14:paraId="6A0AF2CA" w14:textId="560370E5" w:rsidR="00923E4F" w:rsidRPr="00EC6076" w:rsidRDefault="00B45348" w:rsidP="00EC6076">
      <w:pPr>
        <w:pBdr>
          <w:top w:val="nil"/>
          <w:left w:val="nil"/>
          <w:bottom w:val="nil"/>
          <w:right w:val="nil"/>
          <w:between w:val="nil"/>
        </w:pBdr>
        <w:jc w:val="both"/>
        <w:rPr>
          <w:color w:val="000000" w:themeColor="text1"/>
        </w:rPr>
      </w:pPr>
      <w:r w:rsidRPr="00EC6076">
        <w:rPr>
          <w:rFonts w:eastAsia="Calibri"/>
          <w:lang w:eastAsia="en-US"/>
        </w:rPr>
        <w:t xml:space="preserve">Sēdēs norādīts, ka </w:t>
      </w:r>
      <w:r w:rsidR="00EF4168" w:rsidRPr="00EC6076">
        <w:rPr>
          <w:rFonts w:eastAsia="Calibri"/>
          <w:lang w:eastAsia="en-US"/>
        </w:rPr>
        <w:t xml:space="preserve">viena no ES prioritātēm ir </w:t>
      </w:r>
      <w:r w:rsidRPr="00EC6076">
        <w:rPr>
          <w:rFonts w:eastAsia="Calibri"/>
          <w:lang w:eastAsia="en-US"/>
        </w:rPr>
        <w:t>sankciju vienota un koordinēta piemērošana visās ES dalībvalstīs</w:t>
      </w:r>
      <w:r w:rsidR="00F143ED">
        <w:rPr>
          <w:rFonts w:eastAsia="Calibri"/>
          <w:lang w:eastAsia="en-US"/>
        </w:rPr>
        <w:t>, kas arī atvieglos cīņu ar sankciju apiešanu</w:t>
      </w:r>
      <w:r w:rsidR="00713AF2">
        <w:rPr>
          <w:rFonts w:eastAsia="Calibri"/>
          <w:lang w:eastAsia="en-US"/>
        </w:rPr>
        <w:t xml:space="preserve">. </w:t>
      </w:r>
      <w:r w:rsidR="00F143ED">
        <w:rPr>
          <w:rFonts w:eastAsia="Calibri"/>
          <w:lang w:eastAsia="en-US"/>
        </w:rPr>
        <w:t xml:space="preserve">Vienveidīga sankciju piemērošana būtiski uzlabo to efektivitāti. </w:t>
      </w:r>
    </w:p>
    <w:p w14:paraId="63AC5358" w14:textId="77777777" w:rsidR="002C07B5" w:rsidRPr="00EC6076" w:rsidRDefault="002C07B5" w:rsidP="00EC6076">
      <w:pPr>
        <w:pBdr>
          <w:top w:val="nil"/>
          <w:left w:val="nil"/>
          <w:bottom w:val="nil"/>
          <w:right w:val="nil"/>
          <w:between w:val="nil"/>
        </w:pBdr>
        <w:jc w:val="both"/>
        <w:rPr>
          <w:color w:val="000000" w:themeColor="text1"/>
        </w:rPr>
      </w:pPr>
    </w:p>
    <w:p w14:paraId="5049A135" w14:textId="0E5F0E04" w:rsidR="00FF3288" w:rsidRPr="00EC6076" w:rsidRDefault="002C07B5" w:rsidP="00EC6076">
      <w:pPr>
        <w:pBdr>
          <w:top w:val="nil"/>
          <w:left w:val="nil"/>
          <w:bottom w:val="nil"/>
          <w:right w:val="nil"/>
          <w:between w:val="nil"/>
        </w:pBdr>
        <w:jc w:val="both"/>
        <w:rPr>
          <w:color w:val="000000" w:themeColor="text1"/>
        </w:rPr>
      </w:pPr>
      <w:r w:rsidRPr="00EC6076">
        <w:rPr>
          <w:color w:val="000000" w:themeColor="text1"/>
        </w:rPr>
        <w:t xml:space="preserve">Padomes sēdēs </w:t>
      </w:r>
      <w:r w:rsidR="00F143ED">
        <w:rPr>
          <w:color w:val="000000" w:themeColor="text1"/>
        </w:rPr>
        <w:t>vērsta uzmanība uz</w:t>
      </w:r>
      <w:r w:rsidR="00F143ED" w:rsidRPr="00EC6076">
        <w:rPr>
          <w:color w:val="000000" w:themeColor="text1"/>
        </w:rPr>
        <w:t xml:space="preserve"> </w:t>
      </w:r>
      <w:r w:rsidRPr="00EC6076">
        <w:rPr>
          <w:color w:val="000000" w:themeColor="text1"/>
        </w:rPr>
        <w:t>Krievijas plaši liet</w:t>
      </w:r>
      <w:r w:rsidR="005344D9">
        <w:rPr>
          <w:color w:val="000000" w:themeColor="text1"/>
        </w:rPr>
        <w:t>o</w:t>
      </w:r>
      <w:r w:rsidRPr="00EC6076">
        <w:rPr>
          <w:color w:val="000000" w:themeColor="text1"/>
        </w:rPr>
        <w:t>t</w:t>
      </w:r>
      <w:r w:rsidR="00F143ED">
        <w:rPr>
          <w:color w:val="000000" w:themeColor="text1"/>
        </w:rPr>
        <w:t>o</w:t>
      </w:r>
      <w:r w:rsidRPr="00EC6076">
        <w:rPr>
          <w:color w:val="000000" w:themeColor="text1"/>
        </w:rPr>
        <w:t xml:space="preserve"> retorik</w:t>
      </w:r>
      <w:r w:rsidR="00F143ED">
        <w:rPr>
          <w:color w:val="000000" w:themeColor="text1"/>
        </w:rPr>
        <w:t>u</w:t>
      </w:r>
      <w:r w:rsidRPr="00EC6076">
        <w:rPr>
          <w:color w:val="000000" w:themeColor="text1"/>
        </w:rPr>
        <w:t xml:space="preserve">, ka ES sankcijas </w:t>
      </w:r>
      <w:r w:rsidR="00F143ED">
        <w:rPr>
          <w:color w:val="000000" w:themeColor="text1"/>
        </w:rPr>
        <w:t xml:space="preserve">nav efektīvas un </w:t>
      </w:r>
      <w:r w:rsidRPr="00EC6076">
        <w:rPr>
          <w:color w:val="000000" w:themeColor="text1"/>
        </w:rPr>
        <w:t xml:space="preserve">vairāk kaitē ES nekā </w:t>
      </w:r>
      <w:r w:rsidR="00035521" w:rsidRPr="00EC6076">
        <w:rPr>
          <w:color w:val="000000" w:themeColor="text1"/>
        </w:rPr>
        <w:t>Krievijai</w:t>
      </w:r>
      <w:r w:rsidRPr="00EC6076">
        <w:rPr>
          <w:color w:val="000000" w:themeColor="text1"/>
        </w:rPr>
        <w:t xml:space="preserve">, kā arī par pasaules pārtikas krīzi, ko izraisījušas ES sankcijas, vienojoties, ka iestādēm ir jābūt sagatavotām uz to reaģēt. Tāpat </w:t>
      </w:r>
      <w:r w:rsidR="00B45348" w:rsidRPr="00EC6076">
        <w:rPr>
          <w:color w:val="000000" w:themeColor="text1"/>
        </w:rPr>
        <w:t>notikušas vairākas tiesvedības Eiropas Savienības Tiesā</w:t>
      </w:r>
      <w:r w:rsidR="007A7163" w:rsidRPr="00EC6076">
        <w:rPr>
          <w:color w:val="000000" w:themeColor="text1"/>
        </w:rPr>
        <w:t>, pēc kurām vērojams, ka īpaši būtiski ir spēcīgu pierādījumu materiālu nepieciešamība, iekļaujot personas sankcionēto personu sarakstā, jo vairākās lietās tiesa secinājusi, ka tie nav bijuši pietiekami pamatoti.</w:t>
      </w:r>
    </w:p>
    <w:p w14:paraId="103DE66C" w14:textId="040DB289" w:rsidR="00FF3288" w:rsidRPr="00EC6076" w:rsidRDefault="00FF3288" w:rsidP="00EC6076">
      <w:pPr>
        <w:pBdr>
          <w:top w:val="nil"/>
          <w:left w:val="nil"/>
          <w:bottom w:val="nil"/>
          <w:right w:val="nil"/>
          <w:between w:val="nil"/>
        </w:pBdr>
        <w:jc w:val="both"/>
        <w:rPr>
          <w:color w:val="000000" w:themeColor="text1"/>
        </w:rPr>
      </w:pPr>
    </w:p>
    <w:p w14:paraId="1C86E134" w14:textId="5255FE56" w:rsidR="007A7163" w:rsidRPr="00EC6076" w:rsidRDefault="007A7163" w:rsidP="00EC6076">
      <w:pPr>
        <w:pBdr>
          <w:top w:val="nil"/>
          <w:left w:val="nil"/>
          <w:bottom w:val="nil"/>
          <w:right w:val="nil"/>
          <w:between w:val="nil"/>
        </w:pBdr>
        <w:jc w:val="both"/>
        <w:rPr>
          <w:color w:val="000000" w:themeColor="text1"/>
        </w:rPr>
      </w:pPr>
      <w:r w:rsidRPr="00EC6076">
        <w:rPr>
          <w:color w:val="000000" w:themeColor="text1"/>
        </w:rPr>
        <w:t xml:space="preserve">Padomes locekļi </w:t>
      </w:r>
      <w:r w:rsidR="00F143ED">
        <w:rPr>
          <w:color w:val="000000" w:themeColor="text1"/>
        </w:rPr>
        <w:t xml:space="preserve">sēdēs </w:t>
      </w:r>
      <w:r w:rsidRPr="00EC6076">
        <w:rPr>
          <w:color w:val="000000" w:themeColor="text1"/>
        </w:rPr>
        <w:t xml:space="preserve">tika informēti par aktuālo situāciju </w:t>
      </w:r>
      <w:r w:rsidR="00F143ED">
        <w:rPr>
          <w:color w:val="000000" w:themeColor="text1"/>
        </w:rPr>
        <w:t xml:space="preserve">saistībā </w:t>
      </w:r>
      <w:r w:rsidRPr="00EC6076">
        <w:rPr>
          <w:color w:val="000000" w:themeColor="text1"/>
        </w:rPr>
        <w:t xml:space="preserve">ar </w:t>
      </w:r>
      <w:r w:rsidRPr="00EC6076">
        <w:rPr>
          <w:rFonts w:eastAsia="Calibri"/>
          <w:lang w:eastAsia="en-US"/>
        </w:rPr>
        <w:t>centralizētas sistēmas sankciju izpildē izveidi Latvijā. Pamatojoties uz Ministru kabineta konceptuāli atbalstīto risinājumu noteikt Finanšu izlūkošanas dienestu (turpmāk – FID) par centrālo iestādi sankciju izpildē Latvijā, tika veikti attiecīgi grozījumi Starptautisko un Latvijas Republikas nacionālo sankciju likumā</w:t>
      </w:r>
      <w:r w:rsidR="00EE3C12" w:rsidRPr="00EC6076">
        <w:rPr>
          <w:rFonts w:eastAsia="Calibri"/>
          <w:lang w:eastAsia="en-US"/>
        </w:rPr>
        <w:t>.</w:t>
      </w:r>
    </w:p>
    <w:p w14:paraId="759B9B97" w14:textId="5956EAC8" w:rsidR="004F3523" w:rsidRPr="00EC6076" w:rsidRDefault="004F3523" w:rsidP="00EC6076">
      <w:pPr>
        <w:pBdr>
          <w:top w:val="nil"/>
          <w:left w:val="nil"/>
          <w:bottom w:val="nil"/>
          <w:right w:val="nil"/>
          <w:between w:val="nil"/>
        </w:pBdr>
        <w:jc w:val="both"/>
        <w:rPr>
          <w:color w:val="000000" w:themeColor="text1"/>
        </w:rPr>
      </w:pPr>
    </w:p>
    <w:p w14:paraId="7679F0F7" w14:textId="679C2D53" w:rsidR="00CC78EB" w:rsidRPr="00EC6076" w:rsidRDefault="00CC78EB" w:rsidP="00EC6076">
      <w:pPr>
        <w:pBdr>
          <w:top w:val="nil"/>
          <w:left w:val="nil"/>
          <w:bottom w:val="nil"/>
          <w:right w:val="nil"/>
          <w:between w:val="nil"/>
        </w:pBdr>
        <w:jc w:val="both"/>
        <w:rPr>
          <w:color w:val="000000" w:themeColor="text1"/>
        </w:rPr>
      </w:pPr>
    </w:p>
    <w:p w14:paraId="1D6E4D9D" w14:textId="77777777" w:rsidR="00D82F34" w:rsidRPr="00EC6076" w:rsidRDefault="003E47DF" w:rsidP="00EC6076">
      <w:pPr>
        <w:pBdr>
          <w:top w:val="nil"/>
          <w:left w:val="nil"/>
          <w:bottom w:val="nil"/>
          <w:right w:val="nil"/>
          <w:between w:val="nil"/>
        </w:pBdr>
        <w:jc w:val="center"/>
        <w:rPr>
          <w:b/>
        </w:rPr>
      </w:pPr>
      <w:r w:rsidRPr="00EC6076">
        <w:rPr>
          <w:b/>
        </w:rPr>
        <w:t>Ievads</w:t>
      </w:r>
    </w:p>
    <w:p w14:paraId="2BA44618" w14:textId="77777777" w:rsidR="003E47DF" w:rsidRPr="00EC6076" w:rsidRDefault="003E47DF" w:rsidP="00EC6076">
      <w:pPr>
        <w:pBdr>
          <w:top w:val="nil"/>
          <w:left w:val="nil"/>
          <w:bottom w:val="nil"/>
          <w:right w:val="nil"/>
          <w:between w:val="nil"/>
        </w:pBdr>
        <w:jc w:val="center"/>
        <w:rPr>
          <w:b/>
        </w:rPr>
      </w:pPr>
    </w:p>
    <w:p w14:paraId="5821DA30" w14:textId="23292488" w:rsidR="000F4E3B" w:rsidRPr="00EC6076" w:rsidRDefault="003E47DF" w:rsidP="00EC6076">
      <w:pPr>
        <w:jc w:val="both"/>
        <w:rPr>
          <w:color w:val="000000" w:themeColor="text1"/>
          <w:highlight w:val="yellow"/>
        </w:rPr>
      </w:pPr>
      <w:r w:rsidRPr="00EC6076">
        <w:t xml:space="preserve">Padome ir Ministru kabineta izveidota konsultatīva institūcija, kuras mērķis ir veicināt visu ar sankciju </w:t>
      </w:r>
      <w:r w:rsidR="00E23EF2" w:rsidRPr="00EC6076">
        <w:t>ieviešanu</w:t>
      </w:r>
      <w:r w:rsidRPr="00EC6076">
        <w:t xml:space="preserve"> un ievērošanu saistīto institūciju sadarbību un vienotu </w:t>
      </w:r>
      <w:r w:rsidR="005C6D94" w:rsidRPr="00EC6076">
        <w:t>pieeju</w:t>
      </w:r>
      <w:r w:rsidR="00120A2A" w:rsidRPr="00EC6076">
        <w:t xml:space="preserve"> </w:t>
      </w:r>
      <w:r w:rsidR="005C6D94" w:rsidRPr="00EC6076">
        <w:t>sankciju</w:t>
      </w:r>
      <w:r w:rsidR="00120A2A" w:rsidRPr="00EC6076">
        <w:t xml:space="preserve"> piemērošan</w:t>
      </w:r>
      <w:r w:rsidR="005C6D94" w:rsidRPr="00EC6076">
        <w:t>ā</w:t>
      </w:r>
      <w:r w:rsidRPr="00EC6076">
        <w:t xml:space="preserve">. Saskaņā ar </w:t>
      </w:r>
      <w:r w:rsidR="005C6D94" w:rsidRPr="00EC6076">
        <w:t xml:space="preserve">Padomes </w:t>
      </w:r>
      <w:r w:rsidRPr="00EC6076">
        <w:t>Nolikuma 6. un 7.</w:t>
      </w:r>
      <w:r w:rsidR="00123D6F" w:rsidRPr="00EC6076">
        <w:t> </w:t>
      </w:r>
      <w:r w:rsidRPr="00EC6076">
        <w:t xml:space="preserve">punktu Padomes sastāvā </w:t>
      </w:r>
      <w:r w:rsidR="00D14371" w:rsidRPr="00EC6076">
        <w:t>202</w:t>
      </w:r>
      <w:r w:rsidR="00D3708B">
        <w:t>3</w:t>
      </w:r>
      <w:r w:rsidR="00D14371" w:rsidRPr="00EC6076">
        <w:t>.</w:t>
      </w:r>
      <w:r w:rsidR="00120A2A" w:rsidRPr="00EC6076">
        <w:t> </w:t>
      </w:r>
      <w:r w:rsidR="00D14371" w:rsidRPr="00EC6076">
        <w:t>gad</w:t>
      </w:r>
      <w:r w:rsidR="00390412" w:rsidRPr="00EC6076">
        <w:t>ā</w:t>
      </w:r>
      <w:r w:rsidR="00D14371" w:rsidRPr="00EC6076">
        <w:t xml:space="preserve"> </w:t>
      </w:r>
      <w:r w:rsidR="00390412" w:rsidRPr="00EC6076">
        <w:t xml:space="preserve">bija </w:t>
      </w:r>
      <w:r w:rsidR="000F1B59" w:rsidRPr="00EC6076">
        <w:t>27 </w:t>
      </w:r>
      <w:r w:rsidRPr="00EC6076">
        <w:t>atbildīgo institūciju pārstāvji</w:t>
      </w:r>
      <w:r w:rsidR="009521DD" w:rsidRPr="00EC6076">
        <w:t>.</w:t>
      </w:r>
      <w:r w:rsidRPr="00EC6076">
        <w:t xml:space="preserve"> </w:t>
      </w:r>
      <w:r w:rsidR="009521DD" w:rsidRPr="00EC6076">
        <w:t>S</w:t>
      </w:r>
      <w:r w:rsidR="003B7904" w:rsidRPr="00EC6076">
        <w:t xml:space="preserve">avukārt </w:t>
      </w:r>
      <w:r w:rsidRPr="00EC6076">
        <w:t xml:space="preserve">Finanšu nozares asociācijas, Latvijas Darba devēju konfederācijas, Latvijas </w:t>
      </w:r>
      <w:r w:rsidR="00D70B1B" w:rsidRPr="00EC6076">
        <w:t xml:space="preserve">Pašvaldību </w:t>
      </w:r>
      <w:r w:rsidRPr="00EC6076">
        <w:t>savienības</w:t>
      </w:r>
      <w:r w:rsidR="009521DD" w:rsidRPr="00EC6076">
        <w:t xml:space="preserve">, </w:t>
      </w:r>
      <w:r w:rsidRPr="00EC6076">
        <w:t>Latvijas Tirdzniecības un rūpniecības kameras</w:t>
      </w:r>
      <w:r w:rsidR="009521DD" w:rsidRPr="00EC6076">
        <w:t xml:space="preserve">, Latvijas Apdrošinātāju asociācijas, </w:t>
      </w:r>
      <w:r w:rsidR="009521DD" w:rsidRPr="00EC6076">
        <w:lastRenderedPageBreak/>
        <w:t xml:space="preserve">Satversmes aizsardzības biroja un Valsts robežsardzes </w:t>
      </w:r>
      <w:r w:rsidRPr="00EC6076">
        <w:t>pārstāvji</w:t>
      </w:r>
      <w:r w:rsidR="003B7904" w:rsidRPr="00EC6076">
        <w:t xml:space="preserve"> Padomes sēdēs piedalās ar padomdevēja tiesībām</w:t>
      </w:r>
      <w:r w:rsidRPr="00EC6076">
        <w:t>. Padomes personālsastāvu saskaņā ar Nolikuma 8.</w:t>
      </w:r>
      <w:r w:rsidR="00123D6F" w:rsidRPr="00EC6076">
        <w:t> </w:t>
      </w:r>
      <w:r w:rsidRPr="00EC6076">
        <w:t xml:space="preserve">punktu ir apstiprinājis ārlietu ministrs. </w:t>
      </w:r>
    </w:p>
    <w:p w14:paraId="25BC4A9E" w14:textId="77777777" w:rsidR="00F07300" w:rsidRPr="00EC6076" w:rsidRDefault="00F07300" w:rsidP="00EC6076">
      <w:pPr>
        <w:jc w:val="both"/>
        <w:rPr>
          <w:color w:val="000000" w:themeColor="text1"/>
        </w:rPr>
      </w:pPr>
    </w:p>
    <w:p w14:paraId="43874772" w14:textId="4B964788" w:rsidR="00A22B96" w:rsidRPr="00EC6076" w:rsidRDefault="003E47DF" w:rsidP="00EC6076">
      <w:pPr>
        <w:jc w:val="both"/>
        <w:rPr>
          <w:color w:val="000000" w:themeColor="text1"/>
        </w:rPr>
      </w:pPr>
      <w:r w:rsidRPr="00EC6076">
        <w:rPr>
          <w:color w:val="000000" w:themeColor="text1"/>
        </w:rPr>
        <w:t>Saskaņā ar Nolikuma 5.</w:t>
      </w:r>
      <w:r w:rsidR="00123D6F" w:rsidRPr="00EC6076">
        <w:t> </w:t>
      </w:r>
      <w:r w:rsidRPr="00EC6076">
        <w:rPr>
          <w:color w:val="000000" w:themeColor="text1"/>
        </w:rPr>
        <w:t xml:space="preserve">punktu </w:t>
      </w:r>
      <w:r w:rsidR="001C5FA0">
        <w:rPr>
          <w:color w:val="000000" w:themeColor="text1"/>
        </w:rPr>
        <w:t>2023. gada 6. novembrī</w:t>
      </w:r>
      <w:r w:rsidR="00713AF2">
        <w:rPr>
          <w:color w:val="000000" w:themeColor="text1"/>
        </w:rPr>
        <w:t xml:space="preserve"> </w:t>
      </w:r>
      <w:r w:rsidRPr="00EC6076">
        <w:rPr>
          <w:color w:val="000000" w:themeColor="text1"/>
        </w:rPr>
        <w:t>par Padomes priekšsēdētāju ārlietu ministrs</w:t>
      </w:r>
      <w:r w:rsidR="000145A6">
        <w:rPr>
          <w:color w:val="000000" w:themeColor="text1"/>
        </w:rPr>
        <w:t xml:space="preserve"> </w:t>
      </w:r>
      <w:r w:rsidRPr="00EC6076">
        <w:rPr>
          <w:color w:val="000000" w:themeColor="text1"/>
        </w:rPr>
        <w:t>apstiprināj</w:t>
      </w:r>
      <w:r w:rsidR="00713AF2">
        <w:rPr>
          <w:color w:val="000000" w:themeColor="text1"/>
        </w:rPr>
        <w:t>a</w:t>
      </w:r>
      <w:r w:rsidRPr="00EC6076">
        <w:rPr>
          <w:color w:val="000000" w:themeColor="text1"/>
        </w:rPr>
        <w:t xml:space="preserve"> </w:t>
      </w:r>
      <w:r w:rsidR="00035521" w:rsidRPr="00EC6076">
        <w:rPr>
          <w:color w:val="000000" w:themeColor="text1"/>
        </w:rPr>
        <w:t xml:space="preserve">Sanitu </w:t>
      </w:r>
      <w:proofErr w:type="spellStart"/>
      <w:r w:rsidR="00035521" w:rsidRPr="00EC6076">
        <w:rPr>
          <w:color w:val="000000" w:themeColor="text1"/>
        </w:rPr>
        <w:t>Pēkali</w:t>
      </w:r>
      <w:proofErr w:type="spellEnd"/>
      <w:r w:rsidR="002C63D1" w:rsidRPr="00EC6076">
        <w:rPr>
          <w:color w:val="000000" w:themeColor="text1"/>
        </w:rPr>
        <w:t>,</w:t>
      </w:r>
      <w:r w:rsidRPr="00EC6076">
        <w:rPr>
          <w:color w:val="000000" w:themeColor="text1"/>
        </w:rPr>
        <w:t xml:space="preserve"> </w:t>
      </w:r>
      <w:r w:rsidR="00390412" w:rsidRPr="00EC6076">
        <w:rPr>
          <w:color w:val="000000" w:themeColor="text1"/>
        </w:rPr>
        <w:t xml:space="preserve">Ārlietu ministrijas Juridiskās direkcijas </w:t>
      </w:r>
      <w:r w:rsidR="000F1B59" w:rsidRPr="00EC6076">
        <w:rPr>
          <w:color w:val="000000" w:themeColor="text1"/>
        </w:rPr>
        <w:t>vadītāju</w:t>
      </w:r>
      <w:r w:rsidRPr="00EC6076">
        <w:rPr>
          <w:color w:val="000000" w:themeColor="text1"/>
        </w:rPr>
        <w:t>.</w:t>
      </w:r>
      <w:r w:rsidR="00A22B96" w:rsidRPr="00EC6076">
        <w:rPr>
          <w:color w:val="000000" w:themeColor="text1"/>
        </w:rPr>
        <w:t xml:space="preserve"> Atbilstoši Nolikuma 18.</w:t>
      </w:r>
      <w:r w:rsidR="00123D6F" w:rsidRPr="00EC6076">
        <w:t> </w:t>
      </w:r>
      <w:r w:rsidR="00A22B96" w:rsidRPr="00EC6076">
        <w:rPr>
          <w:color w:val="000000" w:themeColor="text1"/>
        </w:rPr>
        <w:t>punktam ārlietu ministrs ir noteicis, ka Padomes sekretariāta funkcijas veic Ārlietu ministrijas Juridiskais departaments.</w:t>
      </w:r>
    </w:p>
    <w:p w14:paraId="37CCB529" w14:textId="7981F053" w:rsidR="000A1E55" w:rsidRPr="00EC6076" w:rsidRDefault="000A1E55" w:rsidP="00EC6076">
      <w:pPr>
        <w:pBdr>
          <w:top w:val="nil"/>
          <w:left w:val="nil"/>
          <w:bottom w:val="nil"/>
          <w:right w:val="nil"/>
          <w:between w:val="nil"/>
        </w:pBdr>
        <w:rPr>
          <w:b/>
        </w:rPr>
      </w:pPr>
    </w:p>
    <w:p w14:paraId="08EDABE6" w14:textId="77777777" w:rsidR="009E70BE" w:rsidRPr="00EC6076" w:rsidRDefault="009E70BE" w:rsidP="00EC6076">
      <w:pPr>
        <w:pBdr>
          <w:top w:val="nil"/>
          <w:left w:val="nil"/>
          <w:bottom w:val="nil"/>
          <w:right w:val="nil"/>
          <w:between w:val="nil"/>
        </w:pBdr>
        <w:rPr>
          <w:b/>
        </w:rPr>
      </w:pPr>
    </w:p>
    <w:p w14:paraId="434EAA14" w14:textId="4A1B52C4" w:rsidR="00FC2068" w:rsidRPr="00EC6076" w:rsidRDefault="00FC2068" w:rsidP="00EC6076">
      <w:pPr>
        <w:pStyle w:val="ListParagraph"/>
        <w:ind w:left="0"/>
        <w:jc w:val="center"/>
        <w:rPr>
          <w:b/>
          <w:color w:val="000000" w:themeColor="text1"/>
        </w:rPr>
      </w:pPr>
      <w:bookmarkStart w:id="0" w:name="_Hlk92205565"/>
      <w:r w:rsidRPr="00EC6076">
        <w:rPr>
          <w:b/>
          <w:color w:val="000000" w:themeColor="text1"/>
        </w:rPr>
        <w:t xml:space="preserve">Sankciju koordinācijas padomes sēde </w:t>
      </w:r>
      <w:r w:rsidR="00FD3D73" w:rsidRPr="00EC6076">
        <w:rPr>
          <w:b/>
          <w:color w:val="000000" w:themeColor="text1"/>
        </w:rPr>
        <w:t>202</w:t>
      </w:r>
      <w:r w:rsidR="00EE3C12" w:rsidRPr="00EC6076">
        <w:rPr>
          <w:b/>
          <w:color w:val="000000" w:themeColor="text1"/>
        </w:rPr>
        <w:t>3</w:t>
      </w:r>
      <w:r w:rsidR="00FD3D73" w:rsidRPr="00EC6076">
        <w:rPr>
          <w:b/>
          <w:color w:val="000000" w:themeColor="text1"/>
        </w:rPr>
        <w:t xml:space="preserve">. gada </w:t>
      </w:r>
      <w:r w:rsidR="00EE3C12" w:rsidRPr="00EC6076">
        <w:rPr>
          <w:b/>
          <w:color w:val="000000" w:themeColor="text1"/>
        </w:rPr>
        <w:t>8</w:t>
      </w:r>
      <w:r w:rsidR="00FD3D73" w:rsidRPr="00EC6076">
        <w:rPr>
          <w:b/>
          <w:color w:val="000000" w:themeColor="text1"/>
        </w:rPr>
        <w:t>. martā</w:t>
      </w:r>
    </w:p>
    <w:p w14:paraId="3BDFA658" w14:textId="77777777" w:rsidR="00605351" w:rsidRPr="00EC6076" w:rsidRDefault="00605351" w:rsidP="00EC6076">
      <w:pPr>
        <w:pStyle w:val="ListParagraph"/>
        <w:ind w:left="0"/>
        <w:jc w:val="center"/>
        <w:rPr>
          <w:b/>
          <w:color w:val="000000" w:themeColor="text1"/>
        </w:rPr>
      </w:pPr>
    </w:p>
    <w:bookmarkEnd w:id="0"/>
    <w:p w14:paraId="24559B91" w14:textId="2093C6B7" w:rsidR="00035521" w:rsidRPr="00EC6076" w:rsidRDefault="00035521" w:rsidP="00EC6076">
      <w:pPr>
        <w:jc w:val="both"/>
        <w:rPr>
          <w:rFonts w:eastAsia="Calibri"/>
          <w:lang w:eastAsia="en-US"/>
        </w:rPr>
      </w:pPr>
      <w:r w:rsidRPr="00EC6076">
        <w:rPr>
          <w:rFonts w:eastAsia="Calibri"/>
          <w:lang w:eastAsia="en-US"/>
        </w:rPr>
        <w:t>Sēde notika neilgi pēc tam, kad apritējis gads kopš Krievijas sāktā kara Ukrainā 2022. gada 24. februārī.</w:t>
      </w:r>
    </w:p>
    <w:p w14:paraId="4911B510" w14:textId="42E07F29" w:rsidR="00EE3C12" w:rsidRPr="00EC6076" w:rsidRDefault="00D1666B" w:rsidP="00EC6076">
      <w:pPr>
        <w:jc w:val="both"/>
        <w:rPr>
          <w:rFonts w:eastAsia="Calibri"/>
          <w:lang w:eastAsia="en-US"/>
        </w:rPr>
      </w:pPr>
      <w:r>
        <w:rPr>
          <w:rFonts w:eastAsia="Calibri"/>
          <w:lang w:eastAsia="en-US"/>
        </w:rPr>
        <w:t xml:space="preserve">Padomes priekšsēdētāja </w:t>
      </w:r>
      <w:r w:rsidR="00F143ED">
        <w:rPr>
          <w:rFonts w:eastAsia="Calibri"/>
          <w:lang w:eastAsia="en-US"/>
        </w:rPr>
        <w:t>s</w:t>
      </w:r>
      <w:r w:rsidR="00035521" w:rsidRPr="00EC6076">
        <w:rPr>
          <w:rFonts w:eastAsia="Calibri"/>
          <w:lang w:eastAsia="en-US"/>
        </w:rPr>
        <w:t>ēdes dalībniek</w:t>
      </w:r>
      <w:r w:rsidR="00F143ED">
        <w:rPr>
          <w:rFonts w:eastAsia="Calibri"/>
          <w:lang w:eastAsia="en-US"/>
        </w:rPr>
        <w:t>us</w:t>
      </w:r>
      <w:r w:rsidR="00035521" w:rsidRPr="00EC6076">
        <w:rPr>
          <w:rFonts w:eastAsia="Calibri"/>
          <w:lang w:eastAsia="en-US"/>
        </w:rPr>
        <w:t xml:space="preserve"> informē</w:t>
      </w:r>
      <w:r w:rsidR="00F143ED">
        <w:rPr>
          <w:rFonts w:eastAsia="Calibri"/>
          <w:lang w:eastAsia="en-US"/>
        </w:rPr>
        <w:t>ja</w:t>
      </w:r>
      <w:r w:rsidR="00035521" w:rsidRPr="00EC6076">
        <w:rPr>
          <w:rFonts w:eastAsia="Calibri"/>
          <w:lang w:eastAsia="en-US"/>
        </w:rPr>
        <w:t xml:space="preserve">, ka kopš iebrukuma Ukrainā </w:t>
      </w:r>
      <w:r w:rsidR="00F143ED">
        <w:rPr>
          <w:rFonts w:eastAsia="Calibri"/>
          <w:lang w:eastAsia="en-US"/>
        </w:rPr>
        <w:t xml:space="preserve">ir </w:t>
      </w:r>
      <w:r w:rsidR="00035521" w:rsidRPr="00EC6076">
        <w:rPr>
          <w:rFonts w:eastAsia="Calibri"/>
          <w:lang w:eastAsia="en-US"/>
        </w:rPr>
        <w:t>pieņemtas 10 sankciju kārtas (pēdējā pieņemta 25.02.2023.), kas paplašina un pastiprina sankcijas pret personām</w:t>
      </w:r>
      <w:r w:rsidR="00F143ED">
        <w:rPr>
          <w:rFonts w:eastAsia="Calibri"/>
          <w:lang w:eastAsia="en-US"/>
        </w:rPr>
        <w:t xml:space="preserve">, </w:t>
      </w:r>
      <w:r w:rsidR="00035521" w:rsidRPr="00EC6076">
        <w:rPr>
          <w:rFonts w:eastAsia="Calibri"/>
          <w:lang w:eastAsia="en-US"/>
        </w:rPr>
        <w:t>precēm un pakalpojumiem, no</w:t>
      </w:r>
      <w:r w:rsidR="00F143ED">
        <w:rPr>
          <w:rFonts w:eastAsia="Calibri"/>
          <w:lang w:eastAsia="en-US"/>
        </w:rPr>
        <w:t>saka</w:t>
      </w:r>
      <w:r w:rsidR="00035521" w:rsidRPr="00EC6076">
        <w:rPr>
          <w:rFonts w:eastAsia="Calibri"/>
          <w:lang w:eastAsia="en-US"/>
        </w:rPr>
        <w:t xml:space="preserve"> tranzīta liegum</w:t>
      </w:r>
      <w:r w:rsidR="00F143ED">
        <w:rPr>
          <w:rFonts w:eastAsia="Calibri"/>
          <w:lang w:eastAsia="en-US"/>
        </w:rPr>
        <w:t>us</w:t>
      </w:r>
      <w:r w:rsidR="00035521" w:rsidRPr="00EC6076">
        <w:rPr>
          <w:rFonts w:eastAsia="Calibri"/>
          <w:lang w:eastAsia="en-US"/>
        </w:rPr>
        <w:t>, finanšu sankcijas pret atsevišķām bankām, liegum</w:t>
      </w:r>
      <w:r w:rsidR="00F143ED">
        <w:rPr>
          <w:rFonts w:eastAsia="Calibri"/>
          <w:lang w:eastAsia="en-US"/>
        </w:rPr>
        <w:t>u</w:t>
      </w:r>
      <w:r w:rsidR="00035521" w:rsidRPr="00EC6076">
        <w:rPr>
          <w:rFonts w:eastAsia="Calibri"/>
          <w:lang w:eastAsia="en-US"/>
        </w:rPr>
        <w:t xml:space="preserve">s </w:t>
      </w:r>
      <w:r w:rsidR="005E22E2" w:rsidRPr="00EC6076">
        <w:rPr>
          <w:rFonts w:eastAsia="Calibri"/>
          <w:lang w:eastAsia="en-US"/>
        </w:rPr>
        <w:t>Krievijas</w:t>
      </w:r>
      <w:r w:rsidR="00035521" w:rsidRPr="00EC6076">
        <w:rPr>
          <w:rFonts w:eastAsia="Calibri"/>
          <w:lang w:eastAsia="en-US"/>
        </w:rPr>
        <w:t xml:space="preserve"> pilsoņiem ieņemt amatus ES kritisko infrastruktūru kompānijās, </w:t>
      </w:r>
      <w:r w:rsidR="00F143ED">
        <w:rPr>
          <w:rFonts w:eastAsia="Calibri"/>
          <w:lang w:eastAsia="en-US"/>
        </w:rPr>
        <w:t xml:space="preserve">kā arī </w:t>
      </w:r>
      <w:r w:rsidR="00035521" w:rsidRPr="00EC6076">
        <w:rPr>
          <w:rFonts w:eastAsia="Calibri"/>
          <w:lang w:eastAsia="en-US"/>
        </w:rPr>
        <w:t>importa un eksporta liegum</w:t>
      </w:r>
      <w:r w:rsidR="00F143ED">
        <w:rPr>
          <w:rFonts w:eastAsia="Calibri"/>
          <w:lang w:eastAsia="en-US"/>
        </w:rPr>
        <w:t>us</w:t>
      </w:r>
      <w:r w:rsidR="00035521" w:rsidRPr="00EC6076">
        <w:rPr>
          <w:rFonts w:eastAsia="Calibri"/>
          <w:lang w:eastAsia="en-US"/>
        </w:rPr>
        <w:t xml:space="preserve">. Šajos jautājumos </w:t>
      </w:r>
      <w:r w:rsidR="00EE3C12" w:rsidRPr="00EC6076">
        <w:rPr>
          <w:rFonts w:eastAsia="Calibri"/>
          <w:lang w:eastAsia="en-US"/>
        </w:rPr>
        <w:t>ES ir bijusi vienprātīga, spējusi nepieredzētā ātrumā un apmērā noteikt sankcijas pret K</w:t>
      </w:r>
      <w:r w:rsidR="00035521" w:rsidRPr="00EC6076">
        <w:rPr>
          <w:rFonts w:eastAsia="Calibri"/>
          <w:lang w:eastAsia="en-US"/>
        </w:rPr>
        <w:t>rieviju</w:t>
      </w:r>
      <w:r w:rsidR="00EE3C12" w:rsidRPr="00EC6076">
        <w:rPr>
          <w:rFonts w:eastAsia="Calibri"/>
          <w:lang w:eastAsia="en-US"/>
        </w:rPr>
        <w:t xml:space="preserve"> un </w:t>
      </w:r>
      <w:r w:rsidR="00035521" w:rsidRPr="00EC6076">
        <w:rPr>
          <w:rFonts w:eastAsia="Calibri"/>
          <w:lang w:eastAsia="en-US"/>
        </w:rPr>
        <w:t>Baltkrieviju</w:t>
      </w:r>
      <w:r w:rsidR="008E4F78" w:rsidRPr="00EC6076">
        <w:rPr>
          <w:rFonts w:eastAsia="Calibri"/>
          <w:lang w:eastAsia="en-US"/>
        </w:rPr>
        <w:t xml:space="preserve">. </w:t>
      </w:r>
      <w:r w:rsidR="00437270">
        <w:rPr>
          <w:rFonts w:eastAsia="Calibri"/>
          <w:lang w:eastAsia="en-US"/>
        </w:rPr>
        <w:t>Tika u</w:t>
      </w:r>
      <w:r w:rsidR="008E4F78" w:rsidRPr="00EC6076">
        <w:rPr>
          <w:rFonts w:eastAsia="Calibri"/>
          <w:lang w:eastAsia="en-US"/>
        </w:rPr>
        <w:t xml:space="preserve">zsvērts, ka vērojami </w:t>
      </w:r>
      <w:r w:rsidR="00EE3C12" w:rsidRPr="00EC6076">
        <w:rPr>
          <w:rFonts w:eastAsia="Calibri"/>
          <w:lang w:eastAsia="en-US"/>
        </w:rPr>
        <w:t>centieni (iekšēji un ārēji) graut ES vienotību un stingro sankciju politiku</w:t>
      </w:r>
      <w:r w:rsidR="008E4F78" w:rsidRPr="00EC6076">
        <w:rPr>
          <w:rFonts w:eastAsia="Calibri"/>
          <w:lang w:eastAsia="en-US"/>
        </w:rPr>
        <w:t xml:space="preserve">. </w:t>
      </w:r>
      <w:r w:rsidR="00FD79B9" w:rsidRPr="00EC6076">
        <w:rPr>
          <w:rFonts w:eastAsia="Calibri"/>
          <w:lang w:eastAsia="en-US"/>
        </w:rPr>
        <w:t xml:space="preserve">Padomes locekļu </w:t>
      </w:r>
      <w:r w:rsidR="00FD79B9" w:rsidRPr="00EC6076">
        <w:rPr>
          <w:color w:val="000000" w:themeColor="text1"/>
        </w:rPr>
        <w:t xml:space="preserve">uzmanība </w:t>
      </w:r>
      <w:r w:rsidR="00437270">
        <w:rPr>
          <w:color w:val="000000" w:themeColor="text1"/>
        </w:rPr>
        <w:t xml:space="preserve">tika </w:t>
      </w:r>
      <w:r w:rsidR="00FD79B9" w:rsidRPr="00EC6076">
        <w:rPr>
          <w:color w:val="000000" w:themeColor="text1"/>
        </w:rPr>
        <w:t xml:space="preserve">vērsta uz Krievijas plaši lietoto retoriku, ka ES sankcijas vairāk kaitē ES nekā Krievijai, kā arī par pasaules pārtikas krīzi, ko izraisījušas ES sankcijas, vienojoties, ka iestādēm ir jābūt sagatavotām uz to reaģēt. </w:t>
      </w:r>
      <w:r w:rsidR="008E4F78" w:rsidRPr="00EC6076">
        <w:rPr>
          <w:rFonts w:eastAsia="Calibri"/>
          <w:lang w:eastAsia="en-US"/>
        </w:rPr>
        <w:t xml:space="preserve">Ņemot vērā, ka </w:t>
      </w:r>
      <w:r w:rsidR="00EE3C12" w:rsidRPr="00EC6076">
        <w:rPr>
          <w:rFonts w:eastAsia="Calibri"/>
          <w:lang w:eastAsia="en-US"/>
        </w:rPr>
        <w:t>Latvija strikti iestājas par maksimāli spēcīgu sankciju politiku</w:t>
      </w:r>
      <w:r w:rsidR="008E4F78" w:rsidRPr="00EC6076">
        <w:rPr>
          <w:rFonts w:eastAsia="Calibri"/>
          <w:lang w:eastAsia="en-US"/>
        </w:rPr>
        <w:t xml:space="preserve">, sēdes dalībnieki </w:t>
      </w:r>
      <w:r w:rsidR="00437270">
        <w:rPr>
          <w:rFonts w:eastAsia="Calibri"/>
          <w:lang w:eastAsia="en-US"/>
        </w:rPr>
        <w:t xml:space="preserve">tika </w:t>
      </w:r>
      <w:r w:rsidR="008E4F78" w:rsidRPr="00EC6076">
        <w:rPr>
          <w:rFonts w:eastAsia="Calibri"/>
          <w:lang w:eastAsia="en-US"/>
        </w:rPr>
        <w:t xml:space="preserve">aicināti </w:t>
      </w:r>
      <w:r w:rsidR="005E22E2" w:rsidRPr="00EC6076">
        <w:rPr>
          <w:rFonts w:eastAsia="Calibri"/>
          <w:lang w:eastAsia="en-US"/>
        </w:rPr>
        <w:t xml:space="preserve">stiprināt </w:t>
      </w:r>
      <w:r w:rsidR="008E4F78" w:rsidRPr="00EC6076">
        <w:rPr>
          <w:rFonts w:eastAsia="Calibri"/>
          <w:lang w:eastAsia="en-US"/>
        </w:rPr>
        <w:t>sadarbību starp publisko un privāto sektoru, lai veicinātu vienotu izpratni par sankciju nepieciešamību un to vienveidīgu izpildi. Ārlietu ministrija informēja, ka šobrīd uzsvars ir uz jau esošo sankciju ieviešanu, vienlaikus tiek strādāts pie jaunu sankciju noteikšanas, taču šis process notiek lēnāk nekā iepriekš. To ieviešana ir ilgstošs, pastāvīgs process, kas prasa nepārtrauktu uzraudzību un koriģēšanu.</w:t>
      </w:r>
    </w:p>
    <w:p w14:paraId="4256CC29" w14:textId="16E313FE" w:rsidR="008E4F78" w:rsidRPr="00EC6076" w:rsidRDefault="008E4F78" w:rsidP="00EC6076">
      <w:pPr>
        <w:jc w:val="both"/>
        <w:rPr>
          <w:rFonts w:eastAsia="Calibri"/>
          <w:lang w:eastAsia="en-US"/>
        </w:rPr>
      </w:pPr>
    </w:p>
    <w:p w14:paraId="129A797D" w14:textId="5F4312FB" w:rsidR="008E4F78" w:rsidRPr="00EC6076" w:rsidRDefault="008E4F78" w:rsidP="00EC6076">
      <w:pPr>
        <w:jc w:val="both"/>
        <w:rPr>
          <w:rFonts w:eastAsia="Calibri"/>
          <w:lang w:eastAsia="en-US"/>
        </w:rPr>
      </w:pPr>
      <w:r w:rsidRPr="00EC6076">
        <w:rPr>
          <w:rFonts w:eastAsia="Calibri"/>
          <w:lang w:eastAsia="en-US"/>
        </w:rPr>
        <w:t xml:space="preserve">Sēdes laikā </w:t>
      </w:r>
      <w:r w:rsidR="006E15F4">
        <w:rPr>
          <w:rFonts w:eastAsia="Calibri"/>
          <w:lang w:eastAsia="en-US"/>
        </w:rPr>
        <w:t xml:space="preserve">tika </w:t>
      </w:r>
      <w:r w:rsidRPr="00EC6076">
        <w:rPr>
          <w:rFonts w:eastAsia="Calibri"/>
          <w:lang w:eastAsia="en-US"/>
        </w:rPr>
        <w:t>uzsvērts apjomīgais darbs, ko paveikuši Tieslietu ministrija, publiskie reģistri</w:t>
      </w:r>
      <w:r w:rsidR="005B7E4C">
        <w:rPr>
          <w:rFonts w:eastAsia="Calibri"/>
          <w:lang w:eastAsia="en-US"/>
        </w:rPr>
        <w:t xml:space="preserve">, </w:t>
      </w:r>
      <w:r w:rsidRPr="00EC6076">
        <w:rPr>
          <w:rFonts w:eastAsia="Calibri"/>
          <w:lang w:eastAsia="en-US"/>
        </w:rPr>
        <w:t xml:space="preserve">un finanšu sektora ieguldītais darbs ieviešot sankcijas Latvijā, iesaldējot aptuveni 290 miljonus eiro. Līdz ar katru jaunu sankciju kārtu, ikviena reģistra un kompetentās iestādes uzdevums ir pārliecināties par sankciju ieviešanu. </w:t>
      </w:r>
    </w:p>
    <w:p w14:paraId="1C880439" w14:textId="2916C30B" w:rsidR="0094178E" w:rsidRPr="00EC6076" w:rsidRDefault="0094178E" w:rsidP="00EC6076">
      <w:pPr>
        <w:jc w:val="both"/>
        <w:rPr>
          <w:rFonts w:eastAsia="Calibri"/>
          <w:lang w:eastAsia="en-US"/>
        </w:rPr>
      </w:pPr>
    </w:p>
    <w:p w14:paraId="41464434" w14:textId="3BD448C1" w:rsidR="0094178E" w:rsidRPr="00EC6076" w:rsidRDefault="0094178E" w:rsidP="00EC6076">
      <w:pPr>
        <w:jc w:val="both"/>
        <w:rPr>
          <w:rFonts w:eastAsia="Calibri"/>
          <w:lang w:eastAsia="en-US"/>
        </w:rPr>
      </w:pPr>
      <w:r w:rsidRPr="00EC6076">
        <w:rPr>
          <w:rFonts w:eastAsia="Calibri"/>
          <w:lang w:eastAsia="en-US"/>
        </w:rPr>
        <w:t xml:space="preserve">Sēdes dalībnieku uzmanība </w:t>
      </w:r>
      <w:r w:rsidR="00437270">
        <w:rPr>
          <w:rFonts w:eastAsia="Calibri"/>
          <w:lang w:eastAsia="en-US"/>
        </w:rPr>
        <w:t xml:space="preserve">tika </w:t>
      </w:r>
      <w:r w:rsidRPr="00EC6076">
        <w:rPr>
          <w:rFonts w:eastAsia="Calibri"/>
          <w:lang w:eastAsia="en-US"/>
        </w:rPr>
        <w:t>vērsta uz sankciju apiešanas riskiem, kas ir aktuāls jautājums ne tikai Latvijā un Baltijas valstīs, bet ES kopumā un G7 valstis. Vērojamas izmaiņas pārrobežu maksājumos un pārrobežu tirdzniecībā ar trešajām valstīm (īpaši Centrālāzijas un Kaukāza valstis). Arī ES šo ir identificējusi kā prioritāti</w:t>
      </w:r>
      <w:r w:rsidR="00132FAB">
        <w:rPr>
          <w:rFonts w:eastAsia="Calibri"/>
          <w:lang w:eastAsia="en-US"/>
        </w:rPr>
        <w:t xml:space="preserve">, </w:t>
      </w:r>
      <w:r w:rsidRPr="00EC6076">
        <w:rPr>
          <w:rFonts w:eastAsia="Calibri"/>
          <w:lang w:eastAsia="en-US"/>
        </w:rPr>
        <w:t xml:space="preserve">un </w:t>
      </w:r>
      <w:r w:rsidR="00132FAB">
        <w:rPr>
          <w:rFonts w:eastAsia="Calibri"/>
          <w:lang w:eastAsia="en-US"/>
        </w:rPr>
        <w:t xml:space="preserve">Eiropas Komisijā </w:t>
      </w:r>
      <w:r w:rsidRPr="00EC6076">
        <w:rPr>
          <w:rFonts w:eastAsia="Calibri"/>
          <w:lang w:eastAsia="en-US"/>
        </w:rPr>
        <w:t xml:space="preserve">ir nozīmēts īpašais sūtnis, kas strādā ar augsta riska valstīm. </w:t>
      </w:r>
      <w:r w:rsidR="00437270">
        <w:rPr>
          <w:rFonts w:eastAsia="Calibri"/>
          <w:lang w:eastAsia="en-US"/>
        </w:rPr>
        <w:t>Sēdē tika n</w:t>
      </w:r>
      <w:r w:rsidRPr="00EC6076">
        <w:rPr>
          <w:rFonts w:eastAsia="Calibri"/>
          <w:lang w:eastAsia="en-US"/>
        </w:rPr>
        <w:t>orādīts, ka Latvijā plānots analizēt tirdzniecības datus, lai saprastu, cik no šīm izmaiņām ir leģitīma tirdzniecības diversifikācija</w:t>
      </w:r>
      <w:r w:rsidR="00437270">
        <w:rPr>
          <w:rFonts w:eastAsia="Calibri"/>
          <w:lang w:eastAsia="en-US"/>
        </w:rPr>
        <w:t xml:space="preserve"> un</w:t>
      </w:r>
      <w:r w:rsidRPr="00EC6076">
        <w:rPr>
          <w:rFonts w:eastAsia="Calibri"/>
          <w:lang w:eastAsia="en-US"/>
        </w:rPr>
        <w:t xml:space="preserve"> cik sankciju apiešanas mēģinājumu gadījumi. Šajā sakarā nepieciešams vairot riska izpratni īpaši tiem, kas darbojas augsta riska jurisdikcijās un nozarēs. Tika īpaši uzsvērts Latvijas Tirdzniecības un rūpniecības kameras un Latvijas Finanšu nozares asociācijas ieguldījums, aktualizējot šo nepieciešamību savās nozarēs.</w:t>
      </w:r>
    </w:p>
    <w:p w14:paraId="694549A5" w14:textId="22912D5A" w:rsidR="0094178E" w:rsidRPr="00EC6076" w:rsidRDefault="0094178E" w:rsidP="00EC6076">
      <w:pPr>
        <w:jc w:val="both"/>
        <w:rPr>
          <w:rFonts w:eastAsia="Calibri"/>
          <w:lang w:eastAsia="en-US"/>
        </w:rPr>
      </w:pPr>
    </w:p>
    <w:p w14:paraId="3685AA84" w14:textId="6845F680" w:rsidR="0094178E" w:rsidRPr="00EC6076" w:rsidRDefault="0094178E" w:rsidP="00EC6076">
      <w:pPr>
        <w:jc w:val="both"/>
        <w:rPr>
          <w:rFonts w:eastAsia="Calibri"/>
          <w:lang w:eastAsia="en-US"/>
        </w:rPr>
      </w:pPr>
      <w:r w:rsidRPr="00EC6076">
        <w:rPr>
          <w:rFonts w:eastAsia="Calibri"/>
          <w:lang w:eastAsia="en-US"/>
        </w:rPr>
        <w:t xml:space="preserve">Padomes sēdē valdīja vienprātība, ka </w:t>
      </w:r>
      <w:r w:rsidR="006E5E0F" w:rsidRPr="00EC6076">
        <w:rPr>
          <w:rFonts w:eastAsia="Calibri"/>
          <w:lang w:eastAsia="en-US"/>
        </w:rPr>
        <w:t xml:space="preserve">jāturpina vairot sabiedrības un privātā sektora izpratne par sankciju jēgu, </w:t>
      </w:r>
      <w:r w:rsidR="00437270">
        <w:rPr>
          <w:rFonts w:eastAsia="Calibri"/>
          <w:lang w:eastAsia="en-US"/>
        </w:rPr>
        <w:t xml:space="preserve">ņemot vērā </w:t>
      </w:r>
      <w:r w:rsidR="006E5E0F" w:rsidRPr="00EC6076">
        <w:rPr>
          <w:rFonts w:eastAsia="Calibri"/>
          <w:lang w:eastAsia="en-US"/>
        </w:rPr>
        <w:t>Latvijas īpaš</w:t>
      </w:r>
      <w:r w:rsidR="00437270">
        <w:rPr>
          <w:rFonts w:eastAsia="Calibri"/>
          <w:lang w:eastAsia="en-US"/>
        </w:rPr>
        <w:t>o</w:t>
      </w:r>
      <w:r w:rsidR="006E5E0F" w:rsidRPr="00EC6076">
        <w:rPr>
          <w:rFonts w:eastAsia="Calibri"/>
          <w:lang w:eastAsia="en-US"/>
        </w:rPr>
        <w:t xml:space="preserve"> situācij</w:t>
      </w:r>
      <w:r w:rsidR="00437270">
        <w:rPr>
          <w:rFonts w:eastAsia="Calibri"/>
          <w:lang w:eastAsia="en-US"/>
        </w:rPr>
        <w:t>u,</w:t>
      </w:r>
      <w:r w:rsidR="006E5E0F" w:rsidRPr="00EC6076">
        <w:rPr>
          <w:rFonts w:eastAsia="Calibri"/>
          <w:lang w:eastAsia="en-US"/>
        </w:rPr>
        <w:t xml:space="preserve"> esot uz ES ārējās robežas ar </w:t>
      </w:r>
      <w:r w:rsidR="005E22E2" w:rsidRPr="00EC6076">
        <w:rPr>
          <w:rFonts w:eastAsia="Calibri"/>
          <w:lang w:eastAsia="en-US"/>
        </w:rPr>
        <w:t>Krievij</w:t>
      </w:r>
      <w:r w:rsidR="00FD79B9" w:rsidRPr="00EC6076">
        <w:rPr>
          <w:rFonts w:eastAsia="Calibri"/>
          <w:lang w:eastAsia="en-US"/>
        </w:rPr>
        <w:t>u</w:t>
      </w:r>
      <w:r w:rsidR="005E22E2" w:rsidRPr="00EC6076">
        <w:rPr>
          <w:rFonts w:eastAsia="Calibri"/>
          <w:lang w:eastAsia="en-US"/>
        </w:rPr>
        <w:t xml:space="preserve"> </w:t>
      </w:r>
      <w:r w:rsidR="006E5E0F" w:rsidRPr="00EC6076">
        <w:rPr>
          <w:rFonts w:eastAsia="Calibri"/>
          <w:lang w:eastAsia="en-US"/>
        </w:rPr>
        <w:t xml:space="preserve">un </w:t>
      </w:r>
      <w:r w:rsidR="005E22E2" w:rsidRPr="00EC6076">
        <w:rPr>
          <w:rFonts w:eastAsia="Calibri"/>
          <w:lang w:eastAsia="en-US"/>
        </w:rPr>
        <w:t>Baltkrievij</w:t>
      </w:r>
      <w:r w:rsidR="00FD79B9" w:rsidRPr="00EC6076">
        <w:rPr>
          <w:rFonts w:eastAsia="Calibri"/>
          <w:lang w:eastAsia="en-US"/>
        </w:rPr>
        <w:t>u</w:t>
      </w:r>
      <w:r w:rsidR="006E5E0F" w:rsidRPr="00EC6076">
        <w:rPr>
          <w:rFonts w:eastAsia="Calibri"/>
          <w:lang w:eastAsia="en-US"/>
        </w:rPr>
        <w:t xml:space="preserve">, </w:t>
      </w:r>
      <w:r w:rsidR="00437270">
        <w:rPr>
          <w:rFonts w:eastAsia="Calibri"/>
          <w:lang w:eastAsia="en-US"/>
        </w:rPr>
        <w:t>sevišķi tādās</w:t>
      </w:r>
      <w:r w:rsidR="00437270" w:rsidRPr="00EC6076">
        <w:rPr>
          <w:rFonts w:eastAsia="Calibri"/>
          <w:lang w:eastAsia="en-US"/>
        </w:rPr>
        <w:t xml:space="preserve"> </w:t>
      </w:r>
      <w:r w:rsidR="006E5E0F" w:rsidRPr="00EC6076">
        <w:rPr>
          <w:rFonts w:eastAsia="Calibri"/>
          <w:lang w:eastAsia="en-US"/>
        </w:rPr>
        <w:t>augsta riska nozarēs kā tranzīts</w:t>
      </w:r>
      <w:r w:rsidR="00437270">
        <w:rPr>
          <w:rFonts w:eastAsia="Calibri"/>
          <w:lang w:eastAsia="en-US"/>
        </w:rPr>
        <w:t xml:space="preserve"> un</w:t>
      </w:r>
      <w:r w:rsidR="006E5E0F" w:rsidRPr="00EC6076">
        <w:rPr>
          <w:rFonts w:eastAsia="Calibri"/>
          <w:lang w:eastAsia="en-US"/>
        </w:rPr>
        <w:t xml:space="preserve"> loģistika. Ārlietu ministrija norādīja, ka tā turpinās centienus stiprināt ES sadarbību jautājumos par juridisku personu īpašumtiesību un kontroles vērtēšanu, lai panāktu vienveidīgu attieksmi ES ietvaros</w:t>
      </w:r>
      <w:r w:rsidR="00132FAB">
        <w:rPr>
          <w:rFonts w:eastAsia="Calibri"/>
          <w:lang w:eastAsia="en-US"/>
        </w:rPr>
        <w:t xml:space="preserve">, kā </w:t>
      </w:r>
      <w:r w:rsidR="00437270">
        <w:rPr>
          <w:rFonts w:eastAsia="Calibri"/>
          <w:lang w:eastAsia="en-US"/>
        </w:rPr>
        <w:t>arī turpinās darbu pie</w:t>
      </w:r>
      <w:r w:rsidR="00437270" w:rsidRPr="00EC6076">
        <w:rPr>
          <w:rFonts w:eastAsia="Calibri"/>
          <w:lang w:eastAsia="en-US"/>
        </w:rPr>
        <w:t xml:space="preserve"> </w:t>
      </w:r>
      <w:r w:rsidR="006E5E0F" w:rsidRPr="00EC6076">
        <w:rPr>
          <w:rFonts w:eastAsia="Calibri"/>
          <w:lang w:eastAsia="en-US"/>
        </w:rPr>
        <w:t>Baltkrievijai noteikto sankciju vienādošana</w:t>
      </w:r>
      <w:r w:rsidR="00437270">
        <w:rPr>
          <w:rFonts w:eastAsia="Calibri"/>
          <w:lang w:eastAsia="en-US"/>
        </w:rPr>
        <w:t>s</w:t>
      </w:r>
      <w:r w:rsidR="006E5E0F" w:rsidRPr="00EC6076">
        <w:rPr>
          <w:rFonts w:eastAsia="Calibri"/>
          <w:lang w:eastAsia="en-US"/>
        </w:rPr>
        <w:t xml:space="preserve"> ar Krievijai noteiktajām sankcijām, lai Baltkrievija netiktu izmantota Krievijai noteikto sankciju apiešan</w:t>
      </w:r>
      <w:r w:rsidR="00437270">
        <w:rPr>
          <w:rFonts w:eastAsia="Calibri"/>
          <w:lang w:eastAsia="en-US"/>
        </w:rPr>
        <w:t>ā</w:t>
      </w:r>
      <w:r w:rsidR="006E5E0F" w:rsidRPr="00EC6076">
        <w:rPr>
          <w:rFonts w:eastAsia="Calibri"/>
          <w:lang w:eastAsia="en-US"/>
        </w:rPr>
        <w:t xml:space="preserve">. </w:t>
      </w:r>
      <w:r w:rsidR="00437270">
        <w:rPr>
          <w:rFonts w:eastAsia="Calibri"/>
          <w:lang w:eastAsia="en-US"/>
        </w:rPr>
        <w:t>Tika akcentēta n</w:t>
      </w:r>
      <w:r w:rsidR="006E5E0F" w:rsidRPr="00EC6076">
        <w:rPr>
          <w:rFonts w:eastAsia="Calibri"/>
          <w:lang w:eastAsia="en-US"/>
        </w:rPr>
        <w:t>epieciešam</w:t>
      </w:r>
      <w:r w:rsidR="00437270">
        <w:rPr>
          <w:rFonts w:eastAsia="Calibri"/>
          <w:lang w:eastAsia="en-US"/>
        </w:rPr>
        <w:t>ība uzturēt</w:t>
      </w:r>
      <w:r w:rsidR="006E5E0F" w:rsidRPr="00EC6076">
        <w:rPr>
          <w:rFonts w:eastAsia="Calibri"/>
          <w:lang w:eastAsia="en-US"/>
        </w:rPr>
        <w:t xml:space="preserve"> regulār</w:t>
      </w:r>
      <w:r w:rsidR="00437270">
        <w:rPr>
          <w:rFonts w:eastAsia="Calibri"/>
          <w:lang w:eastAsia="en-US"/>
        </w:rPr>
        <w:t>u</w:t>
      </w:r>
      <w:r w:rsidR="006E5E0F" w:rsidRPr="00EC6076">
        <w:rPr>
          <w:rFonts w:eastAsia="Calibri"/>
          <w:lang w:eastAsia="en-US"/>
        </w:rPr>
        <w:t xml:space="preserve"> dialog</w:t>
      </w:r>
      <w:r w:rsidR="00437270">
        <w:rPr>
          <w:rFonts w:eastAsia="Calibri"/>
          <w:lang w:eastAsia="en-US"/>
        </w:rPr>
        <w:t>u</w:t>
      </w:r>
      <w:r w:rsidR="006E5E0F" w:rsidRPr="00EC6076">
        <w:rPr>
          <w:rFonts w:eastAsia="Calibri"/>
          <w:lang w:eastAsia="en-US"/>
        </w:rPr>
        <w:t xml:space="preserve"> ar trešajām valstīm, lai </w:t>
      </w:r>
      <w:r w:rsidR="00437270">
        <w:rPr>
          <w:rFonts w:eastAsia="Calibri"/>
          <w:lang w:eastAsia="en-US"/>
        </w:rPr>
        <w:t xml:space="preserve">vairotu </w:t>
      </w:r>
      <w:r w:rsidR="006E5E0F" w:rsidRPr="00EC6076">
        <w:rPr>
          <w:rFonts w:eastAsia="Calibri"/>
          <w:lang w:eastAsia="en-US"/>
        </w:rPr>
        <w:t xml:space="preserve">izpratni </w:t>
      </w:r>
      <w:r w:rsidR="006E5E0F" w:rsidRPr="00EC6076">
        <w:rPr>
          <w:rFonts w:eastAsia="Calibri"/>
          <w:lang w:eastAsia="en-US"/>
        </w:rPr>
        <w:lastRenderedPageBreak/>
        <w:t xml:space="preserve">par sankciju nepieciešamību un nepieļautu to apiešanu. </w:t>
      </w:r>
      <w:r w:rsidR="00437270">
        <w:rPr>
          <w:rFonts w:eastAsia="Calibri"/>
          <w:lang w:eastAsia="en-US"/>
        </w:rPr>
        <w:t>2023.</w:t>
      </w:r>
      <w:r w:rsidR="006E5E0F" w:rsidRPr="00EC6076">
        <w:rPr>
          <w:rFonts w:eastAsia="Calibri"/>
          <w:lang w:eastAsia="en-US"/>
        </w:rPr>
        <w:t>gada laikā novērots, ka sankciju efektivitāte pieaug tieši proporcionāli laikam, cik ilgi šīs sankcijas ir spēkā.</w:t>
      </w:r>
      <w:r w:rsidR="00794972" w:rsidRPr="00EC6076">
        <w:rPr>
          <w:rFonts w:eastAsia="Calibri"/>
          <w:lang w:eastAsia="en-US"/>
        </w:rPr>
        <w:t xml:space="preserve"> </w:t>
      </w:r>
      <w:r w:rsidR="00B9757C">
        <w:rPr>
          <w:rFonts w:eastAsia="Calibri"/>
          <w:lang w:eastAsia="en-US"/>
        </w:rPr>
        <w:t>Tika s</w:t>
      </w:r>
      <w:r w:rsidR="00794972" w:rsidRPr="00EC6076">
        <w:rPr>
          <w:rFonts w:eastAsia="Calibri"/>
          <w:lang w:eastAsia="en-US"/>
        </w:rPr>
        <w:t xml:space="preserve">ecināts, ka sankciju stiprināšanu varētu veicināt kriminālās atbildības noteikšana par sankciju pārkāpumiem, jo ne visās ES valstīs sankciju pārkāpšana ir krimināls noziegums, kā tas ir Latvijā. </w:t>
      </w:r>
    </w:p>
    <w:p w14:paraId="2082BB9C" w14:textId="5692D315" w:rsidR="008E4F78" w:rsidRPr="00EC6076" w:rsidRDefault="008E4F78" w:rsidP="00EC6076">
      <w:pPr>
        <w:jc w:val="both"/>
        <w:rPr>
          <w:rFonts w:eastAsia="Calibri"/>
          <w:lang w:eastAsia="en-US"/>
        </w:rPr>
      </w:pPr>
    </w:p>
    <w:p w14:paraId="59B8AA96" w14:textId="6B38EA78" w:rsidR="006E5E0F" w:rsidRPr="00EC6076" w:rsidRDefault="006E5E0F" w:rsidP="00EC6076">
      <w:pPr>
        <w:jc w:val="both"/>
        <w:rPr>
          <w:rFonts w:eastAsia="Calibri"/>
          <w:lang w:eastAsia="en-US"/>
        </w:rPr>
      </w:pPr>
      <w:r w:rsidRPr="00EC6076">
        <w:rPr>
          <w:rFonts w:eastAsia="Calibri"/>
          <w:lang w:eastAsia="en-US"/>
        </w:rPr>
        <w:t xml:space="preserve">Sēdes dalībnieki tika informēti </w:t>
      </w:r>
      <w:r w:rsidR="00C10A52">
        <w:rPr>
          <w:rFonts w:eastAsia="Calibri"/>
          <w:lang w:eastAsia="en-US"/>
        </w:rPr>
        <w:t xml:space="preserve">par </w:t>
      </w:r>
      <w:r w:rsidRPr="00EC6076">
        <w:rPr>
          <w:rFonts w:eastAsia="Calibri"/>
          <w:lang w:eastAsia="en-US"/>
        </w:rPr>
        <w:t xml:space="preserve">pozitīvajām tendencēm sankciju ieviešanas jomā Latvijā. </w:t>
      </w:r>
      <w:r w:rsidR="00197808" w:rsidRPr="00EC6076">
        <w:rPr>
          <w:rFonts w:eastAsia="Calibri"/>
          <w:lang w:eastAsia="en-US"/>
        </w:rPr>
        <w:t xml:space="preserve">Viens no </w:t>
      </w:r>
      <w:r w:rsidR="003978C2">
        <w:rPr>
          <w:rFonts w:eastAsia="Calibri"/>
          <w:lang w:eastAsia="en-US"/>
        </w:rPr>
        <w:t xml:space="preserve">veicinošiem </w:t>
      </w:r>
      <w:r w:rsidR="00197808" w:rsidRPr="00EC6076">
        <w:rPr>
          <w:rFonts w:eastAsia="Calibri"/>
          <w:lang w:eastAsia="en-US"/>
        </w:rPr>
        <w:t>faktoriem</w:t>
      </w:r>
      <w:r w:rsidR="00132FAB">
        <w:rPr>
          <w:rFonts w:eastAsia="Calibri"/>
          <w:lang w:eastAsia="en-US"/>
        </w:rPr>
        <w:t xml:space="preserve"> </w:t>
      </w:r>
      <w:r w:rsidR="00197808" w:rsidRPr="00EC6076">
        <w:rPr>
          <w:rFonts w:eastAsia="Calibri"/>
          <w:lang w:eastAsia="en-US"/>
        </w:rPr>
        <w:t xml:space="preserve">ir pieredze, kas gūta </w:t>
      </w:r>
      <w:proofErr w:type="spellStart"/>
      <w:r w:rsidR="00197808" w:rsidRPr="00EC6076">
        <w:rPr>
          <w:rFonts w:eastAsia="Calibri"/>
          <w:i/>
          <w:lang w:eastAsia="en-US"/>
        </w:rPr>
        <w:t>Moneyval</w:t>
      </w:r>
      <w:proofErr w:type="spellEnd"/>
      <w:r w:rsidR="00197808" w:rsidRPr="00EC6076">
        <w:rPr>
          <w:rFonts w:eastAsia="Calibri"/>
          <w:lang w:eastAsia="en-US"/>
        </w:rPr>
        <w:t xml:space="preserve"> </w:t>
      </w:r>
      <w:r w:rsidR="004A7997">
        <w:rPr>
          <w:rFonts w:eastAsia="Calibri"/>
          <w:lang w:eastAsia="en-US"/>
        </w:rPr>
        <w:t xml:space="preserve">novērtēšanas </w:t>
      </w:r>
      <w:r w:rsidR="00197808" w:rsidRPr="00EC6076">
        <w:rPr>
          <w:rFonts w:eastAsia="Calibri"/>
          <w:lang w:eastAsia="en-US"/>
        </w:rPr>
        <w:t xml:space="preserve">procesa rezultātā, </w:t>
      </w:r>
      <w:r w:rsidR="003978C2">
        <w:rPr>
          <w:rFonts w:eastAsia="Calibri"/>
          <w:lang w:eastAsia="en-US"/>
        </w:rPr>
        <w:t>kad</w:t>
      </w:r>
      <w:r w:rsidR="00197808" w:rsidRPr="00EC6076">
        <w:rPr>
          <w:rFonts w:eastAsia="Calibri"/>
          <w:lang w:eastAsia="en-US"/>
        </w:rPr>
        <w:t xml:space="preserve"> tika izveidoti svarīgi rīki naudas atmazgāšanas apkarošanai, </w:t>
      </w:r>
      <w:r w:rsidR="003978C2">
        <w:rPr>
          <w:rFonts w:eastAsia="Calibri"/>
          <w:lang w:eastAsia="en-US"/>
        </w:rPr>
        <w:t>kuri</w:t>
      </w:r>
      <w:r w:rsidR="00197808" w:rsidRPr="00EC6076">
        <w:rPr>
          <w:rFonts w:eastAsia="Calibri"/>
          <w:lang w:eastAsia="en-US"/>
        </w:rPr>
        <w:t xml:space="preserve"> veiksmīgi izmanto</w:t>
      </w:r>
      <w:r w:rsidR="00C55334">
        <w:rPr>
          <w:rFonts w:eastAsia="Calibri"/>
          <w:lang w:eastAsia="en-US"/>
        </w:rPr>
        <w:t>jami</w:t>
      </w:r>
      <w:r w:rsidR="00197808" w:rsidRPr="00EC6076">
        <w:rPr>
          <w:rFonts w:eastAsia="Calibri"/>
          <w:lang w:eastAsia="en-US"/>
        </w:rPr>
        <w:t xml:space="preserve"> sankciju piemērošanā. Salīdzinoši ar citām ES valstīm, Latvijas pozitīvais piemērs ir publiskais un brīvi pieejamais patieso labuma guvēju (turpmāk – PLG) reģistrs, kas </w:t>
      </w:r>
      <w:r w:rsidR="005E22E2" w:rsidRPr="00EC6076">
        <w:rPr>
          <w:rFonts w:eastAsia="Calibri"/>
          <w:lang w:eastAsia="en-US"/>
        </w:rPr>
        <w:t xml:space="preserve">veicina </w:t>
      </w:r>
      <w:r w:rsidR="00197808" w:rsidRPr="00EC6076">
        <w:rPr>
          <w:rFonts w:eastAsia="Calibri"/>
          <w:lang w:eastAsia="en-US"/>
        </w:rPr>
        <w:t>sankcij</w:t>
      </w:r>
      <w:r w:rsidR="005E22E2" w:rsidRPr="00EC6076">
        <w:rPr>
          <w:rFonts w:eastAsia="Calibri"/>
          <w:lang w:eastAsia="en-US"/>
        </w:rPr>
        <w:t>u ievērošanu, jo ga</w:t>
      </w:r>
      <w:r w:rsidR="00197808" w:rsidRPr="00EC6076">
        <w:rPr>
          <w:rFonts w:eastAsia="Calibri"/>
          <w:lang w:eastAsia="en-US"/>
        </w:rPr>
        <w:t>ndrīz 99% Latvijā reģistrēto komercsabiedrību ir reģistrēts PLG</w:t>
      </w:r>
      <w:r w:rsidR="005E22E2" w:rsidRPr="00EC6076">
        <w:rPr>
          <w:rFonts w:eastAsia="Calibri"/>
          <w:lang w:eastAsia="en-US"/>
        </w:rPr>
        <w:t>, un pirms sadarbības īstenošanas ir iespējams pārbaudīt potenciālo sadarbības partneri</w:t>
      </w:r>
      <w:r w:rsidR="00197808" w:rsidRPr="00EC6076">
        <w:rPr>
          <w:rFonts w:eastAsia="Calibri"/>
          <w:lang w:eastAsia="en-US"/>
        </w:rPr>
        <w:t xml:space="preserve">. </w:t>
      </w:r>
      <w:r w:rsidR="00C55334">
        <w:rPr>
          <w:rFonts w:eastAsia="Calibri"/>
          <w:lang w:eastAsia="en-US"/>
        </w:rPr>
        <w:t xml:space="preserve">Vēl viens būtisks faktors sekmīgai sankciju piemērošanai </w:t>
      </w:r>
      <w:r w:rsidR="00197808" w:rsidRPr="00EC6076">
        <w:rPr>
          <w:rFonts w:eastAsia="Calibri"/>
          <w:lang w:eastAsia="en-US"/>
        </w:rPr>
        <w:t>- finanšu nozares spēks un biznesa modeļa transformācija</w:t>
      </w:r>
      <w:r w:rsidR="00FD79B9" w:rsidRPr="00EC6076">
        <w:rPr>
          <w:rFonts w:eastAsia="Calibri"/>
          <w:lang w:eastAsia="en-US"/>
        </w:rPr>
        <w:t>,</w:t>
      </w:r>
      <w:r w:rsidR="00197808" w:rsidRPr="00EC6076">
        <w:rPr>
          <w:rFonts w:eastAsia="Calibri"/>
          <w:lang w:eastAsia="en-US"/>
        </w:rPr>
        <w:t xml:space="preserve"> </w:t>
      </w:r>
      <w:r w:rsidR="00FD79B9" w:rsidRPr="00EC6076">
        <w:rPr>
          <w:rFonts w:eastAsia="Calibri"/>
          <w:lang w:eastAsia="en-US"/>
        </w:rPr>
        <w:t>kurā s</w:t>
      </w:r>
      <w:r w:rsidR="00197808" w:rsidRPr="00EC6076">
        <w:rPr>
          <w:rFonts w:eastAsia="Calibri"/>
          <w:lang w:eastAsia="en-US"/>
        </w:rPr>
        <w:t xml:space="preserve">varīgu lomu spēlēja atteikšanās no nerezidentu noguldītājiem, īpaši no </w:t>
      </w:r>
      <w:r w:rsidR="00FD79B9" w:rsidRPr="00EC6076">
        <w:rPr>
          <w:rFonts w:eastAsia="Calibri"/>
          <w:lang w:eastAsia="en-US"/>
        </w:rPr>
        <w:t xml:space="preserve">Krievijas </w:t>
      </w:r>
      <w:r w:rsidR="00197808" w:rsidRPr="00EC6076">
        <w:rPr>
          <w:rFonts w:eastAsia="Calibri"/>
          <w:lang w:eastAsia="en-US"/>
        </w:rPr>
        <w:t xml:space="preserve">un citām austrumu kaimiņvalstīm. </w:t>
      </w:r>
    </w:p>
    <w:p w14:paraId="475BF5DD" w14:textId="77A08CC1" w:rsidR="00EE3C12" w:rsidRPr="00EC6076" w:rsidRDefault="00EE3C12" w:rsidP="00EC6076">
      <w:pPr>
        <w:jc w:val="both"/>
        <w:rPr>
          <w:rFonts w:eastAsia="Calibri"/>
          <w:lang w:eastAsia="en-US"/>
        </w:rPr>
      </w:pPr>
    </w:p>
    <w:p w14:paraId="18EE3262" w14:textId="4BC7414E" w:rsidR="00FD79B9" w:rsidRPr="00EC6076" w:rsidRDefault="002663F8" w:rsidP="00EC6076">
      <w:pPr>
        <w:pBdr>
          <w:top w:val="nil"/>
          <w:left w:val="nil"/>
          <w:bottom w:val="nil"/>
          <w:right w:val="nil"/>
          <w:between w:val="nil"/>
        </w:pBdr>
        <w:jc w:val="both"/>
        <w:rPr>
          <w:color w:val="000000" w:themeColor="text1"/>
        </w:rPr>
      </w:pPr>
      <w:r w:rsidRPr="00EC6076">
        <w:rPr>
          <w:color w:val="000000" w:themeColor="text1"/>
        </w:rPr>
        <w:t xml:space="preserve">Padomes locekļi </w:t>
      </w:r>
      <w:r w:rsidR="00F475B6">
        <w:rPr>
          <w:color w:val="000000" w:themeColor="text1"/>
        </w:rPr>
        <w:t xml:space="preserve">tika </w:t>
      </w:r>
      <w:r w:rsidRPr="00EC6076">
        <w:rPr>
          <w:color w:val="000000" w:themeColor="text1"/>
        </w:rPr>
        <w:t xml:space="preserve">informēti, ka </w:t>
      </w:r>
      <w:r w:rsidR="00FD79B9" w:rsidRPr="00EC6076">
        <w:rPr>
          <w:color w:val="000000" w:themeColor="text1"/>
        </w:rPr>
        <w:t>notikušas vairākas tiesvedības Eiropas Savienības Tiesā, pēc kurām vērojams, ka īpaši būtiski ir spēcīgu pierādījumu materiālu nepieciešamība, iekļaujot personas sankcionēto personu sarakstā, jo vairākās lietās tiesa secinājusi, ka tie nav bijuši pietiekami pamatoti</w:t>
      </w:r>
      <w:r w:rsidR="00794972" w:rsidRPr="00EC6076">
        <w:rPr>
          <w:color w:val="000000" w:themeColor="text1"/>
        </w:rPr>
        <w:t>, un ar tiesas lēmumu sankcijas atceltas</w:t>
      </w:r>
      <w:r w:rsidR="00FD79B9" w:rsidRPr="00EC6076">
        <w:rPr>
          <w:color w:val="000000" w:themeColor="text1"/>
        </w:rPr>
        <w:t>.</w:t>
      </w:r>
      <w:r w:rsidRPr="00EC6076">
        <w:rPr>
          <w:color w:val="000000" w:themeColor="text1"/>
        </w:rPr>
        <w:t xml:space="preserve"> </w:t>
      </w:r>
    </w:p>
    <w:p w14:paraId="4007B230" w14:textId="6F3D72A1" w:rsidR="00A90C3E" w:rsidRPr="000145A6" w:rsidRDefault="00A90C3E" w:rsidP="000145A6">
      <w:pPr>
        <w:jc w:val="center"/>
        <w:rPr>
          <w:b/>
          <w:color w:val="000000" w:themeColor="text1"/>
        </w:rPr>
      </w:pPr>
    </w:p>
    <w:p w14:paraId="2E9FF2A6" w14:textId="77777777" w:rsidR="009E70BE" w:rsidRPr="00EC6076" w:rsidRDefault="009E70BE" w:rsidP="00EC6076">
      <w:pPr>
        <w:rPr>
          <w:color w:val="000000" w:themeColor="text1"/>
        </w:rPr>
      </w:pPr>
    </w:p>
    <w:p w14:paraId="3297E82C" w14:textId="74AF5DD2" w:rsidR="0087779A" w:rsidRPr="00EC6076" w:rsidRDefault="0087779A" w:rsidP="00EC6076">
      <w:pPr>
        <w:pStyle w:val="ListParagraph"/>
        <w:ind w:left="0"/>
        <w:jc w:val="center"/>
        <w:rPr>
          <w:b/>
          <w:color w:val="000000" w:themeColor="text1"/>
        </w:rPr>
      </w:pPr>
      <w:r w:rsidRPr="00EC6076">
        <w:rPr>
          <w:b/>
          <w:color w:val="000000" w:themeColor="text1"/>
        </w:rPr>
        <w:t xml:space="preserve">Sankciju koordinācijas padomes sēde </w:t>
      </w:r>
      <w:r w:rsidR="00300B31" w:rsidRPr="00EC6076">
        <w:rPr>
          <w:b/>
          <w:color w:val="000000" w:themeColor="text1"/>
        </w:rPr>
        <w:t>202</w:t>
      </w:r>
      <w:r w:rsidR="00EE3C12" w:rsidRPr="00EC6076">
        <w:rPr>
          <w:b/>
          <w:color w:val="000000" w:themeColor="text1"/>
        </w:rPr>
        <w:t>3</w:t>
      </w:r>
      <w:r w:rsidR="00300B31" w:rsidRPr="00EC6076">
        <w:rPr>
          <w:b/>
          <w:color w:val="000000" w:themeColor="text1"/>
        </w:rPr>
        <w:t xml:space="preserve">. gada </w:t>
      </w:r>
      <w:r w:rsidR="00EE3C12" w:rsidRPr="00EC6076">
        <w:rPr>
          <w:b/>
          <w:color w:val="000000" w:themeColor="text1"/>
        </w:rPr>
        <w:t>6</w:t>
      </w:r>
      <w:r w:rsidR="00300B31" w:rsidRPr="00EC6076">
        <w:rPr>
          <w:b/>
          <w:color w:val="000000" w:themeColor="text1"/>
        </w:rPr>
        <w:t xml:space="preserve">. </w:t>
      </w:r>
      <w:r w:rsidR="00EE3C12" w:rsidRPr="00EC6076">
        <w:rPr>
          <w:b/>
          <w:color w:val="000000" w:themeColor="text1"/>
        </w:rPr>
        <w:t>decembrī</w:t>
      </w:r>
    </w:p>
    <w:p w14:paraId="08B2B0D6" w14:textId="77777777" w:rsidR="00605351" w:rsidRPr="00EC6076" w:rsidRDefault="00605351" w:rsidP="00EC6076">
      <w:pPr>
        <w:pStyle w:val="ListParagraph"/>
        <w:ind w:left="0"/>
        <w:jc w:val="center"/>
        <w:rPr>
          <w:b/>
          <w:color w:val="000000" w:themeColor="text1"/>
        </w:rPr>
      </w:pPr>
    </w:p>
    <w:p w14:paraId="30266CD3" w14:textId="5F0E73AD" w:rsidR="000425BB" w:rsidRDefault="00794972" w:rsidP="00EC6076">
      <w:pPr>
        <w:jc w:val="both"/>
        <w:rPr>
          <w:rFonts w:eastAsia="Calibri"/>
          <w:lang w:eastAsia="en-US"/>
        </w:rPr>
      </w:pPr>
      <w:r w:rsidRPr="00EC6076">
        <w:rPr>
          <w:rFonts w:eastAsia="Calibri"/>
          <w:lang w:eastAsia="en-US"/>
        </w:rPr>
        <w:t>Padome apsprieda aktuālās tendence</w:t>
      </w:r>
      <w:r w:rsidR="00F475B6">
        <w:rPr>
          <w:rFonts w:eastAsia="Calibri"/>
          <w:lang w:eastAsia="en-US"/>
        </w:rPr>
        <w:t>s</w:t>
      </w:r>
      <w:r w:rsidRPr="00EC6076">
        <w:rPr>
          <w:rFonts w:eastAsia="Calibri"/>
          <w:lang w:eastAsia="en-US"/>
        </w:rPr>
        <w:t xml:space="preserve"> un novēro</w:t>
      </w:r>
      <w:r w:rsidR="00195318" w:rsidRPr="00EC6076">
        <w:rPr>
          <w:rFonts w:eastAsia="Calibri"/>
          <w:lang w:eastAsia="en-US"/>
        </w:rPr>
        <w:t xml:space="preserve">jumus sankciju noteikšanā un izpildē. </w:t>
      </w:r>
      <w:r w:rsidR="00F475B6">
        <w:rPr>
          <w:rFonts w:eastAsia="Calibri"/>
          <w:lang w:eastAsia="en-US"/>
        </w:rPr>
        <w:t>Tika s</w:t>
      </w:r>
      <w:r w:rsidR="00195318" w:rsidRPr="00EC6076">
        <w:rPr>
          <w:rFonts w:eastAsia="Calibri"/>
          <w:lang w:eastAsia="en-US"/>
        </w:rPr>
        <w:t xml:space="preserve">ecināts, ka gandrīz </w:t>
      </w:r>
      <w:r w:rsidR="00A60117">
        <w:rPr>
          <w:rFonts w:eastAsia="Calibri"/>
          <w:lang w:eastAsia="en-US"/>
        </w:rPr>
        <w:t>divu</w:t>
      </w:r>
      <w:r w:rsidR="00195318" w:rsidRPr="00EC6076">
        <w:rPr>
          <w:rFonts w:eastAsia="Calibri"/>
          <w:lang w:eastAsia="en-US"/>
        </w:rPr>
        <w:t xml:space="preserve"> gadu laikā, kopš </w:t>
      </w:r>
      <w:r w:rsidR="00EE3C12" w:rsidRPr="00EC6076">
        <w:rPr>
          <w:rFonts w:eastAsia="Calibri"/>
          <w:lang w:eastAsia="en-US"/>
        </w:rPr>
        <w:t>Krievijas uzsāktā kara Ukrainā</w:t>
      </w:r>
      <w:r w:rsidR="00195318" w:rsidRPr="00EC6076">
        <w:rPr>
          <w:rFonts w:eastAsia="Calibri"/>
          <w:lang w:eastAsia="en-US"/>
        </w:rPr>
        <w:t>,</w:t>
      </w:r>
      <w:r w:rsidR="00EE3C12" w:rsidRPr="00EC6076">
        <w:rPr>
          <w:rFonts w:eastAsia="Calibri"/>
          <w:lang w:eastAsia="en-US"/>
        </w:rPr>
        <w:t xml:space="preserve"> </w:t>
      </w:r>
      <w:r w:rsidR="00195318" w:rsidRPr="00EC6076">
        <w:rPr>
          <w:rFonts w:eastAsia="Calibri"/>
          <w:lang w:eastAsia="en-US"/>
        </w:rPr>
        <w:t xml:space="preserve">ES </w:t>
      </w:r>
      <w:r w:rsidR="00EE3C12" w:rsidRPr="00EC6076">
        <w:rPr>
          <w:rFonts w:eastAsia="Calibri"/>
          <w:lang w:eastAsia="en-US"/>
        </w:rPr>
        <w:t>ir demonstrējusi vienotību un solidaritāti</w:t>
      </w:r>
      <w:r w:rsidR="00195318" w:rsidRPr="00EC6076">
        <w:rPr>
          <w:rFonts w:eastAsia="Calibri"/>
          <w:lang w:eastAsia="en-US"/>
        </w:rPr>
        <w:t xml:space="preserve">, </w:t>
      </w:r>
      <w:r w:rsidR="00EE3C12" w:rsidRPr="00EC6076">
        <w:rPr>
          <w:rFonts w:eastAsia="Calibri"/>
          <w:lang w:eastAsia="en-US"/>
        </w:rPr>
        <w:t>vienoj</w:t>
      </w:r>
      <w:r w:rsidR="00195318" w:rsidRPr="00EC6076">
        <w:rPr>
          <w:rFonts w:eastAsia="Calibri"/>
          <w:lang w:eastAsia="en-US"/>
        </w:rPr>
        <w:t>oties</w:t>
      </w:r>
      <w:r w:rsidR="00EE3C12" w:rsidRPr="00EC6076">
        <w:rPr>
          <w:rFonts w:eastAsia="Calibri"/>
          <w:lang w:eastAsia="en-US"/>
        </w:rPr>
        <w:t xml:space="preserve"> par plaša apjoma sankcijām. Sankcionēta liela daļa sektoru un audzis sankcionēto personu skaits</w:t>
      </w:r>
      <w:r w:rsidR="00195318" w:rsidRPr="00EC6076">
        <w:rPr>
          <w:rFonts w:eastAsia="Calibri"/>
          <w:lang w:eastAsia="en-US"/>
        </w:rPr>
        <w:t>, tādēļ</w:t>
      </w:r>
      <w:r w:rsidR="00EE3C12" w:rsidRPr="00EC6076">
        <w:rPr>
          <w:rFonts w:eastAsia="Calibri"/>
          <w:lang w:eastAsia="en-US"/>
        </w:rPr>
        <w:t xml:space="preserve"> </w:t>
      </w:r>
      <w:r w:rsidR="00C55334">
        <w:rPr>
          <w:rFonts w:eastAsia="Calibri"/>
          <w:lang w:eastAsia="en-US"/>
        </w:rPr>
        <w:t xml:space="preserve">institūcijām </w:t>
      </w:r>
      <w:r w:rsidR="00195318" w:rsidRPr="00EC6076">
        <w:rPr>
          <w:rFonts w:eastAsia="Calibri"/>
          <w:lang w:eastAsia="en-US"/>
        </w:rPr>
        <w:t>kopīgi jānodrošina spēkā esošo sankciju koordinēta izpilde</w:t>
      </w:r>
      <w:r w:rsidR="00EE3C12" w:rsidRPr="00EC6076">
        <w:rPr>
          <w:rFonts w:eastAsia="Calibri"/>
          <w:lang w:eastAsia="en-US"/>
        </w:rPr>
        <w:t>.</w:t>
      </w:r>
      <w:r w:rsidR="00AD0AA6" w:rsidRPr="00EC6076">
        <w:rPr>
          <w:rFonts w:eastAsia="Calibri"/>
          <w:lang w:eastAsia="en-US"/>
        </w:rPr>
        <w:t xml:space="preserve"> Laikā, kad n</w:t>
      </w:r>
      <w:r w:rsidR="00C55334">
        <w:rPr>
          <w:rFonts w:eastAsia="Calibri"/>
          <w:lang w:eastAsia="en-US"/>
        </w:rPr>
        <w:t>orisinājās</w:t>
      </w:r>
      <w:r w:rsidR="00AD0AA6" w:rsidRPr="00EC6076">
        <w:rPr>
          <w:rFonts w:eastAsia="Calibri"/>
          <w:lang w:eastAsia="en-US"/>
        </w:rPr>
        <w:t xml:space="preserve"> Padomes sēde, notika </w:t>
      </w:r>
      <w:r w:rsidR="00C55334">
        <w:rPr>
          <w:rFonts w:eastAsia="Calibri"/>
          <w:lang w:eastAsia="en-US"/>
        </w:rPr>
        <w:t xml:space="preserve">darbs pie </w:t>
      </w:r>
      <w:r w:rsidR="00AD0AA6" w:rsidRPr="00EC6076">
        <w:rPr>
          <w:rFonts w:eastAsia="Calibri"/>
          <w:lang w:eastAsia="en-US"/>
        </w:rPr>
        <w:t>ES sankciju 12</w:t>
      </w:r>
      <w:r w:rsidR="00F475B6">
        <w:rPr>
          <w:rFonts w:eastAsia="Calibri"/>
          <w:lang w:eastAsia="en-US"/>
        </w:rPr>
        <w:t>.</w:t>
      </w:r>
      <w:r w:rsidR="00AD0AA6" w:rsidRPr="00EC6076">
        <w:rPr>
          <w:rFonts w:eastAsia="Calibri"/>
          <w:lang w:eastAsia="en-US"/>
        </w:rPr>
        <w:t xml:space="preserve"> kārtas saskaņošana</w:t>
      </w:r>
      <w:r w:rsidR="00C55334">
        <w:rPr>
          <w:rFonts w:eastAsia="Calibri"/>
          <w:lang w:eastAsia="en-US"/>
        </w:rPr>
        <w:t>s</w:t>
      </w:r>
      <w:r w:rsidR="00AD0AA6" w:rsidRPr="00EC6076">
        <w:rPr>
          <w:rFonts w:eastAsia="Calibri"/>
          <w:lang w:eastAsia="en-US"/>
        </w:rPr>
        <w:t xml:space="preserve">. </w:t>
      </w:r>
      <w:r w:rsidR="00645FEA">
        <w:rPr>
          <w:rFonts w:eastAsia="Calibri"/>
          <w:lang w:eastAsia="en-US"/>
        </w:rPr>
        <w:t>ES diskusijas procesā</w:t>
      </w:r>
      <w:r w:rsidR="00645FEA" w:rsidRPr="00EC6076">
        <w:rPr>
          <w:rFonts w:eastAsia="Calibri"/>
          <w:lang w:eastAsia="en-US"/>
        </w:rPr>
        <w:t xml:space="preserve"> </w:t>
      </w:r>
      <w:r w:rsidR="000425BB" w:rsidRPr="00EC6076">
        <w:rPr>
          <w:rFonts w:eastAsia="Calibri"/>
          <w:lang w:eastAsia="en-US"/>
        </w:rPr>
        <w:t>redzams</w:t>
      </w:r>
      <w:r w:rsidR="00EE3C12" w:rsidRPr="00EC6076">
        <w:rPr>
          <w:rFonts w:eastAsia="Calibri"/>
          <w:lang w:eastAsia="en-US"/>
        </w:rPr>
        <w:t>, ka gan ES iekšienē, gan no citiem iesaistītajiem notiek mēģinājumi padarīt sankcijas vājākas, bloķējot piedāvājumus</w:t>
      </w:r>
      <w:r w:rsidR="00F475B6">
        <w:rPr>
          <w:rFonts w:eastAsia="Calibri"/>
          <w:lang w:eastAsia="en-US"/>
        </w:rPr>
        <w:t xml:space="preserve"> un</w:t>
      </w:r>
      <w:r w:rsidR="00EE3C12" w:rsidRPr="00EC6076">
        <w:rPr>
          <w:rFonts w:eastAsia="Calibri"/>
          <w:lang w:eastAsia="en-US"/>
        </w:rPr>
        <w:t xml:space="preserve"> nosakot izņēmumus, taču Latvija kopā ar reģiona valstīm aizvien uzsver, ka uzdevums ir nodrošināt, un rādīt piemēru, lai sankcijas netiktu pārkāptas vai</w:t>
      </w:r>
      <w:r w:rsidR="00645FEA">
        <w:rPr>
          <w:rFonts w:eastAsia="Calibri"/>
          <w:lang w:eastAsia="en-US"/>
        </w:rPr>
        <w:t xml:space="preserve"> citādi vājinātas</w:t>
      </w:r>
      <w:r w:rsidR="00EE3C12" w:rsidRPr="00EC6076">
        <w:rPr>
          <w:rFonts w:eastAsia="Calibri"/>
          <w:lang w:eastAsia="en-US"/>
        </w:rPr>
        <w:t>.</w:t>
      </w:r>
      <w:r w:rsidR="000425BB" w:rsidRPr="00EC6076">
        <w:rPr>
          <w:rFonts w:eastAsia="Calibri"/>
          <w:lang w:eastAsia="en-US"/>
        </w:rPr>
        <w:t xml:space="preserve"> </w:t>
      </w:r>
    </w:p>
    <w:p w14:paraId="15A12202" w14:textId="77777777" w:rsidR="00EC6076" w:rsidRPr="00EC6076" w:rsidRDefault="00EC6076" w:rsidP="00EC6076">
      <w:pPr>
        <w:jc w:val="both"/>
        <w:rPr>
          <w:rFonts w:eastAsia="Calibri"/>
          <w:lang w:eastAsia="en-US"/>
        </w:rPr>
      </w:pPr>
    </w:p>
    <w:p w14:paraId="212F6B1F" w14:textId="7CD93475" w:rsidR="00EE3C12" w:rsidRDefault="000425BB" w:rsidP="00EC6076">
      <w:pPr>
        <w:jc w:val="both"/>
        <w:rPr>
          <w:rFonts w:eastAsia="Calibri"/>
          <w:lang w:eastAsia="en-US"/>
        </w:rPr>
      </w:pPr>
      <w:r w:rsidRPr="00EC6076">
        <w:rPr>
          <w:rFonts w:eastAsia="Calibri"/>
          <w:lang w:eastAsia="en-US"/>
        </w:rPr>
        <w:t>Ārlietu ministrija informēja, ka Latvijas īpašo lomu</w:t>
      </w:r>
      <w:r w:rsidR="00C1076C">
        <w:rPr>
          <w:rFonts w:eastAsia="Calibri"/>
          <w:lang w:eastAsia="en-US"/>
        </w:rPr>
        <w:t xml:space="preserve"> un pieredzi</w:t>
      </w:r>
      <w:r w:rsidRPr="00EC6076">
        <w:rPr>
          <w:rFonts w:eastAsia="Calibri"/>
          <w:lang w:eastAsia="en-US"/>
        </w:rPr>
        <w:t xml:space="preserve">, </w:t>
      </w:r>
      <w:r w:rsidR="00F475B6">
        <w:rPr>
          <w:rFonts w:eastAsia="Calibri"/>
          <w:lang w:eastAsia="en-US"/>
        </w:rPr>
        <w:t>esot uz ES ārējās robežas</w:t>
      </w:r>
      <w:r w:rsidR="00F475B6" w:rsidRPr="00EC6076">
        <w:rPr>
          <w:rFonts w:eastAsia="Calibri"/>
          <w:lang w:eastAsia="en-US"/>
        </w:rPr>
        <w:t xml:space="preserve"> </w:t>
      </w:r>
      <w:r w:rsidR="00EE3C12" w:rsidRPr="00EC6076">
        <w:rPr>
          <w:rFonts w:eastAsia="Calibri"/>
          <w:lang w:eastAsia="en-US"/>
        </w:rPr>
        <w:t>gan ar Krieviju, gan Baltkrieviju</w:t>
      </w:r>
      <w:r w:rsidRPr="00EC6076">
        <w:rPr>
          <w:rFonts w:eastAsia="Calibri"/>
          <w:lang w:eastAsia="en-US"/>
        </w:rPr>
        <w:t xml:space="preserve">, </w:t>
      </w:r>
      <w:r w:rsidR="00EE3C12" w:rsidRPr="00EC6076">
        <w:rPr>
          <w:rFonts w:eastAsia="Calibri"/>
          <w:lang w:eastAsia="en-US"/>
        </w:rPr>
        <w:t xml:space="preserve">arvien nozīmīgāk novērtē arī sankciju noteikšanas un </w:t>
      </w:r>
      <w:r w:rsidRPr="00EC6076">
        <w:rPr>
          <w:rFonts w:eastAsia="Calibri"/>
          <w:lang w:eastAsia="en-US"/>
        </w:rPr>
        <w:t xml:space="preserve">izpildes </w:t>
      </w:r>
      <w:r w:rsidR="00EE3C12" w:rsidRPr="00EC6076">
        <w:rPr>
          <w:rFonts w:eastAsia="Calibri"/>
          <w:lang w:eastAsia="en-US"/>
        </w:rPr>
        <w:t>sadarbības partneri.</w:t>
      </w:r>
      <w:r w:rsidRPr="00EC6076">
        <w:rPr>
          <w:rFonts w:eastAsia="Calibri"/>
          <w:lang w:eastAsia="en-US"/>
        </w:rPr>
        <w:t xml:space="preserve"> </w:t>
      </w:r>
      <w:r w:rsidR="00EE3C12" w:rsidRPr="00EC6076">
        <w:rPr>
          <w:rFonts w:eastAsia="Calibri"/>
          <w:lang w:eastAsia="en-US"/>
        </w:rPr>
        <w:t>Pa diplomātiskajiem kanāliem Latvija ir uzrunājusi atsevišķas trešās valstis [Kazahstānu, Turciju, Uzbekistānu, Armēniju, Gruziju un Azerbaidžānu] divpusēji, kā arī atbalstīju</w:t>
      </w:r>
      <w:r w:rsidR="00F475B6">
        <w:rPr>
          <w:rFonts w:eastAsia="Calibri"/>
          <w:lang w:eastAsia="en-US"/>
        </w:rPr>
        <w:t>s</w:t>
      </w:r>
      <w:r w:rsidR="00EE3C12" w:rsidRPr="00EC6076">
        <w:rPr>
          <w:rFonts w:eastAsia="Calibri"/>
          <w:lang w:eastAsia="en-US"/>
        </w:rPr>
        <w:t xml:space="preserve">i ES īpašo sūtni sankciju jautājumos. Tāpat nodibināta sadarbība starp muitas iestādēm un dialogs ar </w:t>
      </w:r>
      <w:r w:rsidR="00F475B6">
        <w:rPr>
          <w:rFonts w:eastAsia="Calibri"/>
          <w:lang w:eastAsia="en-US"/>
        </w:rPr>
        <w:t xml:space="preserve">šīm valstīm </w:t>
      </w:r>
      <w:r w:rsidR="00EE3C12" w:rsidRPr="00EC6076">
        <w:rPr>
          <w:rFonts w:eastAsia="Calibri"/>
          <w:lang w:eastAsia="en-US"/>
        </w:rPr>
        <w:t>tiks turpināts, veicinot atbildīgo iestāžu ciešāku sadarbību.</w:t>
      </w:r>
      <w:r w:rsidRPr="00EC6076">
        <w:rPr>
          <w:rFonts w:eastAsia="Calibri"/>
          <w:lang w:eastAsia="en-US"/>
        </w:rPr>
        <w:t xml:space="preserve"> </w:t>
      </w:r>
      <w:r w:rsidR="00C1076C">
        <w:rPr>
          <w:rFonts w:eastAsia="Calibri"/>
          <w:lang w:eastAsia="en-US"/>
        </w:rPr>
        <w:t>Padomē s</w:t>
      </w:r>
      <w:r w:rsidRPr="00EC6076">
        <w:rPr>
          <w:rFonts w:eastAsia="Calibri"/>
          <w:lang w:eastAsia="en-US"/>
        </w:rPr>
        <w:t>ecināts, ka j</w:t>
      </w:r>
      <w:r w:rsidR="00EE3C12" w:rsidRPr="00EC6076">
        <w:rPr>
          <w:rFonts w:eastAsia="Calibri"/>
          <w:lang w:eastAsia="en-US"/>
        </w:rPr>
        <w:t>āturpina detalizēti vērot tendences, lai konstatētu un novērstu, vai šīs valstis tiek izmantotas sankciju apiešanai, vienlaikus apzinoties, ka tirgus veic diversifikāciju uz trešajām valstīm laikā, kad noteiktas sankcijas Krievijai.</w:t>
      </w:r>
      <w:r w:rsidR="00916E91" w:rsidRPr="00EC6076">
        <w:rPr>
          <w:rFonts w:eastAsia="Calibri"/>
          <w:lang w:eastAsia="en-US"/>
        </w:rPr>
        <w:t xml:space="preserve"> Šajā sakarā Padomes locekļi </w:t>
      </w:r>
      <w:r w:rsidR="00F475B6">
        <w:rPr>
          <w:rFonts w:eastAsia="Calibri"/>
          <w:lang w:eastAsia="en-US"/>
        </w:rPr>
        <w:t xml:space="preserve">tika </w:t>
      </w:r>
      <w:r w:rsidR="00916E91" w:rsidRPr="00EC6076">
        <w:rPr>
          <w:rFonts w:eastAsia="Calibri"/>
          <w:lang w:eastAsia="en-US"/>
        </w:rPr>
        <w:t>iepazīstināti ar aktuālo tirdzniecības datu un naudas plūsmu statistiku un aktuālajām sankciju apiešanas tendencēm un tipoloģijām.</w:t>
      </w:r>
    </w:p>
    <w:p w14:paraId="33BE5B53" w14:textId="77777777" w:rsidR="00A60117" w:rsidRPr="00EC6076" w:rsidRDefault="00A60117" w:rsidP="00EC6076">
      <w:pPr>
        <w:jc w:val="both"/>
        <w:rPr>
          <w:rFonts w:eastAsia="Calibri"/>
          <w:lang w:eastAsia="en-US"/>
        </w:rPr>
      </w:pPr>
    </w:p>
    <w:p w14:paraId="332D5257" w14:textId="6A8F6511" w:rsidR="00EE3C12" w:rsidRPr="00EC6076" w:rsidRDefault="000425BB" w:rsidP="00EC6076">
      <w:pPr>
        <w:jc w:val="both"/>
        <w:rPr>
          <w:rFonts w:eastAsia="Calibri"/>
          <w:lang w:eastAsia="en-US"/>
        </w:rPr>
      </w:pPr>
      <w:r w:rsidRPr="00EC6076">
        <w:rPr>
          <w:rFonts w:eastAsia="Calibri"/>
          <w:lang w:eastAsia="en-US"/>
        </w:rPr>
        <w:t>Padome</w:t>
      </w:r>
      <w:r w:rsidR="00F475B6">
        <w:rPr>
          <w:rFonts w:eastAsia="Calibri"/>
          <w:lang w:eastAsia="en-US"/>
        </w:rPr>
        <w:t>s sēdē tika</w:t>
      </w:r>
      <w:r w:rsidRPr="00EC6076">
        <w:rPr>
          <w:rFonts w:eastAsia="Calibri"/>
          <w:lang w:eastAsia="en-US"/>
        </w:rPr>
        <w:t xml:space="preserve"> secinā</w:t>
      </w:r>
      <w:r w:rsidR="00F475B6">
        <w:rPr>
          <w:rFonts w:eastAsia="Calibri"/>
          <w:lang w:eastAsia="en-US"/>
        </w:rPr>
        <w:t>ts</w:t>
      </w:r>
      <w:r w:rsidR="00EE3C12" w:rsidRPr="00EC6076">
        <w:rPr>
          <w:rFonts w:eastAsia="Calibri"/>
          <w:lang w:eastAsia="en-US"/>
        </w:rPr>
        <w:t xml:space="preserve">, ka iestāžu savstarpējā sadarbība šajā laika periodā </w:t>
      </w:r>
      <w:r w:rsidR="00F475B6">
        <w:rPr>
          <w:rFonts w:eastAsia="Calibri"/>
          <w:lang w:eastAsia="en-US"/>
        </w:rPr>
        <w:t xml:space="preserve">ir </w:t>
      </w:r>
      <w:r w:rsidR="00EE3C12" w:rsidRPr="00EC6076">
        <w:rPr>
          <w:rFonts w:eastAsia="Calibri"/>
          <w:lang w:eastAsia="en-US"/>
        </w:rPr>
        <w:t xml:space="preserve">veicinājusi efektīvu sadarbības formātu izveidi, kuros </w:t>
      </w:r>
      <w:r w:rsidR="00EE5C70" w:rsidRPr="00EC6076">
        <w:rPr>
          <w:rFonts w:eastAsia="Calibri"/>
          <w:lang w:eastAsia="en-US"/>
        </w:rPr>
        <w:t xml:space="preserve">tiek risināti </w:t>
      </w:r>
      <w:r w:rsidR="00EE3C12" w:rsidRPr="00EC6076">
        <w:rPr>
          <w:rFonts w:eastAsia="Calibri"/>
          <w:lang w:eastAsia="en-US"/>
        </w:rPr>
        <w:t xml:space="preserve">ar sankciju </w:t>
      </w:r>
      <w:r w:rsidR="00EE5C70" w:rsidRPr="00EC6076">
        <w:rPr>
          <w:rFonts w:eastAsia="Calibri"/>
          <w:lang w:eastAsia="en-US"/>
        </w:rPr>
        <w:t>izpildi</w:t>
      </w:r>
      <w:r w:rsidR="00EE3C12" w:rsidRPr="00EC6076">
        <w:rPr>
          <w:rFonts w:eastAsia="Calibri"/>
          <w:lang w:eastAsia="en-US"/>
        </w:rPr>
        <w:t xml:space="preserve"> saistīt</w:t>
      </w:r>
      <w:r w:rsidR="00EE5C70" w:rsidRPr="00EC6076">
        <w:rPr>
          <w:rFonts w:eastAsia="Calibri"/>
          <w:lang w:eastAsia="en-US"/>
        </w:rPr>
        <w:t>i</w:t>
      </w:r>
      <w:r w:rsidR="00EE3C12" w:rsidRPr="00EC6076">
        <w:rPr>
          <w:rFonts w:eastAsia="Calibri"/>
          <w:lang w:eastAsia="en-US"/>
        </w:rPr>
        <w:t xml:space="preserve"> jautājum</w:t>
      </w:r>
      <w:r w:rsidR="00EE5C70" w:rsidRPr="00EC6076">
        <w:rPr>
          <w:rFonts w:eastAsia="Calibri"/>
          <w:lang w:eastAsia="en-US"/>
        </w:rPr>
        <w:t>i</w:t>
      </w:r>
      <w:r w:rsidR="00EE3C12" w:rsidRPr="00EC6076">
        <w:rPr>
          <w:rFonts w:eastAsia="Calibri"/>
          <w:lang w:eastAsia="en-US"/>
        </w:rPr>
        <w:t xml:space="preserve"> un </w:t>
      </w:r>
      <w:r w:rsidR="00C1076C">
        <w:rPr>
          <w:rFonts w:eastAsia="Calibri"/>
          <w:lang w:eastAsia="en-US"/>
        </w:rPr>
        <w:t>izaicinājumi</w:t>
      </w:r>
      <w:r w:rsidR="00C1076C" w:rsidRPr="00EC6076">
        <w:rPr>
          <w:rFonts w:eastAsia="Calibri"/>
          <w:lang w:eastAsia="en-US"/>
        </w:rPr>
        <w:t xml:space="preserve"> </w:t>
      </w:r>
      <w:r w:rsidR="00EE3C12" w:rsidRPr="00EC6076">
        <w:rPr>
          <w:rFonts w:eastAsia="Calibri"/>
          <w:lang w:eastAsia="en-US"/>
        </w:rPr>
        <w:t>(</w:t>
      </w:r>
      <w:r w:rsidR="00EE5C70" w:rsidRPr="00EC6076">
        <w:rPr>
          <w:rFonts w:eastAsia="Calibri"/>
          <w:lang w:eastAsia="en-US"/>
        </w:rPr>
        <w:t xml:space="preserve">piemēram, </w:t>
      </w:r>
      <w:r w:rsidR="00EE3C12" w:rsidRPr="00EC6076">
        <w:rPr>
          <w:rFonts w:eastAsia="Calibri"/>
          <w:lang w:eastAsia="en-US"/>
        </w:rPr>
        <w:t xml:space="preserve">Sankciju konsīlijs). </w:t>
      </w:r>
    </w:p>
    <w:p w14:paraId="1923B075" w14:textId="5375EFE4" w:rsidR="00EE3C12" w:rsidRPr="00EC6076" w:rsidRDefault="00EE3C12" w:rsidP="00EC6076">
      <w:pPr>
        <w:jc w:val="both"/>
        <w:rPr>
          <w:rFonts w:eastAsia="Calibri"/>
          <w:lang w:eastAsia="en-US"/>
        </w:rPr>
      </w:pPr>
    </w:p>
    <w:p w14:paraId="3EEF3509" w14:textId="3961881C" w:rsidR="001063B7" w:rsidRPr="00EC6076" w:rsidRDefault="00EE5C70" w:rsidP="00EC6076">
      <w:pPr>
        <w:pBdr>
          <w:top w:val="nil"/>
          <w:left w:val="nil"/>
          <w:bottom w:val="nil"/>
          <w:right w:val="nil"/>
          <w:between w:val="nil"/>
        </w:pBdr>
        <w:jc w:val="both"/>
        <w:rPr>
          <w:color w:val="000000" w:themeColor="text1"/>
        </w:rPr>
      </w:pPr>
      <w:r w:rsidRPr="00EC6076">
        <w:rPr>
          <w:rFonts w:eastAsia="Calibri"/>
          <w:lang w:eastAsia="en-US"/>
        </w:rPr>
        <w:t>Padomes locekļi</w:t>
      </w:r>
      <w:r w:rsidR="00F475B6">
        <w:rPr>
          <w:rFonts w:eastAsia="Calibri"/>
          <w:lang w:eastAsia="en-US"/>
        </w:rPr>
        <w:t xml:space="preserve"> tika</w:t>
      </w:r>
      <w:r w:rsidRPr="00EC6076">
        <w:rPr>
          <w:rFonts w:eastAsia="Calibri"/>
          <w:lang w:eastAsia="en-US"/>
        </w:rPr>
        <w:t xml:space="preserve"> informēti par </w:t>
      </w:r>
      <w:r w:rsidRPr="00EC6076">
        <w:rPr>
          <w:color w:val="000000" w:themeColor="text1"/>
        </w:rPr>
        <w:t xml:space="preserve">procesu </w:t>
      </w:r>
      <w:r w:rsidRPr="00EC6076">
        <w:rPr>
          <w:rFonts w:eastAsia="Calibri"/>
          <w:lang w:eastAsia="en-US"/>
        </w:rPr>
        <w:t xml:space="preserve">centralizētas sistēmas sankciju izpildē izveidi Latvijā. 2023. </w:t>
      </w:r>
      <w:r w:rsidR="00EE3C12" w:rsidRPr="00EC6076">
        <w:rPr>
          <w:rFonts w:eastAsia="Calibri"/>
          <w:lang w:eastAsia="en-US"/>
        </w:rPr>
        <w:t xml:space="preserve">gada augustā Ministru kabinets konceptuāli atbalstīja centralizētas sistēmas izveidi Latvijā, sadalot </w:t>
      </w:r>
      <w:r w:rsidR="00EE3C12" w:rsidRPr="00EC6076">
        <w:rPr>
          <w:rFonts w:eastAsia="Calibri"/>
          <w:lang w:eastAsia="en-US"/>
        </w:rPr>
        <w:lastRenderedPageBreak/>
        <w:t xml:space="preserve">sankciju īstenošanas jautājumu starp Ārlietu ministriju un </w:t>
      </w:r>
      <w:r w:rsidRPr="00EC6076">
        <w:rPr>
          <w:rFonts w:eastAsia="Calibri"/>
          <w:lang w:eastAsia="en-US"/>
        </w:rPr>
        <w:t>FID</w:t>
      </w:r>
      <w:r w:rsidR="00247343">
        <w:rPr>
          <w:rFonts w:eastAsia="Calibri"/>
          <w:lang w:eastAsia="en-US"/>
        </w:rPr>
        <w:t>,</w:t>
      </w:r>
      <w:r w:rsidRPr="00EC6076">
        <w:rPr>
          <w:rFonts w:eastAsia="Calibri"/>
          <w:lang w:eastAsia="en-US"/>
        </w:rPr>
        <w:t xml:space="preserve"> </w:t>
      </w:r>
      <w:r w:rsidR="00EE3C12" w:rsidRPr="00EC6076">
        <w:rPr>
          <w:rFonts w:eastAsia="Calibri"/>
          <w:lang w:eastAsia="en-US"/>
        </w:rPr>
        <w:t xml:space="preserve">nosakot FID kā kompetento iestādi </w:t>
      </w:r>
      <w:r w:rsidR="00A60117">
        <w:rPr>
          <w:rFonts w:eastAsia="Calibri"/>
          <w:lang w:eastAsia="en-US"/>
        </w:rPr>
        <w:t xml:space="preserve">ES </w:t>
      </w:r>
      <w:r w:rsidR="00EE3C12" w:rsidRPr="00EC6076">
        <w:rPr>
          <w:rFonts w:eastAsia="Calibri"/>
          <w:lang w:eastAsia="en-US"/>
        </w:rPr>
        <w:t xml:space="preserve">sankciju regulās paredzēto izņēmumu piemērošanā. </w:t>
      </w:r>
      <w:r w:rsidRPr="00EC6076">
        <w:rPr>
          <w:rFonts w:eastAsia="Calibri"/>
          <w:lang w:eastAsia="en-US"/>
        </w:rPr>
        <w:t>Tāpat risinājums paredz</w:t>
      </w:r>
      <w:r w:rsidR="00EE3C12" w:rsidRPr="00EC6076">
        <w:rPr>
          <w:rFonts w:eastAsia="Calibri"/>
          <w:lang w:eastAsia="en-US"/>
        </w:rPr>
        <w:t xml:space="preserve"> FID </w:t>
      </w:r>
      <w:r w:rsidRPr="00EC6076">
        <w:rPr>
          <w:rFonts w:eastAsia="Calibri"/>
          <w:lang w:eastAsia="en-US"/>
        </w:rPr>
        <w:t>noteikt</w:t>
      </w:r>
      <w:r w:rsidR="00EE3C12" w:rsidRPr="00EC6076">
        <w:rPr>
          <w:rFonts w:eastAsia="Calibri"/>
          <w:lang w:eastAsia="en-US"/>
        </w:rPr>
        <w:t xml:space="preserve"> par centrālo iestādi Latvijā, kas uzrauga sankciju izpildi. Ārlietu ministrijas pārziņā </w:t>
      </w:r>
      <w:r w:rsidR="00247343" w:rsidRPr="00EC6076">
        <w:rPr>
          <w:rFonts w:eastAsia="Calibri"/>
          <w:lang w:eastAsia="en-US"/>
        </w:rPr>
        <w:t>saglabā</w:t>
      </w:r>
      <w:r w:rsidR="00247343">
        <w:rPr>
          <w:rFonts w:eastAsia="Calibri"/>
          <w:lang w:eastAsia="en-US"/>
        </w:rPr>
        <w:t>jas</w:t>
      </w:r>
      <w:r w:rsidR="00247343" w:rsidRPr="00EC6076">
        <w:rPr>
          <w:rFonts w:eastAsia="Calibri"/>
          <w:lang w:eastAsia="en-US"/>
        </w:rPr>
        <w:t xml:space="preserve"> </w:t>
      </w:r>
      <w:r w:rsidR="00EE3C12" w:rsidRPr="00EC6076">
        <w:rPr>
          <w:rFonts w:eastAsia="Calibri"/>
          <w:lang w:eastAsia="en-US"/>
        </w:rPr>
        <w:t>sankciju politikas un koordinācijas jautājum</w:t>
      </w:r>
      <w:r w:rsidR="00C1076C">
        <w:rPr>
          <w:rFonts w:eastAsia="Calibri"/>
          <w:lang w:eastAsia="en-US"/>
        </w:rPr>
        <w:t>i</w:t>
      </w:r>
      <w:r w:rsidR="00EE3C12" w:rsidRPr="00EC6076">
        <w:rPr>
          <w:rFonts w:eastAsia="Calibri"/>
          <w:lang w:eastAsia="en-US"/>
        </w:rPr>
        <w:t>.</w:t>
      </w:r>
      <w:r w:rsidRPr="00EC6076">
        <w:rPr>
          <w:rFonts w:eastAsia="Calibri"/>
          <w:lang w:eastAsia="en-US"/>
        </w:rPr>
        <w:t xml:space="preserve"> Atbilstoši konceptuāli pieņemtajam lēmumam sagatavoti grozījumi Starptautisko un Latvijas Republikas nacionālo sankciju likumā</w:t>
      </w:r>
      <w:r w:rsidR="001063B7" w:rsidRPr="00EC6076">
        <w:rPr>
          <w:rStyle w:val="FootnoteReference"/>
          <w:rFonts w:eastAsia="Calibri"/>
          <w:lang w:eastAsia="en-US"/>
        </w:rPr>
        <w:footnoteReference w:id="1"/>
      </w:r>
      <w:r w:rsidR="001063B7" w:rsidRPr="00EC6076">
        <w:rPr>
          <w:rFonts w:eastAsia="Calibri"/>
          <w:lang w:eastAsia="en-US"/>
        </w:rPr>
        <w:t>.</w:t>
      </w:r>
    </w:p>
    <w:p w14:paraId="58D682FE" w14:textId="07704C52" w:rsidR="00EE3C12" w:rsidRPr="00EC6076" w:rsidRDefault="00EE3C12" w:rsidP="00EC6076">
      <w:pPr>
        <w:jc w:val="both"/>
        <w:rPr>
          <w:rFonts w:eastAsia="Calibri"/>
          <w:lang w:eastAsia="en-US"/>
        </w:rPr>
      </w:pPr>
    </w:p>
    <w:p w14:paraId="386C22C4" w14:textId="6F991082" w:rsidR="00EE3C12" w:rsidRPr="00EC6076" w:rsidRDefault="00AD0AA6" w:rsidP="00EC6076">
      <w:pPr>
        <w:jc w:val="both"/>
        <w:rPr>
          <w:rFonts w:eastAsia="Calibri"/>
          <w:lang w:eastAsia="en-US"/>
        </w:rPr>
      </w:pPr>
      <w:r w:rsidRPr="00EC6076">
        <w:rPr>
          <w:rFonts w:eastAsia="Calibri"/>
          <w:lang w:eastAsia="en-US"/>
        </w:rPr>
        <w:t>Padomes s</w:t>
      </w:r>
      <w:r w:rsidR="001063B7" w:rsidRPr="00EC6076">
        <w:rPr>
          <w:rFonts w:eastAsia="Calibri"/>
          <w:lang w:eastAsia="en-US"/>
        </w:rPr>
        <w:t xml:space="preserve">ēdes </w:t>
      </w:r>
      <w:r w:rsidRPr="00EC6076">
        <w:rPr>
          <w:rFonts w:eastAsia="Calibri"/>
          <w:lang w:eastAsia="en-US"/>
        </w:rPr>
        <w:t xml:space="preserve">laikā </w:t>
      </w:r>
      <w:r w:rsidR="00247343">
        <w:rPr>
          <w:rFonts w:eastAsia="Calibri"/>
          <w:lang w:eastAsia="en-US"/>
        </w:rPr>
        <w:t xml:space="preserve">tika </w:t>
      </w:r>
      <w:r w:rsidR="001063B7" w:rsidRPr="00EC6076">
        <w:rPr>
          <w:rFonts w:eastAsia="Calibri"/>
          <w:lang w:eastAsia="en-US"/>
        </w:rPr>
        <w:t>aktualiz</w:t>
      </w:r>
      <w:r w:rsidRPr="00EC6076">
        <w:rPr>
          <w:rFonts w:eastAsia="Calibri"/>
          <w:lang w:eastAsia="en-US"/>
        </w:rPr>
        <w:t>ēts</w:t>
      </w:r>
      <w:r w:rsidR="001063B7" w:rsidRPr="00EC6076">
        <w:rPr>
          <w:rFonts w:eastAsia="Calibri"/>
          <w:lang w:eastAsia="en-US"/>
        </w:rPr>
        <w:t xml:space="preserve"> jautājum</w:t>
      </w:r>
      <w:r w:rsidRPr="00EC6076">
        <w:rPr>
          <w:rFonts w:eastAsia="Calibri"/>
          <w:lang w:eastAsia="en-US"/>
        </w:rPr>
        <w:t>s</w:t>
      </w:r>
      <w:r w:rsidR="001063B7" w:rsidRPr="00EC6076">
        <w:rPr>
          <w:rFonts w:eastAsia="Calibri"/>
          <w:lang w:eastAsia="en-US"/>
        </w:rPr>
        <w:t xml:space="preserve"> par sankciju vienotu un koordinētu piemērošanu visās ES dalībvalstīs. Ārlietu ministrija informēja, ka tā ir viena no ES prioritātēm, </w:t>
      </w:r>
      <w:r w:rsidR="006220E3" w:rsidRPr="00EC6076">
        <w:rPr>
          <w:rFonts w:eastAsia="Calibri"/>
          <w:lang w:eastAsia="en-US"/>
        </w:rPr>
        <w:t>norādot, ka</w:t>
      </w:r>
      <w:r w:rsidR="001063B7" w:rsidRPr="00EC6076">
        <w:rPr>
          <w:rFonts w:eastAsia="Calibri"/>
          <w:lang w:eastAsia="en-US"/>
        </w:rPr>
        <w:t xml:space="preserve"> </w:t>
      </w:r>
      <w:r w:rsidR="006220E3" w:rsidRPr="00EC6076">
        <w:rPr>
          <w:rFonts w:eastAsia="Calibri"/>
          <w:lang w:eastAsia="en-US"/>
        </w:rPr>
        <w:t>s</w:t>
      </w:r>
      <w:r w:rsidR="001063B7" w:rsidRPr="00EC6076">
        <w:rPr>
          <w:rFonts w:eastAsia="Calibri"/>
          <w:lang w:eastAsia="en-US"/>
        </w:rPr>
        <w:t xml:space="preserve">ankciju izpilde ir katras dalībvalsts atbildībā un katra dalībvalsts lemj, kā piemērot sankcijas. </w:t>
      </w:r>
      <w:r w:rsidR="006220E3" w:rsidRPr="00EC6076">
        <w:rPr>
          <w:rFonts w:eastAsia="Calibri"/>
          <w:lang w:eastAsia="en-US"/>
        </w:rPr>
        <w:t>Dažādā izpratne ir rosinājusi uz pārdomām, ka ES būtu noderīga līdzīga uzraugošā institūcija kā ASV (OFAC), kas koordinē vienveidīgu sankciju ieviešanu, tomēr par to ir jāvienojas visām ES dalībvalstīm un process būtu laikietilpīgs, tādēļ pašlaik šo lomu neformāli ir uzņēmusies Eiropas Komisija</w:t>
      </w:r>
      <w:r w:rsidR="00D26CC3" w:rsidRPr="00EC6076">
        <w:rPr>
          <w:rFonts w:eastAsia="Calibri"/>
          <w:lang w:eastAsia="en-US"/>
        </w:rPr>
        <w:t>, paužot gatavību sniegt arī rakstiskas atbildes uz konkrētiem dalībvalstu jautājumiem par sankciju izpildi.</w:t>
      </w:r>
    </w:p>
    <w:p w14:paraId="0BD1AF63" w14:textId="66A868D9" w:rsidR="006220E3" w:rsidRPr="00EC6076" w:rsidRDefault="006220E3" w:rsidP="00EC6076">
      <w:pPr>
        <w:jc w:val="both"/>
        <w:rPr>
          <w:rFonts w:eastAsia="Calibri"/>
          <w:lang w:eastAsia="en-US"/>
        </w:rPr>
      </w:pPr>
    </w:p>
    <w:p w14:paraId="65CB3EDF" w14:textId="12EAFE17" w:rsidR="00D26CC3" w:rsidRPr="00EC6076" w:rsidRDefault="00D26CC3" w:rsidP="00EC6076">
      <w:pPr>
        <w:jc w:val="both"/>
        <w:rPr>
          <w:rFonts w:eastAsia="Calibri"/>
          <w:lang w:eastAsia="en-US"/>
        </w:rPr>
      </w:pPr>
      <w:r w:rsidRPr="00EC6076">
        <w:rPr>
          <w:rFonts w:eastAsia="Calibri"/>
          <w:lang w:eastAsia="en-US"/>
        </w:rPr>
        <w:t xml:space="preserve">Papildus minētajam </w:t>
      </w:r>
      <w:r w:rsidR="00AD0AA6" w:rsidRPr="00EC6076">
        <w:rPr>
          <w:rFonts w:eastAsia="Calibri"/>
          <w:lang w:eastAsia="en-US"/>
        </w:rPr>
        <w:t>Padomes</w:t>
      </w:r>
      <w:r w:rsidRPr="00EC6076">
        <w:rPr>
          <w:rFonts w:eastAsia="Calibri"/>
          <w:lang w:eastAsia="en-US"/>
        </w:rPr>
        <w:t xml:space="preserve"> locekļi tika informēti, ka </w:t>
      </w:r>
      <w:r w:rsidRPr="00EC6076">
        <w:rPr>
          <w:rFonts w:eastAsia="Times-Roman"/>
        </w:rPr>
        <w:t xml:space="preserve">2023. gada 30. novembrī Ārlietu ministrijā norisinājās Eiropas komisijas finanšu pakalpojumu un kapitāla tirgu savienības ģenerāldirektorāta (DG FISMA) delegācijas tikšanās ar Latvijas kompetentajām iestādēm sankciju uzraudzības jautājumos. Šādas tikšanās pēc DG FISMA iniciatīvas notiek visās ES dalībvalstīs, lai konstatētu, kas ir dalībvalstu izaicinājumi, kā notiek sadarbība, kāda ir sankciju ieviešanas un īstenošanas sistēma. Pēc šīm vizītēm DG FISMA plāno izplatīt apkopotu informāciju par visām ES dalībvalstīm, lai būtu </w:t>
      </w:r>
      <w:r w:rsidR="00AD0AA6" w:rsidRPr="00EC6076">
        <w:rPr>
          <w:rFonts w:eastAsia="Times-Roman"/>
        </w:rPr>
        <w:t>salīdzināma</w:t>
      </w:r>
      <w:r w:rsidRPr="00EC6076">
        <w:rPr>
          <w:rFonts w:eastAsia="Times-Roman"/>
        </w:rPr>
        <w:t xml:space="preserve"> citu </w:t>
      </w:r>
      <w:r w:rsidR="00AD0AA6" w:rsidRPr="00EC6076">
        <w:rPr>
          <w:rFonts w:eastAsia="Times-Roman"/>
        </w:rPr>
        <w:t xml:space="preserve">dalībvalstu </w:t>
      </w:r>
      <w:r w:rsidRPr="00EC6076">
        <w:rPr>
          <w:rFonts w:eastAsia="Times-Roman"/>
        </w:rPr>
        <w:t>pieredze un izpratne sankciju īstenošanā.</w:t>
      </w:r>
    </w:p>
    <w:p w14:paraId="170E809C" w14:textId="77777777" w:rsidR="00D26CC3" w:rsidRPr="00EC6076" w:rsidRDefault="00D26CC3" w:rsidP="00EC6076">
      <w:pPr>
        <w:jc w:val="both"/>
        <w:rPr>
          <w:rFonts w:eastAsia="Calibri"/>
          <w:lang w:eastAsia="en-US"/>
        </w:rPr>
      </w:pPr>
    </w:p>
    <w:p w14:paraId="75F445EC" w14:textId="58B70F81" w:rsidR="00EE3C12" w:rsidRPr="00EC6076" w:rsidRDefault="00AD0AA6" w:rsidP="00EC6076">
      <w:pPr>
        <w:jc w:val="both"/>
        <w:rPr>
          <w:rFonts w:eastAsia="Times-Roman"/>
        </w:rPr>
      </w:pPr>
      <w:r w:rsidRPr="00EC6076">
        <w:rPr>
          <w:rFonts w:eastAsia="Times-Roman"/>
        </w:rPr>
        <w:t xml:space="preserve">Vairāki Padomes locekļi </w:t>
      </w:r>
      <w:r w:rsidR="00AB1148" w:rsidRPr="00EC6076">
        <w:rPr>
          <w:rFonts w:eastAsia="Times-Roman"/>
        </w:rPr>
        <w:t xml:space="preserve">vērsa uzmanību uz </w:t>
      </w:r>
      <w:r w:rsidRPr="00EC6076">
        <w:rPr>
          <w:rFonts w:eastAsia="Times-Roman"/>
        </w:rPr>
        <w:t xml:space="preserve">konstatētajām </w:t>
      </w:r>
      <w:r w:rsidR="00AB1148" w:rsidRPr="00EC6076">
        <w:rPr>
          <w:rFonts w:eastAsia="Times-Roman"/>
        </w:rPr>
        <w:t xml:space="preserve">problēmām, kad nav iespējams izpildīt noteiktās sankcijas vai ir pamats aizdomām par sankciju apiešanu, bet nav iespējas rīkoties. </w:t>
      </w:r>
      <w:r w:rsidR="00B744A9" w:rsidRPr="00EC6076">
        <w:rPr>
          <w:rFonts w:eastAsia="Times-Roman"/>
        </w:rPr>
        <w:t>Tika norādīts uz problēmām saistībā ar “</w:t>
      </w:r>
      <w:proofErr w:type="spellStart"/>
      <w:r w:rsidR="00B744A9" w:rsidRPr="00EC6076">
        <w:rPr>
          <w:rFonts w:eastAsia="Times-Roman"/>
        </w:rPr>
        <w:t>Telegram</w:t>
      </w:r>
      <w:proofErr w:type="spellEnd"/>
      <w:r w:rsidR="00B744A9" w:rsidRPr="00EC6076">
        <w:rPr>
          <w:rFonts w:eastAsia="Times-Roman"/>
        </w:rPr>
        <w:t xml:space="preserve">” platformu, ar kuras starpniecību tiek pārkāpti ES un Latvijas noteiktie ierobežojumi, jo platformā izplatīto audiovizuālo saturu nav iespējams uzraudzīt. Tāpat </w:t>
      </w:r>
      <w:r w:rsidR="00247343">
        <w:rPr>
          <w:rFonts w:eastAsia="Times-Roman"/>
        </w:rPr>
        <w:t xml:space="preserve">tika </w:t>
      </w:r>
      <w:r w:rsidR="00B744A9" w:rsidRPr="00EC6076">
        <w:rPr>
          <w:rFonts w:eastAsia="Times-Roman"/>
        </w:rPr>
        <w:t xml:space="preserve">vērsta uzmanība uz ierobežojumiem noteiktiem gaisa kuģiem izmantot ES gaisa telpu. Šie ierobežojumi tiek piemēroti, uzturot sarakstu ar gaisa kuģiem, kuriem lidojumu plāni netiek apstiprināti, taču neformāli ES līmenī tiek uzturēts atsevišķs “pelēkais saraksts” ar tādiem gaisa kuģiem, par kuriem ir aizdomas, ka ar tiem tiek mēģināts apiet noteiktās sankcijas. Šajā saraksta </w:t>
      </w:r>
      <w:r w:rsidR="00916E91" w:rsidRPr="00EC6076">
        <w:rPr>
          <w:rFonts w:eastAsia="Times-Roman"/>
        </w:rPr>
        <w:t xml:space="preserve">iekļauti </w:t>
      </w:r>
      <w:r w:rsidR="00B744A9" w:rsidRPr="00EC6076">
        <w:rPr>
          <w:rFonts w:eastAsia="Times-Roman"/>
        </w:rPr>
        <w:t>gaisa kuģi no dažādām reģistrācijas valstīm</w:t>
      </w:r>
      <w:r w:rsidR="00101967" w:rsidRPr="00EC6076">
        <w:rPr>
          <w:rFonts w:eastAsia="Times-Roman"/>
        </w:rPr>
        <w:t>, taču a</w:t>
      </w:r>
      <w:r w:rsidR="00B744A9" w:rsidRPr="00EC6076">
        <w:rPr>
          <w:rFonts w:eastAsia="Times-Roman"/>
        </w:rPr>
        <w:t>trašanās</w:t>
      </w:r>
      <w:r w:rsidR="00101967" w:rsidRPr="00EC6076">
        <w:rPr>
          <w:rFonts w:eastAsia="Times-Roman"/>
        </w:rPr>
        <w:t xml:space="preserve"> šajā</w:t>
      </w:r>
      <w:r w:rsidR="00B744A9" w:rsidRPr="00EC6076">
        <w:rPr>
          <w:rFonts w:eastAsia="Times-Roman"/>
        </w:rPr>
        <w:t xml:space="preserve"> “pelēkajā sarakstā” neliedz šiem gaisa kuģiem veikt lidojumus.</w:t>
      </w:r>
      <w:r w:rsidR="00101967" w:rsidRPr="00EC6076">
        <w:rPr>
          <w:rFonts w:eastAsia="Times-Roman"/>
        </w:rPr>
        <w:t xml:space="preserve"> </w:t>
      </w:r>
      <w:r w:rsidR="00247343">
        <w:rPr>
          <w:rFonts w:eastAsia="Times-Roman"/>
        </w:rPr>
        <w:t>Būtu nepieciešams ierosināt d</w:t>
      </w:r>
      <w:r w:rsidR="00101967" w:rsidRPr="00EC6076">
        <w:rPr>
          <w:rFonts w:eastAsia="Times-Roman"/>
        </w:rPr>
        <w:t xml:space="preserve">alībvalstīm </w:t>
      </w:r>
      <w:r w:rsidR="00247343">
        <w:rPr>
          <w:rFonts w:eastAsia="Times-Roman"/>
        </w:rPr>
        <w:t xml:space="preserve">noteikt </w:t>
      </w:r>
      <w:r w:rsidR="00101967" w:rsidRPr="00EC6076">
        <w:rPr>
          <w:rFonts w:eastAsia="Times-Roman"/>
        </w:rPr>
        <w:t>tiesības atteikt lidojumu “pelēkajā sarakstā” esošam gaisa kuģim, ja konstatējama sankciju apiešana.</w:t>
      </w:r>
      <w:r w:rsidR="00B744A9" w:rsidRPr="00EC6076">
        <w:rPr>
          <w:rFonts w:eastAsia="Times-Roman"/>
        </w:rPr>
        <w:t xml:space="preserve"> Padomes locekļi vienojās un pauda gatavību konstatētos </w:t>
      </w:r>
      <w:proofErr w:type="spellStart"/>
      <w:r w:rsidR="00B744A9" w:rsidRPr="00EC6076">
        <w:rPr>
          <w:rFonts w:eastAsia="Times-Roman"/>
        </w:rPr>
        <w:t>problēmjautājumus</w:t>
      </w:r>
      <w:proofErr w:type="spellEnd"/>
      <w:r w:rsidR="00B744A9" w:rsidRPr="00EC6076">
        <w:rPr>
          <w:rFonts w:eastAsia="Times-Roman"/>
        </w:rPr>
        <w:t xml:space="preserve"> apspriest starptautiskajos sadarbības formātos par sankciju piemērošanu.</w:t>
      </w:r>
    </w:p>
    <w:p w14:paraId="4AE19427" w14:textId="77777777" w:rsidR="00AD0AA6" w:rsidRPr="00EC6076" w:rsidRDefault="00AD0AA6" w:rsidP="00EC6076">
      <w:pPr>
        <w:jc w:val="both"/>
        <w:rPr>
          <w:rFonts w:eastAsia="Times-Roman"/>
        </w:rPr>
      </w:pPr>
    </w:p>
    <w:p w14:paraId="34DD1030" w14:textId="631B5E6E" w:rsidR="00600024" w:rsidRPr="00EC6076" w:rsidRDefault="00101967" w:rsidP="00EC6076">
      <w:pPr>
        <w:jc w:val="both"/>
        <w:rPr>
          <w:rFonts w:eastAsia="Times-Roman"/>
        </w:rPr>
      </w:pPr>
      <w:r w:rsidRPr="00EC6076">
        <w:rPr>
          <w:rFonts w:eastAsia="Times-Roman"/>
        </w:rPr>
        <w:t>Ārlietu ministrija informēja</w:t>
      </w:r>
      <w:r w:rsidR="00600024" w:rsidRPr="00EC6076">
        <w:rPr>
          <w:rFonts w:eastAsia="Times-Roman"/>
        </w:rPr>
        <w:t>,</w:t>
      </w:r>
      <w:r w:rsidRPr="00EC6076">
        <w:rPr>
          <w:rFonts w:eastAsia="Times-Roman"/>
        </w:rPr>
        <w:t xml:space="preserve"> ka 2023. gada 27. novembrī no Rīgas ostas uz Zimbabvi tika izvesta septiņi tūkstošu tonnu liela minerālmēslojuma krava, kas ir ziedojums ANO Pasaules Pārtikas programmas iniciatīvai. </w:t>
      </w:r>
      <w:r w:rsidR="00600024" w:rsidRPr="00EC6076">
        <w:rPr>
          <w:rFonts w:eastAsia="Times-Roman"/>
        </w:rPr>
        <w:t>Minerālmēslojuma kravu izvešanu no Latvijas organizēšanu un saskaņošanas darbus veic ANO Pasaules Pārtikas programma. Process ir lēns, un tas tiek izmantots Krievijas veiktajā dezinformācijā, vainojot ES vilcināšanās nodot kravas valstīm, kas cieš no bada. Procesa ilgstošā gaita saistās ar to, ka kravas pieder Krievijas privātām kompānijām un tās lemj par ziedojuma galamērķiem. Tiek organizēta kravu izvešana no AS ”Kālija parks” un arī kravas nodošana, kas atrodas uz kuģa “</w:t>
      </w:r>
      <w:proofErr w:type="spellStart"/>
      <w:r w:rsidR="00600024" w:rsidRPr="00EC6076">
        <w:rPr>
          <w:rFonts w:eastAsia="Times-Roman"/>
        </w:rPr>
        <w:t>Asian</w:t>
      </w:r>
      <w:proofErr w:type="spellEnd"/>
      <w:r w:rsidR="00600024" w:rsidRPr="00EC6076">
        <w:rPr>
          <w:rFonts w:eastAsia="Times-Roman"/>
        </w:rPr>
        <w:t xml:space="preserve"> </w:t>
      </w:r>
      <w:proofErr w:type="spellStart"/>
      <w:r w:rsidR="00600024" w:rsidRPr="00EC6076">
        <w:rPr>
          <w:rFonts w:eastAsia="Times-Roman"/>
        </w:rPr>
        <w:t>Majesty</w:t>
      </w:r>
      <w:proofErr w:type="spellEnd"/>
      <w:r w:rsidR="00600024" w:rsidRPr="00EC6076">
        <w:rPr>
          <w:rFonts w:eastAsia="Times-Roman"/>
        </w:rPr>
        <w:t>”.</w:t>
      </w:r>
    </w:p>
    <w:p w14:paraId="3716BDAA" w14:textId="4A72E58C" w:rsidR="00101967" w:rsidRPr="00EC6076" w:rsidRDefault="00101967" w:rsidP="00EC6076">
      <w:pPr>
        <w:jc w:val="both"/>
        <w:rPr>
          <w:rFonts w:eastAsia="Times-Roman"/>
        </w:rPr>
      </w:pPr>
    </w:p>
    <w:p w14:paraId="2CA01CEF" w14:textId="49F90F47" w:rsidR="00EE3C12" w:rsidRPr="00EC6076" w:rsidRDefault="00600024" w:rsidP="00EC6076">
      <w:pPr>
        <w:jc w:val="both"/>
        <w:rPr>
          <w:rFonts w:eastAsia="Times-Roman"/>
        </w:rPr>
      </w:pPr>
      <w:r w:rsidRPr="00EC6076">
        <w:rPr>
          <w:rFonts w:eastAsia="Times-Roman"/>
        </w:rPr>
        <w:t xml:space="preserve">Padome tika informēta, ka </w:t>
      </w:r>
      <w:r w:rsidR="00EE3C12" w:rsidRPr="00EC6076">
        <w:rPr>
          <w:rFonts w:eastAsia="Times-Roman"/>
        </w:rPr>
        <w:t xml:space="preserve">Eiropas Savienības Tiesā ir vairākas sankcionēto personu pārsūdzības lietas par sankciju atcelšanu. Šajās sēdēs piedalās arī Latvijas Tieslietu ministrijas un Ārlietu ministrijas pārstāvji, atbalstot Padomes juridisko dienestu. No šiem tiesu procesiem vērojams, ka </w:t>
      </w:r>
      <w:r w:rsidRPr="00EC6076">
        <w:rPr>
          <w:rFonts w:eastAsia="Times-Roman"/>
        </w:rPr>
        <w:t xml:space="preserve">Eiropas Savienības </w:t>
      </w:r>
      <w:r w:rsidRPr="00EC6076">
        <w:rPr>
          <w:rFonts w:eastAsia="Times-Roman"/>
        </w:rPr>
        <w:lastRenderedPageBreak/>
        <w:t xml:space="preserve">Tiesā </w:t>
      </w:r>
      <w:r w:rsidR="00EE3C12" w:rsidRPr="00EC6076">
        <w:rPr>
          <w:rFonts w:eastAsia="Times-Roman"/>
        </w:rPr>
        <w:t>uz sankciju noteikšanas jautājumiem raugās liberāli, tādēļ ir īpaši svarīgi strādāt pie spēcīgas un argumentētas pierādījumu bāzes, iekļaujot personas sankcionēto personu sarakstā.</w:t>
      </w:r>
    </w:p>
    <w:p w14:paraId="17E163CC" w14:textId="222625D5" w:rsidR="00EE3C12" w:rsidRDefault="00EE3C12" w:rsidP="00EC6076">
      <w:pPr>
        <w:jc w:val="both"/>
        <w:rPr>
          <w:rFonts w:eastAsia="Times-Roman"/>
        </w:rPr>
      </w:pPr>
    </w:p>
    <w:p w14:paraId="2C861DDE" w14:textId="77777777" w:rsidR="0042251D" w:rsidRPr="00EC6076" w:rsidRDefault="0042251D" w:rsidP="00EC6076">
      <w:pPr>
        <w:jc w:val="both"/>
        <w:rPr>
          <w:rFonts w:eastAsia="Times-Roman"/>
        </w:rPr>
      </w:pPr>
    </w:p>
    <w:p w14:paraId="655FD4FE" w14:textId="77777777" w:rsidR="00A60117" w:rsidRPr="00D6241F" w:rsidRDefault="00A60117" w:rsidP="00A60117">
      <w:pPr>
        <w:jc w:val="center"/>
        <w:rPr>
          <w:b/>
          <w:color w:val="000000" w:themeColor="text1"/>
        </w:rPr>
      </w:pPr>
      <w:r w:rsidRPr="00D6241F">
        <w:rPr>
          <w:b/>
          <w:color w:val="000000" w:themeColor="text1"/>
        </w:rPr>
        <w:t>Sankciju koordinācijas padomes apakšgrupas, Sankciju konsīlija, sanāksmes</w:t>
      </w:r>
    </w:p>
    <w:p w14:paraId="30AF12C1" w14:textId="40C2E9FE" w:rsidR="00E1158F" w:rsidRPr="00EC6076" w:rsidRDefault="00E1158F" w:rsidP="00EC6076">
      <w:pPr>
        <w:pStyle w:val="ListParagraph"/>
        <w:ind w:left="0"/>
      </w:pPr>
    </w:p>
    <w:p w14:paraId="63B5F83A" w14:textId="7CEB89A7" w:rsidR="00BA75AE" w:rsidRDefault="001E3F1D" w:rsidP="003B03A2">
      <w:pPr>
        <w:pStyle w:val="ListParagraph"/>
        <w:ind w:left="0"/>
        <w:jc w:val="both"/>
        <w:rPr>
          <w:color w:val="000000" w:themeColor="text1"/>
        </w:rPr>
      </w:pPr>
      <w:r>
        <w:rPr>
          <w:color w:val="000000" w:themeColor="text1"/>
        </w:rPr>
        <w:t xml:space="preserve">Padomes ietvaros pēc </w:t>
      </w:r>
      <w:r w:rsidRPr="001E3F1D">
        <w:rPr>
          <w:color w:val="000000" w:themeColor="text1"/>
        </w:rPr>
        <w:t>Krievijas sāktā kara Ukrainā 2022. gada 24. februārī</w:t>
      </w:r>
      <w:r>
        <w:rPr>
          <w:color w:val="000000" w:themeColor="text1"/>
        </w:rPr>
        <w:t xml:space="preserve"> un straujās apjomīgo sankciju noteikšanas tika izveidota darba grupa – </w:t>
      </w:r>
      <w:r w:rsidR="008B70A3">
        <w:rPr>
          <w:color w:val="000000" w:themeColor="text1"/>
        </w:rPr>
        <w:t>S</w:t>
      </w:r>
      <w:r>
        <w:rPr>
          <w:color w:val="000000" w:themeColor="text1"/>
        </w:rPr>
        <w:t>ankciju konsīlijs. Sankciju konsīlijs ir regulāras sadarbības formāts, kurā institūcijas pārrunā aktuālos ar sankciju ieviešanu izpildi saistītos jautājumus, kam nepieciešama nekavējoša rīcība.</w:t>
      </w:r>
      <w:r w:rsidR="00E2020C">
        <w:rPr>
          <w:color w:val="000000" w:themeColor="text1"/>
        </w:rPr>
        <w:t xml:space="preserve"> </w:t>
      </w:r>
      <w:r w:rsidR="000145A6">
        <w:rPr>
          <w:color w:val="000000" w:themeColor="text1"/>
        </w:rPr>
        <w:t>Attiecīgi šajā</w:t>
      </w:r>
      <w:r w:rsidR="00E2020C">
        <w:rPr>
          <w:color w:val="000000" w:themeColor="text1"/>
        </w:rPr>
        <w:t xml:space="preserve"> formāt</w:t>
      </w:r>
      <w:r w:rsidR="000145A6">
        <w:rPr>
          <w:color w:val="000000" w:themeColor="text1"/>
        </w:rPr>
        <w:t>ā iestādēm ir iespēja</w:t>
      </w:r>
      <w:bookmarkStart w:id="1" w:name="_GoBack"/>
      <w:bookmarkEnd w:id="1"/>
      <w:r w:rsidR="000145A6">
        <w:rPr>
          <w:color w:val="000000" w:themeColor="text1"/>
        </w:rPr>
        <w:t xml:space="preserve"> operatīvi vienoties par koordinētu rīcību konkrēta gadījuma risināšanā.</w:t>
      </w:r>
      <w:r>
        <w:rPr>
          <w:color w:val="000000" w:themeColor="text1"/>
        </w:rPr>
        <w:t xml:space="preserve"> Sankciju konsīlija sanāksmes notiek tiešsaistes režīmā reizi divās nedēļas vai pēc nepieciešamības biežāk, ja kāda institūcija ir ierosinājusi kopējai apspriešanai steidzamu </w:t>
      </w:r>
      <w:r w:rsidR="008B70A3">
        <w:rPr>
          <w:color w:val="000000" w:themeColor="text1"/>
        </w:rPr>
        <w:t xml:space="preserve">jautājumu. Arī 2023. gadā notika regulāras Sankciju konsīlija sanāksmes. Sankciju konsīlija darba kārtībā bija jautājumi </w:t>
      </w:r>
      <w:r w:rsidR="004D1851">
        <w:rPr>
          <w:color w:val="000000" w:themeColor="text1"/>
        </w:rPr>
        <w:t xml:space="preserve">par jaunu noteikto sankciju atbilstošu piemērošanu, </w:t>
      </w:r>
      <w:r w:rsidR="008B70A3">
        <w:rPr>
          <w:color w:val="000000" w:themeColor="text1"/>
        </w:rPr>
        <w:t>konstatētajiem sankciju apiešanas riskiem</w:t>
      </w:r>
      <w:r w:rsidR="004D1851">
        <w:rPr>
          <w:color w:val="000000" w:themeColor="text1"/>
        </w:rPr>
        <w:t xml:space="preserve">, </w:t>
      </w:r>
      <w:r w:rsidR="000173E6">
        <w:rPr>
          <w:color w:val="000000" w:themeColor="text1"/>
        </w:rPr>
        <w:t xml:space="preserve">iestāžu vienotu rīcību sankciju ieviešanas jautājumos. </w:t>
      </w:r>
    </w:p>
    <w:p w14:paraId="730CD575" w14:textId="15593749" w:rsidR="003B03A2" w:rsidRDefault="003B03A2" w:rsidP="003B03A2">
      <w:pPr>
        <w:pStyle w:val="ListParagraph"/>
        <w:ind w:left="0"/>
        <w:jc w:val="both"/>
        <w:rPr>
          <w:color w:val="000000" w:themeColor="text1"/>
        </w:rPr>
      </w:pPr>
    </w:p>
    <w:p w14:paraId="1AAAB673" w14:textId="77777777" w:rsidR="0042251D" w:rsidRPr="00EC6076" w:rsidRDefault="0042251D" w:rsidP="003B03A2">
      <w:pPr>
        <w:pStyle w:val="ListParagraph"/>
        <w:ind w:left="0"/>
        <w:jc w:val="both"/>
        <w:rPr>
          <w:color w:val="000000" w:themeColor="text1"/>
        </w:rPr>
      </w:pPr>
    </w:p>
    <w:p w14:paraId="3BF7206B" w14:textId="77777777" w:rsidR="00B21A1C" w:rsidRPr="00EC6076" w:rsidRDefault="00B21A1C" w:rsidP="00EC6076">
      <w:pPr>
        <w:jc w:val="center"/>
        <w:rPr>
          <w:b/>
          <w:color w:val="000000" w:themeColor="text1"/>
        </w:rPr>
      </w:pPr>
      <w:r w:rsidRPr="00EC6076">
        <w:rPr>
          <w:b/>
          <w:color w:val="000000" w:themeColor="text1"/>
        </w:rPr>
        <w:t>Nobeigums</w:t>
      </w:r>
    </w:p>
    <w:p w14:paraId="12A371DB" w14:textId="0D321BEF" w:rsidR="00B7654D" w:rsidRPr="00EC6076" w:rsidRDefault="00B7654D" w:rsidP="00EC6076">
      <w:pPr>
        <w:jc w:val="center"/>
        <w:rPr>
          <w:b/>
          <w:color w:val="000000" w:themeColor="text1"/>
        </w:rPr>
      </w:pPr>
    </w:p>
    <w:p w14:paraId="542E55BF" w14:textId="5A6DB446" w:rsidR="002401F5" w:rsidRPr="00EC6076" w:rsidRDefault="00DD31FD" w:rsidP="00EC6076">
      <w:pPr>
        <w:jc w:val="both"/>
        <w:rPr>
          <w:color w:val="000000" w:themeColor="text1"/>
        </w:rPr>
      </w:pPr>
      <w:r w:rsidRPr="00EC6076">
        <w:rPr>
          <w:color w:val="000000" w:themeColor="text1"/>
        </w:rPr>
        <w:t>Efektīva sankciju ievērošana ir ieguldījums gan Latvijas nacionālaj</w:t>
      </w:r>
      <w:r w:rsidR="00176A7D" w:rsidRPr="00EC6076">
        <w:rPr>
          <w:color w:val="000000" w:themeColor="text1"/>
        </w:rPr>
        <w:t>ai</w:t>
      </w:r>
      <w:r w:rsidRPr="00EC6076">
        <w:rPr>
          <w:color w:val="000000" w:themeColor="text1"/>
        </w:rPr>
        <w:t xml:space="preserve"> drošībai, gan reģionālajai drošībai kopumā. </w:t>
      </w:r>
      <w:r w:rsidR="00176A7D" w:rsidRPr="00EC6076">
        <w:rPr>
          <w:color w:val="000000" w:themeColor="text1"/>
        </w:rPr>
        <w:t xml:space="preserve">Tā ir prioritāte arī Latvijā gan nacionālā līmenī, gan sadarbībā ar EK un citām ES dalībvalstīm. Sankciju efektivitāte ir nenoliedzama, tomēr, lai sasniegtu sankciju mērķi, ir jānodrošina atbilstoša un vienveidīga to piemērošana. </w:t>
      </w:r>
      <w:r w:rsidR="00A60117">
        <w:rPr>
          <w:color w:val="000000" w:themeColor="text1"/>
        </w:rPr>
        <w:t xml:space="preserve">Jāturpina </w:t>
      </w:r>
      <w:r w:rsidR="00A60117" w:rsidRPr="00EC6076">
        <w:rPr>
          <w:color w:val="000000" w:themeColor="text1"/>
        </w:rPr>
        <w:t xml:space="preserve"> </w:t>
      </w:r>
      <w:r w:rsidR="00A60117">
        <w:rPr>
          <w:color w:val="000000" w:themeColor="text1"/>
        </w:rPr>
        <w:t xml:space="preserve">cieša </w:t>
      </w:r>
      <w:r w:rsidR="002401F5" w:rsidRPr="00EC6076">
        <w:rPr>
          <w:color w:val="000000" w:themeColor="text1"/>
        </w:rPr>
        <w:t xml:space="preserve">valsts institūciju un privātā sektora sadarbība, lai informētu par sankciju efektivitāti un vērstos pret iespējamiem sankciju apiešanas mēģinājumiem. </w:t>
      </w:r>
    </w:p>
    <w:p w14:paraId="2A2DFAC2" w14:textId="3AFD7391" w:rsidR="002401F5" w:rsidRPr="00EC6076" w:rsidRDefault="002401F5" w:rsidP="00EC6076">
      <w:pPr>
        <w:jc w:val="both"/>
        <w:rPr>
          <w:color w:val="000000" w:themeColor="text1"/>
        </w:rPr>
      </w:pPr>
    </w:p>
    <w:p w14:paraId="284754A0" w14:textId="45DEA446" w:rsidR="002401F5" w:rsidRPr="00EC6076" w:rsidRDefault="002401F5" w:rsidP="00EC6076">
      <w:pPr>
        <w:jc w:val="both"/>
        <w:rPr>
          <w:color w:val="000000" w:themeColor="text1"/>
        </w:rPr>
      </w:pPr>
      <w:r w:rsidRPr="00EC6076">
        <w:rPr>
          <w:color w:val="000000" w:themeColor="text1"/>
        </w:rPr>
        <w:t xml:space="preserve">Kopumā 2023. gadā sadarbība starp valsts institūcijām bijusi veiksmīga un uz sadarbību vērsta. Vienlaikus pārmaiņas 2024. gadā, </w:t>
      </w:r>
      <w:r w:rsidR="00900001" w:rsidRPr="00EC6076">
        <w:rPr>
          <w:color w:val="000000" w:themeColor="text1"/>
        </w:rPr>
        <w:t xml:space="preserve">kad kopš 1. aprīļa FID ir noteikts kā centrālā iestāde sankciju izpildē Latvijā, atvieglos arī citu institūciju darbu sankciju izpildes jomā, jo skaidri noteikts, kur personas var vērsties gan ar lūgumiem piemērot sankcijās paredzētos izņēmumus, gan ar lūgumiem sniegt skaidrojumus par sankciju piemērošanu. </w:t>
      </w:r>
    </w:p>
    <w:p w14:paraId="58E4DC0B" w14:textId="0950E4AE" w:rsidR="002401F5" w:rsidRPr="00EC6076" w:rsidRDefault="002401F5" w:rsidP="00EC6076">
      <w:pPr>
        <w:jc w:val="both"/>
        <w:rPr>
          <w:color w:val="000000" w:themeColor="text1"/>
        </w:rPr>
      </w:pPr>
    </w:p>
    <w:p w14:paraId="6311DA01" w14:textId="08CAE6DB" w:rsidR="00900001" w:rsidRPr="00EC6076" w:rsidRDefault="00900001" w:rsidP="00EC6076">
      <w:pPr>
        <w:jc w:val="both"/>
      </w:pPr>
      <w:r w:rsidRPr="00EC6076">
        <w:t xml:space="preserve">Attiecībā uz turpmāko Padomes darbu, </w:t>
      </w:r>
      <w:r w:rsidR="000145A6" w:rsidRPr="000145A6">
        <w:t xml:space="preserve"> 2024.</w:t>
      </w:r>
      <w:r w:rsidR="000145A6">
        <w:t xml:space="preserve"> gada 4. jūnijā</w:t>
      </w:r>
      <w:r w:rsidR="000145A6" w:rsidRPr="000145A6">
        <w:t xml:space="preserve"> </w:t>
      </w:r>
      <w:r w:rsidR="00A60117">
        <w:t>ir stājušies spēkā</w:t>
      </w:r>
      <w:r w:rsidRPr="00EC6076">
        <w:t xml:space="preserve"> Ministru kabineta noteikum</w:t>
      </w:r>
      <w:r w:rsidR="00A60117">
        <w:t xml:space="preserve">i </w:t>
      </w:r>
      <w:r w:rsidR="00B75069" w:rsidRPr="00EC6076">
        <w:t xml:space="preserve"> </w:t>
      </w:r>
      <w:r w:rsidR="00A60117">
        <w:t>Nr</w:t>
      </w:r>
      <w:r w:rsidR="000145A6">
        <w:t>. 322</w:t>
      </w:r>
      <w:r w:rsidR="00A60117">
        <w:t xml:space="preserve"> </w:t>
      </w:r>
      <w:r w:rsidR="00B75069" w:rsidRPr="00EC6076">
        <w:t>“Grozījumi Ministru kabineta 2019. gada 9. jūlija noteikumos Nr. 328 “Sankciju koordinācijas padomes nolikums</w:t>
      </w:r>
      <w:r w:rsidRPr="00EC6076">
        <w:t xml:space="preserve">, kas paredz precizēt </w:t>
      </w:r>
      <w:r w:rsidR="00B75069" w:rsidRPr="00EC6076">
        <w:t>P</w:t>
      </w:r>
      <w:r w:rsidRPr="00EC6076">
        <w:t xml:space="preserve">adomei noteiktās funkcijas, ņemot vērā, ka daļa no tām </w:t>
      </w:r>
      <w:r w:rsidR="00C1076C">
        <w:t xml:space="preserve">2024.gada 1.aprīlī </w:t>
      </w:r>
      <w:r w:rsidR="00A60117">
        <w:t>nodota</w:t>
      </w:r>
      <w:r w:rsidR="00A60117" w:rsidRPr="00EC6076">
        <w:t xml:space="preserve"> </w:t>
      </w:r>
      <w:r w:rsidRPr="00EC6076">
        <w:t>FID</w:t>
      </w:r>
      <w:r w:rsidR="00C1076C">
        <w:t xml:space="preserve"> kompetencē</w:t>
      </w:r>
      <w:r w:rsidR="00B75069" w:rsidRPr="00EC6076">
        <w:t>. Padomei joprojām saglabā</w:t>
      </w:r>
      <w:r w:rsidR="00A60117">
        <w:t>jas</w:t>
      </w:r>
      <w:r w:rsidR="00B75069" w:rsidRPr="00EC6076">
        <w:t xml:space="preserve"> koordinācijas funkcija normatīvo aktu vienveidīgā piemērošanā starptautisko un Latvijas Republikas nacionālo sankciju jomā, tādēļ Padomes sēdes nepieciešams organizēt arī turpmāk. </w:t>
      </w:r>
      <w:r w:rsidR="00A60117">
        <w:t xml:space="preserve">Sēdes turpmāk </w:t>
      </w:r>
      <w:r w:rsidR="00B75069" w:rsidRPr="00EC6076">
        <w:t>sasaucamas ne retāk kā divas reizes gadā ar iespēju sasaukt papildus sēdes pēc nepieciešamības.</w:t>
      </w:r>
      <w:r w:rsidR="00EC6076">
        <w:t xml:space="preserve"> Turklāt iestāžu sadarbība </w:t>
      </w:r>
      <w:r w:rsidR="00A60117">
        <w:t xml:space="preserve">turpinās </w:t>
      </w:r>
      <w:r w:rsidR="00EC6076">
        <w:t xml:space="preserve">arī </w:t>
      </w:r>
      <w:r w:rsidR="00EC6076" w:rsidRPr="00EC6076">
        <w:t>cit</w:t>
      </w:r>
      <w:r w:rsidR="00EC6076">
        <w:t>o</w:t>
      </w:r>
      <w:r w:rsidR="00EC6076" w:rsidRPr="00EC6076">
        <w:t>s regulāros sadarbības formātus</w:t>
      </w:r>
      <w:r w:rsidR="00EC6076">
        <w:t>.</w:t>
      </w:r>
    </w:p>
    <w:p w14:paraId="0FCBF543" w14:textId="085BD93A" w:rsidR="004D1D6C" w:rsidRPr="00EC6076" w:rsidRDefault="004D1D6C" w:rsidP="00EC6076">
      <w:pPr>
        <w:jc w:val="both"/>
        <w:rPr>
          <w:color w:val="000000" w:themeColor="text1"/>
        </w:rPr>
      </w:pPr>
    </w:p>
    <w:p w14:paraId="1E8CD18D" w14:textId="77777777" w:rsidR="00C1232D" w:rsidRPr="00EC6076" w:rsidRDefault="00C1232D" w:rsidP="00EC6076">
      <w:pPr>
        <w:jc w:val="both"/>
        <w:rPr>
          <w:color w:val="000000" w:themeColor="text1"/>
        </w:rPr>
      </w:pPr>
    </w:p>
    <w:p w14:paraId="1B4FC945" w14:textId="77777777" w:rsidR="00803DA3" w:rsidRPr="00EC6076" w:rsidRDefault="00803DA3" w:rsidP="00EC6076">
      <w:pPr>
        <w:jc w:val="right"/>
        <w:rPr>
          <w:color w:val="000000" w:themeColor="text1"/>
        </w:rPr>
      </w:pPr>
    </w:p>
    <w:p w14:paraId="5EE914A3" w14:textId="6B070EFC" w:rsidR="002A4610" w:rsidRPr="00EC6076" w:rsidRDefault="002A4610" w:rsidP="00EC6076">
      <w:pPr>
        <w:tabs>
          <w:tab w:val="left" w:pos="9072"/>
        </w:tabs>
        <w:rPr>
          <w:color w:val="000000" w:themeColor="text1"/>
        </w:rPr>
      </w:pPr>
      <w:r w:rsidRPr="00EC6076">
        <w:rPr>
          <w:color w:val="000000" w:themeColor="text1"/>
        </w:rPr>
        <w:t>Iesniedzējs: ārlietu ministr</w:t>
      </w:r>
      <w:r w:rsidR="00713AF2">
        <w:rPr>
          <w:color w:val="000000" w:themeColor="text1"/>
        </w:rPr>
        <w:t>e</w:t>
      </w:r>
      <w:r w:rsidR="00AF1CB8" w:rsidRPr="00EC6076">
        <w:rPr>
          <w:color w:val="000000" w:themeColor="text1"/>
        </w:rPr>
        <w:t xml:space="preserve"> </w:t>
      </w:r>
      <w:r w:rsidR="00AF1CB8" w:rsidRPr="00EC6076">
        <w:rPr>
          <w:color w:val="000000" w:themeColor="text1"/>
        </w:rPr>
        <w:tab/>
      </w:r>
      <w:proofErr w:type="spellStart"/>
      <w:r w:rsidR="00B75069" w:rsidRPr="00EC6076">
        <w:rPr>
          <w:color w:val="000000" w:themeColor="text1"/>
        </w:rPr>
        <w:t>B</w:t>
      </w:r>
      <w:r w:rsidR="004D0D12" w:rsidRPr="00EC6076">
        <w:rPr>
          <w:color w:val="000000" w:themeColor="text1"/>
        </w:rPr>
        <w:t>.</w:t>
      </w:r>
      <w:r w:rsidR="00B75069" w:rsidRPr="00EC6076">
        <w:rPr>
          <w:color w:val="000000" w:themeColor="text1"/>
        </w:rPr>
        <w:t>Braže</w:t>
      </w:r>
      <w:proofErr w:type="spellEnd"/>
    </w:p>
    <w:p w14:paraId="2EC99060" w14:textId="77777777" w:rsidR="00AF644F" w:rsidRPr="00EC6076" w:rsidRDefault="00AF644F" w:rsidP="00EC6076">
      <w:pPr>
        <w:jc w:val="both"/>
        <w:rPr>
          <w:color w:val="000000" w:themeColor="text1"/>
        </w:rPr>
      </w:pPr>
    </w:p>
    <w:p w14:paraId="05B48094" w14:textId="77777777" w:rsidR="00AF644F" w:rsidRPr="00EC6076" w:rsidRDefault="00AF644F" w:rsidP="00EC6076">
      <w:pPr>
        <w:jc w:val="both"/>
        <w:rPr>
          <w:color w:val="000000" w:themeColor="text1"/>
        </w:rPr>
      </w:pPr>
    </w:p>
    <w:p w14:paraId="58781738" w14:textId="76CBD1CD" w:rsidR="00253C60" w:rsidRPr="00EC6076" w:rsidRDefault="002A4610" w:rsidP="00EC6076">
      <w:pPr>
        <w:tabs>
          <w:tab w:val="left" w:pos="9214"/>
        </w:tabs>
        <w:rPr>
          <w:color w:val="000000" w:themeColor="text1"/>
        </w:rPr>
      </w:pPr>
      <w:r w:rsidRPr="00EC6076">
        <w:rPr>
          <w:color w:val="000000" w:themeColor="text1"/>
        </w:rPr>
        <w:t>Vīza: valsts sekretārs</w:t>
      </w:r>
      <w:r w:rsidR="00AF1CB8" w:rsidRPr="00EC6076">
        <w:rPr>
          <w:color w:val="000000" w:themeColor="text1"/>
        </w:rPr>
        <w:t xml:space="preserve"> </w:t>
      </w:r>
      <w:r w:rsidR="00AF1CB8" w:rsidRPr="00EC6076">
        <w:rPr>
          <w:color w:val="000000" w:themeColor="text1"/>
        </w:rPr>
        <w:tab/>
      </w:r>
      <w:r w:rsidRPr="00EC6076">
        <w:rPr>
          <w:color w:val="000000" w:themeColor="text1"/>
        </w:rPr>
        <w:t>A.Pelšs</w:t>
      </w:r>
      <w:r w:rsidR="00AF644F" w:rsidRPr="00EC6076">
        <w:rPr>
          <w:color w:val="000000" w:themeColor="text1"/>
        </w:rPr>
        <w:t xml:space="preserve"> </w:t>
      </w:r>
    </w:p>
    <w:sectPr w:rsidR="00253C60" w:rsidRPr="00EC6076" w:rsidSect="00AF1CB8">
      <w:headerReference w:type="even" r:id="rId13"/>
      <w:footerReference w:type="even" r:id="rId14"/>
      <w:footerReference w:type="default" r:id="rId15"/>
      <w:footerReference w:type="first" r:id="rId16"/>
      <w:pgSz w:w="12240" w:h="15840"/>
      <w:pgMar w:top="851" w:right="1134" w:bottom="1134" w:left="1134" w:header="720" w:footer="442"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E6FE9" w14:textId="77777777" w:rsidR="002E5F61" w:rsidRDefault="002E5F61">
      <w:r>
        <w:separator/>
      </w:r>
    </w:p>
  </w:endnote>
  <w:endnote w:type="continuationSeparator" w:id="0">
    <w:p w14:paraId="79D47E5A" w14:textId="77777777" w:rsidR="002E5F61" w:rsidRDefault="002E5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3D17C" w14:textId="77777777" w:rsidR="005C6D94" w:rsidRDefault="005C6D9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Pr>
        <w:color w:val="000000"/>
      </w:rPr>
      <w:fldChar w:fldCharType="end"/>
    </w:r>
  </w:p>
  <w:p w14:paraId="2A8853CC" w14:textId="77777777" w:rsidR="005C6D94" w:rsidRDefault="005C6D94">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eastAsiaTheme="minorEastAsia" w:hAnsiTheme="minorHAnsi"/>
        <w:sz w:val="22"/>
        <w:szCs w:val="22"/>
        <w:lang w:val="en-US" w:eastAsia="en-US"/>
      </w:rPr>
      <w:id w:val="-66811135"/>
      <w:docPartObj>
        <w:docPartGallery w:val="Page Numbers (Bottom of Page)"/>
        <w:docPartUnique/>
      </w:docPartObj>
    </w:sdtPr>
    <w:sdtEndPr>
      <w:rPr>
        <w:noProof/>
      </w:rPr>
    </w:sdtEndPr>
    <w:sdtContent>
      <w:p w14:paraId="702196FE" w14:textId="38D3C5AC" w:rsidR="00A319CE" w:rsidRDefault="00A319CE" w:rsidP="00A319CE">
        <w:pPr>
          <w:pBdr>
            <w:top w:val="nil"/>
            <w:left w:val="nil"/>
            <w:bottom w:val="nil"/>
            <w:right w:val="nil"/>
            <w:between w:val="nil"/>
          </w:pBdr>
          <w:tabs>
            <w:tab w:val="center" w:pos="4153"/>
            <w:tab w:val="right" w:pos="8306"/>
          </w:tabs>
          <w:rPr>
            <w:color w:val="000000"/>
            <w:sz w:val="20"/>
            <w:szCs w:val="20"/>
          </w:rPr>
        </w:pPr>
        <w:r w:rsidRPr="00D05A61">
          <w:rPr>
            <w:color w:val="000000"/>
            <w:sz w:val="20"/>
            <w:szCs w:val="20"/>
          </w:rPr>
          <w:t>AMZino_</w:t>
        </w:r>
        <w:r w:rsidR="009B7432">
          <w:rPr>
            <w:color w:val="000000"/>
            <w:sz w:val="20"/>
            <w:szCs w:val="20"/>
          </w:rPr>
          <w:t>050724</w:t>
        </w:r>
        <w:r w:rsidRPr="00D05A61">
          <w:rPr>
            <w:color w:val="000000"/>
            <w:sz w:val="20"/>
            <w:szCs w:val="20"/>
          </w:rPr>
          <w:t>_“Par Sankciju koordinācijas padomes darbību 202</w:t>
        </w:r>
        <w:r w:rsidR="001063B7">
          <w:rPr>
            <w:color w:val="000000"/>
            <w:sz w:val="20"/>
            <w:szCs w:val="20"/>
          </w:rPr>
          <w:t>3</w:t>
        </w:r>
        <w:r w:rsidRPr="00D05A61">
          <w:rPr>
            <w:color w:val="000000"/>
            <w:sz w:val="20"/>
            <w:szCs w:val="20"/>
          </w:rPr>
          <w:t>.gadā”</w:t>
        </w:r>
      </w:p>
      <w:p w14:paraId="7D16236A" w14:textId="1B7901B5" w:rsidR="00BD6F67" w:rsidRDefault="00BD6F67" w:rsidP="008C42DA">
        <w:pPr>
          <w:pStyle w:val="Footer"/>
          <w:jc w:val="center"/>
        </w:pPr>
        <w:r>
          <w:fldChar w:fldCharType="begin"/>
        </w:r>
        <w:r>
          <w:instrText xml:space="preserve"> PAGE   \* MERGEFORMAT </w:instrText>
        </w:r>
        <w:r>
          <w:fldChar w:fldCharType="separate"/>
        </w:r>
        <w:r w:rsidR="00093BD0">
          <w:rPr>
            <w:noProof/>
          </w:rPr>
          <w:t>5</w:t>
        </w:r>
        <w:r>
          <w:rPr>
            <w:noProof/>
          </w:rPr>
          <w:fldChar w:fldCharType="end"/>
        </w:r>
      </w:p>
    </w:sdtContent>
  </w:sdt>
  <w:p w14:paraId="443D1263" w14:textId="77777777" w:rsidR="00BD6F67" w:rsidRDefault="00BD6F6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98042" w14:textId="2311B747" w:rsidR="005C6D94" w:rsidRDefault="00D05A61">
    <w:pPr>
      <w:pBdr>
        <w:top w:val="nil"/>
        <w:left w:val="nil"/>
        <w:bottom w:val="nil"/>
        <w:right w:val="nil"/>
        <w:between w:val="nil"/>
      </w:pBdr>
      <w:tabs>
        <w:tab w:val="center" w:pos="4153"/>
        <w:tab w:val="right" w:pos="8306"/>
      </w:tabs>
      <w:rPr>
        <w:color w:val="000000"/>
        <w:sz w:val="20"/>
        <w:szCs w:val="20"/>
      </w:rPr>
    </w:pPr>
    <w:r w:rsidRPr="00D05A61">
      <w:rPr>
        <w:color w:val="000000"/>
        <w:sz w:val="20"/>
        <w:szCs w:val="20"/>
      </w:rPr>
      <w:t>AMZino_</w:t>
    </w:r>
    <w:r w:rsidR="009B7432">
      <w:rPr>
        <w:color w:val="000000"/>
        <w:sz w:val="20"/>
        <w:szCs w:val="20"/>
      </w:rPr>
      <w:t>0507</w:t>
    </w:r>
    <w:r w:rsidR="00F03051">
      <w:rPr>
        <w:color w:val="000000"/>
        <w:sz w:val="20"/>
        <w:szCs w:val="20"/>
      </w:rPr>
      <w:t>2</w:t>
    </w:r>
    <w:r w:rsidR="009B7432">
      <w:rPr>
        <w:color w:val="000000"/>
        <w:sz w:val="20"/>
        <w:szCs w:val="20"/>
      </w:rPr>
      <w:t>4</w:t>
    </w:r>
    <w:r w:rsidRPr="00D05A61">
      <w:rPr>
        <w:color w:val="000000"/>
        <w:sz w:val="20"/>
        <w:szCs w:val="20"/>
      </w:rPr>
      <w:t>_“Par Sankciju koordinācijas padomes darbību 202</w:t>
    </w:r>
    <w:r w:rsidR="00F03051">
      <w:rPr>
        <w:color w:val="000000"/>
        <w:sz w:val="20"/>
        <w:szCs w:val="20"/>
      </w:rPr>
      <w:t>3</w:t>
    </w:r>
    <w:r w:rsidRPr="00D05A61">
      <w:rPr>
        <w:color w:val="000000"/>
        <w:sz w:val="20"/>
        <w:szCs w:val="20"/>
      </w:rPr>
      <w:t>.gadā”</w:t>
    </w:r>
  </w:p>
  <w:p w14:paraId="361BB897" w14:textId="60854B0D" w:rsidR="00D05A61" w:rsidRDefault="00D05A61">
    <w:pPr>
      <w:pBdr>
        <w:top w:val="nil"/>
        <w:left w:val="nil"/>
        <w:bottom w:val="nil"/>
        <w:right w:val="nil"/>
        <w:between w:val="nil"/>
      </w:pBdr>
      <w:tabs>
        <w:tab w:val="center" w:pos="4153"/>
        <w:tab w:val="right" w:pos="8306"/>
      </w:tabs>
      <w:rPr>
        <w:color w:val="000000"/>
      </w:rPr>
    </w:pPr>
  </w:p>
  <w:p w14:paraId="749D1586" w14:textId="77777777" w:rsidR="00D05A61" w:rsidRDefault="00D05A61">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ECDA2" w14:textId="77777777" w:rsidR="002E5F61" w:rsidRDefault="002E5F61">
      <w:r>
        <w:separator/>
      </w:r>
    </w:p>
  </w:footnote>
  <w:footnote w:type="continuationSeparator" w:id="0">
    <w:p w14:paraId="1A421264" w14:textId="77777777" w:rsidR="002E5F61" w:rsidRDefault="002E5F61">
      <w:r>
        <w:continuationSeparator/>
      </w:r>
    </w:p>
  </w:footnote>
  <w:footnote w:id="1">
    <w:p w14:paraId="31058E9B" w14:textId="08D6D8EE" w:rsidR="001063B7" w:rsidRDefault="001063B7">
      <w:pPr>
        <w:pStyle w:val="FootnoteText"/>
      </w:pPr>
      <w:r>
        <w:rPr>
          <w:rStyle w:val="FootnoteReference"/>
        </w:rPr>
        <w:footnoteRef/>
      </w:r>
      <w:r>
        <w:t xml:space="preserve"> </w:t>
      </w:r>
      <w:r>
        <w:rPr>
          <w:rFonts w:eastAsia="Calibri"/>
          <w:lang w:eastAsia="en-US"/>
        </w:rPr>
        <w:t xml:space="preserve">Saeima grozījumus </w:t>
      </w:r>
      <w:r w:rsidRPr="00460380">
        <w:rPr>
          <w:rFonts w:eastAsia="Calibri"/>
          <w:lang w:eastAsia="en-US"/>
        </w:rPr>
        <w:t>Starptautisko un Latvijas Republikas nacionālo sankciju likumā</w:t>
      </w:r>
      <w:r>
        <w:rPr>
          <w:rFonts w:eastAsia="Calibri"/>
          <w:lang w:eastAsia="en-US"/>
        </w:rPr>
        <w:t xml:space="preserve"> pieņēma 2023. gada 8. decembrī, tie stājās spēkā 2024. gada 1. aprīlī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354BA" w14:textId="77777777" w:rsidR="005C6D94" w:rsidRDefault="005C6D94">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52B63671" w14:textId="77777777" w:rsidR="005C6D94" w:rsidRDefault="005C6D94">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90747"/>
    <w:multiLevelType w:val="hybridMultilevel"/>
    <w:tmpl w:val="8D987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BF214F"/>
    <w:multiLevelType w:val="multilevel"/>
    <w:tmpl w:val="23FE44AA"/>
    <w:lvl w:ilvl="0">
      <w:start w:val="1"/>
      <w:numFmt w:val="decimal"/>
      <w:lvlText w:val="%1."/>
      <w:lvlJc w:val="left"/>
      <w:pPr>
        <w:ind w:left="420" w:hanging="420"/>
      </w:pPr>
      <w:rPr>
        <w:i w:val="0"/>
        <w:sz w:val="24"/>
        <w:szCs w:val="24"/>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620" w:hanging="360"/>
      </w:pPr>
    </w:lvl>
    <w:lvl w:ilvl="3">
      <w:start w:val="5"/>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06422F7F"/>
    <w:multiLevelType w:val="multilevel"/>
    <w:tmpl w:val="23FE44AA"/>
    <w:lvl w:ilvl="0">
      <w:start w:val="1"/>
      <w:numFmt w:val="decimal"/>
      <w:lvlText w:val="%1."/>
      <w:lvlJc w:val="left"/>
      <w:pPr>
        <w:ind w:left="420" w:hanging="420"/>
      </w:pPr>
      <w:rPr>
        <w:i w:val="0"/>
        <w:sz w:val="24"/>
        <w:szCs w:val="24"/>
      </w:r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620" w:hanging="360"/>
      </w:pPr>
    </w:lvl>
    <w:lvl w:ilvl="3">
      <w:start w:val="5"/>
      <w:numFmt w:val="lowerLetter"/>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3" w15:restartNumberingAfterBreak="0">
    <w:nsid w:val="09361CDB"/>
    <w:multiLevelType w:val="multilevel"/>
    <w:tmpl w:val="832A6872"/>
    <w:lvl w:ilvl="0">
      <w:start w:val="1"/>
      <w:numFmt w:val="upperRoman"/>
      <w:lvlText w:val="%1."/>
      <w:lvlJc w:val="left"/>
      <w:pPr>
        <w:ind w:left="1146" w:hanging="72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D1E5DF4"/>
    <w:multiLevelType w:val="multilevel"/>
    <w:tmpl w:val="3E801FDC"/>
    <w:lvl w:ilvl="0">
      <w:start w:val="2"/>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EEB7435"/>
    <w:multiLevelType w:val="hybridMultilevel"/>
    <w:tmpl w:val="DF706BAC"/>
    <w:lvl w:ilvl="0" w:tplc="07825E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0F8768A6"/>
    <w:multiLevelType w:val="hybridMultilevel"/>
    <w:tmpl w:val="077A2F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0708BD"/>
    <w:multiLevelType w:val="multilevel"/>
    <w:tmpl w:val="BC1288A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CC1F6B"/>
    <w:multiLevelType w:val="hybridMultilevel"/>
    <w:tmpl w:val="5B12195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E17EB6"/>
    <w:multiLevelType w:val="hybridMultilevel"/>
    <w:tmpl w:val="CCBCD9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72A69FD"/>
    <w:multiLevelType w:val="multilevel"/>
    <w:tmpl w:val="A11C57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7ED26BC"/>
    <w:multiLevelType w:val="multilevel"/>
    <w:tmpl w:val="3B6C0D1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94817F9"/>
    <w:multiLevelType w:val="hybridMultilevel"/>
    <w:tmpl w:val="9FDADC46"/>
    <w:lvl w:ilvl="0" w:tplc="E5C08AC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B5F37C9"/>
    <w:multiLevelType w:val="hybridMultilevel"/>
    <w:tmpl w:val="18A26D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FB64D9F"/>
    <w:multiLevelType w:val="hybridMultilevel"/>
    <w:tmpl w:val="FFC49B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9A34E2"/>
    <w:multiLevelType w:val="multilevel"/>
    <w:tmpl w:val="0F52FDDA"/>
    <w:lvl w:ilvl="0">
      <w:start w:val="1"/>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AA654A6"/>
    <w:multiLevelType w:val="hybridMultilevel"/>
    <w:tmpl w:val="44CA63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FE47458"/>
    <w:multiLevelType w:val="hybridMultilevel"/>
    <w:tmpl w:val="16089A92"/>
    <w:lvl w:ilvl="0" w:tplc="5E1E31DA">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9720072"/>
    <w:multiLevelType w:val="multilevel"/>
    <w:tmpl w:val="AAC85A62"/>
    <w:lvl w:ilvl="0">
      <w:start w:val="1"/>
      <w:numFmt w:val="decimal"/>
      <w:lvlText w:val="%1."/>
      <w:lvlJc w:val="left"/>
      <w:pPr>
        <w:ind w:left="360" w:hanging="360"/>
      </w:pPr>
      <w:rPr>
        <w:rFonts w:hint="default"/>
      </w:rPr>
    </w:lvl>
    <w:lvl w:ilvl="1">
      <w:start w:val="1"/>
      <w:numFmt w:val="decimal"/>
      <w:lvlText w:val="%1.%2."/>
      <w:lvlJc w:val="left"/>
      <w:pPr>
        <w:ind w:left="2880" w:hanging="36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280" w:hanging="72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3680" w:hanging="108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080" w:hanging="1440"/>
      </w:pPr>
      <w:rPr>
        <w:rFonts w:hint="default"/>
      </w:rPr>
    </w:lvl>
    <w:lvl w:ilvl="8">
      <w:start w:val="1"/>
      <w:numFmt w:val="decimal"/>
      <w:lvlText w:val="%1.%2.%3.%4.%5.%6.%7.%8.%9."/>
      <w:lvlJc w:val="left"/>
      <w:pPr>
        <w:ind w:left="21960" w:hanging="1800"/>
      </w:pPr>
      <w:rPr>
        <w:rFonts w:hint="default"/>
      </w:rPr>
    </w:lvl>
  </w:abstractNum>
  <w:abstractNum w:abstractNumId="19" w15:restartNumberingAfterBreak="0">
    <w:nsid w:val="39757B20"/>
    <w:multiLevelType w:val="hybridMultilevel"/>
    <w:tmpl w:val="ACA485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C3C1477"/>
    <w:multiLevelType w:val="hybridMultilevel"/>
    <w:tmpl w:val="792A9B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00D0276"/>
    <w:multiLevelType w:val="hybridMultilevel"/>
    <w:tmpl w:val="8E6E7AC4"/>
    <w:lvl w:ilvl="0" w:tplc="F66649EE">
      <w:start w:val="1"/>
      <w:numFmt w:val="decimal"/>
      <w:lvlText w:val="%1."/>
      <w:lvlJc w:val="left"/>
      <w:pPr>
        <w:ind w:left="720" w:hanging="360"/>
      </w:pPr>
      <w:rPr>
        <w:rFonts w:hint="default"/>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8B70EC90">
      <w:start w:val="1"/>
      <w:numFmt w:val="decimal"/>
      <w:lvlText w:val="%4."/>
      <w:lvlJc w:val="left"/>
      <w:pPr>
        <w:ind w:left="2880" w:hanging="360"/>
      </w:pPr>
      <w:rPr>
        <w:i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1D7219C"/>
    <w:multiLevelType w:val="hybridMultilevel"/>
    <w:tmpl w:val="7ABAD8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4D73B07"/>
    <w:multiLevelType w:val="hybridMultilevel"/>
    <w:tmpl w:val="0480EE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355D18"/>
    <w:multiLevelType w:val="hybridMultilevel"/>
    <w:tmpl w:val="89ECC7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DDE04C2"/>
    <w:multiLevelType w:val="multilevel"/>
    <w:tmpl w:val="64963330"/>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F344506"/>
    <w:multiLevelType w:val="hybridMultilevel"/>
    <w:tmpl w:val="8B1C1A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F5E0984"/>
    <w:multiLevelType w:val="hybridMultilevel"/>
    <w:tmpl w:val="9DC2A9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FBE62DA"/>
    <w:multiLevelType w:val="hybridMultilevel"/>
    <w:tmpl w:val="41A8424A"/>
    <w:lvl w:ilvl="0" w:tplc="9E105282">
      <w:start w:val="1"/>
      <w:numFmt w:val="decimal"/>
      <w:lvlText w:val="%1."/>
      <w:lvlJc w:val="left"/>
      <w:pPr>
        <w:ind w:left="540" w:hanging="360"/>
      </w:pPr>
      <w:rPr>
        <w:rFonts w:hint="default"/>
        <w:b w:val="0"/>
        <w:color w:val="auto"/>
      </w:rPr>
    </w:lvl>
    <w:lvl w:ilvl="1" w:tplc="04260019" w:tentative="1">
      <w:start w:val="1"/>
      <w:numFmt w:val="lowerLetter"/>
      <w:lvlText w:val="%2."/>
      <w:lvlJc w:val="left"/>
      <w:pPr>
        <w:ind w:left="1260" w:hanging="360"/>
      </w:pPr>
    </w:lvl>
    <w:lvl w:ilvl="2" w:tplc="0426001B" w:tentative="1">
      <w:start w:val="1"/>
      <w:numFmt w:val="lowerRoman"/>
      <w:lvlText w:val="%3."/>
      <w:lvlJc w:val="right"/>
      <w:pPr>
        <w:ind w:left="1980" w:hanging="180"/>
      </w:pPr>
    </w:lvl>
    <w:lvl w:ilvl="3" w:tplc="0426000F" w:tentative="1">
      <w:start w:val="1"/>
      <w:numFmt w:val="decimal"/>
      <w:lvlText w:val="%4."/>
      <w:lvlJc w:val="left"/>
      <w:pPr>
        <w:ind w:left="2700" w:hanging="360"/>
      </w:pPr>
    </w:lvl>
    <w:lvl w:ilvl="4" w:tplc="04260019" w:tentative="1">
      <w:start w:val="1"/>
      <w:numFmt w:val="lowerLetter"/>
      <w:lvlText w:val="%5."/>
      <w:lvlJc w:val="left"/>
      <w:pPr>
        <w:ind w:left="3420" w:hanging="360"/>
      </w:pPr>
    </w:lvl>
    <w:lvl w:ilvl="5" w:tplc="0426001B" w:tentative="1">
      <w:start w:val="1"/>
      <w:numFmt w:val="lowerRoman"/>
      <w:lvlText w:val="%6."/>
      <w:lvlJc w:val="right"/>
      <w:pPr>
        <w:ind w:left="4140" w:hanging="180"/>
      </w:pPr>
    </w:lvl>
    <w:lvl w:ilvl="6" w:tplc="0426000F" w:tentative="1">
      <w:start w:val="1"/>
      <w:numFmt w:val="decimal"/>
      <w:lvlText w:val="%7."/>
      <w:lvlJc w:val="left"/>
      <w:pPr>
        <w:ind w:left="4860" w:hanging="360"/>
      </w:pPr>
    </w:lvl>
    <w:lvl w:ilvl="7" w:tplc="04260019" w:tentative="1">
      <w:start w:val="1"/>
      <w:numFmt w:val="lowerLetter"/>
      <w:lvlText w:val="%8."/>
      <w:lvlJc w:val="left"/>
      <w:pPr>
        <w:ind w:left="5580" w:hanging="360"/>
      </w:pPr>
    </w:lvl>
    <w:lvl w:ilvl="8" w:tplc="0426001B" w:tentative="1">
      <w:start w:val="1"/>
      <w:numFmt w:val="lowerRoman"/>
      <w:lvlText w:val="%9."/>
      <w:lvlJc w:val="right"/>
      <w:pPr>
        <w:ind w:left="6300" w:hanging="180"/>
      </w:pPr>
    </w:lvl>
  </w:abstractNum>
  <w:abstractNum w:abstractNumId="29" w15:restartNumberingAfterBreak="0">
    <w:nsid w:val="500F02A7"/>
    <w:multiLevelType w:val="hybridMultilevel"/>
    <w:tmpl w:val="D20EFD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0BE3D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0D656F9"/>
    <w:multiLevelType w:val="hybridMultilevel"/>
    <w:tmpl w:val="DF0443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A96DC8"/>
    <w:multiLevelType w:val="hybridMultilevel"/>
    <w:tmpl w:val="7AC2D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8B0C75"/>
    <w:multiLevelType w:val="hybridMultilevel"/>
    <w:tmpl w:val="C8F01500"/>
    <w:lvl w:ilvl="0" w:tplc="F9B68826">
      <w:start w:val="1"/>
      <w:numFmt w:val="decimal"/>
      <w:lvlText w:val="%1."/>
      <w:lvlJc w:val="left"/>
      <w:pPr>
        <w:ind w:left="720" w:hanging="360"/>
      </w:pPr>
      <w:rPr>
        <w:rFonts w:ascii="Times New Roman" w:eastAsia="Calibri"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A02482"/>
    <w:multiLevelType w:val="hybridMultilevel"/>
    <w:tmpl w:val="A296B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94556AB"/>
    <w:multiLevelType w:val="hybridMultilevel"/>
    <w:tmpl w:val="95D0BA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9DD2148"/>
    <w:multiLevelType w:val="hybridMultilevel"/>
    <w:tmpl w:val="142C5B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7E44EB"/>
    <w:multiLevelType w:val="hybridMultilevel"/>
    <w:tmpl w:val="203ACA72"/>
    <w:lvl w:ilvl="0" w:tplc="2724E92A">
      <w:start w:val="1"/>
      <w:numFmt w:val="decimal"/>
      <w:lvlText w:val="%1."/>
      <w:lvlJc w:val="left"/>
      <w:pPr>
        <w:ind w:left="720" w:hanging="72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E20022F"/>
    <w:multiLevelType w:val="hybridMultilevel"/>
    <w:tmpl w:val="0DC226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1C90370"/>
    <w:multiLevelType w:val="multilevel"/>
    <w:tmpl w:val="866A1AE6"/>
    <w:lvl w:ilvl="0">
      <w:start w:val="2"/>
      <w:numFmt w:val="decimal"/>
      <w:lvlText w:val="%1."/>
      <w:lvlJc w:val="left"/>
      <w:pPr>
        <w:ind w:left="540" w:hanging="360"/>
      </w:pPr>
      <w:rPr>
        <w:rFonts w:hint="default"/>
        <w:b/>
      </w:rPr>
    </w:lvl>
    <w:lvl w:ilvl="1">
      <w:start w:val="1"/>
      <w:numFmt w:val="decimal"/>
      <w:lvlText w:val="%1.%2."/>
      <w:lvlJc w:val="left"/>
      <w:pPr>
        <w:ind w:left="900" w:hanging="360"/>
      </w:pPr>
      <w:rPr>
        <w:rFonts w:hint="default"/>
        <w:color w:val="auto"/>
      </w:rPr>
    </w:lvl>
    <w:lvl w:ilvl="2">
      <w:start w:val="1"/>
      <w:numFmt w:val="decimal"/>
      <w:lvlText w:val="%1.%2.%3."/>
      <w:lvlJc w:val="left"/>
      <w:pPr>
        <w:ind w:left="162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40" w:hanging="1440"/>
      </w:pPr>
      <w:rPr>
        <w:rFonts w:hint="default"/>
      </w:rPr>
    </w:lvl>
    <w:lvl w:ilvl="8">
      <w:start w:val="1"/>
      <w:numFmt w:val="decimal"/>
      <w:lvlText w:val="%1.%2.%3.%4.%5.%6.%7.%8.%9."/>
      <w:lvlJc w:val="left"/>
      <w:pPr>
        <w:ind w:left="4860" w:hanging="1800"/>
      </w:pPr>
      <w:rPr>
        <w:rFonts w:hint="default"/>
      </w:rPr>
    </w:lvl>
  </w:abstractNum>
  <w:abstractNum w:abstractNumId="40" w15:restartNumberingAfterBreak="0">
    <w:nsid w:val="72586730"/>
    <w:multiLevelType w:val="hybridMultilevel"/>
    <w:tmpl w:val="175201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2E758F3"/>
    <w:multiLevelType w:val="hybridMultilevel"/>
    <w:tmpl w:val="615432C4"/>
    <w:lvl w:ilvl="0" w:tplc="BC2A256E">
      <w:start w:val="1"/>
      <w:numFmt w:val="decimal"/>
      <w:lvlText w:val="%1."/>
      <w:lvlJc w:val="left"/>
      <w:pPr>
        <w:tabs>
          <w:tab w:val="num" w:pos="420"/>
        </w:tabs>
        <w:ind w:left="420" w:hanging="420"/>
      </w:pPr>
      <w:rPr>
        <w:rFonts w:hint="default"/>
        <w:i w:val="0"/>
        <w:sz w:val="24"/>
      </w:rPr>
    </w:lvl>
    <w:lvl w:ilvl="1" w:tplc="2C4A717A">
      <w:start w:val="1"/>
      <w:numFmt w:val="lowerLetter"/>
      <w:lvlText w:val="%2)"/>
      <w:lvlJc w:val="left"/>
      <w:pPr>
        <w:tabs>
          <w:tab w:val="num" w:pos="720"/>
        </w:tabs>
        <w:ind w:left="720" w:hanging="360"/>
      </w:pPr>
      <w:rPr>
        <w:rFonts w:ascii="Times New Roman" w:eastAsia="Times New Roman" w:hAnsi="Times New Roman" w:cs="Times New Roman"/>
      </w:rPr>
    </w:lvl>
    <w:lvl w:ilvl="2" w:tplc="AEE61B02">
      <w:start w:val="1"/>
      <w:numFmt w:val="lowerLetter"/>
      <w:lvlText w:val="%3."/>
      <w:lvlJc w:val="left"/>
      <w:pPr>
        <w:tabs>
          <w:tab w:val="num" w:pos="1620"/>
        </w:tabs>
        <w:ind w:left="1620" w:hanging="360"/>
      </w:pPr>
      <w:rPr>
        <w:rFonts w:hint="default"/>
      </w:rPr>
    </w:lvl>
    <w:lvl w:ilvl="3" w:tplc="E5826BE6">
      <w:start w:val="5"/>
      <w:numFmt w:val="lowerLetter"/>
      <w:lvlText w:val="%4)"/>
      <w:lvlJc w:val="left"/>
      <w:pPr>
        <w:tabs>
          <w:tab w:val="num" w:pos="2160"/>
        </w:tabs>
        <w:ind w:left="2160" w:hanging="360"/>
      </w:pPr>
      <w:rPr>
        <w:rFonts w:hint="default"/>
      </w:r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2" w15:restartNumberingAfterBreak="0">
    <w:nsid w:val="7C911A62"/>
    <w:multiLevelType w:val="multilevel"/>
    <w:tmpl w:val="9E607468"/>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F7E517A"/>
    <w:multiLevelType w:val="hybridMultilevel"/>
    <w:tmpl w:val="7AC2DA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1"/>
  </w:num>
  <w:num w:numId="3">
    <w:abstractNumId w:val="25"/>
  </w:num>
  <w:num w:numId="4">
    <w:abstractNumId w:val="3"/>
  </w:num>
  <w:num w:numId="5">
    <w:abstractNumId w:val="41"/>
  </w:num>
  <w:num w:numId="6">
    <w:abstractNumId w:val="2"/>
  </w:num>
  <w:num w:numId="7">
    <w:abstractNumId w:val="10"/>
  </w:num>
  <w:num w:numId="8">
    <w:abstractNumId w:val="21"/>
  </w:num>
  <w:num w:numId="9">
    <w:abstractNumId w:val="14"/>
  </w:num>
  <w:num w:numId="10">
    <w:abstractNumId w:val="20"/>
  </w:num>
  <w:num w:numId="11">
    <w:abstractNumId w:val="29"/>
  </w:num>
  <w:num w:numId="12">
    <w:abstractNumId w:val="30"/>
  </w:num>
  <w:num w:numId="13">
    <w:abstractNumId w:val="32"/>
  </w:num>
  <w:num w:numId="14">
    <w:abstractNumId w:val="34"/>
  </w:num>
  <w:num w:numId="15">
    <w:abstractNumId w:val="12"/>
  </w:num>
  <w:num w:numId="16">
    <w:abstractNumId w:val="43"/>
  </w:num>
  <w:num w:numId="17">
    <w:abstractNumId w:val="38"/>
  </w:num>
  <w:num w:numId="18">
    <w:abstractNumId w:val="23"/>
  </w:num>
  <w:num w:numId="19">
    <w:abstractNumId w:val="19"/>
  </w:num>
  <w:num w:numId="20">
    <w:abstractNumId w:val="36"/>
  </w:num>
  <w:num w:numId="21">
    <w:abstractNumId w:val="22"/>
  </w:num>
  <w:num w:numId="22">
    <w:abstractNumId w:val="17"/>
  </w:num>
  <w:num w:numId="23">
    <w:abstractNumId w:val="18"/>
  </w:num>
  <w:num w:numId="24">
    <w:abstractNumId w:val="9"/>
  </w:num>
  <w:num w:numId="25">
    <w:abstractNumId w:val="39"/>
  </w:num>
  <w:num w:numId="26">
    <w:abstractNumId w:val="13"/>
  </w:num>
  <w:num w:numId="27">
    <w:abstractNumId w:val="28"/>
  </w:num>
  <w:num w:numId="28">
    <w:abstractNumId w:val="11"/>
  </w:num>
  <w:num w:numId="29">
    <w:abstractNumId w:val="4"/>
  </w:num>
  <w:num w:numId="30">
    <w:abstractNumId w:val="8"/>
  </w:num>
  <w:num w:numId="31">
    <w:abstractNumId w:val="5"/>
  </w:num>
  <w:num w:numId="32">
    <w:abstractNumId w:val="42"/>
  </w:num>
  <w:num w:numId="33">
    <w:abstractNumId w:val="16"/>
  </w:num>
  <w:num w:numId="34">
    <w:abstractNumId w:val="37"/>
  </w:num>
  <w:num w:numId="35">
    <w:abstractNumId w:val="15"/>
  </w:num>
  <w:num w:numId="36">
    <w:abstractNumId w:val="0"/>
  </w:num>
  <w:num w:numId="37">
    <w:abstractNumId w:val="26"/>
  </w:num>
  <w:num w:numId="38">
    <w:abstractNumId w:val="31"/>
  </w:num>
  <w:num w:numId="39">
    <w:abstractNumId w:val="35"/>
  </w:num>
  <w:num w:numId="40">
    <w:abstractNumId w:val="27"/>
  </w:num>
  <w:num w:numId="41">
    <w:abstractNumId w:val="6"/>
  </w:num>
  <w:num w:numId="42">
    <w:abstractNumId w:val="24"/>
  </w:num>
  <w:num w:numId="43">
    <w:abstractNumId w:val="40"/>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D15"/>
    <w:rsid w:val="00002139"/>
    <w:rsid w:val="00002B6A"/>
    <w:rsid w:val="000049B1"/>
    <w:rsid w:val="00007421"/>
    <w:rsid w:val="00013DE6"/>
    <w:rsid w:val="000145A6"/>
    <w:rsid w:val="000173E6"/>
    <w:rsid w:val="00021F42"/>
    <w:rsid w:val="00023244"/>
    <w:rsid w:val="00023C6F"/>
    <w:rsid w:val="00024344"/>
    <w:rsid w:val="000278D6"/>
    <w:rsid w:val="00034512"/>
    <w:rsid w:val="00035521"/>
    <w:rsid w:val="00036540"/>
    <w:rsid w:val="0003793C"/>
    <w:rsid w:val="000425BB"/>
    <w:rsid w:val="00042E4E"/>
    <w:rsid w:val="000445F0"/>
    <w:rsid w:val="00045E05"/>
    <w:rsid w:val="00046718"/>
    <w:rsid w:val="000513E5"/>
    <w:rsid w:val="000516EB"/>
    <w:rsid w:val="00051C54"/>
    <w:rsid w:val="00060516"/>
    <w:rsid w:val="00060810"/>
    <w:rsid w:val="00060BA6"/>
    <w:rsid w:val="00067909"/>
    <w:rsid w:val="00070A87"/>
    <w:rsid w:val="00075794"/>
    <w:rsid w:val="000765CE"/>
    <w:rsid w:val="00077676"/>
    <w:rsid w:val="000828AB"/>
    <w:rsid w:val="0008646D"/>
    <w:rsid w:val="000903D8"/>
    <w:rsid w:val="000905B4"/>
    <w:rsid w:val="0009255E"/>
    <w:rsid w:val="00093BD0"/>
    <w:rsid w:val="00094AB8"/>
    <w:rsid w:val="00096ABE"/>
    <w:rsid w:val="000A1E55"/>
    <w:rsid w:val="000A565D"/>
    <w:rsid w:val="000A60FB"/>
    <w:rsid w:val="000B42AD"/>
    <w:rsid w:val="000B4748"/>
    <w:rsid w:val="000B4AFD"/>
    <w:rsid w:val="000B577B"/>
    <w:rsid w:val="000B6429"/>
    <w:rsid w:val="000B668B"/>
    <w:rsid w:val="000C036F"/>
    <w:rsid w:val="000C0707"/>
    <w:rsid w:val="000C26B5"/>
    <w:rsid w:val="000C5258"/>
    <w:rsid w:val="000C6406"/>
    <w:rsid w:val="000D15AA"/>
    <w:rsid w:val="000E003F"/>
    <w:rsid w:val="000E05D7"/>
    <w:rsid w:val="000E1F12"/>
    <w:rsid w:val="000E7549"/>
    <w:rsid w:val="000F0FDF"/>
    <w:rsid w:val="000F1B59"/>
    <w:rsid w:val="000F1EB2"/>
    <w:rsid w:val="000F4E3B"/>
    <w:rsid w:val="00101967"/>
    <w:rsid w:val="001033B7"/>
    <w:rsid w:val="001049C3"/>
    <w:rsid w:val="001063B7"/>
    <w:rsid w:val="00106C52"/>
    <w:rsid w:val="00107C23"/>
    <w:rsid w:val="00110E3C"/>
    <w:rsid w:val="00111C6E"/>
    <w:rsid w:val="00113C26"/>
    <w:rsid w:val="00114D0E"/>
    <w:rsid w:val="00116988"/>
    <w:rsid w:val="00120A2A"/>
    <w:rsid w:val="00121DAF"/>
    <w:rsid w:val="001225DB"/>
    <w:rsid w:val="00123D6F"/>
    <w:rsid w:val="0012438B"/>
    <w:rsid w:val="00124C40"/>
    <w:rsid w:val="00130B07"/>
    <w:rsid w:val="001318DC"/>
    <w:rsid w:val="00132FAB"/>
    <w:rsid w:val="0013582D"/>
    <w:rsid w:val="0014302A"/>
    <w:rsid w:val="0014346A"/>
    <w:rsid w:val="001434B9"/>
    <w:rsid w:val="00143B6C"/>
    <w:rsid w:val="00145A04"/>
    <w:rsid w:val="00153EE2"/>
    <w:rsid w:val="001544D9"/>
    <w:rsid w:val="00155E7C"/>
    <w:rsid w:val="00156303"/>
    <w:rsid w:val="00156D61"/>
    <w:rsid w:val="001570CC"/>
    <w:rsid w:val="001603EB"/>
    <w:rsid w:val="001719F6"/>
    <w:rsid w:val="00171E1E"/>
    <w:rsid w:val="00176A7D"/>
    <w:rsid w:val="001770AA"/>
    <w:rsid w:val="001826B6"/>
    <w:rsid w:val="0018678C"/>
    <w:rsid w:val="00187269"/>
    <w:rsid w:val="00192577"/>
    <w:rsid w:val="00195318"/>
    <w:rsid w:val="00197657"/>
    <w:rsid w:val="00197808"/>
    <w:rsid w:val="001A110B"/>
    <w:rsid w:val="001A2EF7"/>
    <w:rsid w:val="001A3F29"/>
    <w:rsid w:val="001B0D27"/>
    <w:rsid w:val="001B107C"/>
    <w:rsid w:val="001B2D5C"/>
    <w:rsid w:val="001B2FD4"/>
    <w:rsid w:val="001B5EE3"/>
    <w:rsid w:val="001C5FA0"/>
    <w:rsid w:val="001D029B"/>
    <w:rsid w:val="001D35B5"/>
    <w:rsid w:val="001D65E8"/>
    <w:rsid w:val="001E3F1D"/>
    <w:rsid w:val="001E78ED"/>
    <w:rsid w:val="001F51CA"/>
    <w:rsid w:val="00201BFA"/>
    <w:rsid w:val="0020335A"/>
    <w:rsid w:val="00204AA5"/>
    <w:rsid w:val="00212634"/>
    <w:rsid w:val="00212DDB"/>
    <w:rsid w:val="00214E37"/>
    <w:rsid w:val="0021542A"/>
    <w:rsid w:val="00215EB3"/>
    <w:rsid w:val="00216CE1"/>
    <w:rsid w:val="00216FFB"/>
    <w:rsid w:val="0022406D"/>
    <w:rsid w:val="00224643"/>
    <w:rsid w:val="002401F5"/>
    <w:rsid w:val="002426FA"/>
    <w:rsid w:val="0024457C"/>
    <w:rsid w:val="00244613"/>
    <w:rsid w:val="002457EB"/>
    <w:rsid w:val="00247343"/>
    <w:rsid w:val="00250049"/>
    <w:rsid w:val="00251B02"/>
    <w:rsid w:val="00253C60"/>
    <w:rsid w:val="00253C9C"/>
    <w:rsid w:val="00255FAF"/>
    <w:rsid w:val="00261A73"/>
    <w:rsid w:val="0026285C"/>
    <w:rsid w:val="002663F8"/>
    <w:rsid w:val="002708FF"/>
    <w:rsid w:val="002712D7"/>
    <w:rsid w:val="00272D66"/>
    <w:rsid w:val="00275AF0"/>
    <w:rsid w:val="00277A5E"/>
    <w:rsid w:val="0028062A"/>
    <w:rsid w:val="00280E38"/>
    <w:rsid w:val="00282324"/>
    <w:rsid w:val="00283D52"/>
    <w:rsid w:val="002848D4"/>
    <w:rsid w:val="0028794F"/>
    <w:rsid w:val="00290133"/>
    <w:rsid w:val="00290804"/>
    <w:rsid w:val="00295D75"/>
    <w:rsid w:val="00295DD2"/>
    <w:rsid w:val="002A0AF6"/>
    <w:rsid w:val="002A3429"/>
    <w:rsid w:val="002A34DF"/>
    <w:rsid w:val="002A4610"/>
    <w:rsid w:val="002A6ECC"/>
    <w:rsid w:val="002B5C4A"/>
    <w:rsid w:val="002C07B5"/>
    <w:rsid w:val="002C4C0E"/>
    <w:rsid w:val="002C5948"/>
    <w:rsid w:val="002C63D1"/>
    <w:rsid w:val="002C7367"/>
    <w:rsid w:val="002C7E27"/>
    <w:rsid w:val="002D0BB2"/>
    <w:rsid w:val="002D3C91"/>
    <w:rsid w:val="002D574D"/>
    <w:rsid w:val="002D6EE1"/>
    <w:rsid w:val="002E0CF8"/>
    <w:rsid w:val="002E3F05"/>
    <w:rsid w:val="002E5F61"/>
    <w:rsid w:val="002E7712"/>
    <w:rsid w:val="002F0F62"/>
    <w:rsid w:val="002F3BBA"/>
    <w:rsid w:val="002F3D7D"/>
    <w:rsid w:val="002F4CA0"/>
    <w:rsid w:val="00300B31"/>
    <w:rsid w:val="00306FE9"/>
    <w:rsid w:val="0031442B"/>
    <w:rsid w:val="003178CD"/>
    <w:rsid w:val="00322940"/>
    <w:rsid w:val="00323B72"/>
    <w:rsid w:val="0032521D"/>
    <w:rsid w:val="0032559E"/>
    <w:rsid w:val="003317DD"/>
    <w:rsid w:val="0033363D"/>
    <w:rsid w:val="00341949"/>
    <w:rsid w:val="0034277F"/>
    <w:rsid w:val="003515E9"/>
    <w:rsid w:val="003527FC"/>
    <w:rsid w:val="003567FB"/>
    <w:rsid w:val="00363C3A"/>
    <w:rsid w:val="0036416F"/>
    <w:rsid w:val="00377716"/>
    <w:rsid w:val="00380500"/>
    <w:rsid w:val="003813AC"/>
    <w:rsid w:val="00382208"/>
    <w:rsid w:val="003848F3"/>
    <w:rsid w:val="00385885"/>
    <w:rsid w:val="00390412"/>
    <w:rsid w:val="00393C15"/>
    <w:rsid w:val="003978C2"/>
    <w:rsid w:val="003A0BF0"/>
    <w:rsid w:val="003A478B"/>
    <w:rsid w:val="003B03A2"/>
    <w:rsid w:val="003B26F7"/>
    <w:rsid w:val="003B6BAF"/>
    <w:rsid w:val="003B7904"/>
    <w:rsid w:val="003C4BA7"/>
    <w:rsid w:val="003C52ED"/>
    <w:rsid w:val="003C60E3"/>
    <w:rsid w:val="003D6AD0"/>
    <w:rsid w:val="003D7170"/>
    <w:rsid w:val="003E0ED4"/>
    <w:rsid w:val="003E47DF"/>
    <w:rsid w:val="003F036C"/>
    <w:rsid w:val="003F213B"/>
    <w:rsid w:val="003F2AAE"/>
    <w:rsid w:val="003F6611"/>
    <w:rsid w:val="003F6EF5"/>
    <w:rsid w:val="003F79E9"/>
    <w:rsid w:val="003F7D67"/>
    <w:rsid w:val="004001E8"/>
    <w:rsid w:val="004109BF"/>
    <w:rsid w:val="00412429"/>
    <w:rsid w:val="0041344B"/>
    <w:rsid w:val="004134CC"/>
    <w:rsid w:val="00416967"/>
    <w:rsid w:val="004201FA"/>
    <w:rsid w:val="0042251D"/>
    <w:rsid w:val="0042777B"/>
    <w:rsid w:val="00435AD5"/>
    <w:rsid w:val="0043665B"/>
    <w:rsid w:val="00437270"/>
    <w:rsid w:val="0044050B"/>
    <w:rsid w:val="00445F1E"/>
    <w:rsid w:val="0044715A"/>
    <w:rsid w:val="004516BB"/>
    <w:rsid w:val="00453EE9"/>
    <w:rsid w:val="0046136D"/>
    <w:rsid w:val="0046358B"/>
    <w:rsid w:val="004675F6"/>
    <w:rsid w:val="0046794E"/>
    <w:rsid w:val="004769AE"/>
    <w:rsid w:val="00490C35"/>
    <w:rsid w:val="00493985"/>
    <w:rsid w:val="004A0702"/>
    <w:rsid w:val="004A2661"/>
    <w:rsid w:val="004A7997"/>
    <w:rsid w:val="004B2237"/>
    <w:rsid w:val="004B2AFD"/>
    <w:rsid w:val="004C1DC1"/>
    <w:rsid w:val="004C581B"/>
    <w:rsid w:val="004C7480"/>
    <w:rsid w:val="004C7F05"/>
    <w:rsid w:val="004D0D12"/>
    <w:rsid w:val="004D1851"/>
    <w:rsid w:val="004D1D6C"/>
    <w:rsid w:val="004D78C6"/>
    <w:rsid w:val="004E14D3"/>
    <w:rsid w:val="004E43F6"/>
    <w:rsid w:val="004F26C7"/>
    <w:rsid w:val="004F3523"/>
    <w:rsid w:val="004F4879"/>
    <w:rsid w:val="004F7135"/>
    <w:rsid w:val="004F7617"/>
    <w:rsid w:val="005017A3"/>
    <w:rsid w:val="00505227"/>
    <w:rsid w:val="00505A55"/>
    <w:rsid w:val="00511BB8"/>
    <w:rsid w:val="005129EE"/>
    <w:rsid w:val="005231DE"/>
    <w:rsid w:val="005254A7"/>
    <w:rsid w:val="005262C6"/>
    <w:rsid w:val="00532598"/>
    <w:rsid w:val="005344D9"/>
    <w:rsid w:val="00535485"/>
    <w:rsid w:val="00540007"/>
    <w:rsid w:val="00543BD0"/>
    <w:rsid w:val="0055063F"/>
    <w:rsid w:val="00551741"/>
    <w:rsid w:val="005566BC"/>
    <w:rsid w:val="005566C0"/>
    <w:rsid w:val="005604BA"/>
    <w:rsid w:val="00560FCA"/>
    <w:rsid w:val="00564FAC"/>
    <w:rsid w:val="00573D37"/>
    <w:rsid w:val="005766A8"/>
    <w:rsid w:val="005830A5"/>
    <w:rsid w:val="00584D9C"/>
    <w:rsid w:val="00593E04"/>
    <w:rsid w:val="005A246D"/>
    <w:rsid w:val="005A4626"/>
    <w:rsid w:val="005B590E"/>
    <w:rsid w:val="005B69AC"/>
    <w:rsid w:val="005B7072"/>
    <w:rsid w:val="005B71FB"/>
    <w:rsid w:val="005B7809"/>
    <w:rsid w:val="005B7DB0"/>
    <w:rsid w:val="005B7E4C"/>
    <w:rsid w:val="005C2F35"/>
    <w:rsid w:val="005C49D3"/>
    <w:rsid w:val="005C6D94"/>
    <w:rsid w:val="005C708E"/>
    <w:rsid w:val="005D098A"/>
    <w:rsid w:val="005D4C55"/>
    <w:rsid w:val="005E22E2"/>
    <w:rsid w:val="00600024"/>
    <w:rsid w:val="006001B3"/>
    <w:rsid w:val="00602986"/>
    <w:rsid w:val="00604D6C"/>
    <w:rsid w:val="00605351"/>
    <w:rsid w:val="00610DB8"/>
    <w:rsid w:val="00612B8D"/>
    <w:rsid w:val="00616621"/>
    <w:rsid w:val="006208F1"/>
    <w:rsid w:val="00621547"/>
    <w:rsid w:val="006220E3"/>
    <w:rsid w:val="00624DC5"/>
    <w:rsid w:val="00630A0B"/>
    <w:rsid w:val="00633DB6"/>
    <w:rsid w:val="00637013"/>
    <w:rsid w:val="00642DD3"/>
    <w:rsid w:val="00645D9B"/>
    <w:rsid w:val="00645FEA"/>
    <w:rsid w:val="0065244F"/>
    <w:rsid w:val="006527E6"/>
    <w:rsid w:val="00654BD6"/>
    <w:rsid w:val="00655D7A"/>
    <w:rsid w:val="0066511A"/>
    <w:rsid w:val="006661BD"/>
    <w:rsid w:val="00671369"/>
    <w:rsid w:val="00673757"/>
    <w:rsid w:val="00676880"/>
    <w:rsid w:val="0068461B"/>
    <w:rsid w:val="00686DF9"/>
    <w:rsid w:val="00693C0C"/>
    <w:rsid w:val="006960FA"/>
    <w:rsid w:val="00696517"/>
    <w:rsid w:val="006A3A38"/>
    <w:rsid w:val="006A59D1"/>
    <w:rsid w:val="006A6549"/>
    <w:rsid w:val="006B63B0"/>
    <w:rsid w:val="006B7175"/>
    <w:rsid w:val="006B7483"/>
    <w:rsid w:val="006C4C87"/>
    <w:rsid w:val="006C56C9"/>
    <w:rsid w:val="006C7CA1"/>
    <w:rsid w:val="006D19E9"/>
    <w:rsid w:val="006D4EE9"/>
    <w:rsid w:val="006D74C0"/>
    <w:rsid w:val="006E15F4"/>
    <w:rsid w:val="006E5E0F"/>
    <w:rsid w:val="006F3476"/>
    <w:rsid w:val="006F351B"/>
    <w:rsid w:val="00711D43"/>
    <w:rsid w:val="00712658"/>
    <w:rsid w:val="00712FA2"/>
    <w:rsid w:val="00713AF2"/>
    <w:rsid w:val="00714CC1"/>
    <w:rsid w:val="007163FE"/>
    <w:rsid w:val="00720858"/>
    <w:rsid w:val="007217C6"/>
    <w:rsid w:val="0072308E"/>
    <w:rsid w:val="00723455"/>
    <w:rsid w:val="007261C9"/>
    <w:rsid w:val="00731740"/>
    <w:rsid w:val="00735431"/>
    <w:rsid w:val="00737393"/>
    <w:rsid w:val="00742D27"/>
    <w:rsid w:val="0074496F"/>
    <w:rsid w:val="00744C56"/>
    <w:rsid w:val="00747051"/>
    <w:rsid w:val="00754558"/>
    <w:rsid w:val="0075460B"/>
    <w:rsid w:val="00784A81"/>
    <w:rsid w:val="00785A7B"/>
    <w:rsid w:val="00790520"/>
    <w:rsid w:val="00790DC7"/>
    <w:rsid w:val="007930D5"/>
    <w:rsid w:val="00794972"/>
    <w:rsid w:val="007959F7"/>
    <w:rsid w:val="00796F56"/>
    <w:rsid w:val="007A6DC7"/>
    <w:rsid w:val="007A7163"/>
    <w:rsid w:val="007B6DF3"/>
    <w:rsid w:val="007C0E63"/>
    <w:rsid w:val="007C1947"/>
    <w:rsid w:val="007C5B0B"/>
    <w:rsid w:val="007D2232"/>
    <w:rsid w:val="007E30DD"/>
    <w:rsid w:val="007E34FF"/>
    <w:rsid w:val="007E5764"/>
    <w:rsid w:val="007E5DC8"/>
    <w:rsid w:val="007E7615"/>
    <w:rsid w:val="007F2B63"/>
    <w:rsid w:val="007F54B3"/>
    <w:rsid w:val="007F6287"/>
    <w:rsid w:val="007F7E3E"/>
    <w:rsid w:val="007F7F3A"/>
    <w:rsid w:val="00800302"/>
    <w:rsid w:val="00803DA3"/>
    <w:rsid w:val="00805837"/>
    <w:rsid w:val="00812414"/>
    <w:rsid w:val="00812B24"/>
    <w:rsid w:val="008138D3"/>
    <w:rsid w:val="00821CFC"/>
    <w:rsid w:val="008232BF"/>
    <w:rsid w:val="00826263"/>
    <w:rsid w:val="00831CFB"/>
    <w:rsid w:val="00831FE4"/>
    <w:rsid w:val="008410CB"/>
    <w:rsid w:val="00845C6A"/>
    <w:rsid w:val="0085064B"/>
    <w:rsid w:val="00852BB1"/>
    <w:rsid w:val="0085582D"/>
    <w:rsid w:val="00855C2D"/>
    <w:rsid w:val="0085647E"/>
    <w:rsid w:val="008632EC"/>
    <w:rsid w:val="008700E3"/>
    <w:rsid w:val="008701CD"/>
    <w:rsid w:val="0087391E"/>
    <w:rsid w:val="00875FF1"/>
    <w:rsid w:val="0087779A"/>
    <w:rsid w:val="00886492"/>
    <w:rsid w:val="008925E1"/>
    <w:rsid w:val="008953C7"/>
    <w:rsid w:val="00897B4C"/>
    <w:rsid w:val="008A7105"/>
    <w:rsid w:val="008A72B1"/>
    <w:rsid w:val="008B4465"/>
    <w:rsid w:val="008B4BF1"/>
    <w:rsid w:val="008B4D7C"/>
    <w:rsid w:val="008B592D"/>
    <w:rsid w:val="008B70A3"/>
    <w:rsid w:val="008C2E60"/>
    <w:rsid w:val="008C2FEC"/>
    <w:rsid w:val="008C321D"/>
    <w:rsid w:val="008C3EDC"/>
    <w:rsid w:val="008C42DA"/>
    <w:rsid w:val="008D108E"/>
    <w:rsid w:val="008D379E"/>
    <w:rsid w:val="008E4F78"/>
    <w:rsid w:val="008E5E61"/>
    <w:rsid w:val="008E649C"/>
    <w:rsid w:val="008F7377"/>
    <w:rsid w:val="008F7CBE"/>
    <w:rsid w:val="00900001"/>
    <w:rsid w:val="00905702"/>
    <w:rsid w:val="00912B2A"/>
    <w:rsid w:val="0091325F"/>
    <w:rsid w:val="00913C41"/>
    <w:rsid w:val="00915AE9"/>
    <w:rsid w:val="00915B6F"/>
    <w:rsid w:val="00916E91"/>
    <w:rsid w:val="009223EB"/>
    <w:rsid w:val="009224ED"/>
    <w:rsid w:val="00923E4F"/>
    <w:rsid w:val="0092629E"/>
    <w:rsid w:val="00927592"/>
    <w:rsid w:val="0093462F"/>
    <w:rsid w:val="00934785"/>
    <w:rsid w:val="0093585C"/>
    <w:rsid w:val="009365DD"/>
    <w:rsid w:val="009407E4"/>
    <w:rsid w:val="0094178E"/>
    <w:rsid w:val="00942D5F"/>
    <w:rsid w:val="00944709"/>
    <w:rsid w:val="009470B6"/>
    <w:rsid w:val="00950592"/>
    <w:rsid w:val="009521DD"/>
    <w:rsid w:val="009561A0"/>
    <w:rsid w:val="0095728B"/>
    <w:rsid w:val="00964C4E"/>
    <w:rsid w:val="00967998"/>
    <w:rsid w:val="00967FE7"/>
    <w:rsid w:val="00971FD7"/>
    <w:rsid w:val="009723F3"/>
    <w:rsid w:val="00973B97"/>
    <w:rsid w:val="0097487B"/>
    <w:rsid w:val="0097683E"/>
    <w:rsid w:val="00981DE0"/>
    <w:rsid w:val="0098634F"/>
    <w:rsid w:val="00986ACC"/>
    <w:rsid w:val="009922B4"/>
    <w:rsid w:val="009A0A90"/>
    <w:rsid w:val="009A20EA"/>
    <w:rsid w:val="009A2B94"/>
    <w:rsid w:val="009A6B31"/>
    <w:rsid w:val="009B233F"/>
    <w:rsid w:val="009B4D15"/>
    <w:rsid w:val="009B5FBE"/>
    <w:rsid w:val="009B6127"/>
    <w:rsid w:val="009B7432"/>
    <w:rsid w:val="009B7C4A"/>
    <w:rsid w:val="009C2009"/>
    <w:rsid w:val="009C3664"/>
    <w:rsid w:val="009C4183"/>
    <w:rsid w:val="009C44D5"/>
    <w:rsid w:val="009C70FD"/>
    <w:rsid w:val="009D1525"/>
    <w:rsid w:val="009D2332"/>
    <w:rsid w:val="009D2766"/>
    <w:rsid w:val="009D5862"/>
    <w:rsid w:val="009E30BB"/>
    <w:rsid w:val="009E65EE"/>
    <w:rsid w:val="009E70BE"/>
    <w:rsid w:val="009F068B"/>
    <w:rsid w:val="009F09BD"/>
    <w:rsid w:val="009F7A0E"/>
    <w:rsid w:val="00A03717"/>
    <w:rsid w:val="00A05E14"/>
    <w:rsid w:val="00A06912"/>
    <w:rsid w:val="00A06CF6"/>
    <w:rsid w:val="00A1048B"/>
    <w:rsid w:val="00A10F8D"/>
    <w:rsid w:val="00A123EF"/>
    <w:rsid w:val="00A1508E"/>
    <w:rsid w:val="00A1538C"/>
    <w:rsid w:val="00A229CE"/>
    <w:rsid w:val="00A22B96"/>
    <w:rsid w:val="00A2604C"/>
    <w:rsid w:val="00A319CE"/>
    <w:rsid w:val="00A37083"/>
    <w:rsid w:val="00A452EE"/>
    <w:rsid w:val="00A474ED"/>
    <w:rsid w:val="00A501E1"/>
    <w:rsid w:val="00A506B6"/>
    <w:rsid w:val="00A50FD5"/>
    <w:rsid w:val="00A546FD"/>
    <w:rsid w:val="00A55957"/>
    <w:rsid w:val="00A60117"/>
    <w:rsid w:val="00A6183A"/>
    <w:rsid w:val="00A62C54"/>
    <w:rsid w:val="00A63938"/>
    <w:rsid w:val="00A71C61"/>
    <w:rsid w:val="00A80D05"/>
    <w:rsid w:val="00A872DF"/>
    <w:rsid w:val="00A9003E"/>
    <w:rsid w:val="00A90058"/>
    <w:rsid w:val="00A90C3E"/>
    <w:rsid w:val="00A96473"/>
    <w:rsid w:val="00A96B87"/>
    <w:rsid w:val="00AA04D9"/>
    <w:rsid w:val="00AA0B13"/>
    <w:rsid w:val="00AA22FC"/>
    <w:rsid w:val="00AA2A23"/>
    <w:rsid w:val="00AA3174"/>
    <w:rsid w:val="00AA402C"/>
    <w:rsid w:val="00AA57FA"/>
    <w:rsid w:val="00AB0B65"/>
    <w:rsid w:val="00AB1148"/>
    <w:rsid w:val="00AB32BA"/>
    <w:rsid w:val="00AB5BCE"/>
    <w:rsid w:val="00AC0AC0"/>
    <w:rsid w:val="00AC2D9E"/>
    <w:rsid w:val="00AD0AA6"/>
    <w:rsid w:val="00AD35AC"/>
    <w:rsid w:val="00AD5253"/>
    <w:rsid w:val="00AD65AD"/>
    <w:rsid w:val="00AD6EBD"/>
    <w:rsid w:val="00AE7C1D"/>
    <w:rsid w:val="00AF0F97"/>
    <w:rsid w:val="00AF1CB8"/>
    <w:rsid w:val="00AF6287"/>
    <w:rsid w:val="00AF644F"/>
    <w:rsid w:val="00AF64C9"/>
    <w:rsid w:val="00AF694A"/>
    <w:rsid w:val="00AF697F"/>
    <w:rsid w:val="00AF73EA"/>
    <w:rsid w:val="00B00AC4"/>
    <w:rsid w:val="00B0428C"/>
    <w:rsid w:val="00B07322"/>
    <w:rsid w:val="00B10FD6"/>
    <w:rsid w:val="00B146AF"/>
    <w:rsid w:val="00B14B0E"/>
    <w:rsid w:val="00B15AF9"/>
    <w:rsid w:val="00B17EDC"/>
    <w:rsid w:val="00B21A1C"/>
    <w:rsid w:val="00B2254B"/>
    <w:rsid w:val="00B228FA"/>
    <w:rsid w:val="00B2634F"/>
    <w:rsid w:val="00B3138D"/>
    <w:rsid w:val="00B35C29"/>
    <w:rsid w:val="00B36F4A"/>
    <w:rsid w:val="00B4111A"/>
    <w:rsid w:val="00B44A1C"/>
    <w:rsid w:val="00B45348"/>
    <w:rsid w:val="00B46CCD"/>
    <w:rsid w:val="00B515B5"/>
    <w:rsid w:val="00B528BE"/>
    <w:rsid w:val="00B53E16"/>
    <w:rsid w:val="00B66419"/>
    <w:rsid w:val="00B66BD1"/>
    <w:rsid w:val="00B70556"/>
    <w:rsid w:val="00B7141A"/>
    <w:rsid w:val="00B72AE8"/>
    <w:rsid w:val="00B7317D"/>
    <w:rsid w:val="00B73B77"/>
    <w:rsid w:val="00B744A9"/>
    <w:rsid w:val="00B75069"/>
    <w:rsid w:val="00B7654D"/>
    <w:rsid w:val="00B81FE6"/>
    <w:rsid w:val="00B83100"/>
    <w:rsid w:val="00B8517C"/>
    <w:rsid w:val="00B9060D"/>
    <w:rsid w:val="00B91FF2"/>
    <w:rsid w:val="00B9757C"/>
    <w:rsid w:val="00B975DA"/>
    <w:rsid w:val="00BA73EE"/>
    <w:rsid w:val="00BA75AE"/>
    <w:rsid w:val="00BB0C31"/>
    <w:rsid w:val="00BB2CCE"/>
    <w:rsid w:val="00BB3A80"/>
    <w:rsid w:val="00BC7193"/>
    <w:rsid w:val="00BC71EA"/>
    <w:rsid w:val="00BC7A06"/>
    <w:rsid w:val="00BC7AE6"/>
    <w:rsid w:val="00BC7AF6"/>
    <w:rsid w:val="00BC7B35"/>
    <w:rsid w:val="00BD2B05"/>
    <w:rsid w:val="00BD6F67"/>
    <w:rsid w:val="00BD7A18"/>
    <w:rsid w:val="00BE273C"/>
    <w:rsid w:val="00BF6105"/>
    <w:rsid w:val="00BF71C6"/>
    <w:rsid w:val="00C01B56"/>
    <w:rsid w:val="00C05CA2"/>
    <w:rsid w:val="00C1076C"/>
    <w:rsid w:val="00C10A52"/>
    <w:rsid w:val="00C11B4C"/>
    <w:rsid w:val="00C1232D"/>
    <w:rsid w:val="00C155CA"/>
    <w:rsid w:val="00C269FA"/>
    <w:rsid w:val="00C26CE5"/>
    <w:rsid w:val="00C27ED7"/>
    <w:rsid w:val="00C3049E"/>
    <w:rsid w:val="00C416FB"/>
    <w:rsid w:val="00C426C9"/>
    <w:rsid w:val="00C42F00"/>
    <w:rsid w:val="00C4397E"/>
    <w:rsid w:val="00C442B8"/>
    <w:rsid w:val="00C443E2"/>
    <w:rsid w:val="00C524B9"/>
    <w:rsid w:val="00C53A69"/>
    <w:rsid w:val="00C55334"/>
    <w:rsid w:val="00C57D5D"/>
    <w:rsid w:val="00C6393D"/>
    <w:rsid w:val="00C64090"/>
    <w:rsid w:val="00C67DC1"/>
    <w:rsid w:val="00C81169"/>
    <w:rsid w:val="00C81C3C"/>
    <w:rsid w:val="00C833AE"/>
    <w:rsid w:val="00C864F1"/>
    <w:rsid w:val="00C94705"/>
    <w:rsid w:val="00C96A80"/>
    <w:rsid w:val="00CA139A"/>
    <w:rsid w:val="00CA441A"/>
    <w:rsid w:val="00CA577E"/>
    <w:rsid w:val="00CA6D05"/>
    <w:rsid w:val="00CB4DFF"/>
    <w:rsid w:val="00CC07AA"/>
    <w:rsid w:val="00CC78EB"/>
    <w:rsid w:val="00CD2B1A"/>
    <w:rsid w:val="00CE0EFA"/>
    <w:rsid w:val="00CE2E56"/>
    <w:rsid w:val="00CE6304"/>
    <w:rsid w:val="00CF3E12"/>
    <w:rsid w:val="00D02B63"/>
    <w:rsid w:val="00D0533C"/>
    <w:rsid w:val="00D05A61"/>
    <w:rsid w:val="00D11C56"/>
    <w:rsid w:val="00D14371"/>
    <w:rsid w:val="00D1666B"/>
    <w:rsid w:val="00D20725"/>
    <w:rsid w:val="00D22635"/>
    <w:rsid w:val="00D26CC3"/>
    <w:rsid w:val="00D302A9"/>
    <w:rsid w:val="00D31B06"/>
    <w:rsid w:val="00D3708B"/>
    <w:rsid w:val="00D37D63"/>
    <w:rsid w:val="00D46C2E"/>
    <w:rsid w:val="00D47C7A"/>
    <w:rsid w:val="00D47FC1"/>
    <w:rsid w:val="00D52B95"/>
    <w:rsid w:val="00D52BDA"/>
    <w:rsid w:val="00D54594"/>
    <w:rsid w:val="00D571D9"/>
    <w:rsid w:val="00D60409"/>
    <w:rsid w:val="00D604A4"/>
    <w:rsid w:val="00D61023"/>
    <w:rsid w:val="00D61FCC"/>
    <w:rsid w:val="00D626A3"/>
    <w:rsid w:val="00D63893"/>
    <w:rsid w:val="00D65B58"/>
    <w:rsid w:val="00D70B1B"/>
    <w:rsid w:val="00D728E5"/>
    <w:rsid w:val="00D7434F"/>
    <w:rsid w:val="00D82F34"/>
    <w:rsid w:val="00D84745"/>
    <w:rsid w:val="00D85D64"/>
    <w:rsid w:val="00D873D8"/>
    <w:rsid w:val="00D90163"/>
    <w:rsid w:val="00D92813"/>
    <w:rsid w:val="00D92BEB"/>
    <w:rsid w:val="00D96A21"/>
    <w:rsid w:val="00DA1355"/>
    <w:rsid w:val="00DA1DBE"/>
    <w:rsid w:val="00DA5BF3"/>
    <w:rsid w:val="00DA71DE"/>
    <w:rsid w:val="00DB50F1"/>
    <w:rsid w:val="00DB76AB"/>
    <w:rsid w:val="00DC0DD0"/>
    <w:rsid w:val="00DC6AEE"/>
    <w:rsid w:val="00DC7893"/>
    <w:rsid w:val="00DD2D64"/>
    <w:rsid w:val="00DD31FD"/>
    <w:rsid w:val="00DD55C4"/>
    <w:rsid w:val="00DE0600"/>
    <w:rsid w:val="00DE5EC0"/>
    <w:rsid w:val="00DF11BA"/>
    <w:rsid w:val="00DF1351"/>
    <w:rsid w:val="00DF3269"/>
    <w:rsid w:val="00E00999"/>
    <w:rsid w:val="00E07FE5"/>
    <w:rsid w:val="00E1158F"/>
    <w:rsid w:val="00E12130"/>
    <w:rsid w:val="00E14164"/>
    <w:rsid w:val="00E155C5"/>
    <w:rsid w:val="00E15D76"/>
    <w:rsid w:val="00E2020C"/>
    <w:rsid w:val="00E23EF2"/>
    <w:rsid w:val="00E265C9"/>
    <w:rsid w:val="00E30B25"/>
    <w:rsid w:val="00E3264B"/>
    <w:rsid w:val="00E32919"/>
    <w:rsid w:val="00E40D50"/>
    <w:rsid w:val="00E475EA"/>
    <w:rsid w:val="00E476C6"/>
    <w:rsid w:val="00E555D3"/>
    <w:rsid w:val="00E62561"/>
    <w:rsid w:val="00E72A44"/>
    <w:rsid w:val="00E73130"/>
    <w:rsid w:val="00E73279"/>
    <w:rsid w:val="00E8261B"/>
    <w:rsid w:val="00E83433"/>
    <w:rsid w:val="00E8355F"/>
    <w:rsid w:val="00E864F2"/>
    <w:rsid w:val="00E9535B"/>
    <w:rsid w:val="00E95B5B"/>
    <w:rsid w:val="00EA1323"/>
    <w:rsid w:val="00EA4FB5"/>
    <w:rsid w:val="00EB1628"/>
    <w:rsid w:val="00EC27FA"/>
    <w:rsid w:val="00EC2BBF"/>
    <w:rsid w:val="00EC32BD"/>
    <w:rsid w:val="00EC5E4A"/>
    <w:rsid w:val="00EC6076"/>
    <w:rsid w:val="00ED2D27"/>
    <w:rsid w:val="00ED40BB"/>
    <w:rsid w:val="00EE0949"/>
    <w:rsid w:val="00EE2FBE"/>
    <w:rsid w:val="00EE38E6"/>
    <w:rsid w:val="00EE3C12"/>
    <w:rsid w:val="00EE564D"/>
    <w:rsid w:val="00EE584C"/>
    <w:rsid w:val="00EE5C70"/>
    <w:rsid w:val="00EF25AB"/>
    <w:rsid w:val="00EF4168"/>
    <w:rsid w:val="00F008C6"/>
    <w:rsid w:val="00F015AD"/>
    <w:rsid w:val="00F021E4"/>
    <w:rsid w:val="00F03051"/>
    <w:rsid w:val="00F07300"/>
    <w:rsid w:val="00F0738C"/>
    <w:rsid w:val="00F1265A"/>
    <w:rsid w:val="00F143ED"/>
    <w:rsid w:val="00F1617B"/>
    <w:rsid w:val="00F2329C"/>
    <w:rsid w:val="00F24743"/>
    <w:rsid w:val="00F26B62"/>
    <w:rsid w:val="00F3447A"/>
    <w:rsid w:val="00F34786"/>
    <w:rsid w:val="00F4064D"/>
    <w:rsid w:val="00F4621A"/>
    <w:rsid w:val="00F4653A"/>
    <w:rsid w:val="00F473A7"/>
    <w:rsid w:val="00F475B6"/>
    <w:rsid w:val="00F5187B"/>
    <w:rsid w:val="00F538F4"/>
    <w:rsid w:val="00F56E76"/>
    <w:rsid w:val="00F60055"/>
    <w:rsid w:val="00F61F1A"/>
    <w:rsid w:val="00F65797"/>
    <w:rsid w:val="00F66E81"/>
    <w:rsid w:val="00F66F20"/>
    <w:rsid w:val="00F70782"/>
    <w:rsid w:val="00F71894"/>
    <w:rsid w:val="00F746DC"/>
    <w:rsid w:val="00F83E19"/>
    <w:rsid w:val="00F85E16"/>
    <w:rsid w:val="00F90FBB"/>
    <w:rsid w:val="00F93CF8"/>
    <w:rsid w:val="00FA0BF2"/>
    <w:rsid w:val="00FA5798"/>
    <w:rsid w:val="00FA63B8"/>
    <w:rsid w:val="00FB422D"/>
    <w:rsid w:val="00FC18D1"/>
    <w:rsid w:val="00FC2068"/>
    <w:rsid w:val="00FC2ADA"/>
    <w:rsid w:val="00FC46BE"/>
    <w:rsid w:val="00FC4981"/>
    <w:rsid w:val="00FC53DF"/>
    <w:rsid w:val="00FD2C8C"/>
    <w:rsid w:val="00FD3D73"/>
    <w:rsid w:val="00FD759E"/>
    <w:rsid w:val="00FD79B9"/>
    <w:rsid w:val="00FE50DE"/>
    <w:rsid w:val="00FE5CFE"/>
    <w:rsid w:val="00FE73A7"/>
    <w:rsid w:val="00FF32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CF2110"/>
  <w15:docId w15:val="{B8FB662C-64CA-41F9-878F-FEFF685ED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jc w:val="center"/>
      <w:outlineLvl w:val="0"/>
    </w:pPr>
    <w:rPr>
      <w:b/>
      <w:sz w:val="22"/>
      <w:szCs w:val="22"/>
    </w:rPr>
  </w:style>
  <w:style w:type="paragraph" w:styleId="Heading2">
    <w:name w:val="heading 2"/>
    <w:basedOn w:val="Normal"/>
    <w:next w:val="Normal"/>
    <w:pPr>
      <w:keepNext/>
      <w:outlineLvl w:val="1"/>
    </w:pPr>
    <w:rPr>
      <w:i/>
    </w:rPr>
  </w:style>
  <w:style w:type="paragraph" w:styleId="Heading3">
    <w:name w:val="heading 3"/>
    <w:basedOn w:val="Normal"/>
    <w:next w:val="Normal"/>
    <w:pPr>
      <w:keepNext/>
      <w:ind w:left="420"/>
      <w:jc w:val="both"/>
      <w:outlineLvl w:val="2"/>
    </w:pPr>
    <w:rPr>
      <w:b/>
    </w:rPr>
  </w:style>
  <w:style w:type="paragraph" w:styleId="Heading4">
    <w:name w:val="heading 4"/>
    <w:basedOn w:val="Normal"/>
    <w:next w:val="Normal"/>
    <w:pPr>
      <w:keepNext/>
      <w:jc w:val="center"/>
      <w:outlineLvl w:val="3"/>
    </w:pPr>
    <w:rPr>
      <w:b/>
    </w:rPr>
  </w:style>
  <w:style w:type="paragraph" w:styleId="Heading5">
    <w:name w:val="heading 5"/>
    <w:basedOn w:val="Normal"/>
    <w:next w:val="Normal"/>
    <w:pPr>
      <w:keepNext/>
      <w:ind w:left="-18" w:firstLine="18"/>
      <w:jc w:val="center"/>
      <w:outlineLvl w:val="4"/>
    </w:pPr>
    <w:rPr>
      <w:b/>
    </w:rPr>
  </w:style>
  <w:style w:type="paragraph" w:styleId="Heading6">
    <w:name w:val="heading 6"/>
    <w:basedOn w:val="Normal"/>
    <w:next w:val="Normal"/>
    <w:pPr>
      <w:keepNext/>
      <w:jc w:val="both"/>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45E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E05"/>
    <w:rPr>
      <w:rFonts w:ascii="Segoe UI" w:hAnsi="Segoe UI" w:cs="Segoe UI"/>
      <w:sz w:val="18"/>
      <w:szCs w:val="18"/>
    </w:rPr>
  </w:style>
  <w:style w:type="paragraph" w:styleId="Header">
    <w:name w:val="header"/>
    <w:basedOn w:val="Normal"/>
    <w:link w:val="HeaderChar"/>
    <w:uiPriority w:val="99"/>
    <w:unhideWhenUsed/>
    <w:rsid w:val="0055063F"/>
    <w:pPr>
      <w:tabs>
        <w:tab w:val="center" w:pos="4153"/>
        <w:tab w:val="right" w:pos="8306"/>
      </w:tabs>
    </w:pPr>
  </w:style>
  <w:style w:type="character" w:customStyle="1" w:styleId="HeaderChar">
    <w:name w:val="Header Char"/>
    <w:basedOn w:val="DefaultParagraphFont"/>
    <w:link w:val="Header"/>
    <w:uiPriority w:val="99"/>
    <w:rsid w:val="0055063F"/>
  </w:style>
  <w:style w:type="paragraph" w:styleId="ListParagraph">
    <w:name w:val="List Paragraph"/>
    <w:basedOn w:val="Normal"/>
    <w:uiPriority w:val="34"/>
    <w:qFormat/>
    <w:rsid w:val="000D15AA"/>
    <w:pPr>
      <w:ind w:left="720"/>
      <w:contextualSpacing/>
    </w:pPr>
  </w:style>
  <w:style w:type="paragraph" w:styleId="CommentSubject">
    <w:name w:val="annotation subject"/>
    <w:basedOn w:val="CommentText"/>
    <w:next w:val="CommentText"/>
    <w:link w:val="CommentSubjectChar"/>
    <w:uiPriority w:val="99"/>
    <w:semiHidden/>
    <w:unhideWhenUsed/>
    <w:rsid w:val="00002B6A"/>
    <w:rPr>
      <w:b/>
      <w:bCs/>
    </w:rPr>
  </w:style>
  <w:style w:type="character" w:customStyle="1" w:styleId="CommentSubjectChar">
    <w:name w:val="Comment Subject Char"/>
    <w:basedOn w:val="CommentTextChar"/>
    <w:link w:val="CommentSubject"/>
    <w:uiPriority w:val="99"/>
    <w:semiHidden/>
    <w:rsid w:val="00002B6A"/>
    <w:rPr>
      <w:b/>
      <w:bCs/>
      <w:sz w:val="20"/>
      <w:szCs w:val="20"/>
    </w:rPr>
  </w:style>
  <w:style w:type="paragraph" w:styleId="FootnoteText">
    <w:name w:val="footnote text"/>
    <w:basedOn w:val="Normal"/>
    <w:link w:val="FootnoteTextChar"/>
    <w:unhideWhenUsed/>
    <w:rsid w:val="0014346A"/>
    <w:rPr>
      <w:sz w:val="20"/>
      <w:szCs w:val="20"/>
    </w:rPr>
  </w:style>
  <w:style w:type="character" w:customStyle="1" w:styleId="FootnoteTextChar">
    <w:name w:val="Footnote Text Char"/>
    <w:basedOn w:val="DefaultParagraphFont"/>
    <w:link w:val="FootnoteText"/>
    <w:rsid w:val="0014346A"/>
    <w:rPr>
      <w:sz w:val="20"/>
      <w:szCs w:val="20"/>
    </w:rPr>
  </w:style>
  <w:style w:type="character" w:styleId="FootnoteReference">
    <w:name w:val="footnote reference"/>
    <w:basedOn w:val="DefaultParagraphFont"/>
    <w:unhideWhenUsed/>
    <w:rsid w:val="0014346A"/>
    <w:rPr>
      <w:vertAlign w:val="superscript"/>
    </w:rPr>
  </w:style>
  <w:style w:type="character" w:styleId="Hyperlink">
    <w:name w:val="Hyperlink"/>
    <w:basedOn w:val="DefaultParagraphFont"/>
    <w:uiPriority w:val="99"/>
    <w:unhideWhenUsed/>
    <w:rsid w:val="0014346A"/>
    <w:rPr>
      <w:color w:val="0000FF" w:themeColor="hyperlink"/>
      <w:u w:val="single"/>
    </w:rPr>
  </w:style>
  <w:style w:type="character" w:styleId="FollowedHyperlink">
    <w:name w:val="FollowedHyperlink"/>
    <w:basedOn w:val="DefaultParagraphFont"/>
    <w:uiPriority w:val="99"/>
    <w:semiHidden/>
    <w:unhideWhenUsed/>
    <w:rsid w:val="0014346A"/>
    <w:rPr>
      <w:color w:val="800080" w:themeColor="followedHyperlink"/>
      <w:u w:val="single"/>
    </w:rPr>
  </w:style>
  <w:style w:type="paragraph" w:customStyle="1" w:styleId="s30eec3f8">
    <w:name w:val="s30eec3f8"/>
    <w:basedOn w:val="Normal"/>
    <w:rsid w:val="00855C2D"/>
    <w:pPr>
      <w:spacing w:before="100" w:beforeAutospacing="1" w:after="100" w:afterAutospacing="1"/>
    </w:pPr>
  </w:style>
  <w:style w:type="character" w:customStyle="1" w:styleId="sb8d990e2">
    <w:name w:val="sb8d990e2"/>
    <w:basedOn w:val="DefaultParagraphFont"/>
    <w:rsid w:val="00855C2D"/>
  </w:style>
  <w:style w:type="paragraph" w:styleId="NormalWeb">
    <w:name w:val="Normal (Web)"/>
    <w:basedOn w:val="Normal"/>
    <w:uiPriority w:val="99"/>
    <w:semiHidden/>
    <w:unhideWhenUsed/>
    <w:rsid w:val="00060810"/>
    <w:pPr>
      <w:spacing w:before="100" w:beforeAutospacing="1" w:after="100" w:afterAutospacing="1"/>
    </w:pPr>
  </w:style>
  <w:style w:type="character" w:styleId="Emphasis">
    <w:name w:val="Emphasis"/>
    <w:basedOn w:val="DefaultParagraphFont"/>
    <w:uiPriority w:val="20"/>
    <w:qFormat/>
    <w:rsid w:val="00BD7A18"/>
    <w:rPr>
      <w:i/>
      <w:iCs/>
    </w:rPr>
  </w:style>
  <w:style w:type="paragraph" w:styleId="Footer">
    <w:name w:val="footer"/>
    <w:basedOn w:val="Normal"/>
    <w:link w:val="FooterChar"/>
    <w:uiPriority w:val="99"/>
    <w:unhideWhenUsed/>
    <w:rsid w:val="00A06912"/>
    <w:pPr>
      <w:tabs>
        <w:tab w:val="center" w:pos="4680"/>
        <w:tab w:val="right" w:pos="9360"/>
      </w:tabs>
    </w:pPr>
    <w:rPr>
      <w:rFonts w:asciiTheme="minorHAnsi" w:eastAsiaTheme="minorEastAsia" w:hAnsiTheme="minorHAnsi"/>
      <w:sz w:val="22"/>
      <w:szCs w:val="22"/>
      <w:lang w:val="en-US" w:eastAsia="en-US"/>
    </w:rPr>
  </w:style>
  <w:style w:type="character" w:customStyle="1" w:styleId="FooterChar">
    <w:name w:val="Footer Char"/>
    <w:basedOn w:val="DefaultParagraphFont"/>
    <w:link w:val="Footer"/>
    <w:uiPriority w:val="99"/>
    <w:rsid w:val="00A06912"/>
    <w:rPr>
      <w:rFonts w:asciiTheme="minorHAnsi" w:eastAsiaTheme="minorEastAsia" w:hAnsiTheme="minorHAns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250944">
      <w:bodyDiv w:val="1"/>
      <w:marLeft w:val="0"/>
      <w:marRight w:val="0"/>
      <w:marTop w:val="0"/>
      <w:marBottom w:val="0"/>
      <w:divBdr>
        <w:top w:val="none" w:sz="0" w:space="0" w:color="auto"/>
        <w:left w:val="none" w:sz="0" w:space="0" w:color="auto"/>
        <w:bottom w:val="none" w:sz="0" w:space="0" w:color="auto"/>
        <w:right w:val="none" w:sz="0" w:space="0" w:color="auto"/>
      </w:divBdr>
      <w:divsChild>
        <w:div w:id="143013865">
          <w:marLeft w:val="0"/>
          <w:marRight w:val="0"/>
          <w:marTop w:val="0"/>
          <w:marBottom w:val="0"/>
          <w:divBdr>
            <w:top w:val="none" w:sz="0" w:space="0" w:color="auto"/>
            <w:left w:val="none" w:sz="0" w:space="0" w:color="auto"/>
            <w:bottom w:val="none" w:sz="0" w:space="0" w:color="auto"/>
            <w:right w:val="none" w:sz="0" w:space="0" w:color="auto"/>
          </w:divBdr>
          <w:divsChild>
            <w:div w:id="489489335">
              <w:marLeft w:val="0"/>
              <w:marRight w:val="0"/>
              <w:marTop w:val="0"/>
              <w:marBottom w:val="0"/>
              <w:divBdr>
                <w:top w:val="none" w:sz="0" w:space="0" w:color="auto"/>
                <w:left w:val="none" w:sz="0" w:space="0" w:color="auto"/>
                <w:bottom w:val="none" w:sz="0" w:space="0" w:color="auto"/>
                <w:right w:val="none" w:sz="0" w:space="0" w:color="auto"/>
              </w:divBdr>
              <w:divsChild>
                <w:div w:id="675763267">
                  <w:marLeft w:val="0"/>
                  <w:marRight w:val="0"/>
                  <w:marTop w:val="0"/>
                  <w:marBottom w:val="0"/>
                  <w:divBdr>
                    <w:top w:val="none" w:sz="0" w:space="0" w:color="auto"/>
                    <w:left w:val="none" w:sz="0" w:space="0" w:color="auto"/>
                    <w:bottom w:val="none" w:sz="0" w:space="0" w:color="auto"/>
                    <w:right w:val="none" w:sz="0" w:space="0" w:color="auto"/>
                  </w:divBdr>
                  <w:divsChild>
                    <w:div w:id="1050113920">
                      <w:marLeft w:val="0"/>
                      <w:marRight w:val="0"/>
                      <w:marTop w:val="0"/>
                      <w:marBottom w:val="0"/>
                      <w:divBdr>
                        <w:top w:val="none" w:sz="0" w:space="0" w:color="auto"/>
                        <w:left w:val="none" w:sz="0" w:space="0" w:color="auto"/>
                        <w:bottom w:val="none" w:sz="0" w:space="0" w:color="auto"/>
                        <w:right w:val="none" w:sz="0" w:space="0" w:color="auto"/>
                      </w:divBdr>
                      <w:divsChild>
                        <w:div w:id="1888253672">
                          <w:marLeft w:val="0"/>
                          <w:marRight w:val="0"/>
                          <w:marTop w:val="0"/>
                          <w:marBottom w:val="0"/>
                          <w:divBdr>
                            <w:top w:val="none" w:sz="0" w:space="0" w:color="auto"/>
                            <w:left w:val="none" w:sz="0" w:space="0" w:color="auto"/>
                            <w:bottom w:val="none" w:sz="0" w:space="0" w:color="auto"/>
                            <w:right w:val="none" w:sz="0" w:space="0" w:color="auto"/>
                          </w:divBdr>
                          <w:divsChild>
                            <w:div w:id="47044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302781">
      <w:bodyDiv w:val="1"/>
      <w:marLeft w:val="0"/>
      <w:marRight w:val="0"/>
      <w:marTop w:val="0"/>
      <w:marBottom w:val="0"/>
      <w:divBdr>
        <w:top w:val="none" w:sz="0" w:space="0" w:color="auto"/>
        <w:left w:val="none" w:sz="0" w:space="0" w:color="auto"/>
        <w:bottom w:val="none" w:sz="0" w:space="0" w:color="auto"/>
        <w:right w:val="none" w:sz="0" w:space="0" w:color="auto"/>
      </w:divBdr>
      <w:divsChild>
        <w:div w:id="208957131">
          <w:marLeft w:val="0"/>
          <w:marRight w:val="0"/>
          <w:marTop w:val="0"/>
          <w:marBottom w:val="0"/>
          <w:divBdr>
            <w:top w:val="none" w:sz="0" w:space="0" w:color="auto"/>
            <w:left w:val="none" w:sz="0" w:space="0" w:color="auto"/>
            <w:bottom w:val="none" w:sz="0" w:space="0" w:color="auto"/>
            <w:right w:val="none" w:sz="0" w:space="0" w:color="auto"/>
          </w:divBdr>
          <w:divsChild>
            <w:div w:id="101581404">
              <w:marLeft w:val="0"/>
              <w:marRight w:val="0"/>
              <w:marTop w:val="0"/>
              <w:marBottom w:val="0"/>
              <w:divBdr>
                <w:top w:val="none" w:sz="0" w:space="0" w:color="auto"/>
                <w:left w:val="none" w:sz="0" w:space="0" w:color="auto"/>
                <w:bottom w:val="none" w:sz="0" w:space="0" w:color="auto"/>
                <w:right w:val="none" w:sz="0" w:space="0" w:color="auto"/>
              </w:divBdr>
              <w:divsChild>
                <w:div w:id="100614559">
                  <w:marLeft w:val="0"/>
                  <w:marRight w:val="0"/>
                  <w:marTop w:val="0"/>
                  <w:marBottom w:val="0"/>
                  <w:divBdr>
                    <w:top w:val="none" w:sz="0" w:space="0" w:color="auto"/>
                    <w:left w:val="none" w:sz="0" w:space="0" w:color="auto"/>
                    <w:bottom w:val="none" w:sz="0" w:space="0" w:color="auto"/>
                    <w:right w:val="none" w:sz="0" w:space="0" w:color="auto"/>
                  </w:divBdr>
                  <w:divsChild>
                    <w:div w:id="1895387011">
                      <w:marLeft w:val="0"/>
                      <w:marRight w:val="0"/>
                      <w:marTop w:val="0"/>
                      <w:marBottom w:val="0"/>
                      <w:divBdr>
                        <w:top w:val="none" w:sz="0" w:space="0" w:color="auto"/>
                        <w:left w:val="none" w:sz="0" w:space="0" w:color="auto"/>
                        <w:bottom w:val="none" w:sz="0" w:space="0" w:color="auto"/>
                        <w:right w:val="none" w:sz="0" w:space="0" w:color="auto"/>
                      </w:divBdr>
                      <w:divsChild>
                        <w:div w:id="1772049747">
                          <w:marLeft w:val="0"/>
                          <w:marRight w:val="0"/>
                          <w:marTop w:val="0"/>
                          <w:marBottom w:val="0"/>
                          <w:divBdr>
                            <w:top w:val="none" w:sz="0" w:space="0" w:color="auto"/>
                            <w:left w:val="none" w:sz="0" w:space="0" w:color="auto"/>
                            <w:bottom w:val="none" w:sz="0" w:space="0" w:color="auto"/>
                            <w:right w:val="none" w:sz="0" w:space="0" w:color="auto"/>
                          </w:divBdr>
                          <w:divsChild>
                            <w:div w:id="1715496182">
                              <w:marLeft w:val="0"/>
                              <w:marRight w:val="0"/>
                              <w:marTop w:val="0"/>
                              <w:marBottom w:val="300"/>
                              <w:divBdr>
                                <w:top w:val="none" w:sz="0" w:space="0" w:color="auto"/>
                                <w:left w:val="none" w:sz="0" w:space="0" w:color="auto"/>
                                <w:bottom w:val="none" w:sz="0" w:space="0" w:color="auto"/>
                                <w:right w:val="none" w:sz="0" w:space="0" w:color="auto"/>
                              </w:divBdr>
                              <w:divsChild>
                                <w:div w:id="240408872">
                                  <w:marLeft w:val="0"/>
                                  <w:marRight w:val="0"/>
                                  <w:marTop w:val="0"/>
                                  <w:marBottom w:val="0"/>
                                  <w:divBdr>
                                    <w:top w:val="none" w:sz="0" w:space="0" w:color="auto"/>
                                    <w:left w:val="none" w:sz="0" w:space="0" w:color="auto"/>
                                    <w:bottom w:val="none" w:sz="0" w:space="0" w:color="auto"/>
                                    <w:right w:val="none" w:sz="0" w:space="0" w:color="auto"/>
                                  </w:divBdr>
                                  <w:divsChild>
                                    <w:div w:id="2088919167">
                                      <w:marLeft w:val="0"/>
                                      <w:marRight w:val="0"/>
                                      <w:marTop w:val="0"/>
                                      <w:marBottom w:val="0"/>
                                      <w:divBdr>
                                        <w:top w:val="none" w:sz="0" w:space="0" w:color="auto"/>
                                        <w:left w:val="none" w:sz="0" w:space="0" w:color="auto"/>
                                        <w:bottom w:val="none" w:sz="0" w:space="0" w:color="auto"/>
                                        <w:right w:val="none" w:sz="0" w:space="0" w:color="auto"/>
                                      </w:divBdr>
                                      <w:divsChild>
                                        <w:div w:id="44065312">
                                          <w:marLeft w:val="0"/>
                                          <w:marRight w:val="2"/>
                                          <w:marTop w:val="0"/>
                                          <w:marBottom w:val="540"/>
                                          <w:divBdr>
                                            <w:top w:val="none" w:sz="0" w:space="0" w:color="auto"/>
                                            <w:left w:val="none" w:sz="0" w:space="0" w:color="auto"/>
                                            <w:bottom w:val="none" w:sz="0" w:space="0" w:color="auto"/>
                                            <w:right w:val="none" w:sz="0" w:space="0" w:color="auto"/>
                                          </w:divBdr>
                                          <w:divsChild>
                                            <w:div w:id="1873877814">
                                              <w:marLeft w:val="0"/>
                                              <w:marRight w:val="0"/>
                                              <w:marTop w:val="0"/>
                                              <w:marBottom w:val="0"/>
                                              <w:divBdr>
                                                <w:top w:val="none" w:sz="0" w:space="0" w:color="auto"/>
                                                <w:left w:val="none" w:sz="0" w:space="0" w:color="auto"/>
                                                <w:bottom w:val="none" w:sz="0" w:space="0" w:color="auto"/>
                                                <w:right w:val="none" w:sz="0" w:space="0" w:color="auto"/>
                                              </w:divBdr>
                                              <w:divsChild>
                                                <w:div w:id="1705715878">
                                                  <w:marLeft w:val="0"/>
                                                  <w:marRight w:val="0"/>
                                                  <w:marTop w:val="375"/>
                                                  <w:marBottom w:val="0"/>
                                                  <w:divBdr>
                                                    <w:top w:val="none" w:sz="0" w:space="0" w:color="auto"/>
                                                    <w:left w:val="none" w:sz="0" w:space="0" w:color="auto"/>
                                                    <w:bottom w:val="none" w:sz="0" w:space="0" w:color="auto"/>
                                                    <w:right w:val="none" w:sz="0" w:space="0" w:color="auto"/>
                                                  </w:divBdr>
                                                  <w:divsChild>
                                                    <w:div w:id="317655934">
                                                      <w:marLeft w:val="0"/>
                                                      <w:marRight w:val="0"/>
                                                      <w:marTop w:val="0"/>
                                                      <w:marBottom w:val="0"/>
                                                      <w:divBdr>
                                                        <w:top w:val="none" w:sz="0" w:space="0" w:color="auto"/>
                                                        <w:left w:val="none" w:sz="0" w:space="0" w:color="auto"/>
                                                        <w:bottom w:val="none" w:sz="0" w:space="0" w:color="auto"/>
                                                        <w:right w:val="none" w:sz="0" w:space="0" w:color="auto"/>
                                                      </w:divBdr>
                                                      <w:divsChild>
                                                        <w:div w:id="34066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39902129">
      <w:bodyDiv w:val="1"/>
      <w:marLeft w:val="0"/>
      <w:marRight w:val="0"/>
      <w:marTop w:val="0"/>
      <w:marBottom w:val="0"/>
      <w:divBdr>
        <w:top w:val="none" w:sz="0" w:space="0" w:color="auto"/>
        <w:left w:val="none" w:sz="0" w:space="0" w:color="auto"/>
        <w:bottom w:val="none" w:sz="0" w:space="0" w:color="auto"/>
        <w:right w:val="none" w:sz="0" w:space="0" w:color="auto"/>
      </w:divBdr>
      <w:divsChild>
        <w:div w:id="1999336323">
          <w:marLeft w:val="0"/>
          <w:marRight w:val="0"/>
          <w:marTop w:val="0"/>
          <w:marBottom w:val="0"/>
          <w:divBdr>
            <w:top w:val="none" w:sz="0" w:space="0" w:color="auto"/>
            <w:left w:val="none" w:sz="0" w:space="0" w:color="auto"/>
            <w:bottom w:val="none" w:sz="0" w:space="0" w:color="auto"/>
            <w:right w:val="none" w:sz="0" w:space="0" w:color="auto"/>
          </w:divBdr>
          <w:divsChild>
            <w:div w:id="795828427">
              <w:marLeft w:val="0"/>
              <w:marRight w:val="0"/>
              <w:marTop w:val="0"/>
              <w:marBottom w:val="0"/>
              <w:divBdr>
                <w:top w:val="none" w:sz="0" w:space="0" w:color="auto"/>
                <w:left w:val="none" w:sz="0" w:space="0" w:color="auto"/>
                <w:bottom w:val="none" w:sz="0" w:space="0" w:color="auto"/>
                <w:right w:val="none" w:sz="0" w:space="0" w:color="auto"/>
              </w:divBdr>
              <w:divsChild>
                <w:div w:id="1636179361">
                  <w:marLeft w:val="0"/>
                  <w:marRight w:val="0"/>
                  <w:marTop w:val="0"/>
                  <w:marBottom w:val="0"/>
                  <w:divBdr>
                    <w:top w:val="none" w:sz="0" w:space="0" w:color="auto"/>
                    <w:left w:val="none" w:sz="0" w:space="0" w:color="auto"/>
                    <w:bottom w:val="none" w:sz="0" w:space="0" w:color="auto"/>
                    <w:right w:val="none" w:sz="0" w:space="0" w:color="auto"/>
                  </w:divBdr>
                  <w:divsChild>
                    <w:div w:id="1268462962">
                      <w:marLeft w:val="0"/>
                      <w:marRight w:val="0"/>
                      <w:marTop w:val="0"/>
                      <w:marBottom w:val="0"/>
                      <w:divBdr>
                        <w:top w:val="none" w:sz="0" w:space="0" w:color="auto"/>
                        <w:left w:val="none" w:sz="0" w:space="0" w:color="auto"/>
                        <w:bottom w:val="none" w:sz="0" w:space="0" w:color="auto"/>
                        <w:right w:val="none" w:sz="0" w:space="0" w:color="auto"/>
                      </w:divBdr>
                      <w:divsChild>
                        <w:div w:id="918832074">
                          <w:marLeft w:val="0"/>
                          <w:marRight w:val="0"/>
                          <w:marTop w:val="0"/>
                          <w:marBottom w:val="0"/>
                          <w:divBdr>
                            <w:top w:val="none" w:sz="0" w:space="0" w:color="auto"/>
                            <w:left w:val="none" w:sz="0" w:space="0" w:color="auto"/>
                            <w:bottom w:val="none" w:sz="0" w:space="0" w:color="auto"/>
                            <w:right w:val="none" w:sz="0" w:space="0" w:color="auto"/>
                          </w:divBdr>
                          <w:divsChild>
                            <w:div w:id="1946424473">
                              <w:marLeft w:val="0"/>
                              <w:marRight w:val="0"/>
                              <w:marTop w:val="0"/>
                              <w:marBottom w:val="300"/>
                              <w:divBdr>
                                <w:top w:val="none" w:sz="0" w:space="0" w:color="auto"/>
                                <w:left w:val="none" w:sz="0" w:space="0" w:color="auto"/>
                                <w:bottom w:val="none" w:sz="0" w:space="0" w:color="auto"/>
                                <w:right w:val="none" w:sz="0" w:space="0" w:color="auto"/>
                              </w:divBdr>
                              <w:divsChild>
                                <w:div w:id="11223785">
                                  <w:marLeft w:val="0"/>
                                  <w:marRight w:val="0"/>
                                  <w:marTop w:val="0"/>
                                  <w:marBottom w:val="0"/>
                                  <w:divBdr>
                                    <w:top w:val="none" w:sz="0" w:space="0" w:color="auto"/>
                                    <w:left w:val="none" w:sz="0" w:space="0" w:color="auto"/>
                                    <w:bottom w:val="none" w:sz="0" w:space="0" w:color="auto"/>
                                    <w:right w:val="none" w:sz="0" w:space="0" w:color="auto"/>
                                  </w:divBdr>
                                  <w:divsChild>
                                    <w:div w:id="1631011101">
                                      <w:marLeft w:val="0"/>
                                      <w:marRight w:val="0"/>
                                      <w:marTop w:val="0"/>
                                      <w:marBottom w:val="0"/>
                                      <w:divBdr>
                                        <w:top w:val="none" w:sz="0" w:space="0" w:color="auto"/>
                                        <w:left w:val="none" w:sz="0" w:space="0" w:color="auto"/>
                                        <w:bottom w:val="none" w:sz="0" w:space="0" w:color="auto"/>
                                        <w:right w:val="none" w:sz="0" w:space="0" w:color="auto"/>
                                      </w:divBdr>
                                      <w:divsChild>
                                        <w:div w:id="1602301434">
                                          <w:marLeft w:val="0"/>
                                          <w:marRight w:val="2"/>
                                          <w:marTop w:val="0"/>
                                          <w:marBottom w:val="540"/>
                                          <w:divBdr>
                                            <w:top w:val="none" w:sz="0" w:space="0" w:color="auto"/>
                                            <w:left w:val="none" w:sz="0" w:space="0" w:color="auto"/>
                                            <w:bottom w:val="none" w:sz="0" w:space="0" w:color="auto"/>
                                            <w:right w:val="none" w:sz="0" w:space="0" w:color="auto"/>
                                          </w:divBdr>
                                          <w:divsChild>
                                            <w:div w:id="1850754465">
                                              <w:marLeft w:val="0"/>
                                              <w:marRight w:val="0"/>
                                              <w:marTop w:val="0"/>
                                              <w:marBottom w:val="0"/>
                                              <w:divBdr>
                                                <w:top w:val="none" w:sz="0" w:space="0" w:color="auto"/>
                                                <w:left w:val="none" w:sz="0" w:space="0" w:color="auto"/>
                                                <w:bottom w:val="none" w:sz="0" w:space="0" w:color="auto"/>
                                                <w:right w:val="none" w:sz="0" w:space="0" w:color="auto"/>
                                              </w:divBdr>
                                              <w:divsChild>
                                                <w:div w:id="2112160994">
                                                  <w:marLeft w:val="0"/>
                                                  <w:marRight w:val="0"/>
                                                  <w:marTop w:val="375"/>
                                                  <w:marBottom w:val="0"/>
                                                  <w:divBdr>
                                                    <w:top w:val="none" w:sz="0" w:space="0" w:color="auto"/>
                                                    <w:left w:val="none" w:sz="0" w:space="0" w:color="auto"/>
                                                    <w:bottom w:val="none" w:sz="0" w:space="0" w:color="auto"/>
                                                    <w:right w:val="none" w:sz="0" w:space="0" w:color="auto"/>
                                                  </w:divBdr>
                                                  <w:divsChild>
                                                    <w:div w:id="1849638559">
                                                      <w:marLeft w:val="0"/>
                                                      <w:marRight w:val="0"/>
                                                      <w:marTop w:val="0"/>
                                                      <w:marBottom w:val="0"/>
                                                      <w:divBdr>
                                                        <w:top w:val="none" w:sz="0" w:space="0" w:color="auto"/>
                                                        <w:left w:val="none" w:sz="0" w:space="0" w:color="auto"/>
                                                        <w:bottom w:val="none" w:sz="0" w:space="0" w:color="auto"/>
                                                        <w:right w:val="none" w:sz="0" w:space="0" w:color="auto"/>
                                                      </w:divBdr>
                                                      <w:divsChild>
                                                        <w:div w:id="117958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96003595">
      <w:bodyDiv w:val="1"/>
      <w:marLeft w:val="0"/>
      <w:marRight w:val="0"/>
      <w:marTop w:val="0"/>
      <w:marBottom w:val="0"/>
      <w:divBdr>
        <w:top w:val="none" w:sz="0" w:space="0" w:color="auto"/>
        <w:left w:val="none" w:sz="0" w:space="0" w:color="auto"/>
        <w:bottom w:val="none" w:sz="0" w:space="0" w:color="auto"/>
        <w:right w:val="none" w:sz="0" w:space="0" w:color="auto"/>
      </w:divBdr>
      <w:divsChild>
        <w:div w:id="1204486492">
          <w:marLeft w:val="0"/>
          <w:marRight w:val="0"/>
          <w:marTop w:val="0"/>
          <w:marBottom w:val="0"/>
          <w:divBdr>
            <w:top w:val="none" w:sz="0" w:space="0" w:color="auto"/>
            <w:left w:val="none" w:sz="0" w:space="0" w:color="auto"/>
            <w:bottom w:val="none" w:sz="0" w:space="0" w:color="auto"/>
            <w:right w:val="none" w:sz="0" w:space="0" w:color="auto"/>
          </w:divBdr>
          <w:divsChild>
            <w:div w:id="1830901694">
              <w:marLeft w:val="0"/>
              <w:marRight w:val="0"/>
              <w:marTop w:val="0"/>
              <w:marBottom w:val="0"/>
              <w:divBdr>
                <w:top w:val="none" w:sz="0" w:space="0" w:color="auto"/>
                <w:left w:val="none" w:sz="0" w:space="0" w:color="auto"/>
                <w:bottom w:val="none" w:sz="0" w:space="0" w:color="auto"/>
                <w:right w:val="none" w:sz="0" w:space="0" w:color="auto"/>
              </w:divBdr>
              <w:divsChild>
                <w:div w:id="981270541">
                  <w:marLeft w:val="0"/>
                  <w:marRight w:val="0"/>
                  <w:marTop w:val="0"/>
                  <w:marBottom w:val="0"/>
                  <w:divBdr>
                    <w:top w:val="none" w:sz="0" w:space="0" w:color="auto"/>
                    <w:left w:val="none" w:sz="0" w:space="0" w:color="auto"/>
                    <w:bottom w:val="none" w:sz="0" w:space="0" w:color="auto"/>
                    <w:right w:val="none" w:sz="0" w:space="0" w:color="auto"/>
                  </w:divBdr>
                  <w:divsChild>
                    <w:div w:id="1299723733">
                      <w:marLeft w:val="0"/>
                      <w:marRight w:val="0"/>
                      <w:marTop w:val="0"/>
                      <w:marBottom w:val="0"/>
                      <w:divBdr>
                        <w:top w:val="none" w:sz="0" w:space="0" w:color="auto"/>
                        <w:left w:val="none" w:sz="0" w:space="0" w:color="auto"/>
                        <w:bottom w:val="none" w:sz="0" w:space="0" w:color="auto"/>
                        <w:right w:val="none" w:sz="0" w:space="0" w:color="auto"/>
                      </w:divBdr>
                      <w:divsChild>
                        <w:div w:id="1295677711">
                          <w:marLeft w:val="0"/>
                          <w:marRight w:val="0"/>
                          <w:marTop w:val="0"/>
                          <w:marBottom w:val="0"/>
                          <w:divBdr>
                            <w:top w:val="none" w:sz="0" w:space="0" w:color="auto"/>
                            <w:left w:val="none" w:sz="0" w:space="0" w:color="auto"/>
                            <w:bottom w:val="none" w:sz="0" w:space="0" w:color="auto"/>
                            <w:right w:val="none" w:sz="0" w:space="0" w:color="auto"/>
                          </w:divBdr>
                          <w:divsChild>
                            <w:div w:id="1975866102">
                              <w:marLeft w:val="0"/>
                              <w:marRight w:val="0"/>
                              <w:marTop w:val="0"/>
                              <w:marBottom w:val="300"/>
                              <w:divBdr>
                                <w:top w:val="none" w:sz="0" w:space="0" w:color="auto"/>
                                <w:left w:val="none" w:sz="0" w:space="0" w:color="auto"/>
                                <w:bottom w:val="none" w:sz="0" w:space="0" w:color="auto"/>
                                <w:right w:val="none" w:sz="0" w:space="0" w:color="auto"/>
                              </w:divBdr>
                              <w:divsChild>
                                <w:div w:id="1401756417">
                                  <w:marLeft w:val="0"/>
                                  <w:marRight w:val="0"/>
                                  <w:marTop w:val="0"/>
                                  <w:marBottom w:val="0"/>
                                  <w:divBdr>
                                    <w:top w:val="none" w:sz="0" w:space="0" w:color="auto"/>
                                    <w:left w:val="none" w:sz="0" w:space="0" w:color="auto"/>
                                    <w:bottom w:val="none" w:sz="0" w:space="0" w:color="auto"/>
                                    <w:right w:val="none" w:sz="0" w:space="0" w:color="auto"/>
                                  </w:divBdr>
                                  <w:divsChild>
                                    <w:div w:id="1845196770">
                                      <w:marLeft w:val="0"/>
                                      <w:marRight w:val="0"/>
                                      <w:marTop w:val="0"/>
                                      <w:marBottom w:val="0"/>
                                      <w:divBdr>
                                        <w:top w:val="none" w:sz="0" w:space="0" w:color="auto"/>
                                        <w:left w:val="none" w:sz="0" w:space="0" w:color="auto"/>
                                        <w:bottom w:val="none" w:sz="0" w:space="0" w:color="auto"/>
                                        <w:right w:val="none" w:sz="0" w:space="0" w:color="auto"/>
                                      </w:divBdr>
                                      <w:divsChild>
                                        <w:div w:id="1385637416">
                                          <w:marLeft w:val="0"/>
                                          <w:marRight w:val="2"/>
                                          <w:marTop w:val="0"/>
                                          <w:marBottom w:val="540"/>
                                          <w:divBdr>
                                            <w:top w:val="none" w:sz="0" w:space="0" w:color="auto"/>
                                            <w:left w:val="none" w:sz="0" w:space="0" w:color="auto"/>
                                            <w:bottom w:val="none" w:sz="0" w:space="0" w:color="auto"/>
                                            <w:right w:val="none" w:sz="0" w:space="0" w:color="auto"/>
                                          </w:divBdr>
                                          <w:divsChild>
                                            <w:div w:id="686954827">
                                              <w:marLeft w:val="0"/>
                                              <w:marRight w:val="0"/>
                                              <w:marTop w:val="0"/>
                                              <w:marBottom w:val="0"/>
                                              <w:divBdr>
                                                <w:top w:val="none" w:sz="0" w:space="0" w:color="auto"/>
                                                <w:left w:val="none" w:sz="0" w:space="0" w:color="auto"/>
                                                <w:bottom w:val="none" w:sz="0" w:space="0" w:color="auto"/>
                                                <w:right w:val="none" w:sz="0" w:space="0" w:color="auto"/>
                                              </w:divBdr>
                                              <w:divsChild>
                                                <w:div w:id="1028721099">
                                                  <w:marLeft w:val="0"/>
                                                  <w:marRight w:val="0"/>
                                                  <w:marTop w:val="375"/>
                                                  <w:marBottom w:val="0"/>
                                                  <w:divBdr>
                                                    <w:top w:val="none" w:sz="0" w:space="0" w:color="auto"/>
                                                    <w:left w:val="none" w:sz="0" w:space="0" w:color="auto"/>
                                                    <w:bottom w:val="none" w:sz="0" w:space="0" w:color="auto"/>
                                                    <w:right w:val="none" w:sz="0" w:space="0" w:color="auto"/>
                                                  </w:divBdr>
                                                  <w:divsChild>
                                                    <w:div w:id="535778682">
                                                      <w:marLeft w:val="0"/>
                                                      <w:marRight w:val="0"/>
                                                      <w:marTop w:val="0"/>
                                                      <w:marBottom w:val="0"/>
                                                      <w:divBdr>
                                                        <w:top w:val="none" w:sz="0" w:space="0" w:color="auto"/>
                                                        <w:left w:val="none" w:sz="0" w:space="0" w:color="auto"/>
                                                        <w:bottom w:val="none" w:sz="0" w:space="0" w:color="auto"/>
                                                        <w:right w:val="none" w:sz="0" w:space="0" w:color="auto"/>
                                                      </w:divBdr>
                                                      <w:divsChild>
                                                        <w:div w:id="5944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30076637">
      <w:bodyDiv w:val="1"/>
      <w:marLeft w:val="0"/>
      <w:marRight w:val="0"/>
      <w:marTop w:val="0"/>
      <w:marBottom w:val="0"/>
      <w:divBdr>
        <w:top w:val="none" w:sz="0" w:space="0" w:color="auto"/>
        <w:left w:val="none" w:sz="0" w:space="0" w:color="auto"/>
        <w:bottom w:val="none" w:sz="0" w:space="0" w:color="auto"/>
        <w:right w:val="none" w:sz="0" w:space="0" w:color="auto"/>
      </w:divBdr>
      <w:divsChild>
        <w:div w:id="1551528829">
          <w:marLeft w:val="0"/>
          <w:marRight w:val="0"/>
          <w:marTop w:val="0"/>
          <w:marBottom w:val="0"/>
          <w:divBdr>
            <w:top w:val="none" w:sz="0" w:space="0" w:color="auto"/>
            <w:left w:val="none" w:sz="0" w:space="0" w:color="auto"/>
            <w:bottom w:val="none" w:sz="0" w:space="0" w:color="auto"/>
            <w:right w:val="none" w:sz="0" w:space="0" w:color="auto"/>
          </w:divBdr>
          <w:divsChild>
            <w:div w:id="1513489214">
              <w:marLeft w:val="0"/>
              <w:marRight w:val="0"/>
              <w:marTop w:val="0"/>
              <w:marBottom w:val="0"/>
              <w:divBdr>
                <w:top w:val="none" w:sz="0" w:space="0" w:color="auto"/>
                <w:left w:val="none" w:sz="0" w:space="0" w:color="auto"/>
                <w:bottom w:val="none" w:sz="0" w:space="0" w:color="auto"/>
                <w:right w:val="none" w:sz="0" w:space="0" w:color="auto"/>
              </w:divBdr>
              <w:divsChild>
                <w:div w:id="933589920">
                  <w:marLeft w:val="0"/>
                  <w:marRight w:val="0"/>
                  <w:marTop w:val="0"/>
                  <w:marBottom w:val="0"/>
                  <w:divBdr>
                    <w:top w:val="none" w:sz="0" w:space="0" w:color="auto"/>
                    <w:left w:val="none" w:sz="0" w:space="0" w:color="auto"/>
                    <w:bottom w:val="none" w:sz="0" w:space="0" w:color="auto"/>
                    <w:right w:val="none" w:sz="0" w:space="0" w:color="auto"/>
                  </w:divBdr>
                  <w:divsChild>
                    <w:div w:id="597835932">
                      <w:marLeft w:val="0"/>
                      <w:marRight w:val="0"/>
                      <w:marTop w:val="0"/>
                      <w:marBottom w:val="0"/>
                      <w:divBdr>
                        <w:top w:val="none" w:sz="0" w:space="0" w:color="auto"/>
                        <w:left w:val="none" w:sz="0" w:space="0" w:color="auto"/>
                        <w:bottom w:val="none" w:sz="0" w:space="0" w:color="auto"/>
                        <w:right w:val="none" w:sz="0" w:space="0" w:color="auto"/>
                      </w:divBdr>
                      <w:divsChild>
                        <w:div w:id="449014198">
                          <w:marLeft w:val="0"/>
                          <w:marRight w:val="0"/>
                          <w:marTop w:val="0"/>
                          <w:marBottom w:val="0"/>
                          <w:divBdr>
                            <w:top w:val="none" w:sz="0" w:space="0" w:color="auto"/>
                            <w:left w:val="none" w:sz="0" w:space="0" w:color="auto"/>
                            <w:bottom w:val="none" w:sz="0" w:space="0" w:color="auto"/>
                            <w:right w:val="none" w:sz="0" w:space="0" w:color="auto"/>
                          </w:divBdr>
                          <w:divsChild>
                            <w:div w:id="603809009">
                              <w:marLeft w:val="0"/>
                              <w:marRight w:val="0"/>
                              <w:marTop w:val="0"/>
                              <w:marBottom w:val="300"/>
                              <w:divBdr>
                                <w:top w:val="none" w:sz="0" w:space="0" w:color="auto"/>
                                <w:left w:val="none" w:sz="0" w:space="0" w:color="auto"/>
                                <w:bottom w:val="none" w:sz="0" w:space="0" w:color="auto"/>
                                <w:right w:val="none" w:sz="0" w:space="0" w:color="auto"/>
                              </w:divBdr>
                              <w:divsChild>
                                <w:div w:id="830483607">
                                  <w:marLeft w:val="0"/>
                                  <w:marRight w:val="0"/>
                                  <w:marTop w:val="0"/>
                                  <w:marBottom w:val="0"/>
                                  <w:divBdr>
                                    <w:top w:val="none" w:sz="0" w:space="0" w:color="auto"/>
                                    <w:left w:val="none" w:sz="0" w:space="0" w:color="auto"/>
                                    <w:bottom w:val="none" w:sz="0" w:space="0" w:color="auto"/>
                                    <w:right w:val="none" w:sz="0" w:space="0" w:color="auto"/>
                                  </w:divBdr>
                                  <w:divsChild>
                                    <w:div w:id="1161385067">
                                      <w:marLeft w:val="0"/>
                                      <w:marRight w:val="0"/>
                                      <w:marTop w:val="0"/>
                                      <w:marBottom w:val="0"/>
                                      <w:divBdr>
                                        <w:top w:val="none" w:sz="0" w:space="0" w:color="auto"/>
                                        <w:left w:val="none" w:sz="0" w:space="0" w:color="auto"/>
                                        <w:bottom w:val="none" w:sz="0" w:space="0" w:color="auto"/>
                                        <w:right w:val="none" w:sz="0" w:space="0" w:color="auto"/>
                                      </w:divBdr>
                                      <w:divsChild>
                                        <w:div w:id="510147353">
                                          <w:marLeft w:val="0"/>
                                          <w:marRight w:val="2"/>
                                          <w:marTop w:val="0"/>
                                          <w:marBottom w:val="540"/>
                                          <w:divBdr>
                                            <w:top w:val="none" w:sz="0" w:space="0" w:color="auto"/>
                                            <w:left w:val="none" w:sz="0" w:space="0" w:color="auto"/>
                                            <w:bottom w:val="none" w:sz="0" w:space="0" w:color="auto"/>
                                            <w:right w:val="none" w:sz="0" w:space="0" w:color="auto"/>
                                          </w:divBdr>
                                          <w:divsChild>
                                            <w:div w:id="1574123374">
                                              <w:marLeft w:val="0"/>
                                              <w:marRight w:val="0"/>
                                              <w:marTop w:val="0"/>
                                              <w:marBottom w:val="0"/>
                                              <w:divBdr>
                                                <w:top w:val="none" w:sz="0" w:space="0" w:color="auto"/>
                                                <w:left w:val="none" w:sz="0" w:space="0" w:color="auto"/>
                                                <w:bottom w:val="none" w:sz="0" w:space="0" w:color="auto"/>
                                                <w:right w:val="none" w:sz="0" w:space="0" w:color="auto"/>
                                              </w:divBdr>
                                              <w:divsChild>
                                                <w:div w:id="566842490">
                                                  <w:marLeft w:val="0"/>
                                                  <w:marRight w:val="0"/>
                                                  <w:marTop w:val="375"/>
                                                  <w:marBottom w:val="0"/>
                                                  <w:divBdr>
                                                    <w:top w:val="none" w:sz="0" w:space="0" w:color="auto"/>
                                                    <w:left w:val="none" w:sz="0" w:space="0" w:color="auto"/>
                                                    <w:bottom w:val="none" w:sz="0" w:space="0" w:color="auto"/>
                                                    <w:right w:val="none" w:sz="0" w:space="0" w:color="auto"/>
                                                  </w:divBdr>
                                                  <w:divsChild>
                                                    <w:div w:id="515651615">
                                                      <w:marLeft w:val="0"/>
                                                      <w:marRight w:val="0"/>
                                                      <w:marTop w:val="0"/>
                                                      <w:marBottom w:val="0"/>
                                                      <w:divBdr>
                                                        <w:top w:val="none" w:sz="0" w:space="0" w:color="auto"/>
                                                        <w:left w:val="none" w:sz="0" w:space="0" w:color="auto"/>
                                                        <w:bottom w:val="none" w:sz="0" w:space="0" w:color="auto"/>
                                                        <w:right w:val="none" w:sz="0" w:space="0" w:color="auto"/>
                                                      </w:divBdr>
                                                      <w:divsChild>
                                                        <w:div w:id="13363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amDienestaVajadzibam xmlns="ec5eb65c-7d19-4b23-bf65-ca68bcd53ae2">Nē</amDienestaVajadzibam>
    <amAdresats xmlns="801ff49e-5150-41f0-9cd7-015d16134d38">&lt;p&gt;&lt;a id="78" href="/hub/Lists/ArejieKontakti/DispForm.aspx?ID=78" target="_blank"&gt;Ekonomikas ministrija (EM)&lt;/a&gt;;&lt;/p&gt;&lt;p&gt;&lt;a id="11067" href="/hub/Lists/ArejieKontakti/DispForm.aspx?ID=11067" target="_blank"&gt;Latvijas Finanšu nozares asociācija&lt;/a&gt;;&lt;/p&gt;&lt;p&gt;&lt;a id="30862" href="/hub/Lists/ArejieKontakti/DispForm.aspx?ID=30862" target="_blank"&gt;Finanšu izlūkošanas dienests&lt;/a&gt;;&lt;/p&gt;&lt;p&gt;&lt;a id="83" href="/hub/Lists/ArejieKontakti/DispForm.aspx?ID=83" target="_blank"&gt;Finanšu ministrija (FM)&lt;/a&gt;;&lt;/p&gt;&lt;p&gt;&lt;a id="84" href="/hub/Lists/ArejieKontakti/DispForm.aspx?ID=84" target="_blank"&gt;Finanšu un kapitāla tirgus komisija (FKTK)&lt;/a&gt;;&lt;/p&gt;&lt;p&gt;&lt;a id="97" href="/hub/Lists/ArejieKontakti/DispForm.aspx?ID=97" target="_blank"&gt;Iekšlietu ministrija (IeM)&lt;/a&gt;;&lt;/p&gt;&lt;p&gt;&lt;a id="12133" href="/hub/Lists/ArejieKontakti/DispForm.aspx?ID=12133" target="_blank"&gt;Izložu un azartspēļu uzraudzības inspekcija&lt;/a&gt;;&lt;/p&gt;&lt;p&gt;&lt;a id="2209" href="/hub/Lists/ArejieKontakti/DispForm.aspx?ID=2209" target="_blank"&gt;Latvijas Apdrošinātāju asociācija&lt;/a&gt;;&lt;/p&gt;&lt;p&gt;&lt;a id="140" href="/hub/Lists/ArejieKontakti/DispForm.aspx?ID=140" target="_blank"&gt;Latvijas Banka&lt;/a&gt;;&lt;/p&gt;&lt;p&gt;&lt;a id="2023" href="/hub/Lists/ArejieKontakti/DispForm.aspx?ID=2023" target="_blank"&gt;Latvijas Darba devēju konfederācija (LDDK)&lt;/a&gt;;&lt;/p&gt;&lt;p&gt;&lt;a id="146" href="/hub/Lists/ArejieKontakti/DispForm.aspx?ID=146" target="_blank"&gt;Latvijas Pašvaldību savienība (LPS)&lt;/a&gt;;&lt;/p&gt;&lt;p&gt;&lt;a id="1923" href="/hub/Lists/ArejieKontakti/DispForm.aspx?ID=1923" target="_blank"&gt;Latvijas Tirdzniecības un rūpniecības kamera (LTRK)&lt;/a&gt;;&lt;/p&gt;&lt;p&gt;&lt;a id="3340" href="/hub/Lists/ArejieKontakti/DispForm.aspx?ID=3340" target="_blank"&gt;Latvijas Zvērinātu Advokātu padome&lt;/a&gt;;&lt;/p&gt;&lt;p&gt;&lt;a id="149" href="/hub/Lists/ArejieKontakti/DispForm.aspx?ID=149" target="_blank"&gt;Latvijas Zvērinātu notāru padome&lt;/a&gt;;&lt;/p&gt;&lt;p&gt;&lt;a id="12445" href="/hub/Lists/ArejieKontakti/DispForm.aspx?ID=12445" target="_blank"&gt;Latvijas zvērinātu revidentu asociācija&lt;/a&gt;;&lt;/p&gt;&lt;p&gt;&lt;a id="11375" href="/hub/Lists/ArejieKontakti/DispForm.aspx?ID=11375" target="_blank"&gt;Lauksaimniecības datu centrs&lt;/a&gt;;&lt;/p&gt;&lt;p&gt;&lt;a id="11007" href="/hub/Lists/ArejieKontakti/DispForm.aspx?ID=11007" target="_blank"&gt;Nacionālā kultūras mantojuma pārvalde&lt;/a&gt;;&lt;/p&gt;&lt;p&gt;&lt;a id="3484" href="/hub/Lists/ArejieKontakti/DispForm.aspx?ID=3484" target="_blank"&gt;Nacionālā elektronisko plašsaziņas līdzekļu padome (NEPLP)&lt;/a&gt;;&lt;/p&gt;&lt;p&gt;&lt;a id="3881" href="/hub/Lists/ArejieKontakti/DispForm.aspx?ID=3881" target="_blank"&gt;Patentu valde&lt;/a&gt;;&lt;/p&gt;&lt;p&gt;&lt;a id="1684" href="/hub/Lists/ArejieKontakti/DispForm.aspx?ID=1684" target="_blank"&gt;Patērētāju tiesību aizsardzības centrs (PTAC)&lt;/a&gt;;&lt;/p&gt;&lt;p&gt;&lt;a id="248" href="/hub/Lists/ArejieKontakti/DispForm.aspx?ID=248" target="_blank"&gt;Pilsonības un migrācijas lietu pārvalde (PMLP)&lt;/a&gt;;&lt;/p&gt;&lt;p&gt;&lt;a id="261" href="/hub/Lists/ArejieKontakti/DispForm.aspx?ID=261" target="_blank"&gt;Satiksmes ministrija (SM)&lt;/a&gt;;&lt;/p&gt;&lt;p&gt;&lt;a id="262" href="/hub/Lists/ArejieKontakti/DispForm.aspx?ID=262" target="_blank"&gt;Satversmes aizsardzības birojs (SAB)&lt;/a&gt;;&lt;/p&gt;&lt;p&gt;&lt;a id="282" href="/hub/Lists/ArejieKontakti/DispForm.aspx?ID=282" target="_blank"&gt;Tieslietu ministrija (TM)&lt;/a&gt;;&lt;/p&gt;&lt;p&gt;&lt;a id="1726" href="/hub/Lists/ArejieKontakti/DispForm.aspx?ID=1726" target="_blank"&gt;Tiesu administrācija&lt;/a&gt;;&lt;/p&gt;&lt;p&gt;&lt;a id="2059" href="/hub/Lists/ArejieKontakti/DispForm.aspx?ID=2059" target="_blank"&gt;Uzņēmumu reģistrs&lt;/a&gt;;&lt;/p&gt;&lt;p&gt;&lt;a id="313" href="/hub/Lists/ArejieKontakti/DispForm.aspx?ID=313" target="_blank"&gt;Ceļu satiksmes drošības direkcija (CSDD)&lt;/a&gt;;&lt;/p&gt;&lt;p&gt;&lt;a id="30236" href="/hub/Lists/ArejieKontakti/DispForm.aspx?ID=30236" target="_blank"&gt;VALSTS AKCIJU SABIEDRĪBA &amp;quot;LATVIJAS JŪRAS ADMINISTRĀCIJA&amp;quot;&lt;/a&gt;;&lt;/p&gt;&lt;p&gt;&lt;a id="44" href="/hub/Lists/ArejieKontakti/DispForm.aspx?ID=44" target="_blank"&gt;Valsts drošības dienests&lt;/a&gt;;&lt;/p&gt;&lt;p&gt;&lt;a id="299" href="/hub/Lists/ArejieKontakti/DispForm.aspx?ID=299" target="_blank"&gt;Valsts ieņēmumu dienests (VID)&lt;/a&gt;;&lt;/p&gt;&lt;p&gt;&lt;a id="308" href="/hub/Lists/ArejieKontakti/DispForm.aspx?ID=308" target="_blank"&gt;Valsts robežsardze&lt;/a&gt;;&lt;/p&gt;&lt;p&gt;&lt;a id="11376" href="/hub/Lists/ArejieKontakti/DispForm.aspx?ID=11376" target="_blank"&gt;Valsts tehniskās uzraudzības aģentūra&lt;/a&gt;;&lt;/p&gt;&lt;p&gt;&lt;a id="1752" href="/hub/Lists/ArejieKontakti/DispForm.aspx?ID=1752" target="_blank"&gt;Civilās aviācijas aģentūra VA&lt;/a&gt;;&lt;/p&gt;</amAdresats>
    <amIerobezotaPieejamiba xmlns="ec5eb65c-7d19-4b23-bf65-ca68bcd53ae2">Nē</amIerobezotaPieejamiba>
    <amDokumentaIndeks xmlns="801ff49e-5150-41f0-9cd7-015d16134d38" xsi:nil="true"/>
    <LTT_RelatedDocumentsField xmlns="aaa33240-aed4-492d-84f2-cf9262a9abbc" xsi:nil="true"/>
    <amDokPielikumi xmlns="801ff49e-5150-41f0-9cd7-015d16134d38" xsi:nil="true"/>
    <amDokSaturs xmlns="801ff49e-5150-41f0-9cd7-015d16134d38" xsi:nil="true"/>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Juridiskais departaments</TermName>
          <TermId xmlns="http://schemas.microsoft.com/office/infopath/2007/PartnerControls">60454ff7-9902-465c-9f30-b40df7ce8b1b</TermId>
        </TermInfo>
      </Terms>
    </n85de85c44494d77850ec883bf791ea1>
    <TaxCatchAll xmlns="21a93588-6fe8-41e9-94dc-424b783ca979">
      <Value>281</Value>
      <Value>11</Value>
    </TaxCatchAll>
    <amPiezimes xmlns="801ff49e-5150-41f0-9cd7-015d16134d38" xsi:nil="true"/>
    <amPiekluvesLimenis xmlns="ec5eb65c-7d19-4b23-bf65-ca68bcd53ae2">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Sankciju nodaļa</TermName>
          <TermId xmlns="http://schemas.microsoft.com/office/infopath/2007/PartnerControls">8aa1ba4a-6cf7-4287-b9c6-7078308acacc</TermId>
        </TermInfo>
      </Terms>
    </aee6b300c46d41ecb957189889b62b92>
    <amLietasNumurs xmlns="801ff49e-5150-41f0-9cd7-015d16134d38" xsi:nil="true"/>
    <amSagatavotajs xmlns="801ff49e-5150-41f0-9cd7-015d16134d38">
      <UserInfo>
        <DisplayName>Māris Krauze</DisplayName>
        <AccountId>285</AccountId>
        <AccountType/>
      </UserInfo>
    </amSagatavotajs>
    <amDokParakstitaji xmlns="801ff49e-5150-41f0-9cd7-015d16134d38">
      <UserInfo>
        <DisplayName>Kristīne Līce</DisplayName>
        <AccountId>860</AccountId>
        <AccountType/>
      </UserInfo>
    </amDokParakstitaji>
    <amLidzautori xmlns="801ff49e-5150-41f0-9cd7-015d16134d38">
      <UserInfo>
        <DisplayName/>
        <AccountId xsi:nil="true"/>
        <AccountType/>
      </UserInfo>
    </amLidzautori>
    <amNumurs xmlns="801ff49e-5150-41f0-9cd7-015d16134d38">41-3489</amNumurs>
    <amPiekluvesLimenaPamatojums xmlns="801ff49e-5150-41f0-9cd7-015d16134d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6807DCC430DF214A9453AC9A465A32BE" ma:contentTypeVersion="334" ma:contentTypeDescription="Izveidot jaunu dokumentu." ma:contentTypeScope="" ma:versionID="545f581ec2edba6637930a188f621cdc">
  <xsd:schema xmlns:xsd="http://www.w3.org/2001/XMLSchema" xmlns:xs="http://www.w3.org/2001/XMLSchema" xmlns:p="http://schemas.microsoft.com/office/2006/metadata/properties" xmlns:ns2="ec5eb65c-7d19-4b23-bf65-ca68bcd53ae2" xmlns:ns3="801ff49e-5150-41f0-9cd7-015d16134d38" xmlns:ns4="21a93588-6fe8-41e9-94dc-424b783ca979" xmlns:ns5="aaa33240-aed4-492d-84f2-cf9262a9abbc" targetNamespace="http://schemas.microsoft.com/office/2006/metadata/properties" ma:root="true" ma:fieldsID="3575c74e69ffd57ea22aed17bef651a8" ns2:_="" ns3:_="" ns4:_="" ns5:_="">
    <xsd:import namespace="ec5eb65c-7d19-4b23-bf65-ca68bcd53ae2"/>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Piezimes" minOccurs="0"/>
                <xsd:element ref="ns3:amDokPielikumi" minOccurs="0"/>
                <xsd:element ref="ns3:amAdresats" minOccurs="0"/>
                <xsd:element ref="ns2:amIerobezotaPieejamiba" minOccurs="0"/>
                <xsd:element ref="ns2:amDienestaVajadzibam" minOccurs="0"/>
                <xsd:element ref="ns3:amDokumentaIndeks" minOccurs="0"/>
                <xsd:element ref="ns3:amDokSaturs" minOccurs="0"/>
                <xsd:element ref="ns4:n85de85c44494d77850ec883bf791ea1"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eb65c-7d19-4b23-bf65-ca68bcd53ae2"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IerobezotaPieejamiba" ma:index="27" nillable="true" ma:displayName="Tikai tiem, kam vajadzība zināt" ma:default="Nē" ma:description="" ma:format="Dropdown" ma:internalName="amIerobezotaPieejamiba" ma:readOnly="false">
      <xsd:simpleType>
        <xsd:restriction base="dms:Choice">
          <xsd:enumeration value="Jā"/>
          <xsd:enumeration value="Nē"/>
        </xsd:restriction>
      </xsd:simpleType>
    </xsd:element>
    <xsd:element name="amDienestaVajadzibam" ma:index="28" nillable="true" ma:displayName="Dienesta vajadzībām" ma:default="Nē" ma:description="" ma:format="Dropdown" ma:internalName="amDienestaVajadzibam" ma:readOnly="false">
      <xsd:simpleType>
        <xsd:restriction base="dms:Choice">
          <xsd:enumeration value="Jā"/>
          <xsd:enumeration value="Nē"/>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4" nillable="true" ma:displayName="Piezīmes" ma:description="" ma:internalName="amPiezimes" ma:readOnly="false">
      <xsd:simpleType>
        <xsd:restriction base="dms:Note"/>
      </xsd:simpleType>
    </xsd:element>
    <xsd:element name="amDokPielikumi" ma:index="25" nillable="true" ma:displayName="Pielikumi" ma:description="" ma:internalName="amDokPielikumi" ma:readOnly="false">
      <xsd:simpleType>
        <xsd:restriction base="dms:Note"/>
      </xsd:simpleType>
    </xsd:element>
    <xsd:element name="amAdresats" ma:index="26" nillable="true" ma:displayName="Adresāta nosaukums" ma:description="" ma:internalName="amAdresats" ma:readOnly="false">
      <xsd:simpleType>
        <xsd:restriction base="dms:Note"/>
      </xsd:simpleType>
    </xsd:element>
    <xsd:element name="amDokumentaIndeks" ma:index="29" nillable="true" ma:displayName="Dokumenta indekss" ma:description="" ma:internalName="amDokumentaIndeks" ma:readOnly="false">
      <xsd:simpleType>
        <xsd:restriction base="dms:Text">
          <xsd:maxLength value="255"/>
        </xsd:restriction>
      </xsd:simpleType>
    </xsd:element>
    <xsd:element name="amDokSaturs" ma:index="30" nillable="true" ma:displayName="Saturs" ma:description="" ma:internalName="amDokSaturs" ma:readOnly="false">
      <xsd:simpleType>
        <xsd:restriction base="dms:Note"/>
      </xsd:simpleType>
    </xsd:element>
    <xsd:element name="amLapuSkaits" ma:index="33"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c5463419-7522-4bf4-a4ad-df1a42e875ff}" ma:internalName="TaxCatchAll" ma:showField="CatchAllData"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5463419-7522-4bf4-a4ad-df1a42e875ff}" ma:internalName="TaxCatchAllLabel" ma:readOnly="true" ma:showField="CatchAllDataLabel" ma:web="ec5eb65c-7d19-4b23-bf65-ca68bcd53ae2">
      <xsd:complexType>
        <xsd:complexContent>
          <xsd:extension base="dms:MultiChoiceLookup">
            <xsd:sequence>
              <xsd:element name="Value" type="dms:Lookup" maxOccurs="unbounded" minOccurs="0" nillable="true"/>
            </xsd:sequence>
          </xsd:extension>
        </xsd:complexContent>
      </xsd:complexType>
    </xsd:element>
    <xsd:element name="n85de85c44494d77850ec883bf791ea1" ma:index="31" nillable="true" ma:taxonomy="true" ma:internalName="n85de85c44494d77850ec883bf791ea1" ma:taxonomyFieldName="amRegistrStrukturvieniba" ma:displayName="Reģistrācijas struktūrvienība" ma:readOnly="false"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EECFA-7B68-4877-8DC0-4192CC47356C}">
  <ds:schemaRefs>
    <ds:schemaRef ds:uri="http://schemas.microsoft.com/sharepoint/v3/contenttype/forms"/>
  </ds:schemaRefs>
</ds:datastoreItem>
</file>

<file path=customXml/itemProps2.xml><?xml version="1.0" encoding="utf-8"?>
<ds:datastoreItem xmlns:ds="http://schemas.openxmlformats.org/officeDocument/2006/customXml" ds:itemID="{BAE98F2B-1FD4-47D7-A522-67AD6B14FF41}">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801ff49e-5150-41f0-9cd7-015d16134d38"/>
    <ds:schemaRef ds:uri="ec5eb65c-7d19-4b23-bf65-ca68bcd53ae2"/>
    <ds:schemaRef ds:uri="http://schemas.microsoft.com/office/2006/documentManagement/types"/>
    <ds:schemaRef ds:uri="aaa33240-aed4-492d-84f2-cf9262a9abbc"/>
    <ds:schemaRef ds:uri="21a93588-6fe8-41e9-94dc-424b783ca979"/>
    <ds:schemaRef ds:uri="http://www.w3.org/XML/1998/namespace"/>
    <ds:schemaRef ds:uri="http://purl.org/dc/dcmitype/"/>
  </ds:schemaRefs>
</ds:datastoreItem>
</file>

<file path=customXml/itemProps3.xml><?xml version="1.0" encoding="utf-8"?>
<ds:datastoreItem xmlns:ds="http://schemas.openxmlformats.org/officeDocument/2006/customXml" ds:itemID="{A1DC9CF5-7680-499E-8CD7-E060EE6F21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eb65c-7d19-4b23-bf65-ca68bcd53ae2"/>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E6ABE6-9A61-4ABC-BC0F-F921519A6BB1}">
  <ds:schemaRefs>
    <ds:schemaRef ds:uri="Microsoft.SharePoint.Taxonomy.ContentTypeSync"/>
  </ds:schemaRefs>
</ds:datastoreItem>
</file>

<file path=customXml/itemProps5.xml><?xml version="1.0" encoding="utf-8"?>
<ds:datastoreItem xmlns:ds="http://schemas.openxmlformats.org/officeDocument/2006/customXml" ds:itemID="{A6C8C5E6-5B34-46AB-BC6C-987E23C04A3A}">
  <ds:schemaRefs>
    <ds:schemaRef ds:uri="http://schemas.microsoft.com/sharepoint/events"/>
  </ds:schemaRefs>
</ds:datastoreItem>
</file>

<file path=customXml/itemProps6.xml><?xml version="1.0" encoding="utf-8"?>
<ds:datastoreItem xmlns:ds="http://schemas.openxmlformats.org/officeDocument/2006/customXml" ds:itemID="{E46C9AC6-D3A9-4945-A16E-B43A3059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11615</Words>
  <Characters>6622</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18201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harijs.batrags@mfa.gov.lv</dc:creator>
  <cp:keywords/>
  <dc:description/>
  <cp:lastModifiedBy>Harijs Batrags</cp:lastModifiedBy>
  <cp:revision>4</cp:revision>
  <cp:lastPrinted>2020-01-31T10:52:00Z</cp:lastPrinted>
  <dcterms:created xsi:type="dcterms:W3CDTF">2024-07-05T10:44:00Z</dcterms:created>
  <dcterms:modified xsi:type="dcterms:W3CDTF">2024-07-05T11:15:00Z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0x010100B1C2858224DA4374904E017A8E9DA548006807DCC430DF214A9453AC9A465A32BE</vt:lpwstr>
  </property>
  <property fmtid="{D5CDD505-2E9C-101B-9397-08002B2CF9AE}" pid="3" name="amStrukturvieniba">
    <vt:lpwstr>281;#Sankciju nodaļa|8aa1ba4a-6cf7-4287-b9c6-7078308acacc</vt:lpwstr>
  </property>
  <property fmtid="{D5CDD505-2E9C-101B-9397-08002B2CF9AE}" pid="4" name="amRegistrStrukturvieniba">
    <vt:lpwstr>11;#Juridiskais departaments|60454ff7-9902-465c-9f30-b40df7ce8b1b</vt:lpwstr>
  </property>
  <property fmtid="{D5CDD505-2E9C-101B-9397-08002B2CF9AE}" pid="5" name="_dlc_policyId">
    <vt:lpwstr/>
  </property>
  <property fmtid="{D5CDD505-2E9C-101B-9397-08002B2CF9AE}" pid="6" name="ItemRetentionFormula">
    <vt:lpwstr/>
  </property>
  <property fmtid="{D5CDD505-2E9C-101B-9397-08002B2CF9AE}" pid="7" name="TaxKeywordTaxHTField">
    <vt:lpwstr/>
  </property>
  <property fmtid="{D5CDD505-2E9C-101B-9397-08002B2CF9AE}" pid="8" name="amPazimes">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_docset_NoMedatataSyncRequired">
    <vt:lpwstr>False</vt:lpwstr>
  </property>
  <property fmtid="{D5CDD505-2E9C-101B-9397-08002B2CF9AE}" pid="15" name="amKlasifikators4">
    <vt:lpwstr/>
  </property>
  <property fmtid="{D5CDD505-2E9C-101B-9397-08002B2CF9AE}" pid="16" name="g1d73c0bd3d74d51b9f1d6542264a3d0">
    <vt:lpwstr/>
  </property>
  <property fmtid="{D5CDD505-2E9C-101B-9397-08002B2CF9AE}" pid="17" name="fd98f198e6504849b4ef719fdb39b6db">
    <vt:lpwstr/>
  </property>
  <property fmtid="{D5CDD505-2E9C-101B-9397-08002B2CF9AE}" pid="18" name="amKlasifikators2">
    <vt:lpwstr/>
  </property>
  <property fmtid="{D5CDD505-2E9C-101B-9397-08002B2CF9AE}" pid="19" name="amNosutisanasVeids">
    <vt:lpwstr/>
  </property>
</Properties>
</file>