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1D77" w14:textId="77777777" w:rsidR="00435B95" w:rsidRDefault="00C839BE" w:rsidP="00085CFC">
      <w:pPr>
        <w:pStyle w:val="naisc"/>
        <w:spacing w:before="0" w:after="0"/>
        <w:rPr>
          <w:b/>
          <w:sz w:val="28"/>
          <w:szCs w:val="28"/>
        </w:rPr>
      </w:pPr>
      <w:bookmarkStart w:id="0" w:name="OLE_LINK1"/>
      <w:r w:rsidRPr="00A70D61">
        <w:rPr>
          <w:b/>
          <w:sz w:val="28"/>
          <w:szCs w:val="28"/>
        </w:rPr>
        <w:t>Ministru kabineta noteikumu projekta</w:t>
      </w:r>
      <w:bookmarkEnd w:id="0"/>
      <w:r w:rsidRPr="00A70D61">
        <w:rPr>
          <w:b/>
          <w:sz w:val="28"/>
          <w:szCs w:val="28"/>
        </w:rPr>
        <w:t xml:space="preserve"> </w:t>
      </w:r>
    </w:p>
    <w:p w14:paraId="1831E586" w14:textId="0926C5AF" w:rsidR="00C839BE" w:rsidRPr="00A70D61" w:rsidRDefault="00B23A6C" w:rsidP="00085CFC">
      <w:pPr>
        <w:pStyle w:val="naisc"/>
        <w:spacing w:before="0" w:after="0"/>
        <w:rPr>
          <w:b/>
          <w:bCs/>
          <w:sz w:val="28"/>
          <w:szCs w:val="28"/>
        </w:rPr>
      </w:pPr>
      <w:r w:rsidRPr="00B23A6C">
        <w:rPr>
          <w:b/>
          <w:bCs/>
          <w:sz w:val="28"/>
          <w:szCs w:val="28"/>
        </w:rPr>
        <w:t>“</w:t>
      </w:r>
      <w:r w:rsidR="00D07151" w:rsidRPr="00D07151">
        <w:rPr>
          <w:b/>
          <w:bCs/>
          <w:sz w:val="28"/>
          <w:szCs w:val="28"/>
        </w:rPr>
        <w:t>Valsts un Eiropas Savienības atbalsta piešķiršanas kārtība atklātu projektu konkursa veidā pasākumā "Ieguldījumi materiālajos aktīvos"</w:t>
      </w:r>
      <w:r w:rsidR="00EC394A">
        <w:rPr>
          <w:b/>
          <w:bCs/>
          <w:sz w:val="28"/>
          <w:szCs w:val="28"/>
        </w:rPr>
        <w:t xml:space="preserve"> </w:t>
      </w:r>
      <w:r w:rsidR="005C0D06">
        <w:rPr>
          <w:b/>
          <w:bCs/>
          <w:sz w:val="28"/>
          <w:szCs w:val="28"/>
        </w:rPr>
        <w:br/>
      </w:r>
      <w:r w:rsidRPr="00B23A6C">
        <w:rPr>
          <w:b/>
          <w:bCs/>
          <w:sz w:val="28"/>
          <w:szCs w:val="28"/>
        </w:rPr>
        <w:t>2014.–2020.</w:t>
      </w:r>
      <w:r w:rsidR="005C0D06">
        <w:rPr>
          <w:b/>
          <w:bCs/>
          <w:sz w:val="28"/>
          <w:szCs w:val="28"/>
        </w:rPr>
        <w:t> </w:t>
      </w:r>
      <w:r w:rsidRPr="00B23A6C">
        <w:rPr>
          <w:b/>
          <w:bCs/>
          <w:sz w:val="28"/>
          <w:szCs w:val="28"/>
        </w:rPr>
        <w:t>gada plānošanas perioda pārejas laikā 2021. un 2022. gadā”</w:t>
      </w:r>
      <w:r>
        <w:rPr>
          <w:b/>
          <w:bCs/>
          <w:sz w:val="28"/>
          <w:szCs w:val="28"/>
        </w:rPr>
        <w:t xml:space="preserve"> </w:t>
      </w:r>
      <w:r w:rsidR="00C839BE" w:rsidRPr="00A70D61">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C839BE" w:rsidRPr="00A70D61">
          <w:rPr>
            <w:b/>
            <w:bCs/>
            <w:sz w:val="28"/>
            <w:szCs w:val="28"/>
          </w:rPr>
          <w:t>ziņojums</w:t>
        </w:r>
      </w:smartTag>
      <w:r w:rsidR="00C839BE" w:rsidRPr="00A70D61">
        <w:rPr>
          <w:b/>
          <w:bCs/>
          <w:sz w:val="28"/>
          <w:szCs w:val="28"/>
        </w:rPr>
        <w:t xml:space="preserve"> (anotācija)</w:t>
      </w:r>
    </w:p>
    <w:tbl>
      <w:tblPr>
        <w:tblW w:w="5651" w:type="pct"/>
        <w:tblInd w:w="-604"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100"/>
        <w:gridCol w:w="150"/>
        <w:gridCol w:w="1738"/>
        <w:gridCol w:w="45"/>
        <w:gridCol w:w="16"/>
        <w:gridCol w:w="405"/>
        <w:gridCol w:w="141"/>
        <w:gridCol w:w="59"/>
        <w:gridCol w:w="88"/>
        <w:gridCol w:w="587"/>
        <w:gridCol w:w="880"/>
        <w:gridCol w:w="1402"/>
        <w:gridCol w:w="708"/>
        <w:gridCol w:w="2915"/>
      </w:tblGrid>
      <w:tr w:rsidR="007631AE" w:rsidRPr="003B4F98" w14:paraId="0810D55B" w14:textId="77777777" w:rsidTr="001F0EEE">
        <w:trPr>
          <w:trHeight w:val="25"/>
        </w:trPr>
        <w:tc>
          <w:tcPr>
            <w:tcW w:w="5000" w:type="pct"/>
            <w:gridSpan w:val="14"/>
            <w:tcBorders>
              <w:top w:val="outset" w:sz="6" w:space="0" w:color="auto"/>
              <w:left w:val="outset" w:sz="6" w:space="0" w:color="auto"/>
              <w:bottom w:val="outset" w:sz="6" w:space="0" w:color="auto"/>
              <w:right w:val="outset" w:sz="6" w:space="0" w:color="auto"/>
            </w:tcBorders>
            <w:vAlign w:val="center"/>
          </w:tcPr>
          <w:p w14:paraId="4D3F14E1" w14:textId="77777777" w:rsidR="007631AE" w:rsidRPr="007631AE" w:rsidRDefault="007631AE" w:rsidP="007631AE">
            <w:pPr>
              <w:pStyle w:val="NoSpacing"/>
              <w:rPr>
                <w:rFonts w:ascii="Times New Roman" w:hAnsi="Times New Roman"/>
                <w:b/>
                <w:sz w:val="24"/>
                <w:szCs w:val="24"/>
              </w:rPr>
            </w:pPr>
            <w:r w:rsidRPr="007631AE">
              <w:rPr>
                <w:rFonts w:ascii="Times New Roman" w:hAnsi="Times New Roman"/>
                <w:b/>
                <w:sz w:val="24"/>
                <w:szCs w:val="24"/>
              </w:rPr>
              <w:t>Tiesību akta projekta anotācijas kopsavilkums</w:t>
            </w:r>
          </w:p>
        </w:tc>
      </w:tr>
      <w:tr w:rsidR="007631AE" w:rsidRPr="000E7529" w14:paraId="147416E3" w14:textId="77777777" w:rsidTr="001F0EEE">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489" w:type="pct"/>
            <w:gridSpan w:val="5"/>
            <w:tcBorders>
              <w:top w:val="outset" w:sz="6" w:space="0" w:color="414142"/>
              <w:left w:val="outset" w:sz="6" w:space="0" w:color="414142"/>
              <w:bottom w:val="single" w:sz="4" w:space="0" w:color="auto"/>
              <w:right w:val="outset" w:sz="6" w:space="0" w:color="414142"/>
            </w:tcBorders>
            <w:hideMark/>
          </w:tcPr>
          <w:p w14:paraId="08D5C0D4" w14:textId="77777777" w:rsidR="007631AE" w:rsidRPr="000E7529" w:rsidRDefault="007631AE" w:rsidP="009E614F">
            <w:pPr>
              <w:ind w:right="140"/>
              <w:jc w:val="both"/>
            </w:pPr>
            <w:r w:rsidRPr="000E7529">
              <w:t>Mērķis, risinājums un projekta spēkā stāšanās laiks (500 zīmes bez atstarpēm)</w:t>
            </w:r>
          </w:p>
        </w:tc>
        <w:tc>
          <w:tcPr>
            <w:tcW w:w="3511" w:type="pct"/>
            <w:gridSpan w:val="9"/>
            <w:tcBorders>
              <w:top w:val="outset" w:sz="6" w:space="0" w:color="414142"/>
              <w:left w:val="outset" w:sz="6" w:space="0" w:color="414142"/>
              <w:bottom w:val="single" w:sz="4" w:space="0" w:color="auto"/>
              <w:right w:val="outset" w:sz="6" w:space="0" w:color="414142"/>
            </w:tcBorders>
            <w:hideMark/>
          </w:tcPr>
          <w:p w14:paraId="0B534469" w14:textId="54CF02B4" w:rsidR="007631AE" w:rsidRPr="000E7529" w:rsidRDefault="00FD7D94" w:rsidP="009E614F">
            <w:pPr>
              <w:ind w:right="140"/>
              <w:jc w:val="both"/>
            </w:pPr>
            <w:r w:rsidRPr="00FD7D94">
              <w:t xml:space="preserve">Ministru kabineta noteikumu projekts </w:t>
            </w:r>
            <w:bookmarkStart w:id="1" w:name="_Hlk85729524"/>
            <w:r w:rsidRPr="00FD7D94">
              <w:t>“</w:t>
            </w:r>
            <w:r w:rsidR="00EC394A" w:rsidRPr="00EC394A">
              <w:t>Valsts un Eiropas Savienības atbalsta piešķiršanas kārtība atklātu projektu konkursa veidā pasākumā "Ieguldījumi materiālajos aktīvos"</w:t>
            </w:r>
            <w:r w:rsidR="00BE3A0D">
              <w:t xml:space="preserve"> </w:t>
            </w:r>
            <w:r w:rsidR="00EC394A" w:rsidRPr="00EC394A">
              <w:t>2014.–2020. gada plānošanas perioda pārejas laikā 2021. un 2022. gadā</w:t>
            </w:r>
            <w:bookmarkEnd w:id="1"/>
            <w:r w:rsidRPr="00FD7D94">
              <w:t>” (turpmāk – noteikumu projekts) sagatavots, pamatojoties uz Lauksaimniecības un lauku attīstības likuma 5.</w:t>
            </w:r>
            <w:r w:rsidR="005C0D06">
              <w:t> </w:t>
            </w:r>
            <w:r w:rsidRPr="00FD7D94">
              <w:t>panta ceturto daļu un septīto daļu.</w:t>
            </w:r>
          </w:p>
        </w:tc>
      </w:tr>
      <w:tr w:rsidR="0062475A" w:rsidRPr="000E7529" w14:paraId="17A5E33D" w14:textId="77777777" w:rsidTr="001F0EEE">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489" w:type="pct"/>
            <w:gridSpan w:val="5"/>
            <w:tcBorders>
              <w:top w:val="nil"/>
              <w:left w:val="nil"/>
              <w:bottom w:val="nil"/>
              <w:right w:val="nil"/>
            </w:tcBorders>
          </w:tcPr>
          <w:p w14:paraId="449EB26B" w14:textId="77777777" w:rsidR="0062475A" w:rsidRPr="000E7529" w:rsidRDefault="0062475A" w:rsidP="009E614F">
            <w:pPr>
              <w:ind w:right="140"/>
              <w:jc w:val="both"/>
            </w:pPr>
          </w:p>
        </w:tc>
        <w:tc>
          <w:tcPr>
            <w:tcW w:w="3511" w:type="pct"/>
            <w:gridSpan w:val="9"/>
            <w:tcBorders>
              <w:top w:val="nil"/>
              <w:left w:val="nil"/>
              <w:bottom w:val="nil"/>
              <w:right w:val="nil"/>
            </w:tcBorders>
          </w:tcPr>
          <w:p w14:paraId="172F964E" w14:textId="77777777" w:rsidR="0062475A" w:rsidRPr="000E7529" w:rsidRDefault="0062475A" w:rsidP="009E614F">
            <w:pPr>
              <w:ind w:right="140"/>
              <w:jc w:val="both"/>
            </w:pPr>
          </w:p>
        </w:tc>
      </w:tr>
      <w:tr w:rsidR="008C0C54" w:rsidRPr="0003436C" w14:paraId="1833451D" w14:textId="77777777" w:rsidTr="001F0EEE">
        <w:trPr>
          <w:trHeight w:val="25"/>
        </w:trPr>
        <w:tc>
          <w:tcPr>
            <w:tcW w:w="5000" w:type="pct"/>
            <w:gridSpan w:val="14"/>
            <w:tcBorders>
              <w:top w:val="outset" w:sz="6" w:space="0" w:color="auto"/>
              <w:left w:val="outset" w:sz="6" w:space="0" w:color="auto"/>
              <w:bottom w:val="outset" w:sz="6" w:space="0" w:color="auto"/>
              <w:right w:val="outset" w:sz="6" w:space="0" w:color="auto"/>
            </w:tcBorders>
            <w:vAlign w:val="center"/>
          </w:tcPr>
          <w:p w14:paraId="520B57C7" w14:textId="77777777" w:rsidR="00C839BE" w:rsidRPr="0003436C" w:rsidRDefault="00C839BE" w:rsidP="0003436C">
            <w:pPr>
              <w:pStyle w:val="NoSpacing"/>
              <w:jc w:val="center"/>
              <w:rPr>
                <w:rFonts w:ascii="Times New Roman" w:hAnsi="Times New Roman"/>
                <w:b/>
                <w:sz w:val="24"/>
                <w:szCs w:val="24"/>
              </w:rPr>
            </w:pPr>
            <w:r w:rsidRPr="0003436C">
              <w:rPr>
                <w:rFonts w:ascii="Times New Roman" w:hAnsi="Times New Roman"/>
                <w:b/>
                <w:sz w:val="24"/>
                <w:szCs w:val="24"/>
              </w:rPr>
              <w:t>I. Tiesību akta projekta izstrādes nepieciešamība</w:t>
            </w:r>
          </w:p>
        </w:tc>
      </w:tr>
      <w:tr w:rsidR="008C0C54" w:rsidRPr="0003436C" w14:paraId="35FB3243"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1EF1885" w14:textId="77777777" w:rsidR="00C839BE" w:rsidRPr="0003436C" w:rsidRDefault="0003436C" w:rsidP="00085CFC">
            <w:pPr>
              <w:jc w:val="both"/>
              <w:rPr>
                <w:color w:val="000000"/>
              </w:rPr>
            </w:pPr>
            <w:r w:rsidRPr="0003436C">
              <w:rPr>
                <w:color w:val="000000"/>
              </w:rPr>
              <w:t>1</w:t>
            </w:r>
            <w:r w:rsidR="00C839BE" w:rsidRPr="0003436C">
              <w:rPr>
                <w:color w:val="000000"/>
              </w:rPr>
              <w:t>.</w:t>
            </w:r>
          </w:p>
        </w:tc>
        <w:tc>
          <w:tcPr>
            <w:tcW w:w="849" w:type="pct"/>
            <w:tcBorders>
              <w:top w:val="outset" w:sz="6" w:space="0" w:color="auto"/>
              <w:left w:val="outset" w:sz="6" w:space="0" w:color="auto"/>
              <w:bottom w:val="outset" w:sz="6" w:space="0" w:color="auto"/>
              <w:right w:val="outset" w:sz="6" w:space="0" w:color="auto"/>
            </w:tcBorders>
          </w:tcPr>
          <w:p w14:paraId="4C8C5585" w14:textId="77777777" w:rsidR="00C839BE" w:rsidRPr="0003436C" w:rsidRDefault="00C839BE" w:rsidP="00085CFC">
            <w:pPr>
              <w:jc w:val="both"/>
              <w:rPr>
                <w:color w:val="000000"/>
              </w:rPr>
            </w:pPr>
            <w:r w:rsidRPr="0003436C">
              <w:rPr>
                <w:color w:val="000000"/>
              </w:rPr>
              <w:t>Pamatojums</w:t>
            </w:r>
          </w:p>
        </w:tc>
        <w:tc>
          <w:tcPr>
            <w:tcW w:w="3541" w:type="pct"/>
            <w:gridSpan w:val="11"/>
            <w:tcBorders>
              <w:top w:val="outset" w:sz="6" w:space="0" w:color="auto"/>
              <w:left w:val="outset" w:sz="6" w:space="0" w:color="auto"/>
              <w:bottom w:val="outset" w:sz="6" w:space="0" w:color="auto"/>
              <w:right w:val="outset" w:sz="6" w:space="0" w:color="auto"/>
            </w:tcBorders>
          </w:tcPr>
          <w:p w14:paraId="3EB9B9CB" w14:textId="5E667AC5" w:rsidR="008B086A" w:rsidRPr="00821462" w:rsidRDefault="008B086A" w:rsidP="005448AC">
            <w:r>
              <w:t>Zemkopības ministrijas iniciatīva</w:t>
            </w:r>
            <w:r w:rsidR="00632F7C">
              <w:t xml:space="preserve">, </w:t>
            </w:r>
            <w:r w:rsidR="00B459B7">
              <w:t>pamatojoties uz</w:t>
            </w:r>
            <w:r w:rsidR="00632F7C">
              <w:t xml:space="preserve"> Latvijas Lauku attīstības programmas 2014</w:t>
            </w:r>
            <w:r w:rsidR="00BA0F20">
              <w:t>–</w:t>
            </w:r>
            <w:r w:rsidR="00632F7C">
              <w:t xml:space="preserve">2020 Uzraudzības komisijas </w:t>
            </w:r>
            <w:r w:rsidR="00632F7C" w:rsidRPr="00364E48">
              <w:t xml:space="preserve">06.05.2021. </w:t>
            </w:r>
            <w:r w:rsidR="005C0D06">
              <w:t>l</w:t>
            </w:r>
            <w:r w:rsidR="00632F7C" w:rsidRPr="00364E48">
              <w:t>ēmum</w:t>
            </w:r>
            <w:r w:rsidR="00B459B7">
              <w:t>u</w:t>
            </w:r>
            <w:r w:rsidR="00632F7C" w:rsidRPr="00364E48">
              <w:t xml:space="preserve"> Nr</w:t>
            </w:r>
            <w:r w:rsidR="00B459B7">
              <w:t>.</w:t>
            </w:r>
            <w:r w:rsidR="00DA57B3">
              <w:t> </w:t>
            </w:r>
            <w:r w:rsidR="00632F7C" w:rsidRPr="00364E48">
              <w:t>9.3-18e/1/L/UK/2021.</w:t>
            </w:r>
          </w:p>
          <w:p w14:paraId="76196F7E" w14:textId="77777777" w:rsidR="00632F7C" w:rsidRPr="000E7529" w:rsidRDefault="00632F7C" w:rsidP="00F0048B">
            <w:pPr>
              <w:ind w:right="142"/>
              <w:jc w:val="both"/>
            </w:pPr>
          </w:p>
          <w:p w14:paraId="48D7314E" w14:textId="36B5ABFD" w:rsidR="008B086A" w:rsidRDefault="008B086A" w:rsidP="00F0048B">
            <w:pPr>
              <w:pStyle w:val="Stils2"/>
              <w:spacing w:after="0"/>
              <w:ind w:left="0"/>
              <w:rPr>
                <w:lang w:val="lv-LV"/>
              </w:rPr>
            </w:pPr>
            <w:r w:rsidRPr="000E7529">
              <w:t>Eiropas Parlamenta un Padomes 2020. gada 23. decembra Regul</w:t>
            </w:r>
            <w:r w:rsidR="00BA0F20">
              <w:rPr>
                <w:lang w:val="lv-LV"/>
              </w:rPr>
              <w:t>a</w:t>
            </w:r>
            <w:r w:rsidRPr="000E7529">
              <w:t xml:space="preserve"> (ES) 2020/2220</w:t>
            </w:r>
            <w:r w:rsidR="00BA0F20">
              <w:rPr>
                <w:lang w:val="lv-LV"/>
              </w:rPr>
              <w:t>,</w:t>
            </w:r>
            <w:r w:rsidRPr="000E7529">
              <w:t xml:space="preserve"> ar ko nosaka dažus pārejas noteikumus atbalstam no Eiropas Lauksaimniecības fonda lauku attīstībai un Eiropas Lauksaimniecības garantiju fonda (ELGF) 2021. un 2022. gadā un ar ko attiecībā uz līdzekļiem un piemērošanu 2021. un 2022. gadā groza Regulas (ES) Nr. 1305/2013, (ES) Nr. 1306/2013 un (ES) Nr. 1307/2013, un attiecībā uz līdzekļiem un šāda atbalsta sadalījumu 2021. un 2022. gadā groza Regulu (ES) Nr. 1308/2013.</w:t>
            </w:r>
          </w:p>
          <w:p w14:paraId="028B52FC" w14:textId="03BCE830" w:rsidR="00C839BE" w:rsidRPr="0003436C" w:rsidRDefault="00C0369B" w:rsidP="00763DF7">
            <w:pPr>
              <w:jc w:val="both"/>
            </w:pPr>
            <w:r w:rsidRPr="0003436C">
              <w:rPr>
                <w:bCs/>
              </w:rPr>
              <w:t xml:space="preserve">Ministru kabineta noteikumu projekts </w:t>
            </w:r>
            <w:r w:rsidR="00801486" w:rsidRPr="00801486">
              <w:t>“</w:t>
            </w:r>
            <w:r w:rsidR="00EC394A" w:rsidRPr="00EC394A">
              <w:t>Valsts un Eiropas Savienības atbalsta piešķiršanas kārtība atklātu projektu konkursa veidā pasākumā "Ieguldījumi materiālajos aktīvos"</w:t>
            </w:r>
            <w:r w:rsidR="00AE3AE1">
              <w:t xml:space="preserve"> </w:t>
            </w:r>
            <w:r w:rsidR="00EC394A" w:rsidRPr="00EC394A">
              <w:t>2014.–2020. gada plānošanas perioda pārejas laikā 2021. un 2022. gadā</w:t>
            </w:r>
            <w:r w:rsidR="00801486" w:rsidRPr="00801486">
              <w:t xml:space="preserve">” </w:t>
            </w:r>
            <w:r w:rsidRPr="0003436C">
              <w:t>(turpmāk – noteikumu projekts) sagatavots, pamatojoties uz Lauksaimniecības un lauku attīstības likuma 5.</w:t>
            </w:r>
            <w:r w:rsidR="00BA0F20">
              <w:t> </w:t>
            </w:r>
            <w:r w:rsidRPr="0003436C">
              <w:t>panta ceturto daļu</w:t>
            </w:r>
            <w:r w:rsidR="00311B8A">
              <w:t xml:space="preserve"> </w:t>
            </w:r>
            <w:r w:rsidR="00311B8A" w:rsidRPr="00FD7D94">
              <w:t>un septīto daļu</w:t>
            </w:r>
            <w:r w:rsidRPr="0003436C">
              <w:t>.</w:t>
            </w:r>
          </w:p>
        </w:tc>
      </w:tr>
      <w:tr w:rsidR="008C0C54" w:rsidRPr="0003436C" w14:paraId="3C6B77FD"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0C40E56" w14:textId="77777777" w:rsidR="00C839BE" w:rsidRPr="0003436C" w:rsidRDefault="00632F7C" w:rsidP="00085CFC">
            <w:pPr>
              <w:jc w:val="both"/>
              <w:rPr>
                <w:color w:val="000000"/>
              </w:rPr>
            </w:pPr>
            <w:r>
              <w:rPr>
                <w:color w:val="000000"/>
              </w:rPr>
              <w:t xml:space="preserve"> </w:t>
            </w:r>
            <w:r w:rsidR="00C839BE" w:rsidRPr="0003436C">
              <w:rPr>
                <w:color w:val="000000"/>
              </w:rPr>
              <w:t>2.</w:t>
            </w:r>
          </w:p>
        </w:tc>
        <w:tc>
          <w:tcPr>
            <w:tcW w:w="849" w:type="pct"/>
            <w:tcBorders>
              <w:top w:val="outset" w:sz="6" w:space="0" w:color="auto"/>
              <w:left w:val="outset" w:sz="6" w:space="0" w:color="auto"/>
              <w:bottom w:val="outset" w:sz="6" w:space="0" w:color="auto"/>
              <w:right w:val="outset" w:sz="6" w:space="0" w:color="auto"/>
            </w:tcBorders>
          </w:tcPr>
          <w:p w14:paraId="7C66A320" w14:textId="77777777" w:rsidR="00C839BE" w:rsidRPr="0003436C" w:rsidRDefault="00C839BE" w:rsidP="00085CFC">
            <w:pPr>
              <w:jc w:val="both"/>
              <w:rPr>
                <w:color w:val="000000"/>
              </w:rPr>
            </w:pPr>
            <w:r w:rsidRPr="0003436C">
              <w:rPr>
                <w:color w:val="000000"/>
              </w:rPr>
              <w:t>Pašreizējā situācija un problēmas</w:t>
            </w:r>
            <w:r w:rsidR="00FE5C96" w:rsidRPr="0003436C">
              <w:rPr>
                <w:color w:val="000000"/>
              </w:rPr>
              <w:t>, kuru risināšanai tiesību akta projekts izstrādāts, tiesiskā regulējuma mērķis un būtība</w:t>
            </w:r>
          </w:p>
        </w:tc>
        <w:tc>
          <w:tcPr>
            <w:tcW w:w="3541" w:type="pct"/>
            <w:gridSpan w:val="11"/>
            <w:tcBorders>
              <w:top w:val="outset" w:sz="6" w:space="0" w:color="auto"/>
              <w:left w:val="outset" w:sz="6" w:space="0" w:color="auto"/>
              <w:bottom w:val="outset" w:sz="6" w:space="0" w:color="auto"/>
              <w:right w:val="outset" w:sz="6" w:space="0" w:color="auto"/>
            </w:tcBorders>
            <w:shd w:val="clear" w:color="auto" w:fill="auto"/>
          </w:tcPr>
          <w:p w14:paraId="088CF113" w14:textId="77777777" w:rsidR="00FA5E0F" w:rsidRPr="00BA1D5E" w:rsidRDefault="00FA5E0F" w:rsidP="00A33FF4">
            <w:pPr>
              <w:pStyle w:val="Stils2"/>
              <w:spacing w:after="0"/>
              <w:rPr>
                <w:rFonts w:eastAsia="Calibri"/>
                <w:bCs w:val="0"/>
                <w:snapToGrid/>
                <w:szCs w:val="28"/>
                <w:lang w:val="lv-LV"/>
              </w:rPr>
            </w:pPr>
            <w:r w:rsidRPr="00BA1D5E">
              <w:rPr>
                <w:rFonts w:eastAsia="Calibri"/>
                <w:bCs w:val="0"/>
                <w:snapToGrid/>
                <w:szCs w:val="28"/>
                <w:lang w:val="lv-LV"/>
              </w:rPr>
              <w:t>Sagatavotais Ministru kabineta noteikumu projekts attiecas uz dabas resursu, lauksaimnieciskās ražošanas un pārstrādes politikas jomu.</w:t>
            </w:r>
          </w:p>
          <w:p w14:paraId="22091AE1" w14:textId="1F49690C" w:rsidR="0035488E" w:rsidRPr="00BA1D5E" w:rsidRDefault="00FF47F2" w:rsidP="00A33FF4">
            <w:pPr>
              <w:pStyle w:val="Stils2"/>
              <w:spacing w:after="0"/>
              <w:rPr>
                <w:rFonts w:eastAsia="Calibri"/>
                <w:bCs w:val="0"/>
                <w:snapToGrid/>
                <w:szCs w:val="28"/>
                <w:lang w:val="lv-LV"/>
              </w:rPr>
            </w:pPr>
            <w:r>
              <w:rPr>
                <w:rFonts w:eastAsia="Calibri"/>
                <w:bCs w:val="0"/>
                <w:snapToGrid/>
                <w:szCs w:val="28"/>
                <w:lang w:val="lv-LV"/>
              </w:rPr>
              <w:t>Tā kā</w:t>
            </w:r>
            <w:r w:rsidR="000D7AC1" w:rsidRPr="00BA1D5E">
              <w:rPr>
                <w:rFonts w:eastAsia="Calibri"/>
                <w:bCs w:val="0"/>
                <w:snapToGrid/>
                <w:szCs w:val="28"/>
                <w:lang w:val="lv-LV"/>
              </w:rPr>
              <w:t xml:space="preserve"> </w:t>
            </w:r>
            <w:r w:rsidR="00BA0F20">
              <w:rPr>
                <w:rFonts w:eastAsia="Calibri"/>
                <w:bCs w:val="0"/>
                <w:snapToGrid/>
                <w:szCs w:val="28"/>
                <w:lang w:val="lv-LV"/>
              </w:rPr>
              <w:t>kavējas</w:t>
            </w:r>
            <w:r w:rsidR="000D7AC1" w:rsidRPr="00BA1D5E">
              <w:rPr>
                <w:rFonts w:eastAsia="Calibri"/>
                <w:bCs w:val="0"/>
                <w:snapToGrid/>
                <w:szCs w:val="28"/>
                <w:lang w:val="lv-LV"/>
              </w:rPr>
              <w:t xml:space="preserve"> Daudzgadu finanšu ietvara 2021.</w:t>
            </w:r>
            <w:r w:rsidR="00BA0F20">
              <w:rPr>
                <w:rFonts w:eastAsia="Calibri"/>
                <w:bCs w:val="0"/>
                <w:snapToGrid/>
                <w:szCs w:val="28"/>
                <w:lang w:val="lv-LV"/>
              </w:rPr>
              <w:t>–</w:t>
            </w:r>
            <w:r w:rsidR="000D7AC1" w:rsidRPr="00BA1D5E">
              <w:rPr>
                <w:rFonts w:eastAsia="Calibri"/>
                <w:bCs w:val="0"/>
                <w:snapToGrid/>
                <w:szCs w:val="28"/>
                <w:lang w:val="lv-LV"/>
              </w:rPr>
              <w:t>2027. gadam lēmumu pieņemšana</w:t>
            </w:r>
            <w:r w:rsidR="00BA0F20">
              <w:rPr>
                <w:rFonts w:eastAsia="Calibri"/>
                <w:bCs w:val="0"/>
                <w:snapToGrid/>
                <w:szCs w:val="28"/>
                <w:lang w:val="lv-LV"/>
              </w:rPr>
              <w:t xml:space="preserve"> un ir</w:t>
            </w:r>
            <w:r w:rsidR="000D7AC1" w:rsidRPr="00BA1D5E">
              <w:rPr>
                <w:rFonts w:eastAsia="Calibri"/>
                <w:bCs w:val="0"/>
                <w:snapToGrid/>
                <w:szCs w:val="28"/>
                <w:lang w:val="lv-LV"/>
              </w:rPr>
              <w:t xml:space="preserve"> paredzēt</w:t>
            </w:r>
            <w:r w:rsidR="00BA0F20">
              <w:rPr>
                <w:rFonts w:eastAsia="Calibri"/>
                <w:bCs w:val="0"/>
                <w:snapToGrid/>
                <w:szCs w:val="28"/>
                <w:lang w:val="lv-LV"/>
              </w:rPr>
              <w:t>a</w:t>
            </w:r>
            <w:r w:rsidR="000D7AC1" w:rsidRPr="00BA1D5E">
              <w:rPr>
                <w:rFonts w:eastAsia="Calibri"/>
                <w:bCs w:val="0"/>
                <w:snapToGrid/>
                <w:szCs w:val="28"/>
                <w:lang w:val="lv-LV"/>
              </w:rPr>
              <w:t xml:space="preserve"> Kopējās Lauksaimniecības politikas (turpmāk</w:t>
            </w:r>
            <w:r w:rsidR="00BA0F20">
              <w:rPr>
                <w:rFonts w:eastAsia="Calibri"/>
                <w:bCs w:val="0"/>
                <w:snapToGrid/>
                <w:szCs w:val="28"/>
                <w:lang w:val="lv-LV"/>
              </w:rPr>
              <w:t> </w:t>
            </w:r>
            <w:r w:rsidR="000D7AC1" w:rsidRPr="00BA1D5E">
              <w:rPr>
                <w:rFonts w:eastAsia="Calibri"/>
                <w:bCs w:val="0"/>
                <w:snapToGrid/>
                <w:szCs w:val="28"/>
                <w:lang w:val="lv-LV"/>
              </w:rPr>
              <w:t>– KLP) reform</w:t>
            </w:r>
            <w:r w:rsidR="00BA0F20">
              <w:rPr>
                <w:rFonts w:eastAsia="Calibri"/>
                <w:bCs w:val="0"/>
                <w:snapToGrid/>
                <w:szCs w:val="28"/>
                <w:lang w:val="lv-LV"/>
              </w:rPr>
              <w:t>a</w:t>
            </w:r>
            <w:r w:rsidR="000D7AC1" w:rsidRPr="00BA1D5E">
              <w:rPr>
                <w:rFonts w:eastAsia="Calibri"/>
                <w:bCs w:val="0"/>
                <w:snapToGrid/>
                <w:szCs w:val="28"/>
                <w:lang w:val="lv-LV"/>
              </w:rPr>
              <w:t>, nav lai</w:t>
            </w:r>
            <w:r w:rsidR="00BA0F20">
              <w:rPr>
                <w:rFonts w:eastAsia="Calibri"/>
                <w:bCs w:val="0"/>
                <w:snapToGrid/>
                <w:szCs w:val="28"/>
                <w:lang w:val="lv-LV"/>
              </w:rPr>
              <w:t>kus</w:t>
            </w:r>
            <w:r w:rsidR="000D7AC1" w:rsidRPr="00BA1D5E">
              <w:rPr>
                <w:rFonts w:eastAsia="Calibri"/>
                <w:bCs w:val="0"/>
                <w:snapToGrid/>
                <w:szCs w:val="28"/>
                <w:lang w:val="lv-LV"/>
              </w:rPr>
              <w:t xml:space="preserve"> pieņemti Eiropas Savienības tiesību akti, lai nodrošinātu savlaicīgu KLP jaunā plānošanas perioda uzsākšanu 2021. gadā, </w:t>
            </w:r>
            <w:r w:rsidR="00BA0F20">
              <w:rPr>
                <w:rFonts w:eastAsia="Calibri"/>
                <w:bCs w:val="0"/>
                <w:snapToGrid/>
                <w:szCs w:val="28"/>
                <w:lang w:val="lv-LV"/>
              </w:rPr>
              <w:t xml:space="preserve">tāpēc </w:t>
            </w:r>
            <w:r w:rsidR="000D7AC1" w:rsidRPr="00BA1D5E">
              <w:rPr>
                <w:rFonts w:eastAsia="Calibri"/>
                <w:bCs w:val="0"/>
                <w:snapToGrid/>
                <w:szCs w:val="28"/>
                <w:lang w:val="lv-LV"/>
              </w:rPr>
              <w:t>tiek pagarināta esošā plānošanas perioda Lauku attīstības programmu 2014.</w:t>
            </w:r>
            <w:r w:rsidR="00BA0F20">
              <w:rPr>
                <w:rFonts w:eastAsia="Calibri"/>
                <w:bCs w:val="0"/>
                <w:snapToGrid/>
                <w:szCs w:val="28"/>
                <w:lang w:val="lv-LV"/>
              </w:rPr>
              <w:t>–</w:t>
            </w:r>
            <w:r w:rsidR="000D7AC1" w:rsidRPr="00BA1D5E">
              <w:rPr>
                <w:rFonts w:eastAsia="Calibri"/>
                <w:bCs w:val="0"/>
                <w:snapToGrid/>
                <w:szCs w:val="28"/>
                <w:lang w:val="lv-LV"/>
              </w:rPr>
              <w:t xml:space="preserve">2020. gadam īstenošana, nosakot 2021. un 2022. gadu kā pārejas periodu. </w:t>
            </w:r>
          </w:p>
          <w:p w14:paraId="511F9021" w14:textId="13C7A1EF" w:rsidR="00791BF9" w:rsidRPr="00BA1D5E" w:rsidRDefault="00791BF9" w:rsidP="00A33FF4">
            <w:pPr>
              <w:pStyle w:val="Stils2"/>
              <w:spacing w:after="0"/>
              <w:rPr>
                <w:rFonts w:eastAsia="Calibri"/>
                <w:bCs w:val="0"/>
                <w:snapToGrid/>
                <w:szCs w:val="28"/>
                <w:lang w:val="lv-LV"/>
              </w:rPr>
            </w:pPr>
            <w:r w:rsidRPr="00BA1D5E">
              <w:rPr>
                <w:rFonts w:eastAsia="Calibri"/>
                <w:bCs w:val="0"/>
                <w:snapToGrid/>
                <w:szCs w:val="28"/>
                <w:lang w:val="lv-LV"/>
              </w:rPr>
              <w:t>Pārejas periodā – 2021. un 2022.</w:t>
            </w:r>
            <w:r w:rsidR="00BA0F20">
              <w:rPr>
                <w:rFonts w:eastAsia="Calibri"/>
                <w:bCs w:val="0"/>
                <w:snapToGrid/>
                <w:szCs w:val="28"/>
                <w:lang w:val="lv-LV"/>
              </w:rPr>
              <w:t> </w:t>
            </w:r>
            <w:r w:rsidRPr="00BA1D5E">
              <w:rPr>
                <w:rFonts w:eastAsia="Calibri"/>
                <w:bCs w:val="0"/>
                <w:snapToGrid/>
                <w:szCs w:val="28"/>
                <w:lang w:val="lv-LV"/>
              </w:rPr>
              <w:t xml:space="preserve">gadā </w:t>
            </w:r>
            <w:r w:rsidR="00BA0F20">
              <w:rPr>
                <w:rFonts w:eastAsia="Calibri"/>
                <w:bCs w:val="0"/>
                <w:snapToGrid/>
                <w:szCs w:val="28"/>
                <w:lang w:val="lv-LV"/>
              </w:rPr>
              <w:t xml:space="preserve">– </w:t>
            </w:r>
            <w:r w:rsidRPr="00BA1D5E">
              <w:rPr>
                <w:rFonts w:eastAsia="Calibri"/>
                <w:bCs w:val="0"/>
                <w:snapToGrid/>
                <w:szCs w:val="28"/>
                <w:lang w:val="lv-LV"/>
              </w:rPr>
              <w:t>turpinot LAP (2014</w:t>
            </w:r>
            <w:r w:rsidR="00BA0F20">
              <w:rPr>
                <w:rFonts w:eastAsia="Calibri"/>
                <w:bCs w:val="0"/>
                <w:snapToGrid/>
                <w:szCs w:val="28"/>
                <w:lang w:val="lv-LV"/>
              </w:rPr>
              <w:t>–</w:t>
            </w:r>
            <w:r w:rsidRPr="00BA1D5E">
              <w:rPr>
                <w:rFonts w:eastAsia="Calibri"/>
                <w:bCs w:val="0"/>
                <w:snapToGrid/>
                <w:szCs w:val="28"/>
                <w:lang w:val="lv-LV"/>
              </w:rPr>
              <w:t xml:space="preserve">2020) plānošanas periodu, nepieciešami jauni Ministru </w:t>
            </w:r>
            <w:r w:rsidR="00BA0F20">
              <w:rPr>
                <w:rFonts w:eastAsia="Calibri"/>
                <w:bCs w:val="0"/>
                <w:snapToGrid/>
                <w:szCs w:val="28"/>
                <w:lang w:val="lv-LV"/>
              </w:rPr>
              <w:t>k</w:t>
            </w:r>
            <w:r w:rsidRPr="00BA1D5E">
              <w:rPr>
                <w:rFonts w:eastAsia="Calibri"/>
                <w:bCs w:val="0"/>
                <w:snapToGrid/>
                <w:szCs w:val="28"/>
                <w:lang w:val="lv-LV"/>
              </w:rPr>
              <w:t xml:space="preserve">abineta noteikumi, jo ir pieņemti Eiropas Savienības normatīvie akti par atbalsta piešķiršanu lauku attīstībai no Eiropas lauksaimniecības fonda lauku attīstībai (turpmāk </w:t>
            </w:r>
            <w:r w:rsidR="00BA0F20">
              <w:rPr>
                <w:rFonts w:eastAsia="Calibri"/>
                <w:bCs w:val="0"/>
                <w:snapToGrid/>
                <w:szCs w:val="28"/>
                <w:lang w:val="lv-LV"/>
              </w:rPr>
              <w:t>–</w:t>
            </w:r>
            <w:r w:rsidRPr="00BA1D5E">
              <w:rPr>
                <w:rFonts w:eastAsia="Calibri"/>
                <w:bCs w:val="0"/>
                <w:snapToGrid/>
                <w:szCs w:val="28"/>
                <w:lang w:val="lv-LV"/>
              </w:rPr>
              <w:t xml:space="preserve"> ELFLA) pārejas periodā. Šie noteikumi nepieciešami papildus spēkā esošajiem normatīvajiem aktiem, k</w:t>
            </w:r>
            <w:r w:rsidR="00BA0F20">
              <w:rPr>
                <w:rFonts w:eastAsia="Calibri"/>
                <w:bCs w:val="0"/>
                <w:snapToGrid/>
                <w:szCs w:val="28"/>
                <w:lang w:val="lv-LV"/>
              </w:rPr>
              <w:t>as</w:t>
            </w:r>
            <w:r w:rsidRPr="00BA1D5E">
              <w:rPr>
                <w:rFonts w:eastAsia="Calibri"/>
                <w:bCs w:val="0"/>
                <w:snapToGrid/>
                <w:szCs w:val="28"/>
                <w:lang w:val="lv-LV"/>
              </w:rPr>
              <w:t xml:space="preserve"> nosaka atbalsta saņemšanas </w:t>
            </w:r>
            <w:r w:rsidRPr="00BA1D5E">
              <w:rPr>
                <w:rFonts w:eastAsia="Calibri"/>
                <w:bCs w:val="0"/>
                <w:snapToGrid/>
                <w:szCs w:val="28"/>
                <w:lang w:val="lv-LV"/>
              </w:rPr>
              <w:lastRenderedPageBreak/>
              <w:t xml:space="preserve">kārtību </w:t>
            </w:r>
            <w:r w:rsidR="00BA0F20" w:rsidRPr="00BA1D5E">
              <w:rPr>
                <w:rFonts w:eastAsia="Calibri"/>
                <w:bCs w:val="0"/>
                <w:snapToGrid/>
                <w:szCs w:val="28"/>
                <w:lang w:val="lv-LV"/>
              </w:rPr>
              <w:t xml:space="preserve">līdzīgiem pasākumiem </w:t>
            </w:r>
            <w:r w:rsidRPr="00BA1D5E">
              <w:rPr>
                <w:rFonts w:eastAsia="Calibri"/>
                <w:bCs w:val="0"/>
                <w:snapToGrid/>
                <w:szCs w:val="28"/>
                <w:lang w:val="lv-LV"/>
              </w:rPr>
              <w:t>iepriekšējā plānošanas period</w:t>
            </w:r>
            <w:r w:rsidR="00BA0F20">
              <w:rPr>
                <w:rFonts w:eastAsia="Calibri"/>
                <w:bCs w:val="0"/>
                <w:snapToGrid/>
                <w:szCs w:val="28"/>
                <w:lang w:val="lv-LV"/>
              </w:rPr>
              <w:t>ā saistībā ar</w:t>
            </w:r>
            <w:r w:rsidRPr="00BA1D5E">
              <w:rPr>
                <w:rFonts w:eastAsia="Calibri"/>
                <w:bCs w:val="0"/>
                <w:snapToGrid/>
                <w:szCs w:val="28"/>
                <w:lang w:val="lv-LV"/>
              </w:rPr>
              <w:t xml:space="preserve"> Latvijas Lauku attīstības programm</w:t>
            </w:r>
            <w:r w:rsidR="00BA0F20">
              <w:rPr>
                <w:rFonts w:eastAsia="Calibri"/>
                <w:bCs w:val="0"/>
                <w:snapToGrid/>
                <w:szCs w:val="28"/>
                <w:lang w:val="lv-LV"/>
              </w:rPr>
              <w:t>u</w:t>
            </w:r>
            <w:r w:rsidRPr="00BA1D5E">
              <w:rPr>
                <w:rFonts w:eastAsia="Calibri"/>
                <w:bCs w:val="0"/>
                <w:snapToGrid/>
                <w:szCs w:val="28"/>
                <w:lang w:val="lv-LV"/>
              </w:rPr>
              <w:t xml:space="preserve"> 2014.</w:t>
            </w:r>
            <w:r w:rsidR="00BA0F20">
              <w:rPr>
                <w:rFonts w:eastAsia="Calibri"/>
                <w:bCs w:val="0"/>
                <w:snapToGrid/>
                <w:szCs w:val="28"/>
                <w:lang w:val="lv-LV"/>
              </w:rPr>
              <w:t>–</w:t>
            </w:r>
            <w:r w:rsidRPr="00BA1D5E">
              <w:rPr>
                <w:rFonts w:eastAsia="Calibri"/>
                <w:bCs w:val="0"/>
                <w:snapToGrid/>
                <w:szCs w:val="28"/>
                <w:lang w:val="lv-LV"/>
              </w:rPr>
              <w:t>2020.</w:t>
            </w:r>
            <w:r w:rsidR="00BA0F20">
              <w:rPr>
                <w:rFonts w:eastAsia="Calibri"/>
                <w:bCs w:val="0"/>
                <w:snapToGrid/>
                <w:szCs w:val="28"/>
                <w:lang w:val="lv-LV"/>
              </w:rPr>
              <w:t xml:space="preserve"> </w:t>
            </w:r>
            <w:r w:rsidRPr="00BA1D5E">
              <w:rPr>
                <w:rFonts w:eastAsia="Calibri"/>
                <w:bCs w:val="0"/>
                <w:snapToGrid/>
                <w:szCs w:val="28"/>
                <w:lang w:val="lv-LV"/>
              </w:rPr>
              <w:t>gadam, t.i.</w:t>
            </w:r>
            <w:r w:rsidR="00BA0F20">
              <w:rPr>
                <w:rFonts w:eastAsia="Calibri"/>
                <w:bCs w:val="0"/>
                <w:snapToGrid/>
                <w:szCs w:val="28"/>
                <w:lang w:val="lv-LV"/>
              </w:rPr>
              <w:t>,</w:t>
            </w:r>
            <w:r w:rsidRPr="00BA1D5E">
              <w:rPr>
                <w:rFonts w:eastAsia="Calibri"/>
                <w:bCs w:val="0"/>
                <w:snapToGrid/>
                <w:szCs w:val="28"/>
                <w:lang w:val="lv-LV"/>
              </w:rPr>
              <w:t xml:space="preserve"> Ministru kabineta 2014. gada 30. septembra noteikumi</w:t>
            </w:r>
            <w:r w:rsidR="00BA0F20">
              <w:rPr>
                <w:rFonts w:eastAsia="Calibri"/>
                <w:bCs w:val="0"/>
                <w:snapToGrid/>
                <w:szCs w:val="28"/>
                <w:lang w:val="lv-LV"/>
              </w:rPr>
              <w:t>em</w:t>
            </w:r>
            <w:r w:rsidRPr="00BA1D5E">
              <w:rPr>
                <w:rFonts w:eastAsia="Calibri"/>
                <w:bCs w:val="0"/>
                <w:snapToGrid/>
                <w:szCs w:val="28"/>
                <w:lang w:val="lv-LV"/>
              </w:rPr>
              <w:t xml:space="preserve"> Nr. 600 "Kārtība, kādā piešķir valsts un Eiropas Savienības atbalstu atklātu projektu konkursu veidā pasākumam "Ieguldījumi materiālajos aktīvos"".</w:t>
            </w:r>
          </w:p>
          <w:p w14:paraId="6B5148FD" w14:textId="26C4C349" w:rsidR="0032698A" w:rsidRPr="00BA1D5E" w:rsidRDefault="00BA0F20" w:rsidP="00A33FF4">
            <w:pPr>
              <w:pStyle w:val="Stils2"/>
              <w:spacing w:after="0"/>
              <w:rPr>
                <w:rFonts w:eastAsia="Calibri"/>
                <w:bCs w:val="0"/>
                <w:snapToGrid/>
                <w:szCs w:val="28"/>
                <w:lang w:val="lv-LV"/>
              </w:rPr>
            </w:pPr>
            <w:r>
              <w:rPr>
                <w:rFonts w:eastAsia="Calibri"/>
                <w:bCs w:val="0"/>
                <w:snapToGrid/>
                <w:szCs w:val="28"/>
                <w:lang w:val="lv-LV"/>
              </w:rPr>
              <w:t>S</w:t>
            </w:r>
            <w:r w:rsidR="0032698A" w:rsidRPr="00BA1D5E">
              <w:rPr>
                <w:rFonts w:eastAsia="Calibri"/>
                <w:bCs w:val="0"/>
                <w:snapToGrid/>
                <w:szCs w:val="28"/>
                <w:lang w:val="lv-LV"/>
              </w:rPr>
              <w:t>askaņā ar noteikumu projekta 91.</w:t>
            </w:r>
            <w:r>
              <w:rPr>
                <w:rFonts w:eastAsia="Calibri"/>
                <w:bCs w:val="0"/>
                <w:snapToGrid/>
                <w:szCs w:val="28"/>
                <w:lang w:val="lv-LV"/>
              </w:rPr>
              <w:t xml:space="preserve"> </w:t>
            </w:r>
            <w:r w:rsidR="0032698A" w:rsidRPr="00BA1D5E">
              <w:rPr>
                <w:rFonts w:eastAsia="Calibri"/>
                <w:bCs w:val="0"/>
                <w:snapToGrid/>
                <w:szCs w:val="28"/>
                <w:lang w:val="lv-LV"/>
              </w:rPr>
              <w:t xml:space="preserve">punktu projekti, kas iesniegti pirms noteikumu projekta spēkā stāšanās, ir īstenojami un administrējami </w:t>
            </w:r>
            <w:r>
              <w:rPr>
                <w:rFonts w:eastAsia="Calibri"/>
                <w:bCs w:val="0"/>
                <w:snapToGrid/>
                <w:szCs w:val="28"/>
                <w:lang w:val="lv-LV"/>
              </w:rPr>
              <w:t>atbilstoši</w:t>
            </w:r>
            <w:r w:rsidR="0032698A" w:rsidRPr="00BA1D5E">
              <w:rPr>
                <w:rFonts w:eastAsia="Calibri"/>
                <w:bCs w:val="0"/>
                <w:snapToGrid/>
                <w:szCs w:val="28"/>
                <w:lang w:val="lv-LV"/>
              </w:rPr>
              <w:t xml:space="preserve"> nosacījumiem, kas bija spēkā projektu apstiprināšanas brīdī saskaņā ar normatīvajiem aktiem par valsts un Eiropas Savienības atbalsta piešķiršanu lauku un zivsaimniecības attīstībai, proti, lai būtu nošķirtība starp projektu kārtām</w:t>
            </w:r>
            <w:r>
              <w:rPr>
                <w:rFonts w:eastAsia="Calibri"/>
                <w:bCs w:val="0"/>
                <w:snapToGrid/>
                <w:szCs w:val="28"/>
                <w:lang w:val="lv-LV"/>
              </w:rPr>
              <w:t>,</w:t>
            </w:r>
            <w:r w:rsidR="0032698A" w:rsidRPr="00BA1D5E">
              <w:rPr>
                <w:rFonts w:eastAsia="Calibri"/>
                <w:bCs w:val="0"/>
                <w:snapToGrid/>
                <w:szCs w:val="28"/>
                <w:lang w:val="lv-LV"/>
              </w:rPr>
              <w:t xml:space="preserve"> tie projekti, kas ir iesniegti līdz 2021.</w:t>
            </w:r>
            <w:r>
              <w:rPr>
                <w:rFonts w:eastAsia="Calibri"/>
                <w:bCs w:val="0"/>
                <w:snapToGrid/>
                <w:szCs w:val="28"/>
                <w:lang w:val="lv-LV"/>
              </w:rPr>
              <w:t xml:space="preserve"> </w:t>
            </w:r>
            <w:r w:rsidR="0032698A" w:rsidRPr="00BA1D5E">
              <w:rPr>
                <w:rFonts w:eastAsia="Calibri"/>
                <w:bCs w:val="0"/>
                <w:snapToGrid/>
                <w:szCs w:val="28"/>
                <w:lang w:val="lv-LV"/>
              </w:rPr>
              <w:t>gadam</w:t>
            </w:r>
            <w:r>
              <w:rPr>
                <w:rFonts w:eastAsia="Calibri"/>
                <w:bCs w:val="0"/>
                <w:snapToGrid/>
                <w:szCs w:val="28"/>
                <w:lang w:val="lv-LV"/>
              </w:rPr>
              <w:t>,</w:t>
            </w:r>
            <w:r w:rsidR="0032698A" w:rsidRPr="00BA1D5E">
              <w:rPr>
                <w:rFonts w:eastAsia="Calibri"/>
                <w:bCs w:val="0"/>
                <w:snapToGrid/>
                <w:szCs w:val="28"/>
                <w:lang w:val="lv-LV"/>
              </w:rPr>
              <w:t xml:space="preserve"> ir īstenojami pēc Ministru kabineta 2014. gada 30. septembra noteikum</w:t>
            </w:r>
            <w:r>
              <w:rPr>
                <w:rFonts w:eastAsia="Calibri"/>
                <w:bCs w:val="0"/>
                <w:snapToGrid/>
                <w:szCs w:val="28"/>
                <w:lang w:val="lv-LV"/>
              </w:rPr>
              <w:t>os</w:t>
            </w:r>
            <w:r w:rsidR="0032698A" w:rsidRPr="00BA1D5E">
              <w:rPr>
                <w:rFonts w:eastAsia="Calibri"/>
                <w:bCs w:val="0"/>
                <w:snapToGrid/>
                <w:szCs w:val="28"/>
                <w:lang w:val="lv-LV"/>
              </w:rPr>
              <w:t xml:space="preserve"> Nr. 600 "Kārtība, kādā piešķir valsts un Eiropas Savienības atbalstu atklātu projektu konkursu veidā pasākumam "Ieguldījumi materiālajos aktīvos"" iekļautajiem nosacījumiem.</w:t>
            </w:r>
          </w:p>
          <w:p w14:paraId="03A56991" w14:textId="77777777" w:rsidR="0032698A" w:rsidRPr="00BA1D5E" w:rsidRDefault="0032698A" w:rsidP="00A33FF4">
            <w:pPr>
              <w:pStyle w:val="Stils2"/>
              <w:spacing w:after="0"/>
              <w:rPr>
                <w:rFonts w:eastAsia="Calibri"/>
                <w:bCs w:val="0"/>
                <w:snapToGrid/>
                <w:szCs w:val="28"/>
                <w:lang w:val="lv-LV"/>
              </w:rPr>
            </w:pPr>
          </w:p>
          <w:p w14:paraId="5258ED53" w14:textId="45B89635" w:rsidR="002D6ABF" w:rsidRPr="00BA1D5E" w:rsidRDefault="002D6ABF" w:rsidP="00B63E2C">
            <w:pPr>
              <w:pStyle w:val="Stils2"/>
              <w:rPr>
                <w:rFonts w:eastAsia="Calibri"/>
                <w:bCs w:val="0"/>
                <w:snapToGrid/>
                <w:szCs w:val="28"/>
                <w:lang w:val="lv-LV"/>
              </w:rPr>
            </w:pPr>
            <w:r w:rsidRPr="00BA1D5E">
              <w:rPr>
                <w:rFonts w:eastAsia="Calibri"/>
                <w:bCs w:val="0"/>
                <w:snapToGrid/>
                <w:szCs w:val="28"/>
                <w:lang w:val="lv-LV"/>
              </w:rPr>
              <w:t>Lai gan kopumā</w:t>
            </w:r>
            <w:r w:rsidR="00BA0F20">
              <w:rPr>
                <w:rFonts w:eastAsia="Calibri"/>
                <w:bCs w:val="0"/>
                <w:snapToGrid/>
                <w:szCs w:val="28"/>
                <w:lang w:val="lv-LV"/>
              </w:rPr>
              <w:t xml:space="preserve"> līdz ar </w:t>
            </w:r>
            <w:r w:rsidRPr="00BA1D5E">
              <w:rPr>
                <w:rFonts w:eastAsia="Calibri"/>
                <w:bCs w:val="0"/>
                <w:snapToGrid/>
                <w:szCs w:val="28"/>
                <w:lang w:val="lv-LV"/>
              </w:rPr>
              <w:t>Eiropas Savienības fondu līdzfinansējum</w:t>
            </w:r>
            <w:r w:rsidR="00BA0F20">
              <w:rPr>
                <w:rFonts w:eastAsia="Calibri"/>
                <w:bCs w:val="0"/>
                <w:snapToGrid/>
                <w:szCs w:val="28"/>
                <w:lang w:val="lv-LV"/>
              </w:rPr>
              <w:t>u</w:t>
            </w:r>
            <w:r w:rsidRPr="00BA1D5E">
              <w:rPr>
                <w:rFonts w:eastAsia="Calibri"/>
                <w:bCs w:val="0"/>
                <w:snapToGrid/>
                <w:szCs w:val="28"/>
                <w:lang w:val="lv-LV"/>
              </w:rPr>
              <w:t xml:space="preserve"> kopš 2004.gada ir palielinājusies Latvijas lauku saimniecību tehnoloģiskā modernizācija, joprojām </w:t>
            </w:r>
            <w:r w:rsidR="008B5105" w:rsidRPr="00BA1D5E">
              <w:rPr>
                <w:rFonts w:eastAsia="Calibri"/>
                <w:bCs w:val="0"/>
                <w:snapToGrid/>
                <w:szCs w:val="28"/>
                <w:lang w:val="lv-LV"/>
              </w:rPr>
              <w:t xml:space="preserve">ir </w:t>
            </w:r>
            <w:r w:rsidRPr="00BA1D5E">
              <w:rPr>
                <w:rFonts w:eastAsia="Calibri"/>
                <w:bCs w:val="0"/>
                <w:snapToGrid/>
                <w:szCs w:val="28"/>
                <w:lang w:val="lv-LV"/>
              </w:rPr>
              <w:t>nepieciešamas investīcijas mūsdienīgās tehnoloģijās</w:t>
            </w:r>
            <w:r w:rsidR="008B5105" w:rsidRPr="00BA1D5E">
              <w:rPr>
                <w:rFonts w:eastAsia="Calibri"/>
                <w:bCs w:val="0"/>
                <w:snapToGrid/>
                <w:szCs w:val="28"/>
                <w:lang w:val="lv-LV"/>
              </w:rPr>
              <w:t xml:space="preserve">. </w:t>
            </w:r>
            <w:r w:rsidR="00BA0F20">
              <w:rPr>
                <w:rFonts w:eastAsia="Calibri"/>
                <w:bCs w:val="0"/>
                <w:snapToGrid/>
                <w:szCs w:val="28"/>
                <w:lang w:val="lv-LV"/>
              </w:rPr>
              <w:t>Turklāt</w:t>
            </w:r>
            <w:r w:rsidR="008B5105" w:rsidRPr="00BA1D5E">
              <w:rPr>
                <w:rFonts w:eastAsia="Calibri"/>
                <w:bCs w:val="0"/>
                <w:snapToGrid/>
                <w:szCs w:val="28"/>
                <w:lang w:val="lv-LV"/>
              </w:rPr>
              <w:t>, ņemot vērā Eiropas Savienīb</w:t>
            </w:r>
            <w:r w:rsidR="00BA0F20">
              <w:rPr>
                <w:rFonts w:eastAsia="Calibri"/>
                <w:bCs w:val="0"/>
                <w:snapToGrid/>
                <w:szCs w:val="28"/>
                <w:lang w:val="lv-LV"/>
              </w:rPr>
              <w:t>ā</w:t>
            </w:r>
            <w:r w:rsidR="008B5105" w:rsidRPr="00BA1D5E">
              <w:rPr>
                <w:rFonts w:eastAsia="Calibri"/>
                <w:bCs w:val="0"/>
                <w:snapToGrid/>
                <w:szCs w:val="28"/>
                <w:lang w:val="lv-LV"/>
              </w:rPr>
              <w:t xml:space="preserve"> pieņemt</w:t>
            </w:r>
            <w:r w:rsidR="00BA0F20">
              <w:rPr>
                <w:rFonts w:eastAsia="Calibri"/>
                <w:bCs w:val="0"/>
                <w:snapToGrid/>
                <w:szCs w:val="28"/>
                <w:lang w:val="lv-LV"/>
              </w:rPr>
              <w:t>ā</w:t>
            </w:r>
            <w:r w:rsidR="008B5105" w:rsidRPr="00BA1D5E">
              <w:rPr>
                <w:rFonts w:eastAsia="Calibri"/>
                <w:bCs w:val="0"/>
                <w:snapToGrid/>
                <w:szCs w:val="28"/>
                <w:lang w:val="lv-LV"/>
              </w:rPr>
              <w:t xml:space="preserve"> Z</w:t>
            </w:r>
            <w:r w:rsidR="00B63E2C" w:rsidRPr="00BA1D5E">
              <w:rPr>
                <w:rFonts w:eastAsia="Calibri"/>
                <w:bCs w:val="0"/>
                <w:snapToGrid/>
                <w:szCs w:val="28"/>
                <w:lang w:val="lv-LV"/>
              </w:rPr>
              <w:t>aļā kursa mērķus</w:t>
            </w:r>
            <w:r w:rsidR="00BA0F20">
              <w:rPr>
                <w:rFonts w:eastAsia="Calibri"/>
                <w:bCs w:val="0"/>
                <w:snapToGrid/>
                <w:szCs w:val="28"/>
                <w:lang w:val="lv-LV"/>
              </w:rPr>
              <w:t>,</w:t>
            </w:r>
            <w:r w:rsidR="00B63E2C" w:rsidRPr="00BA1D5E">
              <w:rPr>
                <w:rFonts w:eastAsia="Calibri"/>
                <w:bCs w:val="0"/>
                <w:snapToGrid/>
                <w:szCs w:val="28"/>
                <w:lang w:val="lv-LV"/>
              </w:rPr>
              <w:t xml:space="preserve"> jau pārejas periodā plāno</w:t>
            </w:r>
            <w:r w:rsidR="00BA0F20">
              <w:rPr>
                <w:rFonts w:eastAsia="Calibri"/>
                <w:bCs w:val="0"/>
                <w:snapToGrid/>
                <w:szCs w:val="28"/>
                <w:lang w:val="lv-LV"/>
              </w:rPr>
              <w:t>ts</w:t>
            </w:r>
            <w:r w:rsidR="00B63E2C" w:rsidRPr="00BA1D5E">
              <w:rPr>
                <w:rFonts w:eastAsia="Calibri"/>
                <w:bCs w:val="0"/>
                <w:snapToGrid/>
                <w:szCs w:val="28"/>
                <w:lang w:val="lv-LV"/>
              </w:rPr>
              <w:t xml:space="preserve"> veicināt lauku saimniecību zaļos ieguldījumus, noteikumu projektā paredzot nosacījumus</w:t>
            </w:r>
            <w:r w:rsidR="00BA0F20">
              <w:rPr>
                <w:rFonts w:eastAsia="Calibri"/>
                <w:bCs w:val="0"/>
                <w:snapToGrid/>
                <w:szCs w:val="28"/>
                <w:lang w:val="lv-LV"/>
              </w:rPr>
              <w:t xml:space="preserve"> par</w:t>
            </w:r>
            <w:r w:rsidR="00B63E2C" w:rsidRPr="00BA1D5E">
              <w:rPr>
                <w:rFonts w:eastAsia="Calibri"/>
                <w:bCs w:val="0"/>
                <w:snapToGrid/>
                <w:szCs w:val="28"/>
                <w:lang w:val="lv-LV"/>
              </w:rPr>
              <w:t xml:space="preserve"> </w:t>
            </w:r>
            <w:r w:rsidR="00BA0F20">
              <w:rPr>
                <w:rFonts w:eastAsia="Calibri"/>
                <w:bCs w:val="0"/>
                <w:snapToGrid/>
                <w:szCs w:val="28"/>
                <w:lang w:val="lv-LV"/>
              </w:rPr>
              <w:t>tādu</w:t>
            </w:r>
            <w:r w:rsidR="00B63E2C" w:rsidRPr="00BA1D5E">
              <w:rPr>
                <w:rFonts w:eastAsia="Calibri"/>
                <w:bCs w:val="0"/>
                <w:snapToGrid/>
                <w:szCs w:val="28"/>
                <w:lang w:val="lv-LV"/>
              </w:rPr>
              <w:t xml:space="preserve">  pasākumu</w:t>
            </w:r>
            <w:r w:rsidR="00BA0F20" w:rsidRPr="00BA1D5E">
              <w:rPr>
                <w:rFonts w:eastAsia="Calibri"/>
                <w:bCs w:val="0"/>
                <w:snapToGrid/>
                <w:szCs w:val="28"/>
                <w:lang w:val="lv-LV"/>
              </w:rPr>
              <w:t xml:space="preserve"> nepieciešamību</w:t>
            </w:r>
            <w:r w:rsidR="00B63E2C" w:rsidRPr="00BA1D5E">
              <w:rPr>
                <w:rFonts w:eastAsia="Calibri"/>
                <w:bCs w:val="0"/>
                <w:snapToGrid/>
                <w:szCs w:val="28"/>
                <w:lang w:val="lv-LV"/>
              </w:rPr>
              <w:t>, k</w:t>
            </w:r>
            <w:r w:rsidR="00BA0F20">
              <w:rPr>
                <w:rFonts w:eastAsia="Calibri"/>
                <w:bCs w:val="0"/>
                <w:snapToGrid/>
                <w:szCs w:val="28"/>
                <w:lang w:val="lv-LV"/>
              </w:rPr>
              <w:t>uri</w:t>
            </w:r>
            <w:r w:rsidR="00B63E2C" w:rsidRPr="00BA1D5E">
              <w:rPr>
                <w:rFonts w:eastAsia="Calibri"/>
                <w:bCs w:val="0"/>
                <w:snapToGrid/>
                <w:szCs w:val="28"/>
                <w:lang w:val="lv-LV"/>
              </w:rPr>
              <w:t xml:space="preserve"> nodrošinās efektīvu vides prasību ievērošanu, uzlabos labturības apstākļus</w:t>
            </w:r>
            <w:r w:rsidR="00BA0F20">
              <w:rPr>
                <w:rFonts w:eastAsia="Calibri"/>
                <w:bCs w:val="0"/>
                <w:snapToGrid/>
                <w:szCs w:val="28"/>
                <w:lang w:val="lv-LV"/>
              </w:rPr>
              <w:t xml:space="preserve"> un</w:t>
            </w:r>
            <w:r w:rsidR="00B63E2C" w:rsidRPr="00BA1D5E">
              <w:rPr>
                <w:rFonts w:eastAsia="Calibri"/>
                <w:bCs w:val="0"/>
                <w:snapToGrid/>
                <w:szCs w:val="28"/>
                <w:lang w:val="lv-LV"/>
              </w:rPr>
              <w:t xml:space="preserve"> samazinās SEG vai amonjaka emisiju. Piemēram, atbalsta pretendentam ir jā</w:t>
            </w:r>
            <w:r w:rsidR="00BA0F20">
              <w:rPr>
                <w:rFonts w:eastAsia="Calibri"/>
                <w:bCs w:val="0"/>
                <w:snapToGrid/>
                <w:szCs w:val="28"/>
                <w:lang w:val="lv-LV"/>
              </w:rPr>
              <w:t>īsteno</w:t>
            </w:r>
            <w:r w:rsidR="00B63E2C" w:rsidRPr="00BA1D5E">
              <w:rPr>
                <w:rFonts w:eastAsia="Calibri"/>
                <w:bCs w:val="0"/>
                <w:snapToGrid/>
                <w:szCs w:val="28"/>
                <w:lang w:val="lv-LV"/>
              </w:rPr>
              <w:t xml:space="preserve"> </w:t>
            </w:r>
            <w:r w:rsidR="00BA0F20">
              <w:rPr>
                <w:rFonts w:eastAsia="Calibri"/>
                <w:bCs w:val="0"/>
                <w:snapToGrid/>
                <w:szCs w:val="28"/>
                <w:lang w:val="lv-LV"/>
              </w:rPr>
              <w:t>dažādi</w:t>
            </w:r>
            <w:r w:rsidR="00B63E2C" w:rsidRPr="00BA1D5E">
              <w:rPr>
                <w:rFonts w:eastAsia="Calibri"/>
                <w:bCs w:val="0"/>
                <w:snapToGrid/>
                <w:szCs w:val="28"/>
                <w:lang w:val="lv-LV"/>
              </w:rPr>
              <w:t xml:space="preserve"> </w:t>
            </w:r>
            <w:r w:rsidR="00BA0F20">
              <w:rPr>
                <w:rFonts w:eastAsia="Calibri"/>
                <w:bCs w:val="0"/>
                <w:snapToGrid/>
                <w:szCs w:val="28"/>
                <w:lang w:val="lv-LV"/>
              </w:rPr>
              <w:t>“</w:t>
            </w:r>
            <w:r w:rsidR="00B63E2C" w:rsidRPr="00BA1D5E">
              <w:rPr>
                <w:rFonts w:eastAsia="Calibri"/>
                <w:bCs w:val="0"/>
                <w:snapToGrid/>
                <w:szCs w:val="28"/>
                <w:lang w:val="lv-LV"/>
              </w:rPr>
              <w:t>zaļ</w:t>
            </w:r>
            <w:r w:rsidR="00BA0F20">
              <w:rPr>
                <w:rFonts w:eastAsia="Calibri"/>
                <w:bCs w:val="0"/>
                <w:snapToGrid/>
                <w:szCs w:val="28"/>
                <w:lang w:val="lv-LV"/>
              </w:rPr>
              <w:t>ie”</w:t>
            </w:r>
            <w:r w:rsidR="00B63E2C" w:rsidRPr="00BA1D5E">
              <w:rPr>
                <w:rFonts w:eastAsia="Calibri"/>
                <w:bCs w:val="0"/>
                <w:snapToGrid/>
                <w:szCs w:val="28"/>
                <w:lang w:val="lv-LV"/>
              </w:rPr>
              <w:t xml:space="preserve"> ieguldījum</w:t>
            </w:r>
            <w:r w:rsidR="00BA0F20">
              <w:rPr>
                <w:rFonts w:eastAsia="Calibri"/>
                <w:bCs w:val="0"/>
                <w:snapToGrid/>
                <w:szCs w:val="28"/>
                <w:lang w:val="lv-LV"/>
              </w:rPr>
              <w:t>i –</w:t>
            </w:r>
            <w:r w:rsidR="00B63E2C" w:rsidRPr="00BA1D5E">
              <w:rPr>
                <w:rFonts w:eastAsia="Calibri"/>
                <w:bCs w:val="0"/>
                <w:snapToGrid/>
                <w:szCs w:val="28"/>
                <w:lang w:val="lv-LV"/>
              </w:rPr>
              <w:t xml:space="preserve"> </w:t>
            </w:r>
            <w:r w:rsidR="008B5105" w:rsidRPr="00BA1D5E">
              <w:rPr>
                <w:rFonts w:eastAsia="Calibri"/>
                <w:bCs w:val="0"/>
                <w:snapToGrid/>
                <w:szCs w:val="28"/>
                <w:lang w:val="lv-LV"/>
              </w:rPr>
              <w:t xml:space="preserve">laukkopībā un dārzkopībā </w:t>
            </w:r>
            <w:r w:rsidR="00BA0F20">
              <w:rPr>
                <w:rFonts w:eastAsia="Calibri"/>
                <w:bCs w:val="0"/>
                <w:snapToGrid/>
                <w:szCs w:val="28"/>
                <w:lang w:val="lv-LV"/>
              </w:rPr>
              <w:t>jā</w:t>
            </w:r>
            <w:r w:rsidR="008B5105" w:rsidRPr="00BA1D5E">
              <w:rPr>
                <w:rFonts w:eastAsia="Calibri"/>
                <w:bCs w:val="0"/>
                <w:snapToGrid/>
                <w:szCs w:val="28"/>
                <w:lang w:val="lv-LV"/>
              </w:rPr>
              <w:t>ievieš tehnoloģij</w:t>
            </w:r>
            <w:r w:rsidR="00BA0F20">
              <w:rPr>
                <w:rFonts w:eastAsia="Calibri"/>
                <w:bCs w:val="0"/>
                <w:snapToGrid/>
                <w:szCs w:val="28"/>
                <w:lang w:val="lv-LV"/>
              </w:rPr>
              <w:t>a</w:t>
            </w:r>
            <w:r w:rsidR="008B5105" w:rsidRPr="00BA1D5E">
              <w:rPr>
                <w:rFonts w:eastAsia="Calibri"/>
                <w:bCs w:val="0"/>
                <w:snapToGrid/>
                <w:szCs w:val="28"/>
                <w:lang w:val="lv-LV"/>
              </w:rPr>
              <w:t xml:space="preserve"> ar precīzu izpildes kontroli</w:t>
            </w:r>
            <w:r w:rsidR="00BA0F20">
              <w:rPr>
                <w:rFonts w:eastAsia="Calibri"/>
                <w:bCs w:val="0"/>
                <w:snapToGrid/>
                <w:szCs w:val="28"/>
                <w:lang w:val="lv-LV"/>
              </w:rPr>
              <w:t>, jānodrošina</w:t>
            </w:r>
            <w:r w:rsidR="00B63E2C" w:rsidRPr="00BA1D5E">
              <w:rPr>
                <w:rFonts w:eastAsia="Calibri"/>
                <w:bCs w:val="0"/>
                <w:snapToGrid/>
                <w:szCs w:val="28"/>
                <w:lang w:val="lv-LV"/>
              </w:rPr>
              <w:t xml:space="preserve"> vides prasībām atbilstoš</w:t>
            </w:r>
            <w:r w:rsidR="00BA0F20">
              <w:rPr>
                <w:rFonts w:eastAsia="Calibri"/>
                <w:bCs w:val="0"/>
                <w:snapToGrid/>
                <w:szCs w:val="28"/>
                <w:lang w:val="lv-LV"/>
              </w:rPr>
              <w:t>a</w:t>
            </w:r>
            <w:r w:rsidR="00B63E2C" w:rsidRPr="00BA1D5E">
              <w:rPr>
                <w:rFonts w:eastAsia="Calibri"/>
                <w:bCs w:val="0"/>
                <w:snapToGrid/>
                <w:szCs w:val="28"/>
                <w:lang w:val="lv-LV"/>
              </w:rPr>
              <w:t xml:space="preserve"> kūtsmēslu apsaimniekošan</w:t>
            </w:r>
            <w:r w:rsidR="00BA0F20">
              <w:rPr>
                <w:rFonts w:eastAsia="Calibri"/>
                <w:bCs w:val="0"/>
                <w:snapToGrid/>
                <w:szCs w:val="28"/>
                <w:lang w:val="lv-LV"/>
              </w:rPr>
              <w:t>a</w:t>
            </w:r>
            <w:r w:rsidR="00B63E2C" w:rsidRPr="00BA1D5E">
              <w:rPr>
                <w:rFonts w:eastAsia="Calibri"/>
                <w:bCs w:val="0"/>
                <w:snapToGrid/>
                <w:szCs w:val="28"/>
                <w:lang w:val="lv-LV"/>
              </w:rPr>
              <w:t>, t</w:t>
            </w:r>
            <w:r w:rsidR="00BA0F20">
              <w:rPr>
                <w:rFonts w:eastAsia="Calibri"/>
                <w:bCs w:val="0"/>
                <w:snapToGrid/>
                <w:szCs w:val="28"/>
                <w:lang w:val="lv-LV"/>
              </w:rPr>
              <w:t>ostarp</w:t>
            </w:r>
            <w:r w:rsidR="00B63E2C" w:rsidRPr="00BA1D5E">
              <w:rPr>
                <w:rFonts w:eastAsia="Calibri"/>
                <w:bCs w:val="0"/>
                <w:snapToGrid/>
                <w:szCs w:val="28"/>
                <w:lang w:val="lv-LV"/>
              </w:rPr>
              <w:t xml:space="preserve"> tieš</w:t>
            </w:r>
            <w:r w:rsidR="00BA0F20">
              <w:rPr>
                <w:rFonts w:eastAsia="Calibri"/>
                <w:bCs w:val="0"/>
                <w:snapToGrid/>
                <w:szCs w:val="28"/>
                <w:lang w:val="lv-LV"/>
              </w:rPr>
              <w:t>a</w:t>
            </w:r>
            <w:r w:rsidR="00B63E2C" w:rsidRPr="00BA1D5E">
              <w:rPr>
                <w:rFonts w:eastAsia="Calibri"/>
                <w:bCs w:val="0"/>
                <w:snapToGrid/>
                <w:szCs w:val="28"/>
                <w:lang w:val="lv-LV"/>
              </w:rPr>
              <w:t xml:space="preserve"> organiskā mēslojuma iestrād</w:t>
            </w:r>
            <w:r w:rsidR="00BA0F20">
              <w:rPr>
                <w:rFonts w:eastAsia="Calibri"/>
                <w:bCs w:val="0"/>
                <w:snapToGrid/>
                <w:szCs w:val="28"/>
                <w:lang w:val="lv-LV"/>
              </w:rPr>
              <w:t>e, jāievieš</w:t>
            </w:r>
            <w:r w:rsidR="00B63E2C" w:rsidRPr="00BA1D5E">
              <w:rPr>
                <w:rFonts w:eastAsia="Calibri"/>
                <w:bCs w:val="0"/>
                <w:snapToGrid/>
                <w:szCs w:val="28"/>
                <w:lang w:val="lv-LV"/>
              </w:rPr>
              <w:t xml:space="preserve"> tehnoloģijas alternatīvās enerģijas (atjaunojamo resursu – </w:t>
            </w:r>
            <w:proofErr w:type="spellStart"/>
            <w:r w:rsidR="00B63E2C" w:rsidRPr="00BA1D5E">
              <w:rPr>
                <w:rFonts w:eastAsia="Calibri"/>
                <w:bCs w:val="0"/>
                <w:snapToGrid/>
                <w:szCs w:val="28"/>
                <w:lang w:val="lv-LV"/>
              </w:rPr>
              <w:t>biokurināmā</w:t>
            </w:r>
            <w:proofErr w:type="spellEnd"/>
            <w:r w:rsidR="00B63E2C" w:rsidRPr="00BA1D5E">
              <w:rPr>
                <w:rFonts w:eastAsia="Calibri"/>
                <w:bCs w:val="0"/>
                <w:snapToGrid/>
                <w:szCs w:val="28"/>
                <w:lang w:val="lv-LV"/>
              </w:rPr>
              <w:t>, hidroenerģijas, saules vai vēja enerģijas) izmantošanai</w:t>
            </w:r>
            <w:r w:rsidR="00BA0F20">
              <w:rPr>
                <w:rFonts w:eastAsia="Calibri"/>
                <w:bCs w:val="0"/>
                <w:snapToGrid/>
                <w:szCs w:val="28"/>
                <w:lang w:val="lv-LV"/>
              </w:rPr>
              <w:t>, jākāpina</w:t>
            </w:r>
            <w:r w:rsidR="00B63E2C" w:rsidRPr="00BA1D5E">
              <w:rPr>
                <w:rFonts w:eastAsia="Calibri"/>
                <w:bCs w:val="0"/>
                <w:snapToGrid/>
                <w:szCs w:val="28"/>
                <w:lang w:val="lv-LV"/>
              </w:rPr>
              <w:t xml:space="preserve">  energoefektivitāt</w:t>
            </w:r>
            <w:r w:rsidR="00BA0F20">
              <w:rPr>
                <w:rFonts w:eastAsia="Calibri"/>
                <w:bCs w:val="0"/>
                <w:snapToGrid/>
                <w:szCs w:val="28"/>
                <w:lang w:val="lv-LV"/>
              </w:rPr>
              <w:t>e</w:t>
            </w:r>
            <w:r w:rsidR="00B63E2C" w:rsidRPr="00BA1D5E">
              <w:rPr>
                <w:rFonts w:eastAsia="Calibri"/>
                <w:bCs w:val="0"/>
                <w:snapToGrid/>
                <w:szCs w:val="28"/>
                <w:lang w:val="lv-LV"/>
              </w:rPr>
              <w:t xml:space="preserve"> un enerģijas lietderīgu izmantošan</w:t>
            </w:r>
            <w:r w:rsidR="00BA0F20">
              <w:rPr>
                <w:rFonts w:eastAsia="Calibri"/>
                <w:bCs w:val="0"/>
                <w:snapToGrid/>
                <w:szCs w:val="28"/>
                <w:lang w:val="lv-LV"/>
              </w:rPr>
              <w:t>a</w:t>
            </w:r>
            <w:r w:rsidR="00B63E2C" w:rsidRPr="00BA1D5E">
              <w:rPr>
                <w:rFonts w:eastAsia="Calibri"/>
                <w:bCs w:val="0"/>
                <w:snapToGrid/>
                <w:szCs w:val="28"/>
                <w:lang w:val="lv-LV"/>
              </w:rPr>
              <w:t>.</w:t>
            </w:r>
          </w:p>
          <w:p w14:paraId="315D27BF" w14:textId="415711D6" w:rsidR="00BA1D5E" w:rsidRPr="00BA1D5E" w:rsidRDefault="00BA1D5E" w:rsidP="00BA1D5E">
            <w:pPr>
              <w:pStyle w:val="Default"/>
              <w:ind w:firstLine="720"/>
              <w:jc w:val="both"/>
              <w:rPr>
                <w:rFonts w:ascii="Times New Roman" w:eastAsia="Calibri" w:hAnsi="Times New Roman" w:cs="Times New Roman"/>
                <w:color w:val="auto"/>
                <w:szCs w:val="28"/>
                <w:lang w:eastAsia="en-US"/>
              </w:rPr>
            </w:pPr>
            <w:r w:rsidRPr="00BA1D5E">
              <w:rPr>
                <w:rFonts w:ascii="Times New Roman" w:eastAsia="Calibri" w:hAnsi="Times New Roman" w:cs="Times New Roman"/>
                <w:color w:val="auto"/>
                <w:szCs w:val="28"/>
                <w:lang w:eastAsia="en-US"/>
              </w:rPr>
              <w:t xml:space="preserve">Noteikumu projekts nosaka </w:t>
            </w:r>
            <w:r w:rsidR="00C11CD3">
              <w:rPr>
                <w:rFonts w:ascii="Times New Roman" w:eastAsia="Calibri" w:hAnsi="Times New Roman" w:cs="Times New Roman"/>
                <w:color w:val="auto"/>
                <w:szCs w:val="28"/>
                <w:lang w:eastAsia="en-US"/>
              </w:rPr>
              <w:t xml:space="preserve">atbalsta pretendentam </w:t>
            </w:r>
            <w:r w:rsidRPr="00BA1D5E">
              <w:rPr>
                <w:rFonts w:ascii="Times New Roman" w:eastAsia="Calibri" w:hAnsi="Times New Roman" w:cs="Times New Roman"/>
                <w:color w:val="auto"/>
                <w:szCs w:val="28"/>
                <w:lang w:eastAsia="en-US"/>
              </w:rPr>
              <w:t xml:space="preserve">izvirzāmās prasības, atbalstāmās aktivitātes, attiecināmās un neattiecināmās izmaksas, publiskā finansējuma veidu un apmēru, pieteikšanās kārtību un iesniedzamos dokumentus. </w:t>
            </w:r>
          </w:p>
          <w:p w14:paraId="5DCA9BD5" w14:textId="6083E02C" w:rsidR="00BA1D5E" w:rsidRPr="008E5D14" w:rsidRDefault="00BA1D5E" w:rsidP="00BA1D5E">
            <w:pPr>
              <w:pStyle w:val="NoSpacing"/>
              <w:ind w:firstLine="720"/>
              <w:jc w:val="both"/>
              <w:rPr>
                <w:rFonts w:ascii="Times New Roman" w:hAnsi="Times New Roman"/>
                <w:sz w:val="24"/>
                <w:szCs w:val="28"/>
              </w:rPr>
            </w:pPr>
            <w:r w:rsidRPr="00BA1D5E">
              <w:rPr>
                <w:rFonts w:ascii="Times New Roman" w:hAnsi="Times New Roman"/>
                <w:sz w:val="24"/>
                <w:szCs w:val="28"/>
              </w:rPr>
              <w:t>Noteikumu projekt</w:t>
            </w:r>
            <w:r w:rsidR="00BA0F20">
              <w:rPr>
                <w:rFonts w:ascii="Times New Roman" w:hAnsi="Times New Roman"/>
                <w:sz w:val="24"/>
                <w:szCs w:val="28"/>
              </w:rPr>
              <w:t>ā</w:t>
            </w:r>
            <w:r w:rsidRPr="00BA1D5E">
              <w:rPr>
                <w:rFonts w:ascii="Times New Roman" w:hAnsi="Times New Roman"/>
                <w:sz w:val="24"/>
                <w:szCs w:val="28"/>
              </w:rPr>
              <w:t xml:space="preserve"> no</w:t>
            </w:r>
            <w:r w:rsidR="00BA0F20">
              <w:rPr>
                <w:rFonts w:ascii="Times New Roman" w:hAnsi="Times New Roman"/>
                <w:sz w:val="24"/>
                <w:szCs w:val="28"/>
              </w:rPr>
              <w:t>teikta</w:t>
            </w:r>
            <w:r w:rsidRPr="00BA1D5E">
              <w:rPr>
                <w:rFonts w:ascii="Times New Roman" w:hAnsi="Times New Roman"/>
                <w:sz w:val="24"/>
                <w:szCs w:val="28"/>
              </w:rPr>
              <w:t xml:space="preserve"> </w:t>
            </w:r>
            <w:r w:rsidRPr="008E5D14">
              <w:rPr>
                <w:rFonts w:ascii="Times New Roman" w:hAnsi="Times New Roman"/>
                <w:sz w:val="24"/>
                <w:szCs w:val="28"/>
              </w:rPr>
              <w:t>kārtīb</w:t>
            </w:r>
            <w:r w:rsidR="00BA0F20">
              <w:rPr>
                <w:rFonts w:ascii="Times New Roman" w:hAnsi="Times New Roman"/>
                <w:sz w:val="24"/>
                <w:szCs w:val="28"/>
              </w:rPr>
              <w:t>a</w:t>
            </w:r>
            <w:r w:rsidRPr="008E5D14">
              <w:rPr>
                <w:rFonts w:ascii="Times New Roman" w:hAnsi="Times New Roman"/>
                <w:sz w:val="24"/>
                <w:szCs w:val="28"/>
              </w:rPr>
              <w:t xml:space="preserve">, kādā piešķir valsts un Eiropas Savienības atbalstu atklātu projektu iesniegumu konkursu veidā pasākuma </w:t>
            </w:r>
            <w:r w:rsidR="00BA0F20">
              <w:rPr>
                <w:rFonts w:ascii="Times New Roman" w:hAnsi="Times New Roman"/>
                <w:sz w:val="24"/>
                <w:szCs w:val="28"/>
              </w:rPr>
              <w:t>“</w:t>
            </w:r>
            <w:r w:rsidRPr="008E5D14">
              <w:rPr>
                <w:rFonts w:ascii="Times New Roman" w:hAnsi="Times New Roman"/>
                <w:sz w:val="24"/>
                <w:szCs w:val="28"/>
              </w:rPr>
              <w:t>Ieguldījumi materiālajos aktīvos”</w:t>
            </w:r>
            <w:r>
              <w:rPr>
                <w:rFonts w:ascii="Times New Roman" w:hAnsi="Times New Roman"/>
                <w:sz w:val="24"/>
                <w:szCs w:val="28"/>
              </w:rPr>
              <w:t xml:space="preserve"> (turpmāk – IMA)</w:t>
            </w:r>
            <w:r w:rsidRPr="008E5D14">
              <w:rPr>
                <w:rFonts w:ascii="Times New Roman" w:hAnsi="Times New Roman"/>
                <w:sz w:val="24"/>
                <w:szCs w:val="28"/>
              </w:rPr>
              <w:t xml:space="preserve"> </w:t>
            </w:r>
            <w:proofErr w:type="spellStart"/>
            <w:r w:rsidRPr="008E5D14">
              <w:rPr>
                <w:rFonts w:ascii="Times New Roman" w:hAnsi="Times New Roman"/>
                <w:sz w:val="24"/>
                <w:szCs w:val="28"/>
              </w:rPr>
              <w:t>apakšpasākum</w:t>
            </w:r>
            <w:r w:rsidR="00BA0F20">
              <w:rPr>
                <w:rFonts w:ascii="Times New Roman" w:hAnsi="Times New Roman"/>
                <w:sz w:val="24"/>
                <w:szCs w:val="28"/>
              </w:rPr>
              <w:t>os</w:t>
            </w:r>
            <w:proofErr w:type="spellEnd"/>
            <w:r w:rsidRPr="008E5D14">
              <w:rPr>
                <w:rFonts w:ascii="Times New Roman" w:hAnsi="Times New Roman"/>
                <w:sz w:val="24"/>
                <w:szCs w:val="28"/>
              </w:rPr>
              <w:t>:</w:t>
            </w:r>
          </w:p>
          <w:p w14:paraId="40C9253A" w14:textId="1C42EB68" w:rsidR="00BA1D5E" w:rsidRPr="008E5D14" w:rsidRDefault="00BA0F20" w:rsidP="00BA1D5E">
            <w:pPr>
              <w:pStyle w:val="NoSpacing"/>
              <w:numPr>
                <w:ilvl w:val="0"/>
                <w:numId w:val="11"/>
              </w:numPr>
              <w:jc w:val="both"/>
              <w:rPr>
                <w:rFonts w:ascii="Times New Roman" w:hAnsi="Times New Roman"/>
                <w:sz w:val="24"/>
                <w:szCs w:val="28"/>
              </w:rPr>
            </w:pPr>
            <w:r>
              <w:rPr>
                <w:rFonts w:ascii="Times New Roman" w:hAnsi="Times New Roman"/>
                <w:sz w:val="24"/>
                <w:szCs w:val="28"/>
              </w:rPr>
              <w:t>“</w:t>
            </w:r>
            <w:r w:rsidR="00BA1D5E" w:rsidRPr="008E5D14">
              <w:rPr>
                <w:rFonts w:ascii="Times New Roman" w:hAnsi="Times New Roman"/>
                <w:sz w:val="24"/>
                <w:szCs w:val="28"/>
              </w:rPr>
              <w:t>Atbalsts ieguldījumiem lauku saimniecībās” (pasākuma kods</w:t>
            </w:r>
            <w:r>
              <w:rPr>
                <w:rFonts w:ascii="Times New Roman" w:hAnsi="Times New Roman"/>
                <w:sz w:val="24"/>
                <w:szCs w:val="28"/>
              </w:rPr>
              <w:t xml:space="preserve"> – </w:t>
            </w:r>
            <w:r w:rsidRPr="008E5D14">
              <w:rPr>
                <w:rFonts w:ascii="Times New Roman" w:hAnsi="Times New Roman"/>
                <w:sz w:val="24"/>
                <w:szCs w:val="28"/>
              </w:rPr>
              <w:t>4.1.</w:t>
            </w:r>
            <w:r w:rsidR="00BA1D5E" w:rsidRPr="008E5D14">
              <w:rPr>
                <w:rFonts w:ascii="Times New Roman" w:hAnsi="Times New Roman"/>
                <w:sz w:val="24"/>
                <w:szCs w:val="28"/>
              </w:rPr>
              <w:t>);</w:t>
            </w:r>
          </w:p>
          <w:p w14:paraId="7FA5FCA8" w14:textId="173F1AFE" w:rsidR="00BA1D5E" w:rsidRPr="008E5D14" w:rsidRDefault="00BA0F20" w:rsidP="00BA1D5E">
            <w:pPr>
              <w:pStyle w:val="NoSpacing"/>
              <w:numPr>
                <w:ilvl w:val="0"/>
                <w:numId w:val="11"/>
              </w:numPr>
              <w:jc w:val="both"/>
              <w:rPr>
                <w:rFonts w:ascii="Times New Roman" w:hAnsi="Times New Roman"/>
                <w:sz w:val="24"/>
                <w:szCs w:val="28"/>
              </w:rPr>
            </w:pPr>
            <w:r>
              <w:rPr>
                <w:rFonts w:ascii="Times New Roman" w:hAnsi="Times New Roman"/>
                <w:sz w:val="24"/>
                <w:szCs w:val="28"/>
              </w:rPr>
              <w:t>“</w:t>
            </w:r>
            <w:r w:rsidR="00BA1D5E" w:rsidRPr="008E5D14">
              <w:rPr>
                <w:rFonts w:ascii="Times New Roman" w:hAnsi="Times New Roman"/>
                <w:sz w:val="24"/>
                <w:szCs w:val="28"/>
              </w:rPr>
              <w:t>Atbalsts ieguldījumiem pārstrādē” (pasākuma kods</w:t>
            </w:r>
            <w:r>
              <w:rPr>
                <w:rFonts w:ascii="Times New Roman" w:hAnsi="Times New Roman"/>
                <w:sz w:val="24"/>
                <w:szCs w:val="28"/>
              </w:rPr>
              <w:t xml:space="preserve"> – 4.2</w:t>
            </w:r>
            <w:r w:rsidRPr="008E5D14">
              <w:rPr>
                <w:rFonts w:ascii="Times New Roman" w:hAnsi="Times New Roman"/>
                <w:sz w:val="24"/>
                <w:szCs w:val="28"/>
              </w:rPr>
              <w:t>.</w:t>
            </w:r>
            <w:r w:rsidR="00BA1D5E" w:rsidRPr="008E5D14">
              <w:rPr>
                <w:rFonts w:ascii="Times New Roman" w:hAnsi="Times New Roman"/>
                <w:sz w:val="24"/>
                <w:szCs w:val="28"/>
              </w:rPr>
              <w:t>);</w:t>
            </w:r>
          </w:p>
          <w:p w14:paraId="1DDAAA07" w14:textId="436F0B3B" w:rsidR="00BA1D5E" w:rsidRPr="008E5D14" w:rsidRDefault="00BA0F20" w:rsidP="00BA1D5E">
            <w:pPr>
              <w:pStyle w:val="NoSpacing"/>
              <w:numPr>
                <w:ilvl w:val="0"/>
                <w:numId w:val="11"/>
              </w:numPr>
              <w:jc w:val="both"/>
              <w:rPr>
                <w:rFonts w:ascii="Times New Roman" w:hAnsi="Times New Roman"/>
                <w:sz w:val="24"/>
                <w:szCs w:val="28"/>
              </w:rPr>
            </w:pPr>
            <w:r>
              <w:rPr>
                <w:rFonts w:ascii="Times New Roman" w:hAnsi="Times New Roman"/>
                <w:sz w:val="24"/>
                <w:szCs w:val="28"/>
              </w:rPr>
              <w:t>“</w:t>
            </w:r>
            <w:r w:rsidR="00BA1D5E" w:rsidRPr="008E5D14">
              <w:rPr>
                <w:rFonts w:ascii="Times New Roman" w:hAnsi="Times New Roman"/>
                <w:sz w:val="24"/>
                <w:szCs w:val="28"/>
              </w:rPr>
              <w:t>Atbalsts ieguldījumiem lauksaimniecības un mežsaimniecības infrastruktūras attīstībā” (pasākuma kods</w:t>
            </w:r>
            <w:r>
              <w:rPr>
                <w:rFonts w:ascii="Times New Roman" w:hAnsi="Times New Roman"/>
                <w:sz w:val="24"/>
                <w:szCs w:val="28"/>
              </w:rPr>
              <w:t xml:space="preserve"> – 4.3</w:t>
            </w:r>
            <w:r w:rsidRPr="008E5D14">
              <w:rPr>
                <w:rFonts w:ascii="Times New Roman" w:hAnsi="Times New Roman"/>
                <w:sz w:val="24"/>
                <w:szCs w:val="28"/>
              </w:rPr>
              <w:t>.</w:t>
            </w:r>
            <w:r w:rsidR="00BA1D5E" w:rsidRPr="008E5D14">
              <w:rPr>
                <w:rFonts w:ascii="Times New Roman" w:hAnsi="Times New Roman"/>
                <w:sz w:val="24"/>
                <w:szCs w:val="28"/>
              </w:rPr>
              <w:t>).</w:t>
            </w:r>
          </w:p>
          <w:p w14:paraId="5AB87434" w14:textId="3CEC98C5" w:rsidR="00AC0675" w:rsidRDefault="009E5583" w:rsidP="00951ED2">
            <w:pPr>
              <w:pStyle w:val="Stils2"/>
              <w:rPr>
                <w:rFonts w:eastAsia="Calibri"/>
                <w:bCs w:val="0"/>
                <w:snapToGrid/>
                <w:szCs w:val="28"/>
                <w:lang w:val="lv-LV"/>
              </w:rPr>
            </w:pPr>
            <w:r>
              <w:rPr>
                <w:rFonts w:eastAsia="Calibri"/>
                <w:bCs w:val="0"/>
                <w:snapToGrid/>
                <w:szCs w:val="28"/>
                <w:lang w:val="lv-LV"/>
              </w:rPr>
              <w:t>L</w:t>
            </w:r>
            <w:r w:rsidRPr="00F2473D">
              <w:rPr>
                <w:rFonts w:eastAsia="Calibri"/>
                <w:bCs w:val="0"/>
                <w:snapToGrid/>
                <w:szCs w:val="28"/>
                <w:lang w:val="lv-LV"/>
              </w:rPr>
              <w:t>auksaimniecības produktu pārstrāde</w:t>
            </w:r>
            <w:r w:rsidR="00495670">
              <w:rPr>
                <w:rFonts w:eastAsia="Calibri"/>
                <w:bCs w:val="0"/>
                <w:snapToGrid/>
                <w:szCs w:val="28"/>
                <w:lang w:val="lv-LV"/>
              </w:rPr>
              <w:t>s definīcija ir noteikta</w:t>
            </w:r>
            <w:r w:rsidR="00BA0F20">
              <w:rPr>
                <w:rFonts w:eastAsia="Calibri"/>
                <w:bCs w:val="0"/>
                <w:snapToGrid/>
                <w:szCs w:val="28"/>
                <w:lang w:val="lv-LV"/>
              </w:rPr>
              <w:t>,</w:t>
            </w:r>
            <w:r w:rsidR="00495670">
              <w:rPr>
                <w:rFonts w:eastAsia="Calibri"/>
                <w:bCs w:val="0"/>
                <w:snapToGrid/>
                <w:szCs w:val="28"/>
                <w:lang w:val="lv-LV"/>
              </w:rPr>
              <w:t xml:space="preserve"> </w:t>
            </w:r>
            <w:r w:rsidR="00495670" w:rsidRPr="00495670">
              <w:rPr>
                <w:rFonts w:eastAsia="Calibri"/>
                <w:bCs w:val="0"/>
                <w:snapToGrid/>
                <w:szCs w:val="28"/>
                <w:lang w:val="lv-LV"/>
              </w:rPr>
              <w:t xml:space="preserve">ņemot par pamatu </w:t>
            </w:r>
            <w:r w:rsidR="00495670" w:rsidRPr="00F2473D">
              <w:rPr>
                <w:rFonts w:eastAsia="Calibri"/>
                <w:bCs w:val="0"/>
                <w:snapToGrid/>
                <w:szCs w:val="28"/>
                <w:lang w:val="lv-LV"/>
              </w:rPr>
              <w:t>Komisijas 2014. gada 17. jūnija Regulas (ES) Nr. 651/2014</w:t>
            </w:r>
            <w:r w:rsidR="00951ED2">
              <w:rPr>
                <w:rFonts w:eastAsia="Calibri"/>
                <w:bCs w:val="0"/>
                <w:snapToGrid/>
                <w:szCs w:val="28"/>
                <w:lang w:val="lv-LV"/>
              </w:rPr>
              <w:t>,</w:t>
            </w:r>
            <w:r w:rsidR="00951ED2">
              <w:t xml:space="preserve"> </w:t>
            </w:r>
            <w:r w:rsidR="00951ED2" w:rsidRPr="00951ED2">
              <w:rPr>
                <w:rFonts w:eastAsia="Calibri"/>
                <w:bCs w:val="0"/>
                <w:snapToGrid/>
                <w:szCs w:val="28"/>
                <w:lang w:val="lv-LV"/>
              </w:rPr>
              <w:t>ar ko noteiktas atbalsta kategorijas atzīst par saderīgām ar iekšējo tirgu, piemērojot Līguma 107. un</w:t>
            </w:r>
            <w:r w:rsidR="00951ED2">
              <w:rPr>
                <w:rFonts w:eastAsia="Calibri"/>
                <w:bCs w:val="0"/>
                <w:snapToGrid/>
                <w:szCs w:val="28"/>
                <w:lang w:val="lv-LV"/>
              </w:rPr>
              <w:t>,</w:t>
            </w:r>
            <w:r w:rsidR="00951ED2" w:rsidRPr="00951ED2">
              <w:rPr>
                <w:rFonts w:eastAsia="Calibri"/>
                <w:bCs w:val="0"/>
                <w:snapToGrid/>
                <w:szCs w:val="28"/>
                <w:lang w:val="lv-LV"/>
              </w:rPr>
              <w:t>108. pantu</w:t>
            </w:r>
            <w:r w:rsidR="00951ED2">
              <w:rPr>
                <w:rFonts w:eastAsia="Calibri"/>
                <w:bCs w:val="0"/>
                <w:snapToGrid/>
                <w:szCs w:val="28"/>
                <w:lang w:val="lv-LV"/>
              </w:rPr>
              <w:t>,</w:t>
            </w:r>
            <w:r w:rsidR="00495670" w:rsidRPr="00495670">
              <w:rPr>
                <w:rFonts w:eastAsia="Calibri"/>
                <w:bCs w:val="0"/>
                <w:snapToGrid/>
                <w:szCs w:val="28"/>
                <w:lang w:val="lv-LV"/>
              </w:rPr>
              <w:t xml:space="preserve"> skaidrojumu un papildinot to ar </w:t>
            </w:r>
            <w:r w:rsidR="00495670" w:rsidRPr="00495670">
              <w:rPr>
                <w:rFonts w:eastAsia="Calibri"/>
                <w:bCs w:val="0"/>
                <w:snapToGrid/>
                <w:szCs w:val="28"/>
                <w:lang w:val="lv-LV"/>
              </w:rPr>
              <w:lastRenderedPageBreak/>
              <w:t>trūkstošajiem produktu pārstrādes veidiem</w:t>
            </w:r>
            <w:r w:rsidR="00A252C5">
              <w:rPr>
                <w:rFonts w:eastAsia="Calibri"/>
                <w:bCs w:val="0"/>
                <w:snapToGrid/>
                <w:szCs w:val="28"/>
                <w:lang w:val="lv-LV"/>
              </w:rPr>
              <w:t xml:space="preserve">, </w:t>
            </w:r>
            <w:r w:rsidR="002A21C8" w:rsidRPr="002A21C8">
              <w:rPr>
                <w:rFonts w:eastAsia="Calibri"/>
                <w:bCs w:val="0"/>
                <w:snapToGrid/>
                <w:szCs w:val="28"/>
                <w:lang w:val="lv-LV"/>
              </w:rPr>
              <w:t>tād</w:t>
            </w:r>
            <w:r w:rsidR="00A252C5">
              <w:rPr>
                <w:rFonts w:eastAsia="Calibri"/>
                <w:bCs w:val="0"/>
                <w:snapToGrid/>
                <w:szCs w:val="28"/>
                <w:lang w:val="lv-LV"/>
              </w:rPr>
              <w:t xml:space="preserve">iem kā </w:t>
            </w:r>
            <w:r w:rsidR="002A21C8" w:rsidRPr="002A21C8">
              <w:rPr>
                <w:rFonts w:eastAsia="Calibri"/>
                <w:bCs w:val="0"/>
                <w:snapToGrid/>
                <w:szCs w:val="28"/>
                <w:lang w:val="lv-LV"/>
              </w:rPr>
              <w:t>malšana un saldēšana</w:t>
            </w:r>
            <w:r w:rsidR="00A252C5">
              <w:rPr>
                <w:rFonts w:eastAsia="Calibri"/>
                <w:bCs w:val="0"/>
                <w:snapToGrid/>
                <w:szCs w:val="28"/>
                <w:lang w:val="lv-LV"/>
              </w:rPr>
              <w:t>.</w:t>
            </w:r>
            <w:r w:rsidR="00F2473D">
              <w:rPr>
                <w:rFonts w:eastAsia="Calibri"/>
                <w:bCs w:val="0"/>
                <w:snapToGrid/>
                <w:szCs w:val="28"/>
                <w:lang w:val="lv-LV"/>
              </w:rPr>
              <w:t xml:space="preserve"> </w:t>
            </w:r>
          </w:p>
          <w:p w14:paraId="38955CD9" w14:textId="5BAD89D8" w:rsidR="00735C5A" w:rsidRPr="00BA1D5E" w:rsidRDefault="00B63E2C" w:rsidP="008B5105">
            <w:pPr>
              <w:pStyle w:val="Stils2"/>
              <w:rPr>
                <w:rFonts w:eastAsia="Calibri"/>
                <w:bCs w:val="0"/>
                <w:snapToGrid/>
                <w:szCs w:val="28"/>
                <w:lang w:val="lv-LV"/>
              </w:rPr>
            </w:pPr>
            <w:r w:rsidRPr="00BA1D5E">
              <w:rPr>
                <w:rFonts w:eastAsia="Calibri"/>
                <w:bCs w:val="0"/>
                <w:snapToGrid/>
                <w:szCs w:val="28"/>
                <w:lang w:val="lv-LV"/>
              </w:rPr>
              <w:t>Papildu</w:t>
            </w:r>
            <w:r w:rsidR="00BA0F20">
              <w:rPr>
                <w:rFonts w:eastAsia="Calibri"/>
                <w:bCs w:val="0"/>
                <w:snapToGrid/>
                <w:szCs w:val="28"/>
                <w:lang w:val="lv-LV"/>
              </w:rPr>
              <w:t>s</w:t>
            </w:r>
            <w:r w:rsidRPr="00BA1D5E">
              <w:rPr>
                <w:rFonts w:eastAsia="Calibri"/>
                <w:bCs w:val="0"/>
                <w:snapToGrid/>
                <w:szCs w:val="28"/>
                <w:lang w:val="lv-LV"/>
              </w:rPr>
              <w:t xml:space="preserve"> minēta</w:t>
            </w:r>
            <w:r w:rsidR="00BA0F20">
              <w:rPr>
                <w:rFonts w:eastAsia="Calibri"/>
                <w:bCs w:val="0"/>
                <w:snapToGrid/>
                <w:szCs w:val="28"/>
                <w:lang w:val="lv-LV"/>
              </w:rPr>
              <w:t>jam</w:t>
            </w:r>
            <w:r w:rsidRPr="00BA1D5E">
              <w:rPr>
                <w:rFonts w:eastAsia="Calibri"/>
                <w:bCs w:val="0"/>
                <w:snapToGrid/>
                <w:szCs w:val="28"/>
                <w:lang w:val="lv-LV"/>
              </w:rPr>
              <w:t xml:space="preserve"> pārejas periodā tiek </w:t>
            </w:r>
            <w:r w:rsidR="00735C5A" w:rsidRPr="00BA1D5E">
              <w:rPr>
                <w:rFonts w:eastAsia="Calibri"/>
                <w:bCs w:val="0"/>
                <w:snapToGrid/>
                <w:szCs w:val="28"/>
                <w:lang w:val="lv-LV"/>
              </w:rPr>
              <w:t xml:space="preserve">paredzētā šāda </w:t>
            </w:r>
            <w:r w:rsidR="008B5105" w:rsidRPr="00BA1D5E">
              <w:rPr>
                <w:rFonts w:eastAsia="Calibri"/>
                <w:bCs w:val="0"/>
                <w:snapToGrid/>
                <w:szCs w:val="28"/>
                <w:lang w:val="lv-LV"/>
              </w:rPr>
              <w:t>publisk</w:t>
            </w:r>
            <w:r w:rsidR="00735C5A" w:rsidRPr="00BA1D5E">
              <w:rPr>
                <w:rFonts w:eastAsia="Calibri"/>
                <w:bCs w:val="0"/>
                <w:snapToGrid/>
                <w:szCs w:val="28"/>
                <w:lang w:val="lv-LV"/>
              </w:rPr>
              <w:t>ā</w:t>
            </w:r>
            <w:r w:rsidR="008B5105" w:rsidRPr="00BA1D5E">
              <w:rPr>
                <w:rFonts w:eastAsia="Calibri"/>
                <w:bCs w:val="0"/>
                <w:snapToGrid/>
                <w:szCs w:val="28"/>
                <w:lang w:val="lv-LV"/>
              </w:rPr>
              <w:t xml:space="preserve"> finansējuma sadal</w:t>
            </w:r>
            <w:r w:rsidR="00735C5A" w:rsidRPr="00BA1D5E">
              <w:rPr>
                <w:rFonts w:eastAsia="Calibri"/>
                <w:bCs w:val="0"/>
                <w:snapToGrid/>
                <w:szCs w:val="28"/>
                <w:lang w:val="lv-LV"/>
              </w:rPr>
              <w:t>e</w:t>
            </w:r>
            <w:r w:rsidR="008B5105" w:rsidRPr="00BA1D5E">
              <w:rPr>
                <w:rFonts w:eastAsia="Calibri"/>
                <w:bCs w:val="0"/>
                <w:snapToGrid/>
                <w:szCs w:val="28"/>
                <w:lang w:val="lv-LV"/>
              </w:rPr>
              <w:t>:</w:t>
            </w:r>
            <w:r w:rsidR="00735C5A" w:rsidRPr="00BA1D5E">
              <w:rPr>
                <w:rFonts w:eastAsia="Calibri"/>
                <w:bCs w:val="0"/>
                <w:snapToGrid/>
                <w:szCs w:val="28"/>
                <w:lang w:val="lv-LV"/>
              </w:rPr>
              <w:t xml:space="preserve"> </w:t>
            </w:r>
          </w:p>
          <w:p w14:paraId="6B7418CD" w14:textId="635566F4" w:rsidR="00E46410" w:rsidRPr="00BA1D5E" w:rsidRDefault="00E46410" w:rsidP="00E46410">
            <w:pPr>
              <w:pStyle w:val="Stils2"/>
              <w:numPr>
                <w:ilvl w:val="0"/>
                <w:numId w:val="12"/>
              </w:numPr>
              <w:rPr>
                <w:rFonts w:eastAsia="Calibri"/>
                <w:bCs w:val="0"/>
                <w:snapToGrid/>
                <w:szCs w:val="28"/>
                <w:lang w:val="lv-LV"/>
              </w:rPr>
            </w:pPr>
            <w:proofErr w:type="spellStart"/>
            <w:r w:rsidRPr="00BA1D5E">
              <w:rPr>
                <w:rFonts w:eastAsia="Calibri"/>
                <w:bCs w:val="0"/>
                <w:snapToGrid/>
                <w:szCs w:val="28"/>
                <w:lang w:val="lv-LV"/>
              </w:rPr>
              <w:t>apakšpasākumā</w:t>
            </w:r>
            <w:proofErr w:type="spellEnd"/>
            <w:r w:rsidRPr="00BA1D5E">
              <w:rPr>
                <w:rFonts w:eastAsia="Calibri"/>
                <w:bCs w:val="0"/>
                <w:snapToGrid/>
                <w:szCs w:val="28"/>
                <w:lang w:val="lv-LV"/>
              </w:rPr>
              <w:t xml:space="preserve"> “Atbalsts ieguldījumiem lauku saimniecībās” – starp Lauku atbalsta dienesta reģionālajām lauksaimniecības pārvaldēm, ņemot vērā vienot</w:t>
            </w:r>
            <w:r w:rsidR="00BA0F20">
              <w:rPr>
                <w:rFonts w:eastAsia="Calibri"/>
                <w:bCs w:val="0"/>
                <w:snapToGrid/>
                <w:szCs w:val="28"/>
                <w:lang w:val="lv-LV"/>
              </w:rPr>
              <w:t>aj</w:t>
            </w:r>
            <w:r w:rsidRPr="00BA1D5E">
              <w:rPr>
                <w:rFonts w:eastAsia="Calibri"/>
                <w:bCs w:val="0"/>
                <w:snapToGrid/>
                <w:szCs w:val="28"/>
                <w:lang w:val="lv-LV"/>
              </w:rPr>
              <w:t>am platību maksājumam deklarētās lauksaimniecībā izmantojamās zemes platības atbilstoši saimniecību grupu sadalījumu pēc to kopējā apgrozījuma;</w:t>
            </w:r>
          </w:p>
          <w:p w14:paraId="7054AFE7" w14:textId="58A43DB8" w:rsidR="00E46410" w:rsidRPr="00BA1D5E" w:rsidRDefault="00E46410" w:rsidP="006246F9">
            <w:pPr>
              <w:pStyle w:val="Stils2"/>
              <w:numPr>
                <w:ilvl w:val="0"/>
                <w:numId w:val="12"/>
              </w:numPr>
              <w:rPr>
                <w:rFonts w:eastAsia="Calibri"/>
                <w:bCs w:val="0"/>
                <w:snapToGrid/>
                <w:szCs w:val="28"/>
                <w:lang w:val="lv-LV"/>
              </w:rPr>
            </w:pPr>
            <w:r w:rsidRPr="00BA1D5E">
              <w:rPr>
                <w:rFonts w:eastAsia="Calibri"/>
                <w:bCs w:val="0"/>
                <w:snapToGrid/>
                <w:szCs w:val="28"/>
                <w:lang w:val="lv-LV"/>
              </w:rPr>
              <w:t xml:space="preserve">minētajā </w:t>
            </w:r>
            <w:proofErr w:type="spellStart"/>
            <w:r w:rsidRPr="00BA1D5E">
              <w:rPr>
                <w:rFonts w:eastAsia="Calibri"/>
                <w:bCs w:val="0"/>
                <w:snapToGrid/>
                <w:szCs w:val="28"/>
                <w:lang w:val="lv-LV"/>
              </w:rPr>
              <w:t>apakšpasākumā</w:t>
            </w:r>
            <w:proofErr w:type="spellEnd"/>
            <w:r w:rsidRPr="00BA1D5E">
              <w:rPr>
                <w:rFonts w:eastAsia="Calibri"/>
                <w:bCs w:val="0"/>
                <w:snapToGrid/>
                <w:szCs w:val="28"/>
                <w:lang w:val="lv-LV"/>
              </w:rPr>
              <w:t xml:space="preserve"> </w:t>
            </w:r>
            <w:r w:rsidR="00BA0F20">
              <w:rPr>
                <w:rFonts w:eastAsia="Calibri"/>
                <w:bCs w:val="0"/>
                <w:snapToGrid/>
                <w:szCs w:val="28"/>
                <w:lang w:val="lv-LV"/>
              </w:rPr>
              <w:t xml:space="preserve">– </w:t>
            </w:r>
            <w:r w:rsidRPr="00BA1D5E">
              <w:rPr>
                <w:rFonts w:eastAsia="Calibri"/>
                <w:bCs w:val="0"/>
                <w:snapToGrid/>
                <w:szCs w:val="28"/>
                <w:lang w:val="lv-LV"/>
              </w:rPr>
              <w:t>atsevišķs publiskais finansējums putnkopības un cūkkopības nozarei, kā arī atsevišķs publiskais finansējums siltumnīcu nozarei;</w:t>
            </w:r>
          </w:p>
          <w:p w14:paraId="7CBBBD95" w14:textId="4D2362E9" w:rsidR="006C00AA" w:rsidRPr="00BA1D5E" w:rsidRDefault="00E46410" w:rsidP="00E46410">
            <w:pPr>
              <w:pStyle w:val="Stils2"/>
              <w:numPr>
                <w:ilvl w:val="0"/>
                <w:numId w:val="12"/>
              </w:numPr>
              <w:spacing w:after="0"/>
              <w:rPr>
                <w:rFonts w:eastAsia="Calibri"/>
                <w:bCs w:val="0"/>
                <w:snapToGrid/>
                <w:szCs w:val="28"/>
                <w:lang w:val="lv-LV"/>
              </w:rPr>
            </w:pPr>
            <w:r w:rsidRPr="00BA1D5E">
              <w:rPr>
                <w:rFonts w:eastAsia="Calibri"/>
                <w:bCs w:val="0"/>
                <w:snapToGrid/>
                <w:szCs w:val="28"/>
                <w:lang w:val="lv-LV"/>
              </w:rPr>
              <w:t>pas</w:t>
            </w:r>
            <w:r w:rsidR="000B78EB" w:rsidRPr="00BA1D5E">
              <w:rPr>
                <w:rFonts w:eastAsia="Calibri"/>
                <w:bCs w:val="0"/>
                <w:snapToGrid/>
                <w:szCs w:val="28"/>
                <w:lang w:val="lv-LV"/>
              </w:rPr>
              <w:t>ākum</w:t>
            </w:r>
            <w:r w:rsidR="00BA0F20">
              <w:rPr>
                <w:rFonts w:eastAsia="Calibri"/>
                <w:bCs w:val="0"/>
                <w:snapToGrid/>
                <w:szCs w:val="28"/>
                <w:lang w:val="lv-LV"/>
              </w:rPr>
              <w:t>ā</w:t>
            </w:r>
            <w:r w:rsidR="000B78EB" w:rsidRPr="00BA1D5E">
              <w:rPr>
                <w:rFonts w:eastAsia="Calibri"/>
                <w:bCs w:val="0"/>
                <w:snapToGrid/>
                <w:szCs w:val="28"/>
                <w:lang w:val="lv-LV"/>
              </w:rPr>
              <w:t xml:space="preserve"> “Ieguldījumi materiālajos aktīvos” </w:t>
            </w:r>
            <w:r w:rsidR="00BA0F20">
              <w:rPr>
                <w:rFonts w:eastAsia="Calibri"/>
                <w:bCs w:val="0"/>
                <w:snapToGrid/>
                <w:szCs w:val="28"/>
                <w:lang w:val="lv-LV"/>
              </w:rPr>
              <w:t xml:space="preserve">– </w:t>
            </w:r>
            <w:r w:rsidR="000B78EB" w:rsidRPr="00BA1D5E">
              <w:rPr>
                <w:rFonts w:eastAsia="Calibri"/>
                <w:bCs w:val="0"/>
                <w:snapToGrid/>
                <w:szCs w:val="28"/>
                <w:lang w:val="lv-LV"/>
              </w:rPr>
              <w:t>atsevišķs publiskais finansējums</w:t>
            </w:r>
            <w:r w:rsidRPr="00BA1D5E">
              <w:rPr>
                <w:rFonts w:eastAsia="Calibri"/>
                <w:bCs w:val="0"/>
                <w:snapToGrid/>
                <w:szCs w:val="28"/>
                <w:lang w:val="lv-LV"/>
              </w:rPr>
              <w:t xml:space="preserve"> lauksaimnieku pakalpojumu kooperatīv</w:t>
            </w:r>
            <w:r w:rsidR="00BA0F20">
              <w:rPr>
                <w:rFonts w:eastAsia="Calibri"/>
                <w:bCs w:val="0"/>
                <w:snapToGrid/>
                <w:szCs w:val="28"/>
                <w:lang w:val="lv-LV"/>
              </w:rPr>
              <w:t>aj</w:t>
            </w:r>
            <w:r w:rsidRPr="00BA1D5E">
              <w:rPr>
                <w:rFonts w:eastAsia="Calibri"/>
                <w:bCs w:val="0"/>
                <w:snapToGrid/>
                <w:szCs w:val="28"/>
                <w:lang w:val="lv-LV"/>
              </w:rPr>
              <w:t xml:space="preserve">ām sabiedrībām. </w:t>
            </w:r>
          </w:p>
          <w:p w14:paraId="1756E9F0" w14:textId="5165C16A" w:rsidR="00735C5A" w:rsidRDefault="00735C5A" w:rsidP="006C00AA">
            <w:pPr>
              <w:pStyle w:val="Stils2"/>
              <w:spacing w:after="0"/>
              <w:rPr>
                <w:rFonts w:eastAsia="Calibri"/>
                <w:bCs w:val="0"/>
                <w:snapToGrid/>
                <w:szCs w:val="28"/>
                <w:lang w:val="lv-LV"/>
              </w:rPr>
            </w:pPr>
            <w:r w:rsidRPr="00BA1D5E">
              <w:rPr>
                <w:rFonts w:eastAsia="Calibri"/>
                <w:bCs w:val="0"/>
                <w:snapToGrid/>
                <w:szCs w:val="28"/>
                <w:lang w:val="lv-LV"/>
              </w:rPr>
              <w:t>Lauku saimniecībām putnkopības un cūkkopības nozar</w:t>
            </w:r>
            <w:r w:rsidR="00BA0F20">
              <w:rPr>
                <w:rFonts w:eastAsia="Calibri"/>
                <w:bCs w:val="0"/>
                <w:snapToGrid/>
                <w:szCs w:val="28"/>
                <w:lang w:val="lv-LV"/>
              </w:rPr>
              <w:t>ē no pieejamā</w:t>
            </w:r>
            <w:r w:rsidRPr="00BA1D5E">
              <w:rPr>
                <w:rFonts w:eastAsia="Calibri"/>
                <w:bCs w:val="0"/>
                <w:snapToGrid/>
                <w:szCs w:val="28"/>
                <w:lang w:val="lv-LV"/>
              </w:rPr>
              <w:t xml:space="preserve"> finansējuma piešķir atbalstu ieguldījumiem, kas uzlabo dzīvnieku labturības apstākļus vai nodrošina lauksaimniecības dzīvnieku novietnes biodrošības pasākumu īstenošanu, lai mazinātu </w:t>
            </w:r>
            <w:r w:rsidR="00BA0F20" w:rsidRPr="00BA1D5E">
              <w:rPr>
                <w:rFonts w:eastAsia="Calibri"/>
                <w:bCs w:val="0"/>
                <w:snapToGrid/>
                <w:szCs w:val="28"/>
                <w:lang w:val="lv-LV"/>
              </w:rPr>
              <w:t xml:space="preserve">iespējamās </w:t>
            </w:r>
            <w:r w:rsidRPr="00BA1D5E">
              <w:rPr>
                <w:rFonts w:eastAsia="Calibri"/>
                <w:bCs w:val="0"/>
                <w:snapToGrid/>
                <w:szCs w:val="28"/>
                <w:lang w:val="lv-LV"/>
              </w:rPr>
              <w:t xml:space="preserve">epizootiju un </w:t>
            </w:r>
            <w:proofErr w:type="spellStart"/>
            <w:r w:rsidRPr="00BA1D5E">
              <w:rPr>
                <w:rFonts w:eastAsia="Calibri"/>
                <w:bCs w:val="0"/>
                <w:snapToGrid/>
                <w:szCs w:val="28"/>
                <w:lang w:val="lv-LV"/>
              </w:rPr>
              <w:t>epifitotiju</w:t>
            </w:r>
            <w:proofErr w:type="spellEnd"/>
            <w:r w:rsidRPr="00BA1D5E">
              <w:rPr>
                <w:rFonts w:eastAsia="Calibri"/>
                <w:bCs w:val="0"/>
                <w:snapToGrid/>
                <w:szCs w:val="28"/>
                <w:lang w:val="lv-LV"/>
              </w:rPr>
              <w:t xml:space="preserve"> sekas, sniedz ieguldījumu SEG vai amonjaka emisiju mazināšanā un kas saistīti ar jaunu būvju būvniecību un esošo būvju pārbūvi, novietošanu, ierīkošanu</w:t>
            </w:r>
            <w:r w:rsidR="00944B18">
              <w:rPr>
                <w:rFonts w:eastAsia="Calibri"/>
                <w:bCs w:val="0"/>
                <w:snapToGrid/>
                <w:szCs w:val="28"/>
                <w:lang w:val="lv-LV"/>
              </w:rPr>
              <w:t xml:space="preserve"> vai</w:t>
            </w:r>
            <w:r w:rsidRPr="00BA1D5E">
              <w:rPr>
                <w:rFonts w:eastAsia="Calibri"/>
                <w:bCs w:val="0"/>
                <w:snapToGrid/>
                <w:szCs w:val="28"/>
                <w:lang w:val="lv-LV"/>
              </w:rPr>
              <w:t xml:space="preserve"> atjaunošanu. Atbalst</w:t>
            </w:r>
            <w:r w:rsidR="00944B18">
              <w:rPr>
                <w:rFonts w:eastAsia="Calibri"/>
                <w:bCs w:val="0"/>
                <w:snapToGrid/>
                <w:szCs w:val="28"/>
                <w:lang w:val="lv-LV"/>
              </w:rPr>
              <w:t>s</w:t>
            </w:r>
            <w:r w:rsidRPr="00BA1D5E">
              <w:rPr>
                <w:rFonts w:eastAsia="Calibri"/>
                <w:bCs w:val="0"/>
                <w:snapToGrid/>
                <w:szCs w:val="28"/>
                <w:lang w:val="lv-LV"/>
              </w:rPr>
              <w:t xml:space="preserve"> citiem putnkopības</w:t>
            </w:r>
            <w:r w:rsidR="00944B18">
              <w:rPr>
                <w:rFonts w:eastAsia="Calibri"/>
                <w:bCs w:val="0"/>
                <w:snapToGrid/>
                <w:szCs w:val="28"/>
                <w:lang w:val="lv-LV"/>
              </w:rPr>
              <w:t xml:space="preserve"> un</w:t>
            </w:r>
            <w:r w:rsidRPr="00BA1D5E">
              <w:rPr>
                <w:rFonts w:eastAsia="Calibri"/>
                <w:bCs w:val="0"/>
                <w:snapToGrid/>
                <w:szCs w:val="28"/>
                <w:lang w:val="lv-LV"/>
              </w:rPr>
              <w:t xml:space="preserve"> cūkkopības nozares lauku saimniecību projektiem nodrošin</w:t>
            </w:r>
            <w:r w:rsidR="00944B18">
              <w:rPr>
                <w:rFonts w:eastAsia="Calibri"/>
                <w:bCs w:val="0"/>
                <w:snapToGrid/>
                <w:szCs w:val="28"/>
                <w:lang w:val="lv-LV"/>
              </w:rPr>
              <w:t>āts no</w:t>
            </w:r>
            <w:r w:rsidRPr="00BA1D5E">
              <w:rPr>
                <w:rFonts w:eastAsia="Calibri"/>
                <w:bCs w:val="0"/>
                <w:snapToGrid/>
                <w:szCs w:val="28"/>
                <w:lang w:val="lv-LV"/>
              </w:rPr>
              <w:t xml:space="preserve"> noteikumu projekta </w:t>
            </w:r>
            <w:r w:rsidR="00944B18">
              <w:rPr>
                <w:rFonts w:eastAsia="Calibri"/>
                <w:bCs w:val="0"/>
                <w:snapToGrid/>
                <w:szCs w:val="28"/>
                <w:lang w:val="lv-LV"/>
              </w:rPr>
              <w:t>“</w:t>
            </w:r>
            <w:r w:rsidRPr="00BA1D5E">
              <w:rPr>
                <w:rFonts w:eastAsia="Calibri"/>
                <w:bCs w:val="0"/>
                <w:snapToGrid/>
                <w:szCs w:val="28"/>
                <w:lang w:val="lv-LV"/>
              </w:rPr>
              <w:t xml:space="preserve">Atbalsts ieguldījumiem lauku saimniecībās” </w:t>
            </w:r>
            <w:proofErr w:type="spellStart"/>
            <w:r w:rsidRPr="00BA1D5E">
              <w:rPr>
                <w:rFonts w:eastAsia="Calibri"/>
                <w:bCs w:val="0"/>
                <w:snapToGrid/>
                <w:szCs w:val="28"/>
                <w:lang w:val="lv-LV"/>
              </w:rPr>
              <w:t>apakšpasākum</w:t>
            </w:r>
            <w:r w:rsidR="00944B18">
              <w:rPr>
                <w:rFonts w:eastAsia="Calibri"/>
                <w:bCs w:val="0"/>
                <w:snapToGrid/>
                <w:szCs w:val="28"/>
                <w:lang w:val="lv-LV"/>
              </w:rPr>
              <w:t>am</w:t>
            </w:r>
            <w:proofErr w:type="spellEnd"/>
            <w:r w:rsidR="00944B18">
              <w:rPr>
                <w:rFonts w:eastAsia="Calibri"/>
                <w:bCs w:val="0"/>
                <w:snapToGrid/>
                <w:szCs w:val="28"/>
                <w:lang w:val="lv-LV"/>
              </w:rPr>
              <w:t xml:space="preserve"> atvēlētā</w:t>
            </w:r>
            <w:r w:rsidRPr="00BA1D5E">
              <w:rPr>
                <w:rFonts w:eastAsia="Calibri"/>
                <w:bCs w:val="0"/>
                <w:snapToGrid/>
                <w:szCs w:val="28"/>
                <w:lang w:val="lv-LV"/>
              </w:rPr>
              <w:t xml:space="preserve"> kopējā finansējuma.</w:t>
            </w:r>
          </w:p>
          <w:p w14:paraId="2B125BC4" w14:textId="7A573FDF" w:rsidR="004165FB" w:rsidRDefault="004165FB" w:rsidP="006C00AA">
            <w:pPr>
              <w:pStyle w:val="Stils2"/>
              <w:spacing w:after="0"/>
              <w:rPr>
                <w:rFonts w:eastAsia="Calibri"/>
                <w:bCs w:val="0"/>
                <w:snapToGrid/>
                <w:szCs w:val="28"/>
                <w:lang w:val="lv-LV"/>
              </w:rPr>
            </w:pPr>
          </w:p>
          <w:p w14:paraId="462D4877" w14:textId="3ED42884" w:rsidR="004165FB" w:rsidRPr="004165FB" w:rsidRDefault="004165FB" w:rsidP="004165FB">
            <w:pPr>
              <w:pStyle w:val="Stils2"/>
              <w:rPr>
                <w:rFonts w:eastAsia="Calibri"/>
                <w:bCs w:val="0"/>
                <w:snapToGrid/>
                <w:szCs w:val="28"/>
                <w:lang w:val="lv-LV"/>
              </w:rPr>
            </w:pPr>
            <w:proofErr w:type="spellStart"/>
            <w:r>
              <w:rPr>
                <w:rFonts w:eastAsia="Calibri"/>
                <w:bCs w:val="0"/>
                <w:snapToGrid/>
                <w:szCs w:val="28"/>
                <w:lang w:val="lv-LV"/>
              </w:rPr>
              <w:t>A</w:t>
            </w:r>
            <w:r w:rsidRPr="004165FB">
              <w:rPr>
                <w:rFonts w:eastAsia="Calibri"/>
                <w:bCs w:val="0"/>
                <w:snapToGrid/>
                <w:szCs w:val="28"/>
                <w:lang w:val="lv-LV"/>
              </w:rPr>
              <w:t>pakšpasākumā</w:t>
            </w:r>
            <w:proofErr w:type="spellEnd"/>
            <w:r w:rsidRPr="004165FB">
              <w:rPr>
                <w:rFonts w:eastAsia="Calibri"/>
                <w:bCs w:val="0"/>
                <w:snapToGrid/>
                <w:szCs w:val="28"/>
                <w:lang w:val="lv-LV"/>
              </w:rPr>
              <w:t xml:space="preserve"> </w:t>
            </w:r>
            <w:r>
              <w:rPr>
                <w:rFonts w:eastAsia="Calibri"/>
                <w:bCs w:val="0"/>
                <w:snapToGrid/>
                <w:szCs w:val="28"/>
                <w:lang w:val="lv-LV"/>
              </w:rPr>
              <w:t>“</w:t>
            </w:r>
            <w:r w:rsidRPr="004165FB">
              <w:rPr>
                <w:rFonts w:eastAsia="Calibri"/>
                <w:bCs w:val="0"/>
                <w:snapToGrid/>
                <w:szCs w:val="28"/>
                <w:lang w:val="lv-LV"/>
              </w:rPr>
              <w:t>Atbalsts ieguldījumiem lauku saimniecībās</w:t>
            </w:r>
            <w:r>
              <w:rPr>
                <w:rFonts w:eastAsia="Calibri"/>
                <w:bCs w:val="0"/>
                <w:snapToGrid/>
                <w:szCs w:val="28"/>
                <w:lang w:val="lv-LV"/>
              </w:rPr>
              <w:t xml:space="preserve">” </w:t>
            </w:r>
            <w:r w:rsidR="00EF4837">
              <w:rPr>
                <w:rFonts w:eastAsia="Calibri"/>
                <w:bCs w:val="0"/>
                <w:snapToGrid/>
                <w:szCs w:val="28"/>
                <w:lang w:val="lv-LV"/>
              </w:rPr>
              <w:t>minētais</w:t>
            </w:r>
            <w:r>
              <w:rPr>
                <w:rFonts w:eastAsia="Calibri"/>
                <w:bCs w:val="0"/>
                <w:snapToGrid/>
                <w:szCs w:val="28"/>
                <w:lang w:val="lv-LV"/>
              </w:rPr>
              <w:t xml:space="preserve"> </w:t>
            </w:r>
            <w:r w:rsidR="00EF4837">
              <w:rPr>
                <w:rFonts w:eastAsia="Calibri"/>
                <w:bCs w:val="0"/>
                <w:snapToGrid/>
                <w:szCs w:val="28"/>
                <w:lang w:val="lv-LV"/>
              </w:rPr>
              <w:t>a</w:t>
            </w:r>
            <w:r w:rsidRPr="004165FB">
              <w:rPr>
                <w:rFonts w:eastAsia="Calibri"/>
                <w:bCs w:val="0"/>
                <w:snapToGrid/>
                <w:szCs w:val="28"/>
                <w:lang w:val="lv-LV"/>
              </w:rPr>
              <w:t>tsevišķa</w:t>
            </w:r>
            <w:r w:rsidR="00EF4837">
              <w:rPr>
                <w:rFonts w:eastAsia="Calibri"/>
                <w:bCs w:val="0"/>
                <w:snapToGrid/>
                <w:szCs w:val="28"/>
                <w:lang w:val="lv-LV"/>
              </w:rPr>
              <w:t>is</w:t>
            </w:r>
            <w:r w:rsidRPr="004165FB">
              <w:rPr>
                <w:rFonts w:eastAsia="Calibri"/>
                <w:bCs w:val="0"/>
                <w:snapToGrid/>
                <w:szCs w:val="28"/>
                <w:lang w:val="lv-LV"/>
              </w:rPr>
              <w:t xml:space="preserve"> finansējum</w:t>
            </w:r>
            <w:r w:rsidR="00EF4837">
              <w:rPr>
                <w:rFonts w:eastAsia="Calibri"/>
                <w:bCs w:val="0"/>
                <w:snapToGrid/>
                <w:szCs w:val="28"/>
                <w:lang w:val="lv-LV"/>
              </w:rPr>
              <w:t>s</w:t>
            </w:r>
            <w:r w:rsidRPr="004165FB">
              <w:rPr>
                <w:rFonts w:eastAsia="Calibri"/>
                <w:bCs w:val="0"/>
                <w:snapToGrid/>
                <w:szCs w:val="28"/>
                <w:lang w:val="lv-LV"/>
              </w:rPr>
              <w:t xml:space="preserve"> </w:t>
            </w:r>
            <w:r w:rsidR="00EF4837">
              <w:rPr>
                <w:rFonts w:eastAsia="Calibri"/>
                <w:bCs w:val="0"/>
                <w:snapToGrid/>
                <w:szCs w:val="28"/>
                <w:lang w:val="lv-LV"/>
              </w:rPr>
              <w:t>tiek paredzēts</w:t>
            </w:r>
            <w:r w:rsidRPr="004165FB">
              <w:rPr>
                <w:rFonts w:eastAsia="Calibri"/>
                <w:bCs w:val="0"/>
                <w:snapToGrid/>
                <w:szCs w:val="28"/>
                <w:lang w:val="lv-LV"/>
              </w:rPr>
              <w:t xml:space="preserve"> siltumnīcu būvniecībai un pārbūvei</w:t>
            </w:r>
            <w:r w:rsidR="00EA1197">
              <w:rPr>
                <w:rFonts w:eastAsia="Calibri"/>
                <w:bCs w:val="0"/>
                <w:snapToGrid/>
                <w:szCs w:val="28"/>
                <w:lang w:val="lv-LV"/>
              </w:rPr>
              <w:t xml:space="preserve">. </w:t>
            </w:r>
            <w:r w:rsidR="00944B18">
              <w:rPr>
                <w:rFonts w:eastAsia="Calibri"/>
                <w:bCs w:val="0"/>
                <w:snapToGrid/>
                <w:szCs w:val="28"/>
                <w:lang w:val="lv-LV"/>
              </w:rPr>
              <w:t>No š</w:t>
            </w:r>
            <w:r w:rsidRPr="004165FB">
              <w:rPr>
                <w:rFonts w:eastAsia="Calibri"/>
                <w:bCs w:val="0"/>
                <w:snapToGrid/>
                <w:szCs w:val="28"/>
                <w:lang w:val="lv-LV"/>
              </w:rPr>
              <w:t xml:space="preserve">ī finansējuma atbalsts </w:t>
            </w:r>
            <w:r w:rsidR="00944B18">
              <w:rPr>
                <w:rFonts w:eastAsia="Calibri"/>
                <w:bCs w:val="0"/>
                <w:snapToGrid/>
                <w:szCs w:val="28"/>
                <w:lang w:val="lv-LV"/>
              </w:rPr>
              <w:t xml:space="preserve">paredzēts </w:t>
            </w:r>
            <w:r w:rsidRPr="004165FB">
              <w:rPr>
                <w:rFonts w:eastAsia="Calibri"/>
                <w:bCs w:val="0"/>
                <w:snapToGrid/>
                <w:szCs w:val="28"/>
                <w:lang w:val="lv-LV"/>
              </w:rPr>
              <w:t>ieguldījumiem:</w:t>
            </w:r>
          </w:p>
          <w:p w14:paraId="5241E53B" w14:textId="6C23187B" w:rsidR="004165FB" w:rsidRPr="004165FB" w:rsidRDefault="004165FB" w:rsidP="007A2857">
            <w:pPr>
              <w:pStyle w:val="Stils2"/>
              <w:numPr>
                <w:ilvl w:val="0"/>
                <w:numId w:val="13"/>
              </w:numPr>
              <w:rPr>
                <w:rFonts w:eastAsia="Calibri"/>
                <w:bCs w:val="0"/>
                <w:snapToGrid/>
                <w:szCs w:val="28"/>
                <w:lang w:val="lv-LV"/>
              </w:rPr>
            </w:pPr>
            <w:r w:rsidRPr="004165FB">
              <w:rPr>
                <w:rFonts w:eastAsia="Calibri"/>
                <w:bCs w:val="0"/>
                <w:snapToGrid/>
                <w:szCs w:val="28"/>
                <w:lang w:val="lv-LV"/>
              </w:rPr>
              <w:t xml:space="preserve">vasaras un tuneļveida siltumnīcas, </w:t>
            </w:r>
          </w:p>
          <w:p w14:paraId="4503E6C5" w14:textId="196F204B" w:rsidR="004165FB" w:rsidRPr="004165FB" w:rsidRDefault="004165FB" w:rsidP="007A2857">
            <w:pPr>
              <w:pStyle w:val="Stils2"/>
              <w:numPr>
                <w:ilvl w:val="0"/>
                <w:numId w:val="13"/>
              </w:numPr>
              <w:rPr>
                <w:rFonts w:eastAsia="Calibri"/>
                <w:bCs w:val="0"/>
                <w:snapToGrid/>
                <w:szCs w:val="28"/>
                <w:lang w:val="lv-LV"/>
              </w:rPr>
            </w:pPr>
            <w:r w:rsidRPr="004165FB">
              <w:rPr>
                <w:rFonts w:eastAsia="Calibri"/>
                <w:bCs w:val="0"/>
                <w:snapToGrid/>
                <w:szCs w:val="28"/>
                <w:lang w:val="lv-LV"/>
              </w:rPr>
              <w:t xml:space="preserve">apsildāmās siltumnīcas, </w:t>
            </w:r>
          </w:p>
          <w:p w14:paraId="41B8E158" w14:textId="5736AF97" w:rsidR="004165FB" w:rsidRPr="004165FB" w:rsidRDefault="004165FB" w:rsidP="007A2857">
            <w:pPr>
              <w:pStyle w:val="Stils2"/>
              <w:numPr>
                <w:ilvl w:val="0"/>
                <w:numId w:val="13"/>
              </w:numPr>
              <w:rPr>
                <w:rFonts w:eastAsia="Calibri"/>
                <w:bCs w:val="0"/>
                <w:snapToGrid/>
                <w:szCs w:val="28"/>
                <w:lang w:val="lv-LV"/>
              </w:rPr>
            </w:pPr>
            <w:r w:rsidRPr="004165FB">
              <w:rPr>
                <w:rFonts w:eastAsia="Calibri"/>
                <w:bCs w:val="0"/>
                <w:snapToGrid/>
                <w:szCs w:val="28"/>
                <w:lang w:val="lv-LV"/>
              </w:rPr>
              <w:t>apsildāmās ar augu papildu gaismošanas sistēmām</w:t>
            </w:r>
          </w:p>
          <w:p w14:paraId="7CA1DAA7" w14:textId="77777777" w:rsidR="00687E4A" w:rsidRDefault="00687E4A" w:rsidP="002D6ABF">
            <w:pPr>
              <w:pStyle w:val="Stils2"/>
              <w:spacing w:after="0"/>
              <w:ind w:firstLine="683"/>
              <w:rPr>
                <w:rFonts w:eastAsia="Calibri"/>
                <w:bCs w:val="0"/>
                <w:snapToGrid/>
                <w:szCs w:val="28"/>
                <w:lang w:val="lv-LV"/>
              </w:rPr>
            </w:pPr>
          </w:p>
          <w:p w14:paraId="7C5955CE" w14:textId="0C7DDD37" w:rsidR="00AE0BF0" w:rsidRPr="00BA1D5E" w:rsidRDefault="005A12F1" w:rsidP="002D6ABF">
            <w:pPr>
              <w:pStyle w:val="Stils2"/>
              <w:spacing w:after="0"/>
              <w:ind w:firstLine="683"/>
              <w:rPr>
                <w:rFonts w:eastAsia="Calibri"/>
                <w:bCs w:val="0"/>
                <w:snapToGrid/>
                <w:szCs w:val="28"/>
                <w:lang w:val="lv-LV"/>
              </w:rPr>
            </w:pPr>
            <w:r w:rsidRPr="00BA1D5E">
              <w:rPr>
                <w:rFonts w:eastAsia="Calibri"/>
                <w:bCs w:val="0"/>
                <w:snapToGrid/>
                <w:szCs w:val="28"/>
                <w:lang w:val="lv-LV"/>
              </w:rPr>
              <w:t>Turpinot</w:t>
            </w:r>
            <w:r w:rsidR="002D6ABF" w:rsidRPr="00BA1D5E">
              <w:rPr>
                <w:rFonts w:eastAsia="Calibri"/>
                <w:bCs w:val="0"/>
                <w:snapToGrid/>
                <w:szCs w:val="28"/>
                <w:lang w:val="lv-LV"/>
              </w:rPr>
              <w:t xml:space="preserve"> Eiropas lauksaimniecības fonda lauku attīstībai līdzfinansēto Latvijas Lauku attīstības programmas 2014.</w:t>
            </w:r>
            <w:r w:rsidR="00944B18">
              <w:rPr>
                <w:rFonts w:eastAsia="Calibri"/>
                <w:bCs w:val="0"/>
                <w:snapToGrid/>
                <w:szCs w:val="28"/>
                <w:lang w:val="lv-LV"/>
              </w:rPr>
              <w:t>–</w:t>
            </w:r>
            <w:r w:rsidR="002D6ABF" w:rsidRPr="00BA1D5E">
              <w:rPr>
                <w:rFonts w:eastAsia="Calibri"/>
                <w:bCs w:val="0"/>
                <w:snapToGrid/>
                <w:szCs w:val="28"/>
                <w:lang w:val="lv-LV"/>
              </w:rPr>
              <w:t>2020.</w:t>
            </w:r>
            <w:r w:rsidR="00944B18">
              <w:rPr>
                <w:rFonts w:eastAsia="Calibri"/>
                <w:bCs w:val="0"/>
                <w:snapToGrid/>
                <w:szCs w:val="28"/>
                <w:lang w:val="lv-LV"/>
              </w:rPr>
              <w:t> </w:t>
            </w:r>
            <w:r w:rsidR="002D6ABF" w:rsidRPr="00BA1D5E">
              <w:rPr>
                <w:rFonts w:eastAsia="Calibri"/>
                <w:bCs w:val="0"/>
                <w:snapToGrid/>
                <w:szCs w:val="28"/>
                <w:lang w:val="lv-LV"/>
              </w:rPr>
              <w:t xml:space="preserve">gadam </w:t>
            </w:r>
            <w:r w:rsidR="00820965" w:rsidRPr="00BA1D5E">
              <w:rPr>
                <w:rFonts w:eastAsia="Calibri"/>
                <w:bCs w:val="0"/>
                <w:snapToGrid/>
                <w:szCs w:val="28"/>
                <w:lang w:val="lv-LV"/>
              </w:rPr>
              <w:t>(turpmāk – LAP (2014</w:t>
            </w:r>
            <w:r w:rsidR="00944B18">
              <w:rPr>
                <w:rFonts w:eastAsia="Calibri"/>
                <w:bCs w:val="0"/>
                <w:snapToGrid/>
                <w:szCs w:val="28"/>
                <w:lang w:val="lv-LV"/>
              </w:rPr>
              <w:t>–</w:t>
            </w:r>
            <w:r w:rsidR="00820965" w:rsidRPr="00BA1D5E">
              <w:rPr>
                <w:rFonts w:eastAsia="Calibri"/>
                <w:bCs w:val="0"/>
                <w:snapToGrid/>
                <w:szCs w:val="28"/>
                <w:lang w:val="lv-LV"/>
              </w:rPr>
              <w:t>2020))</w:t>
            </w:r>
            <w:r w:rsidRPr="00BA1D5E">
              <w:rPr>
                <w:rFonts w:eastAsia="Calibri"/>
                <w:bCs w:val="0"/>
                <w:snapToGrid/>
                <w:szCs w:val="28"/>
                <w:lang w:val="lv-LV"/>
              </w:rPr>
              <w:t xml:space="preserve"> un pārejas period</w:t>
            </w:r>
            <w:r w:rsidR="00944B18">
              <w:rPr>
                <w:rFonts w:eastAsia="Calibri"/>
                <w:bCs w:val="0"/>
                <w:snapToGrid/>
                <w:szCs w:val="28"/>
                <w:lang w:val="lv-LV"/>
              </w:rPr>
              <w:t>ā</w:t>
            </w:r>
            <w:r w:rsidR="00820965" w:rsidRPr="00BA1D5E">
              <w:rPr>
                <w:rFonts w:eastAsia="Calibri"/>
                <w:bCs w:val="0"/>
                <w:snapToGrid/>
                <w:szCs w:val="28"/>
                <w:lang w:val="lv-LV"/>
              </w:rPr>
              <w:t xml:space="preserve"> </w:t>
            </w:r>
            <w:r w:rsidR="002D6ABF" w:rsidRPr="00BA1D5E">
              <w:rPr>
                <w:rFonts w:eastAsia="Calibri"/>
                <w:bCs w:val="0"/>
                <w:snapToGrid/>
                <w:szCs w:val="28"/>
                <w:lang w:val="lv-LV"/>
              </w:rPr>
              <w:t>pasākum</w:t>
            </w:r>
            <w:r w:rsidR="00944B18">
              <w:rPr>
                <w:rFonts w:eastAsia="Calibri"/>
                <w:bCs w:val="0"/>
                <w:snapToGrid/>
                <w:szCs w:val="28"/>
                <w:lang w:val="lv-LV"/>
              </w:rPr>
              <w:t>a</w:t>
            </w:r>
            <w:r w:rsidR="002D6ABF" w:rsidRPr="00BA1D5E">
              <w:rPr>
                <w:rFonts w:eastAsia="Calibri"/>
                <w:bCs w:val="0"/>
                <w:snapToGrid/>
                <w:szCs w:val="28"/>
                <w:lang w:val="lv-LV"/>
              </w:rPr>
              <w:t xml:space="preserve"> </w:t>
            </w:r>
            <w:r w:rsidR="00944B18">
              <w:rPr>
                <w:rFonts w:eastAsia="Calibri"/>
                <w:bCs w:val="0"/>
                <w:snapToGrid/>
                <w:szCs w:val="28"/>
                <w:lang w:val="lv-LV"/>
              </w:rPr>
              <w:t>“</w:t>
            </w:r>
            <w:r w:rsidR="002D6ABF" w:rsidRPr="00BA1D5E">
              <w:rPr>
                <w:rFonts w:eastAsia="Calibri"/>
                <w:bCs w:val="0"/>
                <w:snapToGrid/>
                <w:szCs w:val="28"/>
                <w:lang w:val="lv-LV"/>
              </w:rPr>
              <w:t>Ieguldījumi materiālajos aktīvos”</w:t>
            </w:r>
            <w:r w:rsidR="00944B18">
              <w:rPr>
                <w:rFonts w:eastAsia="Calibri"/>
                <w:bCs w:val="0"/>
                <w:snapToGrid/>
                <w:szCs w:val="28"/>
                <w:lang w:val="lv-LV"/>
              </w:rPr>
              <w:t xml:space="preserve"> īstenošanu</w:t>
            </w:r>
            <w:r w:rsidR="002D6ABF" w:rsidRPr="00BA1D5E">
              <w:rPr>
                <w:rFonts w:eastAsia="Calibri"/>
                <w:bCs w:val="0"/>
                <w:snapToGrid/>
                <w:szCs w:val="28"/>
                <w:lang w:val="lv-LV"/>
              </w:rPr>
              <w:t xml:space="preserve">, tiks atbalstītas investīcijas, kas saistītas ar lauku saimniecību pārstrukturēšanu, efektīvas ražošanas attīstību un nozaru dažādošanu (lauksaimniecības produktu ražošanai nepieciešamo pamatlīdzekļu </w:t>
            </w:r>
            <w:r w:rsidR="00944B18">
              <w:rPr>
                <w:rFonts w:eastAsia="Calibri"/>
                <w:bCs w:val="0"/>
                <w:snapToGrid/>
                <w:szCs w:val="28"/>
                <w:lang w:val="lv-LV"/>
              </w:rPr>
              <w:t xml:space="preserve">– </w:t>
            </w:r>
            <w:r w:rsidR="00944B18" w:rsidRPr="00BA1D5E">
              <w:rPr>
                <w:rFonts w:eastAsia="Calibri"/>
                <w:bCs w:val="0"/>
                <w:snapToGrid/>
                <w:szCs w:val="28"/>
                <w:lang w:val="lv-LV"/>
              </w:rPr>
              <w:t>traktortehnika</w:t>
            </w:r>
            <w:r w:rsidR="00944B18">
              <w:rPr>
                <w:rFonts w:eastAsia="Calibri"/>
                <w:bCs w:val="0"/>
                <w:snapToGrid/>
                <w:szCs w:val="28"/>
                <w:lang w:val="lv-LV"/>
              </w:rPr>
              <w:t>s, lauksaimniecības agregātu</w:t>
            </w:r>
            <w:r w:rsidR="00944B18" w:rsidRPr="00BA1D5E">
              <w:rPr>
                <w:rFonts w:eastAsia="Calibri"/>
                <w:bCs w:val="0"/>
                <w:snapToGrid/>
                <w:szCs w:val="28"/>
                <w:lang w:val="lv-LV"/>
              </w:rPr>
              <w:t>, visa veida tehnika</w:t>
            </w:r>
            <w:r w:rsidR="00944B18">
              <w:rPr>
                <w:rFonts w:eastAsia="Calibri"/>
                <w:bCs w:val="0"/>
                <w:snapToGrid/>
                <w:szCs w:val="28"/>
                <w:lang w:val="lv-LV"/>
              </w:rPr>
              <w:t>s, iekārtu un aprīkojuma –</w:t>
            </w:r>
            <w:r w:rsidR="00944B18" w:rsidRPr="00BA1D5E">
              <w:rPr>
                <w:rFonts w:eastAsia="Calibri"/>
                <w:bCs w:val="0"/>
                <w:snapToGrid/>
                <w:szCs w:val="28"/>
                <w:lang w:val="lv-LV"/>
              </w:rPr>
              <w:t xml:space="preserve"> </w:t>
            </w:r>
            <w:r w:rsidR="002D6ABF" w:rsidRPr="00BA1D5E">
              <w:rPr>
                <w:rFonts w:eastAsia="Calibri"/>
                <w:bCs w:val="0"/>
                <w:snapToGrid/>
                <w:szCs w:val="28"/>
                <w:lang w:val="lv-LV"/>
              </w:rPr>
              <w:t>iegād</w:t>
            </w:r>
            <w:r w:rsidR="00944B18">
              <w:rPr>
                <w:rFonts w:eastAsia="Calibri"/>
                <w:bCs w:val="0"/>
                <w:snapToGrid/>
                <w:szCs w:val="28"/>
                <w:lang w:val="lv-LV"/>
              </w:rPr>
              <w:t>i un</w:t>
            </w:r>
            <w:r w:rsidR="002D6ABF" w:rsidRPr="00BA1D5E">
              <w:rPr>
                <w:rFonts w:eastAsia="Calibri"/>
                <w:bCs w:val="0"/>
                <w:snapToGrid/>
                <w:szCs w:val="28"/>
                <w:lang w:val="lv-LV"/>
              </w:rPr>
              <w:t xml:space="preserve"> lauksaimniecības produktu ražošanas būvju būvniecība)</w:t>
            </w:r>
            <w:r w:rsidRPr="00BA1D5E">
              <w:rPr>
                <w:rFonts w:eastAsia="Calibri"/>
                <w:bCs w:val="0"/>
                <w:snapToGrid/>
                <w:szCs w:val="28"/>
                <w:lang w:val="lv-LV"/>
              </w:rPr>
              <w:t xml:space="preserve">, kā arī </w:t>
            </w:r>
            <w:r w:rsidR="00944B18">
              <w:rPr>
                <w:rFonts w:eastAsia="Calibri"/>
                <w:bCs w:val="0"/>
                <w:snapToGrid/>
                <w:szCs w:val="28"/>
                <w:lang w:val="lv-LV"/>
              </w:rPr>
              <w:t xml:space="preserve">jau </w:t>
            </w:r>
            <w:r w:rsidRPr="00BA1D5E">
              <w:rPr>
                <w:rFonts w:eastAsia="Calibri"/>
                <w:bCs w:val="0"/>
                <w:snapToGrid/>
                <w:szCs w:val="28"/>
                <w:lang w:val="lv-LV"/>
              </w:rPr>
              <w:t xml:space="preserve">minētie </w:t>
            </w:r>
            <w:r w:rsidR="00944B18">
              <w:rPr>
                <w:rFonts w:eastAsia="Calibri"/>
                <w:bCs w:val="0"/>
                <w:snapToGrid/>
                <w:szCs w:val="28"/>
                <w:lang w:val="lv-LV"/>
              </w:rPr>
              <w:t>“</w:t>
            </w:r>
            <w:r w:rsidRPr="00BA1D5E">
              <w:rPr>
                <w:rFonts w:eastAsia="Calibri"/>
                <w:bCs w:val="0"/>
                <w:snapToGrid/>
                <w:szCs w:val="28"/>
                <w:lang w:val="lv-LV"/>
              </w:rPr>
              <w:t>zaļie</w:t>
            </w:r>
            <w:r w:rsidR="00944B18">
              <w:rPr>
                <w:rFonts w:eastAsia="Calibri"/>
                <w:bCs w:val="0"/>
                <w:snapToGrid/>
                <w:szCs w:val="28"/>
                <w:lang w:val="lv-LV"/>
              </w:rPr>
              <w:t>”</w:t>
            </w:r>
            <w:r w:rsidRPr="00BA1D5E">
              <w:rPr>
                <w:rFonts w:eastAsia="Calibri"/>
                <w:bCs w:val="0"/>
                <w:snapToGrid/>
                <w:szCs w:val="28"/>
                <w:lang w:val="lv-LV"/>
              </w:rPr>
              <w:t xml:space="preserve"> ieguldījumi</w:t>
            </w:r>
            <w:r w:rsidR="002D6ABF" w:rsidRPr="00BA1D5E">
              <w:rPr>
                <w:rFonts w:eastAsia="Calibri"/>
                <w:bCs w:val="0"/>
                <w:snapToGrid/>
                <w:szCs w:val="28"/>
                <w:lang w:val="lv-LV"/>
              </w:rPr>
              <w:t>. Tādējādi tiks nodrošināta ražošanas produktivitātes pa</w:t>
            </w:r>
            <w:r w:rsidR="00944B18">
              <w:rPr>
                <w:rFonts w:eastAsia="Calibri"/>
                <w:bCs w:val="0"/>
                <w:snapToGrid/>
                <w:szCs w:val="28"/>
                <w:lang w:val="lv-LV"/>
              </w:rPr>
              <w:t>lieli</w:t>
            </w:r>
            <w:r w:rsidR="002D6ABF" w:rsidRPr="00BA1D5E">
              <w:rPr>
                <w:rFonts w:eastAsia="Calibri"/>
                <w:bCs w:val="0"/>
                <w:snapToGrid/>
                <w:szCs w:val="28"/>
                <w:lang w:val="lv-LV"/>
              </w:rPr>
              <w:t>nāšanās, samazināt</w:t>
            </w:r>
            <w:r w:rsidR="00944B18">
              <w:rPr>
                <w:rFonts w:eastAsia="Calibri"/>
                <w:bCs w:val="0"/>
                <w:snapToGrid/>
                <w:szCs w:val="28"/>
                <w:lang w:val="lv-LV"/>
              </w:rPr>
              <w:t>s</w:t>
            </w:r>
            <w:r w:rsidR="002D6ABF" w:rsidRPr="00BA1D5E">
              <w:rPr>
                <w:rFonts w:eastAsia="Calibri"/>
                <w:bCs w:val="0"/>
                <w:snapToGrid/>
                <w:szCs w:val="28"/>
                <w:lang w:val="lv-LV"/>
              </w:rPr>
              <w:t xml:space="preserve"> risk</w:t>
            </w:r>
            <w:r w:rsidR="00944B18">
              <w:rPr>
                <w:rFonts w:eastAsia="Calibri"/>
                <w:bCs w:val="0"/>
                <w:snapToGrid/>
                <w:szCs w:val="28"/>
                <w:lang w:val="lv-LV"/>
              </w:rPr>
              <w:t>s</w:t>
            </w:r>
            <w:r w:rsidR="002D6ABF" w:rsidRPr="00BA1D5E">
              <w:rPr>
                <w:rFonts w:eastAsia="Calibri"/>
                <w:bCs w:val="0"/>
                <w:snapToGrid/>
                <w:szCs w:val="28"/>
                <w:lang w:val="lv-LV"/>
              </w:rPr>
              <w:t xml:space="preserve">, kas saistīti ar </w:t>
            </w:r>
            <w:r w:rsidR="00944B18">
              <w:rPr>
                <w:rFonts w:eastAsia="Calibri"/>
                <w:bCs w:val="0"/>
                <w:snapToGrid/>
                <w:szCs w:val="28"/>
                <w:lang w:val="lv-LV"/>
              </w:rPr>
              <w:t>dažu</w:t>
            </w:r>
            <w:r w:rsidR="002D6ABF" w:rsidRPr="00BA1D5E">
              <w:rPr>
                <w:rFonts w:eastAsia="Calibri"/>
                <w:bCs w:val="0"/>
                <w:snapToGrid/>
                <w:szCs w:val="28"/>
                <w:lang w:val="lv-LV"/>
              </w:rPr>
              <w:t xml:space="preserve"> vadošo nozaru tirgus svārstību negatīvo ietekmi</w:t>
            </w:r>
            <w:r w:rsidRPr="00BA1D5E">
              <w:rPr>
                <w:rFonts w:eastAsia="Calibri"/>
                <w:bCs w:val="0"/>
                <w:snapToGrid/>
                <w:szCs w:val="28"/>
                <w:lang w:val="lv-LV"/>
              </w:rPr>
              <w:t xml:space="preserve">, </w:t>
            </w:r>
            <w:r w:rsidR="00944B18">
              <w:rPr>
                <w:rFonts w:eastAsia="Calibri"/>
                <w:bCs w:val="0"/>
                <w:snapToGrid/>
                <w:szCs w:val="28"/>
                <w:lang w:val="lv-LV"/>
              </w:rPr>
              <w:t xml:space="preserve">un </w:t>
            </w:r>
            <w:r w:rsidRPr="00BA1D5E">
              <w:rPr>
                <w:rFonts w:eastAsia="Calibri"/>
                <w:bCs w:val="0"/>
                <w:snapToGrid/>
                <w:szCs w:val="28"/>
                <w:lang w:val="lv-LV"/>
              </w:rPr>
              <w:t>veicināt</w:t>
            </w:r>
            <w:r w:rsidR="00166561" w:rsidRPr="00BA1D5E">
              <w:rPr>
                <w:rFonts w:eastAsia="Calibri"/>
                <w:bCs w:val="0"/>
                <w:snapToGrid/>
                <w:szCs w:val="28"/>
                <w:lang w:val="lv-LV"/>
              </w:rPr>
              <w:t>a</w:t>
            </w:r>
            <w:r w:rsidRPr="00BA1D5E">
              <w:rPr>
                <w:rFonts w:eastAsia="Calibri"/>
                <w:bCs w:val="0"/>
                <w:snapToGrid/>
                <w:szCs w:val="28"/>
                <w:lang w:val="lv-LV"/>
              </w:rPr>
              <w:t xml:space="preserve"> Eiropas Savien</w:t>
            </w:r>
            <w:r w:rsidR="00166561" w:rsidRPr="00BA1D5E">
              <w:rPr>
                <w:rFonts w:eastAsia="Calibri"/>
                <w:bCs w:val="0"/>
                <w:snapToGrid/>
                <w:szCs w:val="28"/>
                <w:lang w:val="lv-LV"/>
              </w:rPr>
              <w:t>ības Zaļā kursa mērķu sasniegšana</w:t>
            </w:r>
            <w:r w:rsidR="002D6ABF" w:rsidRPr="00BA1D5E">
              <w:rPr>
                <w:rFonts w:eastAsia="Calibri"/>
                <w:bCs w:val="0"/>
                <w:snapToGrid/>
                <w:szCs w:val="28"/>
                <w:lang w:val="lv-LV"/>
              </w:rPr>
              <w:t xml:space="preserve">. Atbalsts </w:t>
            </w:r>
            <w:r w:rsidR="00051B2B" w:rsidRPr="00BA1D5E">
              <w:rPr>
                <w:rFonts w:eastAsia="Calibri"/>
                <w:bCs w:val="0"/>
                <w:snapToGrid/>
                <w:szCs w:val="28"/>
                <w:lang w:val="lv-LV"/>
              </w:rPr>
              <w:t>kooperatīv</w:t>
            </w:r>
            <w:r w:rsidR="00944B18">
              <w:rPr>
                <w:rFonts w:eastAsia="Calibri"/>
                <w:bCs w:val="0"/>
                <w:snapToGrid/>
                <w:szCs w:val="28"/>
                <w:lang w:val="lv-LV"/>
              </w:rPr>
              <w:t>aj</w:t>
            </w:r>
            <w:r w:rsidR="00051B2B">
              <w:rPr>
                <w:rFonts w:eastAsia="Calibri"/>
                <w:bCs w:val="0"/>
                <w:snapToGrid/>
                <w:szCs w:val="28"/>
                <w:lang w:val="lv-LV"/>
              </w:rPr>
              <w:t>ām sabiedrībām</w:t>
            </w:r>
            <w:r w:rsidR="00051B2B" w:rsidRPr="00BA1D5E">
              <w:rPr>
                <w:rFonts w:eastAsia="Calibri"/>
                <w:bCs w:val="0"/>
                <w:snapToGrid/>
                <w:szCs w:val="28"/>
                <w:lang w:val="lv-LV"/>
              </w:rPr>
              <w:t xml:space="preserve"> </w:t>
            </w:r>
            <w:r w:rsidR="00944B18">
              <w:rPr>
                <w:rFonts w:eastAsia="Calibri"/>
                <w:bCs w:val="0"/>
                <w:snapToGrid/>
                <w:szCs w:val="28"/>
                <w:lang w:val="lv-LV"/>
              </w:rPr>
              <w:t>stiprinās</w:t>
            </w:r>
            <w:r w:rsidR="002D6ABF" w:rsidRPr="00BA1D5E">
              <w:rPr>
                <w:rFonts w:eastAsia="Calibri"/>
                <w:bCs w:val="0"/>
                <w:snapToGrid/>
                <w:szCs w:val="28"/>
                <w:lang w:val="lv-LV"/>
              </w:rPr>
              <w:t xml:space="preserve"> to kapacitāti</w:t>
            </w:r>
            <w:r w:rsidR="00944B18">
              <w:rPr>
                <w:rFonts w:eastAsia="Calibri"/>
                <w:bCs w:val="0"/>
                <w:snapToGrid/>
                <w:szCs w:val="28"/>
                <w:lang w:val="lv-LV"/>
              </w:rPr>
              <w:t xml:space="preserve">, </w:t>
            </w:r>
            <w:r w:rsidR="00944B18">
              <w:rPr>
                <w:rFonts w:eastAsia="Calibri"/>
                <w:bCs w:val="0"/>
                <w:snapToGrid/>
                <w:szCs w:val="28"/>
                <w:lang w:val="lv-LV"/>
              </w:rPr>
              <w:lastRenderedPageBreak/>
              <w:t>lai tās varētu</w:t>
            </w:r>
            <w:r w:rsidR="002D6ABF" w:rsidRPr="00BA1D5E">
              <w:rPr>
                <w:rFonts w:eastAsia="Calibri"/>
                <w:bCs w:val="0"/>
                <w:snapToGrid/>
                <w:szCs w:val="28"/>
                <w:lang w:val="lv-LV"/>
              </w:rPr>
              <w:t xml:space="preserve"> nodrošināt biedru saražotās produkcijas pirmapstrādi</w:t>
            </w:r>
            <w:r w:rsidR="00AE0BF0" w:rsidRPr="00BA1D5E">
              <w:rPr>
                <w:rFonts w:eastAsia="Calibri"/>
                <w:bCs w:val="0"/>
                <w:snapToGrid/>
                <w:szCs w:val="28"/>
                <w:lang w:val="lv-LV"/>
              </w:rPr>
              <w:t>, apstrādi</w:t>
            </w:r>
            <w:r w:rsidR="002D6ABF" w:rsidRPr="00BA1D5E">
              <w:rPr>
                <w:rFonts w:eastAsia="Calibri"/>
                <w:bCs w:val="0"/>
                <w:snapToGrid/>
                <w:szCs w:val="28"/>
                <w:lang w:val="lv-LV"/>
              </w:rPr>
              <w:t xml:space="preserve"> un pārdošanas apjomus</w:t>
            </w:r>
            <w:r w:rsidR="00944B18">
              <w:rPr>
                <w:rFonts w:eastAsia="Calibri"/>
                <w:bCs w:val="0"/>
                <w:snapToGrid/>
                <w:szCs w:val="28"/>
                <w:lang w:val="lv-LV"/>
              </w:rPr>
              <w:t>,</w:t>
            </w:r>
            <w:r w:rsidR="002D6ABF" w:rsidRPr="00BA1D5E">
              <w:rPr>
                <w:rFonts w:eastAsia="Calibri"/>
                <w:bCs w:val="0"/>
                <w:snapToGrid/>
                <w:szCs w:val="28"/>
                <w:lang w:val="lv-LV"/>
              </w:rPr>
              <w:t xml:space="preserve"> līdz ar to </w:t>
            </w:r>
            <w:r w:rsidR="00944B18">
              <w:rPr>
                <w:rFonts w:eastAsia="Calibri"/>
                <w:bCs w:val="0"/>
                <w:snapToGrid/>
                <w:szCs w:val="28"/>
                <w:lang w:val="lv-LV"/>
              </w:rPr>
              <w:t xml:space="preserve">dodot iespēju </w:t>
            </w:r>
            <w:r w:rsidR="002D6ABF" w:rsidRPr="00BA1D5E">
              <w:rPr>
                <w:rFonts w:eastAsia="Calibri"/>
                <w:bCs w:val="0"/>
                <w:snapToGrid/>
                <w:szCs w:val="28"/>
                <w:lang w:val="lv-LV"/>
              </w:rPr>
              <w:t>lauku saimniecīb</w:t>
            </w:r>
            <w:r w:rsidR="00944B18">
              <w:rPr>
                <w:rFonts w:eastAsia="Calibri"/>
                <w:bCs w:val="0"/>
                <w:snapToGrid/>
                <w:szCs w:val="28"/>
                <w:lang w:val="lv-LV"/>
              </w:rPr>
              <w:t>ām</w:t>
            </w:r>
            <w:r w:rsidR="002D6ABF" w:rsidRPr="00BA1D5E">
              <w:rPr>
                <w:rFonts w:eastAsia="Calibri"/>
                <w:bCs w:val="0"/>
                <w:snapToGrid/>
                <w:szCs w:val="28"/>
                <w:lang w:val="lv-LV"/>
              </w:rPr>
              <w:t xml:space="preserve"> piekļ</w:t>
            </w:r>
            <w:r w:rsidR="00944B18">
              <w:rPr>
                <w:rFonts w:eastAsia="Calibri"/>
                <w:bCs w:val="0"/>
                <w:snapToGrid/>
                <w:szCs w:val="28"/>
                <w:lang w:val="lv-LV"/>
              </w:rPr>
              <w:t>ūt</w:t>
            </w:r>
            <w:r w:rsidR="002D6ABF" w:rsidRPr="00BA1D5E">
              <w:rPr>
                <w:rFonts w:eastAsia="Calibri"/>
                <w:bCs w:val="0"/>
                <w:snapToGrid/>
                <w:szCs w:val="28"/>
                <w:lang w:val="lv-LV"/>
              </w:rPr>
              <w:t xml:space="preserve"> tirgum un </w:t>
            </w:r>
            <w:r w:rsidR="00944B18">
              <w:rPr>
                <w:rFonts w:eastAsia="Calibri"/>
                <w:bCs w:val="0"/>
                <w:snapToGrid/>
                <w:szCs w:val="28"/>
                <w:lang w:val="lv-LV"/>
              </w:rPr>
              <w:t>pastāvēt stabilām</w:t>
            </w:r>
            <w:r w:rsidR="00944B18" w:rsidRPr="00BA1D5E">
              <w:rPr>
                <w:rFonts w:eastAsia="Calibri"/>
                <w:bCs w:val="0"/>
                <w:snapToGrid/>
                <w:szCs w:val="28"/>
                <w:lang w:val="lv-LV"/>
              </w:rPr>
              <w:t xml:space="preserve"> </w:t>
            </w:r>
            <w:r w:rsidR="002D6ABF" w:rsidRPr="00BA1D5E">
              <w:rPr>
                <w:rFonts w:eastAsia="Calibri"/>
                <w:bCs w:val="0"/>
                <w:snapToGrid/>
                <w:szCs w:val="28"/>
                <w:lang w:val="lv-LV"/>
              </w:rPr>
              <w:t>produkcijas cen</w:t>
            </w:r>
            <w:r w:rsidR="00944B18">
              <w:rPr>
                <w:rFonts w:eastAsia="Calibri"/>
                <w:bCs w:val="0"/>
                <w:snapToGrid/>
                <w:szCs w:val="28"/>
                <w:lang w:val="lv-LV"/>
              </w:rPr>
              <w:t>ām</w:t>
            </w:r>
            <w:r w:rsidR="002D6ABF" w:rsidRPr="00BA1D5E">
              <w:rPr>
                <w:rFonts w:eastAsia="Calibri"/>
                <w:bCs w:val="0"/>
                <w:snapToGrid/>
                <w:szCs w:val="28"/>
                <w:lang w:val="lv-LV"/>
              </w:rPr>
              <w:t xml:space="preserve">. </w:t>
            </w:r>
          </w:p>
          <w:p w14:paraId="0A3DB3D4" w14:textId="21AD9D90" w:rsidR="00AE0BF0" w:rsidRPr="00BA1D5E" w:rsidRDefault="00944B18" w:rsidP="00AE0BF0">
            <w:pPr>
              <w:pStyle w:val="Stils2"/>
              <w:spacing w:after="0"/>
              <w:rPr>
                <w:rFonts w:eastAsia="Calibri"/>
                <w:bCs w:val="0"/>
                <w:snapToGrid/>
                <w:szCs w:val="28"/>
                <w:lang w:val="lv-LV"/>
              </w:rPr>
            </w:pPr>
            <w:r>
              <w:rPr>
                <w:rFonts w:eastAsia="Calibri"/>
                <w:bCs w:val="0"/>
                <w:snapToGrid/>
                <w:szCs w:val="28"/>
                <w:lang w:val="lv-LV"/>
              </w:rPr>
              <w:t>A</w:t>
            </w:r>
            <w:r w:rsidR="002D6ABF" w:rsidRPr="00BA1D5E">
              <w:rPr>
                <w:rFonts w:eastAsia="Calibri"/>
                <w:bCs w:val="0"/>
                <w:snapToGrid/>
                <w:szCs w:val="28"/>
                <w:lang w:val="lv-LV"/>
              </w:rPr>
              <w:t xml:space="preserve">tbalsta </w:t>
            </w:r>
            <w:r>
              <w:rPr>
                <w:rFonts w:eastAsia="Calibri"/>
                <w:bCs w:val="0"/>
                <w:snapToGrid/>
                <w:szCs w:val="28"/>
                <w:lang w:val="lv-LV"/>
              </w:rPr>
              <w:t>p</w:t>
            </w:r>
            <w:r w:rsidRPr="00BA1D5E">
              <w:rPr>
                <w:rFonts w:eastAsia="Calibri"/>
                <w:bCs w:val="0"/>
                <w:snapToGrid/>
                <w:szCs w:val="28"/>
                <w:lang w:val="lv-LV"/>
              </w:rPr>
              <w:t xml:space="preserve">apildu </w:t>
            </w:r>
            <w:r w:rsidR="002D6ABF" w:rsidRPr="00BA1D5E">
              <w:rPr>
                <w:rFonts w:eastAsia="Calibri"/>
                <w:bCs w:val="0"/>
                <w:snapToGrid/>
                <w:szCs w:val="28"/>
                <w:lang w:val="lv-LV"/>
              </w:rPr>
              <w:t>intensitāte tiks pie</w:t>
            </w:r>
            <w:r>
              <w:rPr>
                <w:rFonts w:eastAsia="Calibri"/>
                <w:bCs w:val="0"/>
                <w:snapToGrid/>
                <w:szCs w:val="28"/>
                <w:lang w:val="lv-LV"/>
              </w:rPr>
              <w:t>mērota</w:t>
            </w:r>
            <w:r w:rsidR="002D6ABF" w:rsidRPr="00BA1D5E">
              <w:rPr>
                <w:rFonts w:eastAsia="Calibri"/>
                <w:bCs w:val="0"/>
                <w:snapToGrid/>
                <w:szCs w:val="28"/>
                <w:lang w:val="lv-LV"/>
              </w:rPr>
              <w:t xml:space="preserve"> tiem atbalsta pretendentiem, kas piedalās pārtikas kvalitātes shēmās</w:t>
            </w:r>
            <w:r w:rsidR="00F725F7">
              <w:rPr>
                <w:rFonts w:eastAsia="Calibri"/>
                <w:bCs w:val="0"/>
                <w:snapToGrid/>
                <w:szCs w:val="28"/>
                <w:lang w:val="lv-LV"/>
              </w:rPr>
              <w:t>, kā arī</w:t>
            </w:r>
            <w:r w:rsidR="00AE0BF0" w:rsidRPr="00BA1D5E">
              <w:rPr>
                <w:rFonts w:eastAsia="Calibri"/>
                <w:bCs w:val="0"/>
                <w:snapToGrid/>
                <w:szCs w:val="28"/>
                <w:lang w:val="lv-LV"/>
              </w:rPr>
              <w:t xml:space="preserve"> </w:t>
            </w:r>
            <w:r w:rsidR="00F725F7">
              <w:rPr>
                <w:rFonts w:eastAsia="Calibri"/>
                <w:bCs w:val="0"/>
                <w:snapToGrid/>
                <w:szCs w:val="28"/>
                <w:lang w:val="lv-LV"/>
              </w:rPr>
              <w:t>tad</w:t>
            </w:r>
            <w:r w:rsidR="00AE0BF0" w:rsidRPr="00BA1D5E">
              <w:rPr>
                <w:rFonts w:eastAsia="Calibri"/>
                <w:bCs w:val="0"/>
                <w:snapToGrid/>
                <w:szCs w:val="28"/>
                <w:lang w:val="lv-LV"/>
              </w:rPr>
              <w:t xml:space="preserve">, ja projektu īsteno cūkkopības un putnkopības nozarē, </w:t>
            </w:r>
            <w:r w:rsidR="00F725F7">
              <w:rPr>
                <w:rFonts w:eastAsia="Calibri"/>
                <w:bCs w:val="0"/>
                <w:snapToGrid/>
                <w:szCs w:val="28"/>
                <w:lang w:val="lv-LV"/>
              </w:rPr>
              <w:t>lai</w:t>
            </w:r>
            <w:r w:rsidR="00AE0BF0" w:rsidRPr="00BA1D5E">
              <w:rPr>
                <w:rFonts w:eastAsia="Calibri"/>
                <w:bCs w:val="0"/>
                <w:snapToGrid/>
                <w:szCs w:val="28"/>
                <w:lang w:val="lv-LV"/>
              </w:rPr>
              <w:t xml:space="preserve"> uzlabo</w:t>
            </w:r>
            <w:r w:rsidR="00F725F7">
              <w:rPr>
                <w:rFonts w:eastAsia="Calibri"/>
                <w:bCs w:val="0"/>
                <w:snapToGrid/>
                <w:szCs w:val="28"/>
                <w:lang w:val="lv-LV"/>
              </w:rPr>
              <w:t>tu</w:t>
            </w:r>
            <w:r w:rsidR="00AE0BF0" w:rsidRPr="00BA1D5E">
              <w:rPr>
                <w:rFonts w:eastAsia="Calibri"/>
                <w:bCs w:val="0"/>
                <w:snapToGrid/>
                <w:szCs w:val="28"/>
                <w:lang w:val="lv-LV"/>
              </w:rPr>
              <w:t xml:space="preserve"> dzīvnieku labturības apstākļus vai nodrošin</w:t>
            </w:r>
            <w:r w:rsidR="00F725F7">
              <w:rPr>
                <w:rFonts w:eastAsia="Calibri"/>
                <w:bCs w:val="0"/>
                <w:snapToGrid/>
                <w:szCs w:val="28"/>
                <w:lang w:val="lv-LV"/>
              </w:rPr>
              <w:t>ātu</w:t>
            </w:r>
            <w:r w:rsidR="00AE0BF0" w:rsidRPr="00BA1D5E">
              <w:rPr>
                <w:rFonts w:eastAsia="Calibri"/>
                <w:bCs w:val="0"/>
                <w:snapToGrid/>
                <w:szCs w:val="28"/>
                <w:lang w:val="lv-LV"/>
              </w:rPr>
              <w:t xml:space="preserve"> lauksaimniecības dzīvnieku novietnes biodrošības pasākumu īstenošanu. </w:t>
            </w:r>
            <w:r w:rsidR="00F725F7">
              <w:rPr>
                <w:rFonts w:eastAsia="Calibri"/>
                <w:bCs w:val="0"/>
                <w:snapToGrid/>
                <w:szCs w:val="28"/>
                <w:lang w:val="lv-LV"/>
              </w:rPr>
              <w:t>A</w:t>
            </w:r>
            <w:r w:rsidR="00AE0BF0" w:rsidRPr="00BA1D5E">
              <w:rPr>
                <w:rFonts w:eastAsia="Calibri"/>
                <w:bCs w:val="0"/>
                <w:snapToGrid/>
                <w:szCs w:val="28"/>
                <w:lang w:val="lv-LV"/>
              </w:rPr>
              <w:t xml:space="preserve">tbalsta </w:t>
            </w:r>
            <w:r w:rsidR="00F725F7">
              <w:rPr>
                <w:rFonts w:eastAsia="Calibri"/>
                <w:bCs w:val="0"/>
                <w:snapToGrid/>
                <w:szCs w:val="28"/>
                <w:lang w:val="lv-LV"/>
              </w:rPr>
              <w:t>p</w:t>
            </w:r>
            <w:r w:rsidR="00F725F7" w:rsidRPr="00BA1D5E">
              <w:rPr>
                <w:rFonts w:eastAsia="Calibri"/>
                <w:bCs w:val="0"/>
                <w:snapToGrid/>
                <w:szCs w:val="28"/>
                <w:lang w:val="lv-LV"/>
              </w:rPr>
              <w:t xml:space="preserve">apildu </w:t>
            </w:r>
            <w:r w:rsidR="00AE0BF0" w:rsidRPr="00BA1D5E">
              <w:rPr>
                <w:rFonts w:eastAsia="Calibri"/>
                <w:bCs w:val="0"/>
                <w:snapToGrid/>
                <w:szCs w:val="28"/>
                <w:lang w:val="lv-LV"/>
              </w:rPr>
              <w:t xml:space="preserve">intensitāte tiek </w:t>
            </w:r>
            <w:r w:rsidR="00F725F7">
              <w:rPr>
                <w:rFonts w:eastAsia="Calibri"/>
                <w:bCs w:val="0"/>
                <w:snapToGrid/>
                <w:szCs w:val="28"/>
                <w:lang w:val="lv-LV"/>
              </w:rPr>
              <w:t>attiecināta uz</w:t>
            </w:r>
            <w:r w:rsidR="00F725F7" w:rsidRPr="00BA1D5E">
              <w:rPr>
                <w:rFonts w:eastAsia="Calibri"/>
                <w:bCs w:val="0"/>
                <w:snapToGrid/>
                <w:szCs w:val="28"/>
                <w:lang w:val="lv-LV"/>
              </w:rPr>
              <w:t xml:space="preserve"> </w:t>
            </w:r>
            <w:r w:rsidR="00B41A47" w:rsidRPr="00BA1D5E">
              <w:rPr>
                <w:rFonts w:eastAsia="Calibri"/>
                <w:bCs w:val="0"/>
                <w:snapToGrid/>
                <w:szCs w:val="28"/>
                <w:lang w:val="lv-LV"/>
              </w:rPr>
              <w:t xml:space="preserve">energoefektivitātes mērķa izpildi, </w:t>
            </w:r>
            <w:r w:rsidR="00696DEF" w:rsidRPr="00BA1D5E">
              <w:rPr>
                <w:rFonts w:eastAsia="Calibri"/>
                <w:bCs w:val="0"/>
                <w:snapToGrid/>
                <w:szCs w:val="28"/>
                <w:lang w:val="lv-LV"/>
              </w:rPr>
              <w:t>kā arī</w:t>
            </w:r>
            <w:r w:rsidR="00F725F7">
              <w:rPr>
                <w:rFonts w:eastAsia="Calibri"/>
                <w:bCs w:val="0"/>
                <w:snapToGrid/>
                <w:szCs w:val="28"/>
                <w:lang w:val="lv-LV"/>
              </w:rPr>
              <w:t xml:space="preserve"> tad</w:t>
            </w:r>
            <w:r w:rsidR="00696DEF" w:rsidRPr="00BA1D5E">
              <w:rPr>
                <w:rFonts w:eastAsia="Calibri"/>
                <w:bCs w:val="0"/>
                <w:snapToGrid/>
                <w:szCs w:val="28"/>
                <w:lang w:val="lv-LV"/>
              </w:rPr>
              <w:t>, ja projektu īsteno augļu, ogu, dārzeņu, augļu koku un ogulāju audzēšanas nozarē</w:t>
            </w:r>
            <w:r w:rsidR="00D52301" w:rsidRPr="00BA1D5E">
              <w:rPr>
                <w:rFonts w:eastAsia="Calibri"/>
                <w:bCs w:val="0"/>
                <w:snapToGrid/>
                <w:szCs w:val="28"/>
                <w:lang w:val="lv-LV"/>
              </w:rPr>
              <w:t>, kūtsmēslu krātuvju būvniecībai vai pārbūvei (pierādīts emisiju samazinājums atbilstoši kalkulatoram)</w:t>
            </w:r>
            <w:r w:rsidR="003E3BE0" w:rsidRPr="00BA1D5E">
              <w:rPr>
                <w:rFonts w:eastAsia="Calibri"/>
                <w:bCs w:val="0"/>
                <w:snapToGrid/>
                <w:szCs w:val="28"/>
                <w:lang w:val="lv-LV"/>
              </w:rPr>
              <w:t xml:space="preserve"> un citos pasākumos.</w:t>
            </w:r>
          </w:p>
          <w:p w14:paraId="3D7CF031" w14:textId="77777777" w:rsidR="000719F5" w:rsidRPr="00BA1D5E" w:rsidRDefault="000719F5" w:rsidP="000719F5">
            <w:pPr>
              <w:pStyle w:val="Default"/>
              <w:ind w:firstLine="720"/>
              <w:jc w:val="both"/>
              <w:rPr>
                <w:rFonts w:ascii="Times New Roman" w:eastAsia="Calibri" w:hAnsi="Times New Roman" w:cs="Times New Roman"/>
                <w:color w:val="auto"/>
                <w:szCs w:val="28"/>
                <w:lang w:eastAsia="en-US"/>
              </w:rPr>
            </w:pPr>
          </w:p>
          <w:p w14:paraId="7D176C47" w14:textId="0513F26E" w:rsidR="00312369" w:rsidRPr="00BA1D5E" w:rsidRDefault="00312369" w:rsidP="00312369">
            <w:pPr>
              <w:ind w:right="140"/>
              <w:jc w:val="both"/>
              <w:rPr>
                <w:rFonts w:eastAsia="Calibri"/>
                <w:szCs w:val="28"/>
                <w:lang w:eastAsia="en-US"/>
              </w:rPr>
            </w:pPr>
            <w:r w:rsidRPr="00BA1D5E">
              <w:rPr>
                <w:rFonts w:eastAsia="Calibri"/>
                <w:szCs w:val="28"/>
                <w:lang w:eastAsia="en-US"/>
              </w:rPr>
              <w:t>Papildu</w:t>
            </w:r>
            <w:r w:rsidR="00F725F7">
              <w:rPr>
                <w:rFonts w:eastAsia="Calibri"/>
                <w:szCs w:val="28"/>
                <w:lang w:eastAsia="en-US"/>
              </w:rPr>
              <w:t>s</w:t>
            </w:r>
            <w:r w:rsidRPr="00BA1D5E">
              <w:rPr>
                <w:rFonts w:eastAsia="Calibri"/>
                <w:szCs w:val="28"/>
                <w:lang w:eastAsia="en-US"/>
              </w:rPr>
              <w:t xml:space="preserve"> minēt</w:t>
            </w:r>
            <w:r w:rsidR="00F725F7">
              <w:rPr>
                <w:rFonts w:eastAsia="Calibri"/>
                <w:szCs w:val="28"/>
                <w:lang w:eastAsia="en-US"/>
              </w:rPr>
              <w:t>aja</w:t>
            </w:r>
            <w:r w:rsidRPr="00BA1D5E">
              <w:rPr>
                <w:rFonts w:eastAsia="Calibri"/>
                <w:szCs w:val="28"/>
                <w:lang w:eastAsia="en-US"/>
              </w:rPr>
              <w:t>m noteikumu</w:t>
            </w:r>
            <w:r w:rsidR="004523C3" w:rsidRPr="00BA1D5E">
              <w:rPr>
                <w:rFonts w:eastAsia="Calibri"/>
                <w:szCs w:val="28"/>
                <w:lang w:eastAsia="en-US"/>
              </w:rPr>
              <w:t xml:space="preserve"> projektā</w:t>
            </w:r>
            <w:r w:rsidRPr="00BA1D5E">
              <w:rPr>
                <w:rFonts w:eastAsia="Calibri"/>
                <w:szCs w:val="28"/>
                <w:lang w:eastAsia="en-US"/>
              </w:rPr>
              <w:t xml:space="preserve"> ir </w:t>
            </w:r>
            <w:r w:rsidR="00F725F7">
              <w:rPr>
                <w:rFonts w:eastAsia="Calibri"/>
                <w:szCs w:val="28"/>
                <w:lang w:eastAsia="en-US"/>
              </w:rPr>
              <w:t>noteikts</w:t>
            </w:r>
            <w:r w:rsidR="004523C3" w:rsidRPr="00BA1D5E">
              <w:rPr>
                <w:rFonts w:eastAsia="Calibri"/>
                <w:szCs w:val="28"/>
                <w:lang w:eastAsia="en-US"/>
              </w:rPr>
              <w:t>,</w:t>
            </w:r>
            <w:r w:rsidRPr="00BA1D5E">
              <w:rPr>
                <w:rFonts w:eastAsia="Calibri"/>
                <w:szCs w:val="28"/>
                <w:lang w:eastAsia="en-US"/>
              </w:rPr>
              <w:t xml:space="preserve"> ka tehnikas un iekārtu vienību, ka arī sagatavošanas un vispārējo izmaksu noteikšanai </w:t>
            </w:r>
            <w:r w:rsidR="004523C3" w:rsidRPr="00BA1D5E">
              <w:rPr>
                <w:rFonts w:eastAsia="Calibri"/>
                <w:szCs w:val="28"/>
                <w:lang w:eastAsia="en-US"/>
              </w:rPr>
              <w:t>IMA</w:t>
            </w:r>
            <w:r w:rsidRPr="00BA1D5E">
              <w:rPr>
                <w:rFonts w:eastAsia="Calibri"/>
                <w:szCs w:val="28"/>
                <w:lang w:eastAsia="en-US"/>
              </w:rPr>
              <w:t xml:space="preserve"> pasākum</w:t>
            </w:r>
            <w:r w:rsidR="004523C3" w:rsidRPr="00BA1D5E">
              <w:rPr>
                <w:rFonts w:eastAsia="Calibri"/>
                <w:szCs w:val="28"/>
                <w:lang w:eastAsia="en-US"/>
              </w:rPr>
              <w:t xml:space="preserve">ā </w:t>
            </w:r>
            <w:r w:rsidRPr="00BA1D5E">
              <w:rPr>
                <w:rFonts w:eastAsia="Calibri"/>
                <w:szCs w:val="28"/>
                <w:lang w:eastAsia="en-US"/>
              </w:rPr>
              <w:t>tiks piemērota:</w:t>
            </w:r>
          </w:p>
          <w:p w14:paraId="06A1CFE4" w14:textId="3BB72679" w:rsidR="00312369" w:rsidRPr="00BA1D5E" w:rsidRDefault="00312369" w:rsidP="00312369">
            <w:pPr>
              <w:ind w:right="140"/>
              <w:jc w:val="both"/>
              <w:rPr>
                <w:rFonts w:eastAsia="Calibri"/>
                <w:szCs w:val="28"/>
                <w:lang w:eastAsia="en-US"/>
              </w:rPr>
            </w:pPr>
            <w:r w:rsidRPr="00BA1D5E">
              <w:rPr>
                <w:rFonts w:eastAsia="Calibri"/>
                <w:szCs w:val="28"/>
                <w:lang w:eastAsia="en-US"/>
              </w:rPr>
              <w:t>•</w:t>
            </w:r>
            <w:r w:rsidRPr="00BA1D5E">
              <w:rPr>
                <w:rFonts w:eastAsia="Calibri"/>
                <w:szCs w:val="28"/>
                <w:lang w:eastAsia="en-US"/>
              </w:rPr>
              <w:tab/>
              <w:t>tehnikas un iekārtu vienības izmaksu standarta likmes noteikšana un tās iekļaušana Lauku atbalsta dienesta elektroniskās pieteikšanās sistēmas elektronisk</w:t>
            </w:r>
            <w:r w:rsidR="00F725F7">
              <w:rPr>
                <w:rFonts w:eastAsia="Calibri"/>
                <w:szCs w:val="28"/>
                <w:lang w:eastAsia="en-US"/>
              </w:rPr>
              <w:t>aj</w:t>
            </w:r>
            <w:r w:rsidRPr="00BA1D5E">
              <w:rPr>
                <w:rFonts w:eastAsia="Calibri"/>
                <w:szCs w:val="28"/>
                <w:lang w:eastAsia="en-US"/>
              </w:rPr>
              <w:t xml:space="preserve">ā rīkā </w:t>
            </w:r>
            <w:r w:rsidR="00F725F7">
              <w:rPr>
                <w:rFonts w:eastAsia="Calibri"/>
                <w:szCs w:val="28"/>
                <w:lang w:eastAsia="en-US"/>
              </w:rPr>
              <w:t>“</w:t>
            </w:r>
            <w:r w:rsidRPr="00BA1D5E">
              <w:rPr>
                <w:rFonts w:eastAsia="Calibri"/>
                <w:szCs w:val="28"/>
                <w:lang w:eastAsia="en-US"/>
              </w:rPr>
              <w:t>Tehnikas un iekārtu katalogs</w:t>
            </w:r>
            <w:r w:rsidR="00F725F7">
              <w:rPr>
                <w:rFonts w:eastAsia="Calibri"/>
                <w:szCs w:val="28"/>
                <w:lang w:eastAsia="en-US"/>
              </w:rPr>
              <w:t>”</w:t>
            </w:r>
            <w:r w:rsidRPr="00BA1D5E">
              <w:rPr>
                <w:rFonts w:eastAsia="Calibri"/>
                <w:szCs w:val="28"/>
                <w:lang w:eastAsia="en-US"/>
              </w:rPr>
              <w:t>. Vienkāršota izmaksa ir noteikta</w:t>
            </w:r>
            <w:r w:rsidR="00F725F7">
              <w:rPr>
                <w:rFonts w:eastAsia="Calibri"/>
                <w:szCs w:val="28"/>
                <w:lang w:eastAsia="en-US"/>
              </w:rPr>
              <w:t>,</w:t>
            </w:r>
            <w:r w:rsidRPr="00BA1D5E">
              <w:rPr>
                <w:rFonts w:eastAsia="Calibri"/>
                <w:szCs w:val="28"/>
                <w:lang w:eastAsia="en-US"/>
              </w:rPr>
              <w:t xml:space="preserve"> pamatojoties uz metodiku “Metodika “Tehnikas un iekārtu vienību izmaksu standarta likmes noteikšana un tās iekļaušana Tehnikas un iekārtu katalogā Latvijas Lauku attīstības programmas 2014.</w:t>
            </w:r>
            <w:r w:rsidR="00F725F7">
              <w:rPr>
                <w:rFonts w:eastAsia="Calibri"/>
                <w:szCs w:val="28"/>
                <w:lang w:eastAsia="en-US"/>
              </w:rPr>
              <w:t>–</w:t>
            </w:r>
            <w:r w:rsidRPr="00BA1D5E">
              <w:rPr>
                <w:rFonts w:eastAsia="Calibri"/>
                <w:szCs w:val="28"/>
                <w:lang w:eastAsia="en-US"/>
              </w:rPr>
              <w:t xml:space="preserve">2020. gadam atbalsta pasākuma M04 “Ieguldījumi materiālajos aktīvos” </w:t>
            </w:r>
            <w:proofErr w:type="spellStart"/>
            <w:r w:rsidRPr="00BA1D5E">
              <w:rPr>
                <w:rFonts w:eastAsia="Calibri"/>
                <w:szCs w:val="28"/>
                <w:lang w:eastAsia="en-US"/>
              </w:rPr>
              <w:t>apakšpasākuma</w:t>
            </w:r>
            <w:proofErr w:type="spellEnd"/>
            <w:r w:rsidRPr="00BA1D5E">
              <w:rPr>
                <w:rFonts w:eastAsia="Calibri"/>
                <w:szCs w:val="28"/>
                <w:lang w:eastAsia="en-US"/>
              </w:rPr>
              <w:t xml:space="preserve"> 4.1.</w:t>
            </w:r>
            <w:r w:rsidR="00F725F7">
              <w:rPr>
                <w:rFonts w:eastAsia="Calibri"/>
                <w:szCs w:val="28"/>
                <w:lang w:eastAsia="en-US"/>
              </w:rPr>
              <w:t> </w:t>
            </w:r>
            <w:r w:rsidRPr="00BA1D5E">
              <w:rPr>
                <w:rFonts w:eastAsia="Calibri"/>
                <w:szCs w:val="28"/>
                <w:lang w:eastAsia="en-US"/>
              </w:rPr>
              <w:t xml:space="preserve">“Atbalsts ieguldījumiem lauku saimniecībās” īstenošanai”. Metodika ir izstrādāta saskaņā ar </w:t>
            </w:r>
            <w:r w:rsidR="00A654B0">
              <w:rPr>
                <w:rFonts w:eastAsia="Calibri"/>
                <w:szCs w:val="28"/>
                <w:lang w:eastAsia="en-US"/>
              </w:rPr>
              <w:t>Re</w:t>
            </w:r>
            <w:r w:rsidRPr="00BA1D5E">
              <w:rPr>
                <w:rFonts w:eastAsia="Calibri"/>
                <w:szCs w:val="28"/>
                <w:lang w:eastAsia="en-US"/>
              </w:rPr>
              <w:t>gulas Nr. 1303/2013 67.</w:t>
            </w:r>
            <w:r w:rsidR="00F725F7">
              <w:rPr>
                <w:rFonts w:eastAsia="Calibri"/>
                <w:szCs w:val="28"/>
                <w:lang w:eastAsia="en-US"/>
              </w:rPr>
              <w:t xml:space="preserve"> </w:t>
            </w:r>
            <w:r w:rsidRPr="00BA1D5E">
              <w:rPr>
                <w:rFonts w:eastAsia="Calibri"/>
                <w:szCs w:val="28"/>
                <w:lang w:eastAsia="en-US"/>
              </w:rPr>
              <w:t>panta 1.</w:t>
            </w:r>
            <w:r w:rsidR="00F725F7">
              <w:rPr>
                <w:rFonts w:eastAsia="Calibri"/>
                <w:szCs w:val="28"/>
                <w:lang w:eastAsia="en-US"/>
              </w:rPr>
              <w:t xml:space="preserve"> </w:t>
            </w:r>
            <w:r w:rsidRPr="00BA1D5E">
              <w:rPr>
                <w:rFonts w:eastAsia="Calibri"/>
                <w:szCs w:val="28"/>
                <w:lang w:eastAsia="en-US"/>
              </w:rPr>
              <w:t xml:space="preserve">punkta </w:t>
            </w:r>
            <w:r w:rsidR="00F725F7">
              <w:rPr>
                <w:rFonts w:eastAsia="Calibri"/>
                <w:szCs w:val="28"/>
                <w:lang w:eastAsia="en-US"/>
              </w:rPr>
              <w:t>“</w:t>
            </w:r>
            <w:r w:rsidRPr="00BA1D5E">
              <w:rPr>
                <w:rFonts w:eastAsia="Calibri"/>
                <w:szCs w:val="28"/>
                <w:lang w:eastAsia="en-US"/>
              </w:rPr>
              <w:t>b</w:t>
            </w:r>
            <w:r w:rsidR="00F725F7">
              <w:rPr>
                <w:rFonts w:eastAsia="Calibri"/>
                <w:szCs w:val="28"/>
                <w:lang w:eastAsia="en-US"/>
              </w:rPr>
              <w:t>”</w:t>
            </w:r>
            <w:r w:rsidRPr="00BA1D5E">
              <w:rPr>
                <w:rFonts w:eastAsia="Calibri"/>
                <w:szCs w:val="28"/>
                <w:lang w:eastAsia="en-US"/>
              </w:rPr>
              <w:t xml:space="preserve"> apakšpunktu un 5.</w:t>
            </w:r>
            <w:r w:rsidR="00F725F7">
              <w:rPr>
                <w:rFonts w:eastAsia="Calibri"/>
                <w:szCs w:val="28"/>
                <w:lang w:eastAsia="en-US"/>
              </w:rPr>
              <w:t> </w:t>
            </w:r>
            <w:r w:rsidRPr="00BA1D5E">
              <w:rPr>
                <w:rFonts w:eastAsia="Calibri"/>
                <w:szCs w:val="28"/>
                <w:lang w:eastAsia="en-US"/>
              </w:rPr>
              <w:t xml:space="preserve">punkta </w:t>
            </w:r>
            <w:r w:rsidR="00F725F7">
              <w:rPr>
                <w:rFonts w:eastAsia="Calibri"/>
                <w:szCs w:val="28"/>
                <w:lang w:eastAsia="en-US"/>
              </w:rPr>
              <w:t>“</w:t>
            </w:r>
            <w:r w:rsidRPr="00BA1D5E">
              <w:rPr>
                <w:rFonts w:eastAsia="Calibri"/>
                <w:szCs w:val="28"/>
                <w:lang w:eastAsia="en-US"/>
              </w:rPr>
              <w:t>a</w:t>
            </w:r>
            <w:r w:rsidR="00F725F7">
              <w:rPr>
                <w:rFonts w:eastAsia="Calibri"/>
                <w:szCs w:val="28"/>
                <w:lang w:eastAsia="en-US"/>
              </w:rPr>
              <w:t>”</w:t>
            </w:r>
            <w:r w:rsidRPr="00BA1D5E">
              <w:rPr>
                <w:rFonts w:eastAsia="Calibri"/>
                <w:szCs w:val="28"/>
                <w:lang w:eastAsia="en-US"/>
              </w:rPr>
              <w:t xml:space="preserve"> apakšpunktu</w:t>
            </w:r>
            <w:r w:rsidR="00F725F7">
              <w:rPr>
                <w:rFonts w:eastAsia="Calibri"/>
                <w:szCs w:val="28"/>
                <w:lang w:eastAsia="en-US"/>
              </w:rPr>
              <w:t>;</w:t>
            </w:r>
          </w:p>
          <w:p w14:paraId="08B1071E" w14:textId="596D871A" w:rsidR="00312369" w:rsidRPr="00BA1D5E" w:rsidRDefault="00312369" w:rsidP="00312369">
            <w:pPr>
              <w:ind w:right="140"/>
              <w:jc w:val="both"/>
              <w:rPr>
                <w:rFonts w:eastAsia="Calibri"/>
                <w:szCs w:val="28"/>
                <w:lang w:eastAsia="en-US"/>
              </w:rPr>
            </w:pPr>
            <w:r w:rsidRPr="00BA1D5E">
              <w:rPr>
                <w:rFonts w:eastAsia="Calibri"/>
                <w:szCs w:val="28"/>
                <w:lang w:eastAsia="en-US"/>
              </w:rPr>
              <w:t>•</w:t>
            </w:r>
            <w:r w:rsidRPr="00BA1D5E">
              <w:rPr>
                <w:rFonts w:eastAsia="Calibri"/>
                <w:szCs w:val="28"/>
                <w:lang w:eastAsia="en-US"/>
              </w:rPr>
              <w:tab/>
              <w:t>vienotas likmes finansējums. Vienkāršota izmaksa ir noteikta</w:t>
            </w:r>
            <w:r w:rsidR="00F725F7">
              <w:rPr>
                <w:rFonts w:eastAsia="Calibri"/>
                <w:szCs w:val="28"/>
                <w:lang w:eastAsia="en-US"/>
              </w:rPr>
              <w:t>,</w:t>
            </w:r>
            <w:r w:rsidRPr="00BA1D5E">
              <w:rPr>
                <w:rFonts w:eastAsia="Calibri"/>
                <w:szCs w:val="28"/>
                <w:lang w:eastAsia="en-US"/>
              </w:rPr>
              <w:t xml:space="preserve"> pamatojoties uz metodiku “Vienotas likmes finansējums Lauku attīstības projektu sagatavošanas un pārējām vispārējam izmaksām”</w:t>
            </w:r>
            <w:r w:rsidR="00F725F7">
              <w:rPr>
                <w:rFonts w:eastAsia="Calibri"/>
                <w:szCs w:val="28"/>
                <w:lang w:eastAsia="en-US"/>
              </w:rPr>
              <w:t xml:space="preserve"> un</w:t>
            </w:r>
            <w:r w:rsidRPr="00BA1D5E">
              <w:rPr>
                <w:rFonts w:eastAsia="Calibri"/>
                <w:szCs w:val="28"/>
                <w:lang w:eastAsia="en-US"/>
              </w:rPr>
              <w:t xml:space="preserve"> tiks piemērota LAP 2014</w:t>
            </w:r>
            <w:r w:rsidR="00F725F7">
              <w:rPr>
                <w:rFonts w:eastAsia="Calibri"/>
                <w:szCs w:val="28"/>
                <w:lang w:eastAsia="en-US"/>
              </w:rPr>
              <w:t>–</w:t>
            </w:r>
            <w:r w:rsidRPr="00BA1D5E">
              <w:rPr>
                <w:rFonts w:eastAsia="Calibri"/>
                <w:szCs w:val="28"/>
                <w:lang w:eastAsia="en-US"/>
              </w:rPr>
              <w:t xml:space="preserve">2020 pasākuma M4 “Ieguldījumi materiālajos aktīvos” administrēšanai. Metodika ir izstrādāta saskaņā ar </w:t>
            </w:r>
            <w:r w:rsidR="00A654B0" w:rsidRPr="00A654B0">
              <w:rPr>
                <w:rFonts w:eastAsia="Calibri"/>
                <w:szCs w:val="28"/>
                <w:lang w:eastAsia="en-US"/>
              </w:rPr>
              <w:t>Re</w:t>
            </w:r>
            <w:r w:rsidRPr="00A654B0">
              <w:rPr>
                <w:rFonts w:eastAsia="Calibri"/>
                <w:szCs w:val="28"/>
                <w:lang w:eastAsia="en-US"/>
              </w:rPr>
              <w:t>gulas</w:t>
            </w:r>
            <w:r w:rsidRPr="00BA1D5E">
              <w:rPr>
                <w:rFonts w:eastAsia="Calibri"/>
                <w:szCs w:val="28"/>
                <w:lang w:eastAsia="en-US"/>
              </w:rPr>
              <w:t xml:space="preserve"> Nr. 1303/2013 </w:t>
            </w:r>
            <w:r w:rsidR="00F725F7" w:rsidRPr="00BA1D5E">
              <w:rPr>
                <w:rFonts w:eastAsia="Calibri"/>
                <w:szCs w:val="28"/>
                <w:lang w:eastAsia="en-US"/>
              </w:rPr>
              <w:t>67.</w:t>
            </w:r>
            <w:r w:rsidR="00F725F7">
              <w:rPr>
                <w:rFonts w:eastAsia="Calibri"/>
                <w:szCs w:val="28"/>
                <w:lang w:eastAsia="en-US"/>
              </w:rPr>
              <w:t xml:space="preserve"> </w:t>
            </w:r>
            <w:r w:rsidR="00F725F7" w:rsidRPr="00BA1D5E">
              <w:rPr>
                <w:rFonts w:eastAsia="Calibri"/>
                <w:szCs w:val="28"/>
                <w:lang w:eastAsia="en-US"/>
              </w:rPr>
              <w:t>panta 1.</w:t>
            </w:r>
            <w:r w:rsidR="00F725F7">
              <w:rPr>
                <w:rFonts w:eastAsia="Calibri"/>
                <w:szCs w:val="28"/>
                <w:lang w:eastAsia="en-US"/>
              </w:rPr>
              <w:t xml:space="preserve"> </w:t>
            </w:r>
            <w:r w:rsidR="00F725F7" w:rsidRPr="00BA1D5E">
              <w:rPr>
                <w:rFonts w:eastAsia="Calibri"/>
                <w:szCs w:val="28"/>
                <w:lang w:eastAsia="en-US"/>
              </w:rPr>
              <w:t xml:space="preserve">punkta </w:t>
            </w:r>
            <w:r w:rsidR="00F725F7">
              <w:rPr>
                <w:rFonts w:eastAsia="Calibri"/>
                <w:szCs w:val="28"/>
                <w:lang w:eastAsia="en-US"/>
              </w:rPr>
              <w:t>“</w:t>
            </w:r>
            <w:r w:rsidR="00F725F7" w:rsidRPr="00BA1D5E">
              <w:rPr>
                <w:rFonts w:eastAsia="Calibri"/>
                <w:szCs w:val="28"/>
                <w:lang w:eastAsia="en-US"/>
              </w:rPr>
              <w:t>b</w:t>
            </w:r>
            <w:r w:rsidR="00F725F7">
              <w:rPr>
                <w:rFonts w:eastAsia="Calibri"/>
                <w:szCs w:val="28"/>
                <w:lang w:eastAsia="en-US"/>
              </w:rPr>
              <w:t>”</w:t>
            </w:r>
            <w:r w:rsidR="00F725F7" w:rsidRPr="00BA1D5E">
              <w:rPr>
                <w:rFonts w:eastAsia="Calibri"/>
                <w:szCs w:val="28"/>
                <w:lang w:eastAsia="en-US"/>
              </w:rPr>
              <w:t xml:space="preserve"> apakšpunktu un 5.</w:t>
            </w:r>
            <w:r w:rsidR="00F725F7">
              <w:rPr>
                <w:rFonts w:eastAsia="Calibri"/>
                <w:szCs w:val="28"/>
                <w:lang w:eastAsia="en-US"/>
              </w:rPr>
              <w:t> </w:t>
            </w:r>
            <w:r w:rsidR="00F725F7" w:rsidRPr="00BA1D5E">
              <w:rPr>
                <w:rFonts w:eastAsia="Calibri"/>
                <w:szCs w:val="28"/>
                <w:lang w:eastAsia="en-US"/>
              </w:rPr>
              <w:t xml:space="preserve">punkta </w:t>
            </w:r>
            <w:r w:rsidR="00F725F7">
              <w:rPr>
                <w:rFonts w:eastAsia="Calibri"/>
                <w:szCs w:val="28"/>
                <w:lang w:eastAsia="en-US"/>
              </w:rPr>
              <w:t>“</w:t>
            </w:r>
            <w:r w:rsidR="00F725F7" w:rsidRPr="00BA1D5E">
              <w:rPr>
                <w:rFonts w:eastAsia="Calibri"/>
                <w:szCs w:val="28"/>
                <w:lang w:eastAsia="en-US"/>
              </w:rPr>
              <w:t>a</w:t>
            </w:r>
            <w:r w:rsidR="00F725F7">
              <w:rPr>
                <w:rFonts w:eastAsia="Calibri"/>
                <w:szCs w:val="28"/>
                <w:lang w:eastAsia="en-US"/>
              </w:rPr>
              <w:t>”</w:t>
            </w:r>
            <w:r w:rsidR="00F725F7" w:rsidRPr="00BA1D5E">
              <w:rPr>
                <w:rFonts w:eastAsia="Calibri"/>
                <w:szCs w:val="28"/>
                <w:lang w:eastAsia="en-US"/>
              </w:rPr>
              <w:t xml:space="preserve"> apakšpunktu</w:t>
            </w:r>
            <w:r w:rsidRPr="00BA1D5E">
              <w:rPr>
                <w:rFonts w:eastAsia="Calibri"/>
                <w:szCs w:val="28"/>
                <w:lang w:eastAsia="en-US"/>
              </w:rPr>
              <w:t>.</w:t>
            </w:r>
          </w:p>
          <w:p w14:paraId="36403117" w14:textId="38F1E70A" w:rsidR="00312369" w:rsidRPr="00BA1D5E" w:rsidRDefault="00312369" w:rsidP="00AC0879">
            <w:pPr>
              <w:ind w:right="140"/>
              <w:jc w:val="both"/>
              <w:rPr>
                <w:rFonts w:eastAsia="Calibri"/>
                <w:szCs w:val="28"/>
                <w:lang w:eastAsia="en-US"/>
              </w:rPr>
            </w:pPr>
            <w:r w:rsidRPr="00BA1D5E">
              <w:rPr>
                <w:rFonts w:eastAsia="Calibri"/>
                <w:szCs w:val="28"/>
                <w:lang w:eastAsia="en-US"/>
              </w:rPr>
              <w:t>Vienkāršotu izmaksu ieviešana ir būtiska LAP 2014.</w:t>
            </w:r>
            <w:r w:rsidR="00F725F7">
              <w:rPr>
                <w:rFonts w:eastAsia="Calibri"/>
                <w:szCs w:val="28"/>
                <w:lang w:eastAsia="en-US"/>
              </w:rPr>
              <w:t>–</w:t>
            </w:r>
            <w:r w:rsidRPr="00BA1D5E">
              <w:rPr>
                <w:rFonts w:eastAsia="Calibri"/>
                <w:szCs w:val="28"/>
                <w:lang w:eastAsia="en-US"/>
              </w:rPr>
              <w:t>2020.</w:t>
            </w:r>
            <w:r w:rsidR="00F725F7">
              <w:rPr>
                <w:rFonts w:eastAsia="Calibri"/>
                <w:szCs w:val="28"/>
                <w:lang w:eastAsia="en-US"/>
              </w:rPr>
              <w:t xml:space="preserve"> </w:t>
            </w:r>
            <w:r w:rsidRPr="00BA1D5E">
              <w:rPr>
                <w:rFonts w:eastAsia="Calibri"/>
                <w:szCs w:val="28"/>
                <w:lang w:eastAsia="en-US"/>
              </w:rPr>
              <w:t xml:space="preserve">gadam </w:t>
            </w:r>
            <w:r w:rsidR="00AC0879" w:rsidRPr="00BA1D5E">
              <w:rPr>
                <w:rFonts w:eastAsia="Calibri"/>
                <w:szCs w:val="28"/>
                <w:lang w:eastAsia="en-US"/>
              </w:rPr>
              <w:t xml:space="preserve">un pārejas periodu </w:t>
            </w:r>
            <w:r w:rsidRPr="00BA1D5E">
              <w:rPr>
                <w:rFonts w:eastAsia="Calibri"/>
                <w:szCs w:val="28"/>
                <w:lang w:eastAsia="en-US"/>
              </w:rPr>
              <w:t>pasākumu īstenošana</w:t>
            </w:r>
            <w:r w:rsidR="00F725F7">
              <w:rPr>
                <w:rFonts w:eastAsia="Calibri"/>
                <w:szCs w:val="28"/>
                <w:lang w:eastAsia="en-US"/>
              </w:rPr>
              <w:t>s</w:t>
            </w:r>
            <w:r w:rsidRPr="00BA1D5E">
              <w:rPr>
                <w:rFonts w:eastAsia="Calibri"/>
                <w:szCs w:val="28"/>
                <w:lang w:eastAsia="en-US"/>
              </w:rPr>
              <w:t xml:space="preserve"> administrēšanai, lai mazinātu administratīvo slogu un pārietu no fokusēšanās no finanšu dokumentu pārbaudes uz sasniegto rezultātu pārbaudi.</w:t>
            </w:r>
          </w:p>
          <w:p w14:paraId="4B51A2F6" w14:textId="77777777" w:rsidR="00304546" w:rsidRPr="00BA1D5E" w:rsidRDefault="00304546" w:rsidP="00304546">
            <w:pPr>
              <w:ind w:right="140"/>
              <w:jc w:val="both"/>
              <w:rPr>
                <w:rFonts w:eastAsia="Calibri"/>
                <w:szCs w:val="28"/>
                <w:lang w:eastAsia="en-US"/>
              </w:rPr>
            </w:pPr>
          </w:p>
          <w:p w14:paraId="0D74ADF9" w14:textId="67F83E17" w:rsidR="007E5534" w:rsidRPr="00BA1D5E" w:rsidRDefault="00F725F7" w:rsidP="007E5534">
            <w:pPr>
              <w:ind w:right="140"/>
              <w:jc w:val="both"/>
              <w:rPr>
                <w:rFonts w:eastAsia="Calibri"/>
                <w:szCs w:val="28"/>
                <w:lang w:eastAsia="en-US"/>
              </w:rPr>
            </w:pPr>
            <w:r>
              <w:rPr>
                <w:rFonts w:eastAsia="Calibri"/>
                <w:szCs w:val="28"/>
                <w:lang w:eastAsia="en-US"/>
              </w:rPr>
              <w:t>Tā kā</w:t>
            </w:r>
            <w:r w:rsidR="007E5534" w:rsidRPr="00BA1D5E">
              <w:rPr>
                <w:rFonts w:eastAsia="Calibri"/>
                <w:szCs w:val="28"/>
                <w:lang w:eastAsia="en-US"/>
              </w:rPr>
              <w:t xml:space="preserve"> Zemkopības ministrija</w:t>
            </w:r>
            <w:r>
              <w:rPr>
                <w:rFonts w:eastAsia="Calibri"/>
                <w:szCs w:val="28"/>
                <w:lang w:eastAsia="en-US"/>
              </w:rPr>
              <w:t>,</w:t>
            </w:r>
            <w:r w:rsidR="007E5534" w:rsidRPr="00BA1D5E">
              <w:rPr>
                <w:rFonts w:eastAsia="Calibri"/>
                <w:szCs w:val="28"/>
                <w:lang w:eastAsia="en-US"/>
              </w:rPr>
              <w:t xml:space="preserve"> gatavojot SVID analīzi (KLP stratēģijas izveidei) konstatēja, ka kooperācija nav pietiekama visās lauksaimniecības nozarēs, izņemot piena lopkopības un graudkopības nozarē</w:t>
            </w:r>
            <w:r w:rsidR="00B76449">
              <w:rPr>
                <w:rFonts w:eastAsia="Calibri"/>
                <w:szCs w:val="28"/>
                <w:lang w:eastAsia="en-US"/>
              </w:rPr>
              <w:t>s</w:t>
            </w:r>
            <w:r w:rsidR="007E5534" w:rsidRPr="00BA1D5E">
              <w:rPr>
                <w:rFonts w:eastAsia="Calibri"/>
                <w:szCs w:val="28"/>
                <w:lang w:eastAsia="en-US"/>
              </w:rPr>
              <w:t xml:space="preserve"> (2020.</w:t>
            </w:r>
            <w:r w:rsidR="00D966CD">
              <w:rPr>
                <w:rFonts w:eastAsia="Calibri"/>
                <w:szCs w:val="28"/>
                <w:lang w:eastAsia="en-US"/>
              </w:rPr>
              <w:t> </w:t>
            </w:r>
            <w:r w:rsidR="007E5534" w:rsidRPr="00BA1D5E">
              <w:rPr>
                <w:rFonts w:eastAsia="Calibri"/>
                <w:szCs w:val="28"/>
                <w:lang w:eastAsia="en-US"/>
              </w:rPr>
              <w:t xml:space="preserve">gadā Latvijā darbojās pavisam 51 atbilstīga kooperatīvā sabiedrība, no </w:t>
            </w:r>
            <w:r w:rsidR="00D966CD">
              <w:rPr>
                <w:rFonts w:eastAsia="Calibri"/>
                <w:szCs w:val="28"/>
                <w:lang w:eastAsia="en-US"/>
              </w:rPr>
              <w:t>t</w:t>
            </w:r>
            <w:r w:rsidR="007E5534" w:rsidRPr="00BA1D5E">
              <w:rPr>
                <w:rFonts w:eastAsia="Calibri"/>
                <w:szCs w:val="28"/>
                <w:lang w:eastAsia="en-US"/>
              </w:rPr>
              <w:t>ām 24 bija kooperatīvās sabiedrības piensaimniecības nozarē un 15 kooperatīvās sabiedrības graudkopības nozarē), tā</w:t>
            </w:r>
            <w:r w:rsidR="00D966CD">
              <w:rPr>
                <w:rFonts w:eastAsia="Calibri"/>
                <w:szCs w:val="28"/>
                <w:lang w:eastAsia="en-US"/>
              </w:rPr>
              <w:t>pēc</w:t>
            </w:r>
            <w:r w:rsidR="007E5534" w:rsidRPr="00BA1D5E">
              <w:rPr>
                <w:rFonts w:eastAsia="Calibri"/>
                <w:szCs w:val="28"/>
                <w:lang w:eastAsia="en-US"/>
              </w:rPr>
              <w:t xml:space="preserve"> ir jāveicina kooperatīv</w:t>
            </w:r>
            <w:r w:rsidR="00D966CD">
              <w:rPr>
                <w:rFonts w:eastAsia="Calibri"/>
                <w:szCs w:val="28"/>
                <w:lang w:eastAsia="en-US"/>
              </w:rPr>
              <w:t>o</w:t>
            </w:r>
            <w:r w:rsidR="007E5534" w:rsidRPr="00BA1D5E">
              <w:rPr>
                <w:rFonts w:eastAsia="Calibri"/>
                <w:szCs w:val="28"/>
                <w:lang w:eastAsia="en-US"/>
              </w:rPr>
              <w:t xml:space="preserve"> sabiedrību attīstība</w:t>
            </w:r>
            <w:r w:rsidR="00D966CD">
              <w:rPr>
                <w:rFonts w:eastAsia="Calibri"/>
                <w:szCs w:val="28"/>
                <w:lang w:eastAsia="en-US"/>
              </w:rPr>
              <w:t>. N</w:t>
            </w:r>
            <w:r w:rsidR="007E5534" w:rsidRPr="00BA1D5E">
              <w:rPr>
                <w:rFonts w:eastAsia="Calibri"/>
                <w:szCs w:val="28"/>
                <w:lang w:eastAsia="en-US"/>
              </w:rPr>
              <w:t xml:space="preserve">oteikumu projekts paredz arī jaunu kooperatīvo sabiedrību dibināšanu, kā arī paplašina saņēmēju loku, </w:t>
            </w:r>
            <w:r w:rsidR="00D966CD">
              <w:rPr>
                <w:rFonts w:eastAsia="Calibri"/>
                <w:szCs w:val="28"/>
                <w:lang w:eastAsia="en-US"/>
              </w:rPr>
              <w:t>dod</w:t>
            </w:r>
            <w:r w:rsidR="007E5534" w:rsidRPr="00BA1D5E">
              <w:rPr>
                <w:rFonts w:eastAsia="Calibri"/>
                <w:szCs w:val="28"/>
                <w:lang w:eastAsia="en-US"/>
              </w:rPr>
              <w:t xml:space="preserve">ot iespēju </w:t>
            </w:r>
            <w:r w:rsidR="00D966CD" w:rsidRPr="00BA1D5E">
              <w:rPr>
                <w:rFonts w:eastAsia="Calibri"/>
                <w:szCs w:val="28"/>
                <w:lang w:eastAsia="en-US"/>
              </w:rPr>
              <w:t xml:space="preserve">kooperatīvu </w:t>
            </w:r>
            <w:r w:rsidR="00D966CD">
              <w:rPr>
                <w:rFonts w:eastAsia="Calibri"/>
                <w:szCs w:val="28"/>
                <w:lang w:eastAsia="en-US"/>
              </w:rPr>
              <w:t xml:space="preserve">sabiedrību </w:t>
            </w:r>
            <w:r w:rsidR="00D966CD" w:rsidRPr="00BA1D5E">
              <w:rPr>
                <w:rFonts w:eastAsia="Calibri"/>
                <w:szCs w:val="28"/>
                <w:lang w:eastAsia="en-US"/>
              </w:rPr>
              <w:t xml:space="preserve">apvienībām </w:t>
            </w:r>
            <w:r w:rsidR="007E5534" w:rsidRPr="00BA1D5E">
              <w:rPr>
                <w:rFonts w:eastAsia="Calibri"/>
                <w:szCs w:val="28"/>
                <w:lang w:eastAsia="en-US"/>
              </w:rPr>
              <w:t xml:space="preserve">saņemt atbalstu. </w:t>
            </w:r>
            <w:r w:rsidR="00D966CD">
              <w:rPr>
                <w:rFonts w:eastAsia="Calibri"/>
                <w:szCs w:val="28"/>
                <w:lang w:eastAsia="en-US"/>
              </w:rPr>
              <w:t>K</w:t>
            </w:r>
            <w:r w:rsidR="007E5534" w:rsidRPr="00BA1D5E">
              <w:rPr>
                <w:rFonts w:eastAsia="Calibri"/>
                <w:szCs w:val="28"/>
                <w:lang w:eastAsia="en-US"/>
              </w:rPr>
              <w:t xml:space="preserve">ooperatīvu </w:t>
            </w:r>
            <w:r w:rsidR="00051B2B">
              <w:rPr>
                <w:rFonts w:eastAsia="Calibri"/>
                <w:szCs w:val="28"/>
                <w:lang w:eastAsia="en-US"/>
              </w:rPr>
              <w:t xml:space="preserve">sabiedrību </w:t>
            </w:r>
            <w:r w:rsidR="007E5534" w:rsidRPr="00BA1D5E">
              <w:rPr>
                <w:rFonts w:eastAsia="Calibri"/>
                <w:szCs w:val="28"/>
                <w:lang w:eastAsia="en-US"/>
              </w:rPr>
              <w:t xml:space="preserve">apvienība var tikt dibināta atbilstoši Komerclikumam kā kapitālsabiedrība. Noteikumu projekta </w:t>
            </w:r>
            <w:r w:rsidR="007E5534" w:rsidRPr="00BA1D5E">
              <w:rPr>
                <w:rFonts w:eastAsia="Calibri"/>
                <w:szCs w:val="28"/>
                <w:lang w:eastAsia="en-US"/>
              </w:rPr>
              <w:lastRenderedPageBreak/>
              <w:t>2.6.</w:t>
            </w:r>
            <w:r w:rsidR="00D966CD">
              <w:rPr>
                <w:rFonts w:eastAsia="Calibri"/>
                <w:szCs w:val="28"/>
                <w:lang w:eastAsia="en-US"/>
              </w:rPr>
              <w:t> </w:t>
            </w:r>
            <w:r w:rsidR="007E5534" w:rsidRPr="00BA1D5E">
              <w:rPr>
                <w:rFonts w:eastAsia="Calibri"/>
                <w:szCs w:val="28"/>
                <w:lang w:eastAsia="en-US"/>
              </w:rPr>
              <w:t>apakšpunkt</w:t>
            </w:r>
            <w:r w:rsidR="00D966CD">
              <w:rPr>
                <w:rFonts w:eastAsia="Calibri"/>
                <w:szCs w:val="28"/>
                <w:lang w:eastAsia="en-US"/>
              </w:rPr>
              <w:t>ā</w:t>
            </w:r>
            <w:r w:rsidR="007E5534" w:rsidRPr="00BA1D5E">
              <w:rPr>
                <w:rFonts w:eastAsia="Calibri"/>
                <w:szCs w:val="28"/>
                <w:lang w:eastAsia="en-US"/>
              </w:rPr>
              <w:t xml:space="preserve"> no</w:t>
            </w:r>
            <w:r w:rsidR="00D966CD">
              <w:rPr>
                <w:rFonts w:eastAsia="Calibri"/>
                <w:szCs w:val="28"/>
                <w:lang w:eastAsia="en-US"/>
              </w:rPr>
              <w:t>teikts</w:t>
            </w:r>
            <w:r w:rsidR="007E5534" w:rsidRPr="00BA1D5E">
              <w:rPr>
                <w:rFonts w:eastAsia="Calibri"/>
                <w:szCs w:val="28"/>
                <w:lang w:eastAsia="en-US"/>
              </w:rPr>
              <w:t xml:space="preserve">, ka kooperatīvo sabiedrību apvienība ir juridiska persona, kurā </w:t>
            </w:r>
            <w:proofErr w:type="spellStart"/>
            <w:r w:rsidR="007E5534" w:rsidRPr="00BA1D5E">
              <w:rPr>
                <w:rFonts w:eastAsia="Calibri"/>
                <w:szCs w:val="28"/>
                <w:lang w:eastAsia="en-US"/>
              </w:rPr>
              <w:t>vairāk</w:t>
            </w:r>
            <w:proofErr w:type="spellEnd"/>
            <w:r w:rsidR="007E5534" w:rsidRPr="00BA1D5E">
              <w:rPr>
                <w:rFonts w:eastAsia="Calibri"/>
                <w:szCs w:val="28"/>
                <w:lang w:eastAsia="en-US"/>
              </w:rPr>
              <w:t xml:space="preserve"> </w:t>
            </w:r>
            <w:proofErr w:type="spellStart"/>
            <w:r w:rsidR="007E5534" w:rsidRPr="00BA1D5E">
              <w:rPr>
                <w:rFonts w:eastAsia="Calibri"/>
                <w:szCs w:val="28"/>
                <w:lang w:eastAsia="en-US"/>
              </w:rPr>
              <w:t>neka</w:t>
            </w:r>
            <w:proofErr w:type="spellEnd"/>
            <w:r w:rsidR="007E5534" w:rsidRPr="00BA1D5E">
              <w:rPr>
                <w:rFonts w:eastAsia="Calibri"/>
                <w:szCs w:val="28"/>
                <w:lang w:eastAsia="en-US"/>
              </w:rPr>
              <w:t xml:space="preserve">̄ 50 procenti kapitāldaļu pieder kooperatīvajām sabiedrībām un kura nodrošina vietējās izcelsmes izejvielas pārstrādi vismaz 75 procentu apmērā. Šāds kapitāldaļu apmērs ir noteikts, jo </w:t>
            </w:r>
            <w:r w:rsidR="00D966CD" w:rsidRPr="00BA1D5E">
              <w:rPr>
                <w:rFonts w:eastAsia="Calibri"/>
                <w:szCs w:val="28"/>
                <w:lang w:eastAsia="en-US"/>
              </w:rPr>
              <w:t xml:space="preserve">ir </w:t>
            </w:r>
            <w:r w:rsidR="00D966CD">
              <w:rPr>
                <w:rFonts w:eastAsia="Calibri"/>
                <w:szCs w:val="28"/>
                <w:lang w:eastAsia="en-US"/>
              </w:rPr>
              <w:t>liels</w:t>
            </w:r>
            <w:r w:rsidR="00634F6D">
              <w:rPr>
                <w:rFonts w:eastAsia="Calibri"/>
                <w:szCs w:val="28"/>
                <w:lang w:eastAsia="en-US"/>
              </w:rPr>
              <w:t xml:space="preserve"> </w:t>
            </w:r>
            <w:r w:rsidR="007E5534" w:rsidRPr="00BA1D5E">
              <w:rPr>
                <w:rFonts w:eastAsia="Calibri"/>
                <w:szCs w:val="28"/>
                <w:lang w:eastAsia="en-US"/>
              </w:rPr>
              <w:t>līdzfinansējuma apmērs , tas ir jāpiesaista</w:t>
            </w:r>
            <w:r w:rsidR="00D966CD">
              <w:rPr>
                <w:rFonts w:eastAsia="Calibri"/>
                <w:szCs w:val="28"/>
                <w:lang w:eastAsia="en-US"/>
              </w:rPr>
              <w:t>,</w:t>
            </w:r>
            <w:r w:rsidR="007E5534" w:rsidRPr="00BA1D5E">
              <w:rPr>
                <w:rFonts w:eastAsia="Calibri"/>
                <w:szCs w:val="28"/>
                <w:lang w:eastAsia="en-US"/>
              </w:rPr>
              <w:t xml:space="preserve"> un potenciālie atbalsta </w:t>
            </w:r>
            <w:r w:rsidR="0004578E">
              <w:rPr>
                <w:rFonts w:eastAsia="Calibri"/>
                <w:szCs w:val="28"/>
                <w:lang w:eastAsia="en-US"/>
              </w:rPr>
              <w:t>pretend</w:t>
            </w:r>
            <w:r w:rsidR="00CC09C2">
              <w:rPr>
                <w:rFonts w:eastAsia="Calibri"/>
                <w:szCs w:val="28"/>
                <w:lang w:eastAsia="en-US"/>
              </w:rPr>
              <w:t xml:space="preserve">enti </w:t>
            </w:r>
            <w:r w:rsidR="007E5534" w:rsidRPr="00BA1D5E">
              <w:rPr>
                <w:rFonts w:eastAsia="Calibri"/>
                <w:szCs w:val="28"/>
                <w:lang w:eastAsia="en-US"/>
              </w:rPr>
              <w:t>norāda uz grūtībām piesaistīt ārējas investīcijas.</w:t>
            </w:r>
          </w:p>
          <w:p w14:paraId="5042E806" w14:textId="7BCA8E01" w:rsidR="007E5534" w:rsidRPr="00BA1D5E" w:rsidRDefault="007E5534" w:rsidP="00D47D92">
            <w:pPr>
              <w:ind w:right="140"/>
              <w:jc w:val="both"/>
              <w:rPr>
                <w:rFonts w:eastAsia="Calibri"/>
                <w:szCs w:val="28"/>
                <w:lang w:eastAsia="en-US"/>
              </w:rPr>
            </w:pPr>
            <w:r w:rsidRPr="00BA1D5E">
              <w:rPr>
                <w:rFonts w:eastAsia="Calibri"/>
                <w:szCs w:val="28"/>
                <w:lang w:eastAsia="en-US"/>
              </w:rPr>
              <w:t>Noteikumu projekt</w:t>
            </w:r>
            <w:r w:rsidR="00D966CD">
              <w:rPr>
                <w:rFonts w:eastAsia="Calibri"/>
                <w:szCs w:val="28"/>
                <w:lang w:eastAsia="en-US"/>
              </w:rPr>
              <w:t>ā</w:t>
            </w:r>
            <w:r w:rsidRPr="00BA1D5E">
              <w:rPr>
                <w:rFonts w:eastAsia="Calibri"/>
                <w:szCs w:val="28"/>
                <w:lang w:eastAsia="en-US"/>
              </w:rPr>
              <w:t xml:space="preserve"> no</w:t>
            </w:r>
            <w:r w:rsidR="00D966CD">
              <w:rPr>
                <w:rFonts w:eastAsia="Calibri"/>
                <w:szCs w:val="28"/>
                <w:lang w:eastAsia="en-US"/>
              </w:rPr>
              <w:t>teikts</w:t>
            </w:r>
            <w:r w:rsidRPr="00BA1D5E">
              <w:rPr>
                <w:rFonts w:eastAsia="Calibri"/>
                <w:szCs w:val="28"/>
                <w:lang w:eastAsia="en-US"/>
              </w:rPr>
              <w:t xml:space="preserve">, ka atbalsta saņēmējs visu projekta īstenošanas un uzraudzības laiku nodrošina projekta atbilstību konkrētā </w:t>
            </w:r>
            <w:proofErr w:type="spellStart"/>
            <w:r w:rsidRPr="00BA1D5E">
              <w:rPr>
                <w:rFonts w:eastAsia="Calibri"/>
                <w:szCs w:val="28"/>
                <w:lang w:eastAsia="en-US"/>
              </w:rPr>
              <w:t>apakšpasākuma</w:t>
            </w:r>
            <w:proofErr w:type="spellEnd"/>
            <w:r w:rsidRPr="00BA1D5E">
              <w:rPr>
                <w:rFonts w:eastAsia="Calibri"/>
                <w:szCs w:val="28"/>
                <w:lang w:eastAsia="en-US"/>
              </w:rPr>
              <w:t xml:space="preserve"> mērķim un neaizvieto esošos pamatlīdzekļus. Vienlai</w:t>
            </w:r>
            <w:r w:rsidR="00D966CD">
              <w:rPr>
                <w:rFonts w:eastAsia="Calibri"/>
                <w:szCs w:val="28"/>
                <w:lang w:eastAsia="en-US"/>
              </w:rPr>
              <w:t>kus</w:t>
            </w:r>
            <w:r w:rsidRPr="00BA1D5E">
              <w:rPr>
                <w:rFonts w:eastAsia="Calibri"/>
                <w:szCs w:val="28"/>
                <w:lang w:eastAsia="en-US"/>
              </w:rPr>
              <w:t xml:space="preserve"> atbilstoši LAP 2014</w:t>
            </w:r>
            <w:r w:rsidR="00D966CD">
              <w:rPr>
                <w:rFonts w:eastAsia="Calibri"/>
                <w:szCs w:val="28"/>
                <w:lang w:eastAsia="en-US"/>
              </w:rPr>
              <w:t>–</w:t>
            </w:r>
            <w:r w:rsidRPr="00BA1D5E">
              <w:rPr>
                <w:rFonts w:eastAsia="Calibri"/>
                <w:szCs w:val="28"/>
                <w:lang w:eastAsia="en-US"/>
              </w:rPr>
              <w:t xml:space="preserve">2022 </w:t>
            </w:r>
            <w:r w:rsidR="00D966CD">
              <w:rPr>
                <w:rFonts w:eastAsia="Calibri"/>
                <w:szCs w:val="28"/>
                <w:lang w:eastAsia="en-US"/>
              </w:rPr>
              <w:t>paredzētajam</w:t>
            </w:r>
            <w:r w:rsidRPr="00BA1D5E">
              <w:rPr>
                <w:rFonts w:eastAsia="Calibri"/>
                <w:szCs w:val="28"/>
                <w:lang w:eastAsia="en-US"/>
              </w:rPr>
              <w:t xml:space="preserve"> noteikumu projekt</w:t>
            </w:r>
            <w:r w:rsidR="00D966CD">
              <w:rPr>
                <w:rFonts w:eastAsia="Calibri"/>
                <w:szCs w:val="28"/>
                <w:lang w:eastAsia="en-US"/>
              </w:rPr>
              <w:t>a</w:t>
            </w:r>
            <w:r w:rsidRPr="00BA1D5E">
              <w:rPr>
                <w:rFonts w:eastAsia="Calibri"/>
                <w:szCs w:val="28"/>
                <w:lang w:eastAsia="en-US"/>
              </w:rPr>
              <w:t xml:space="preserve"> </w:t>
            </w:r>
            <w:r w:rsidR="0088509F">
              <w:rPr>
                <w:rFonts w:eastAsia="Calibri"/>
                <w:szCs w:val="28"/>
                <w:lang w:eastAsia="en-US"/>
              </w:rPr>
              <w:t>11.</w:t>
            </w:r>
            <w:r w:rsidR="00D966CD">
              <w:rPr>
                <w:rFonts w:eastAsia="Calibri"/>
                <w:szCs w:val="28"/>
                <w:lang w:eastAsia="en-US"/>
              </w:rPr>
              <w:t> </w:t>
            </w:r>
            <w:r w:rsidR="0088509F">
              <w:rPr>
                <w:rFonts w:eastAsia="Calibri"/>
                <w:szCs w:val="28"/>
                <w:lang w:eastAsia="en-US"/>
              </w:rPr>
              <w:t xml:space="preserve">punktā </w:t>
            </w:r>
            <w:r w:rsidRPr="00BA1D5E">
              <w:rPr>
                <w:rFonts w:eastAsia="Calibri"/>
                <w:szCs w:val="28"/>
                <w:lang w:eastAsia="en-US"/>
              </w:rPr>
              <w:t>no</w:t>
            </w:r>
            <w:r w:rsidR="00D966CD">
              <w:rPr>
                <w:rFonts w:eastAsia="Calibri"/>
                <w:szCs w:val="28"/>
                <w:lang w:eastAsia="en-US"/>
              </w:rPr>
              <w:t>teikti</w:t>
            </w:r>
            <w:r w:rsidRPr="00BA1D5E">
              <w:rPr>
                <w:rFonts w:eastAsia="Calibri"/>
                <w:szCs w:val="28"/>
                <w:lang w:eastAsia="en-US"/>
              </w:rPr>
              <w:t xml:space="preserve"> arī gadījum</w:t>
            </w:r>
            <w:r w:rsidR="00D966CD">
              <w:rPr>
                <w:rFonts w:eastAsia="Calibri"/>
                <w:szCs w:val="28"/>
                <w:lang w:eastAsia="en-US"/>
              </w:rPr>
              <w:t>i</w:t>
            </w:r>
            <w:r w:rsidRPr="00BA1D5E">
              <w:rPr>
                <w:rFonts w:eastAsia="Calibri"/>
                <w:szCs w:val="28"/>
                <w:lang w:eastAsia="en-US"/>
              </w:rPr>
              <w:t>, k</w:t>
            </w:r>
            <w:r w:rsidR="00D966CD">
              <w:rPr>
                <w:rFonts w:eastAsia="Calibri"/>
                <w:szCs w:val="28"/>
                <w:lang w:eastAsia="en-US"/>
              </w:rPr>
              <w:t>ad</w:t>
            </w:r>
            <w:r w:rsidRPr="00BA1D5E">
              <w:rPr>
                <w:rFonts w:eastAsia="Calibri"/>
                <w:szCs w:val="28"/>
                <w:lang w:eastAsia="en-US"/>
              </w:rPr>
              <w:t xml:space="preserve"> pamatlīdzekļu iegāde netiek uzskatīta par pamatlīdzekļu aizvietošanu</w:t>
            </w:r>
            <w:r w:rsidR="00A34EF3">
              <w:rPr>
                <w:rFonts w:eastAsia="Calibri"/>
                <w:szCs w:val="28"/>
                <w:lang w:eastAsia="en-US"/>
              </w:rPr>
              <w:t xml:space="preserve">, </w:t>
            </w:r>
            <w:r w:rsidR="00D966CD">
              <w:rPr>
                <w:rFonts w:eastAsia="Calibri"/>
                <w:szCs w:val="28"/>
                <w:lang w:eastAsia="en-US"/>
              </w:rPr>
              <w:t>arī tie</w:t>
            </w:r>
            <w:r w:rsidR="00CB438F">
              <w:rPr>
                <w:rFonts w:eastAsia="Calibri"/>
                <w:szCs w:val="28"/>
                <w:lang w:eastAsia="en-US"/>
              </w:rPr>
              <w:t xml:space="preserve"> </w:t>
            </w:r>
            <w:r w:rsidR="00A34EF3">
              <w:rPr>
                <w:rFonts w:eastAsia="Calibri"/>
                <w:szCs w:val="28"/>
                <w:lang w:eastAsia="en-US"/>
              </w:rPr>
              <w:t>gad</w:t>
            </w:r>
            <w:r w:rsidR="00CB438F">
              <w:rPr>
                <w:rFonts w:eastAsia="Calibri"/>
                <w:szCs w:val="28"/>
                <w:lang w:eastAsia="en-US"/>
              </w:rPr>
              <w:t>ījum</w:t>
            </w:r>
            <w:r w:rsidR="00D966CD">
              <w:rPr>
                <w:rFonts w:eastAsia="Calibri"/>
                <w:szCs w:val="28"/>
                <w:lang w:eastAsia="en-US"/>
              </w:rPr>
              <w:t>i</w:t>
            </w:r>
            <w:r w:rsidR="00CB438F">
              <w:rPr>
                <w:rFonts w:eastAsia="Calibri"/>
                <w:szCs w:val="28"/>
                <w:lang w:eastAsia="en-US"/>
              </w:rPr>
              <w:t>, kad</w:t>
            </w:r>
            <w:r w:rsidR="00CB438F">
              <w:t xml:space="preserve"> </w:t>
            </w:r>
            <w:r w:rsidR="00CB438F" w:rsidRPr="00CB438F">
              <w:rPr>
                <w:rFonts w:eastAsia="Calibri"/>
                <w:szCs w:val="28"/>
                <w:lang w:eastAsia="en-US"/>
              </w:rPr>
              <w:t>pamatlīdzekļa iegāde būtiski maina ražošanas vai tehnoloģiju raksturu</w:t>
            </w:r>
            <w:r w:rsidR="000A0313">
              <w:rPr>
                <w:rFonts w:eastAsia="Calibri"/>
                <w:szCs w:val="28"/>
                <w:lang w:eastAsia="en-US"/>
              </w:rPr>
              <w:t xml:space="preserve">. Proti, </w:t>
            </w:r>
            <w:r w:rsidR="00A72E4D">
              <w:rPr>
                <w:rFonts w:eastAsia="Calibri"/>
                <w:szCs w:val="28"/>
                <w:lang w:eastAsia="en-US"/>
              </w:rPr>
              <w:t xml:space="preserve">praksē </w:t>
            </w:r>
            <w:r w:rsidR="00D47D92" w:rsidRPr="00CB438F">
              <w:rPr>
                <w:rFonts w:eastAsia="Calibri"/>
                <w:szCs w:val="28"/>
                <w:lang w:eastAsia="en-US"/>
              </w:rPr>
              <w:t xml:space="preserve">pamatlīdzekļa iegāde </w:t>
            </w:r>
            <w:r w:rsidR="00D47D92">
              <w:rPr>
                <w:rFonts w:eastAsia="Calibri"/>
                <w:szCs w:val="28"/>
                <w:lang w:eastAsia="en-US"/>
              </w:rPr>
              <w:t>p</w:t>
            </w:r>
            <w:r w:rsidR="00D47D92" w:rsidRPr="00D47D92">
              <w:rPr>
                <w:rFonts w:eastAsia="Calibri"/>
                <w:szCs w:val="28"/>
                <w:lang w:eastAsia="en-US"/>
              </w:rPr>
              <w:t>rimārajā lauksaimniecībā</w:t>
            </w:r>
            <w:r w:rsidR="00D47D92" w:rsidRPr="00CB438F">
              <w:rPr>
                <w:rFonts w:eastAsia="Calibri"/>
                <w:szCs w:val="28"/>
                <w:lang w:eastAsia="en-US"/>
              </w:rPr>
              <w:t xml:space="preserve"> būtiski maina ražošanas vai tehnoloģiju raksturu</w:t>
            </w:r>
            <w:r w:rsidR="00A72E4D">
              <w:rPr>
                <w:rFonts w:eastAsia="Calibri"/>
                <w:szCs w:val="28"/>
                <w:lang w:eastAsia="en-US"/>
              </w:rPr>
              <w:t>, kad</w:t>
            </w:r>
            <w:r w:rsidR="00D47D92" w:rsidRPr="00D47D92">
              <w:rPr>
                <w:rFonts w:eastAsia="Calibri"/>
                <w:szCs w:val="28"/>
                <w:lang w:eastAsia="en-US"/>
              </w:rPr>
              <w:t xml:space="preserve"> saimniecībā tiek ieviestas precīzās saimniekošanas tehnoloģijas (</w:t>
            </w:r>
            <w:r w:rsidR="00A72E4D">
              <w:rPr>
                <w:rFonts w:eastAsia="Calibri"/>
                <w:szCs w:val="28"/>
                <w:lang w:eastAsia="en-US"/>
              </w:rPr>
              <w:t>kur</w:t>
            </w:r>
            <w:r w:rsidR="00D966CD">
              <w:rPr>
                <w:rFonts w:eastAsia="Calibri"/>
                <w:szCs w:val="28"/>
                <w:lang w:eastAsia="en-US"/>
              </w:rPr>
              <w:t>u</w:t>
            </w:r>
            <w:r w:rsidR="00A72E4D">
              <w:rPr>
                <w:rFonts w:eastAsia="Calibri"/>
                <w:szCs w:val="28"/>
                <w:lang w:eastAsia="en-US"/>
              </w:rPr>
              <w:t xml:space="preserve"> </w:t>
            </w:r>
            <w:r w:rsidR="00D47D92" w:rsidRPr="00D47D92">
              <w:rPr>
                <w:rFonts w:eastAsia="Calibri"/>
                <w:szCs w:val="28"/>
                <w:lang w:eastAsia="en-US"/>
              </w:rPr>
              <w:t>saimniecībā līdz šim nebija)</w:t>
            </w:r>
            <w:r w:rsidR="00D966CD">
              <w:rPr>
                <w:rFonts w:eastAsia="Calibri"/>
                <w:szCs w:val="28"/>
                <w:lang w:eastAsia="en-US"/>
              </w:rPr>
              <w:t>,</w:t>
            </w:r>
            <w:r w:rsidR="00D47D92" w:rsidRPr="00D47D92">
              <w:rPr>
                <w:rFonts w:eastAsia="Calibri"/>
                <w:szCs w:val="28"/>
                <w:lang w:eastAsia="en-US"/>
              </w:rPr>
              <w:t xml:space="preserve"> </w:t>
            </w:r>
            <w:r w:rsidR="00A72E4D">
              <w:rPr>
                <w:rFonts w:eastAsia="Calibri"/>
                <w:szCs w:val="28"/>
                <w:lang w:eastAsia="en-US"/>
              </w:rPr>
              <w:t xml:space="preserve">piemēram, </w:t>
            </w:r>
            <w:r w:rsidR="00D47D92" w:rsidRPr="00D47D92">
              <w:rPr>
                <w:rFonts w:eastAsia="Calibri"/>
                <w:szCs w:val="28"/>
                <w:lang w:eastAsia="en-US"/>
              </w:rPr>
              <w:t>ķiploku audzētājam saimniecībā tiek uzstādīta ķiploku šķirošanas iekārta (līdz šim t</w:t>
            </w:r>
            <w:r w:rsidR="00D966CD">
              <w:rPr>
                <w:rFonts w:eastAsia="Calibri"/>
                <w:szCs w:val="28"/>
                <w:lang w:eastAsia="en-US"/>
              </w:rPr>
              <w:t>as tika</w:t>
            </w:r>
            <w:r w:rsidR="00D47D92" w:rsidRPr="00D47D92">
              <w:rPr>
                <w:rFonts w:eastAsia="Calibri"/>
                <w:szCs w:val="28"/>
                <w:lang w:eastAsia="en-US"/>
              </w:rPr>
              <w:t xml:space="preserve"> darī</w:t>
            </w:r>
            <w:r w:rsidR="00D966CD">
              <w:rPr>
                <w:rFonts w:eastAsia="Calibri"/>
                <w:szCs w:val="28"/>
                <w:lang w:eastAsia="en-US"/>
              </w:rPr>
              <w:t>ts</w:t>
            </w:r>
            <w:r w:rsidR="00D47D92" w:rsidRPr="00D47D92">
              <w:rPr>
                <w:rFonts w:eastAsia="Calibri"/>
                <w:szCs w:val="28"/>
                <w:lang w:eastAsia="en-US"/>
              </w:rPr>
              <w:t xml:space="preserve"> ar rokām) vai uzstādītas atjaunojamās enerģijas ražošanas iekārtas (saimniecībā </w:t>
            </w:r>
            <w:r w:rsidR="00D966CD">
              <w:rPr>
                <w:rFonts w:eastAsia="Calibri"/>
                <w:szCs w:val="28"/>
                <w:lang w:eastAsia="en-US"/>
              </w:rPr>
              <w:t xml:space="preserve">to </w:t>
            </w:r>
            <w:r w:rsidR="00D47D92" w:rsidRPr="00D47D92">
              <w:rPr>
                <w:rFonts w:eastAsia="Calibri"/>
                <w:szCs w:val="28"/>
                <w:lang w:eastAsia="en-US"/>
              </w:rPr>
              <w:t>līdz šim n</w:t>
            </w:r>
            <w:r w:rsidR="00D966CD">
              <w:rPr>
                <w:rFonts w:eastAsia="Calibri"/>
                <w:szCs w:val="28"/>
                <w:lang w:eastAsia="en-US"/>
              </w:rPr>
              <w:t xml:space="preserve">av </w:t>
            </w:r>
            <w:r w:rsidR="00D47D92" w:rsidRPr="00D47D92">
              <w:rPr>
                <w:rFonts w:eastAsia="Calibri"/>
                <w:szCs w:val="28"/>
                <w:lang w:eastAsia="en-US"/>
              </w:rPr>
              <w:t>bij</w:t>
            </w:r>
            <w:r w:rsidR="00D966CD">
              <w:rPr>
                <w:rFonts w:eastAsia="Calibri"/>
                <w:szCs w:val="28"/>
                <w:lang w:eastAsia="en-US"/>
              </w:rPr>
              <w:t>is</w:t>
            </w:r>
            <w:r w:rsidR="00D47D92" w:rsidRPr="00D47D92">
              <w:rPr>
                <w:rFonts w:eastAsia="Calibri"/>
                <w:szCs w:val="28"/>
                <w:lang w:eastAsia="en-US"/>
              </w:rPr>
              <w:t>)</w:t>
            </w:r>
            <w:r w:rsidR="006E7BE4">
              <w:rPr>
                <w:rFonts w:eastAsia="Calibri"/>
                <w:szCs w:val="28"/>
                <w:lang w:eastAsia="en-US"/>
              </w:rPr>
              <w:t>. Savukār</w:t>
            </w:r>
            <w:r w:rsidR="00D966CD">
              <w:rPr>
                <w:rFonts w:eastAsia="Calibri"/>
                <w:szCs w:val="28"/>
                <w:lang w:eastAsia="en-US"/>
              </w:rPr>
              <w:t>t</w:t>
            </w:r>
            <w:r w:rsidR="006E7BE4">
              <w:rPr>
                <w:rFonts w:eastAsia="Calibri"/>
                <w:szCs w:val="28"/>
                <w:lang w:eastAsia="en-US"/>
              </w:rPr>
              <w:t xml:space="preserve"> p</w:t>
            </w:r>
            <w:r w:rsidR="00D47D92" w:rsidRPr="00D47D92">
              <w:rPr>
                <w:rFonts w:eastAsia="Calibri"/>
                <w:szCs w:val="28"/>
                <w:lang w:eastAsia="en-US"/>
              </w:rPr>
              <w:t>ārstrād</w:t>
            </w:r>
            <w:r w:rsidR="006E7BE4">
              <w:rPr>
                <w:rFonts w:eastAsia="Calibri"/>
                <w:szCs w:val="28"/>
                <w:lang w:eastAsia="en-US"/>
              </w:rPr>
              <w:t>es uzņēmumos</w:t>
            </w:r>
            <w:r w:rsidR="00D966CD">
              <w:rPr>
                <w:rFonts w:eastAsia="Calibri"/>
                <w:szCs w:val="28"/>
                <w:lang w:eastAsia="en-US"/>
              </w:rPr>
              <w:t xml:space="preserve"> tā var būt</w:t>
            </w:r>
            <w:r w:rsidR="00D47D92" w:rsidRPr="00D47D92">
              <w:rPr>
                <w:rFonts w:eastAsia="Calibri"/>
                <w:szCs w:val="28"/>
                <w:lang w:eastAsia="en-US"/>
              </w:rPr>
              <w:t xml:space="preserve"> jauna produkta līnijas ražošana vai jauna iepakojuma līnija, kas maina uzņēmumā esošo ražošanas tehnoloģiju.</w:t>
            </w:r>
            <w:r w:rsidR="006E7BE4">
              <w:rPr>
                <w:rFonts w:eastAsia="Calibri"/>
                <w:szCs w:val="28"/>
                <w:lang w:eastAsia="en-US"/>
              </w:rPr>
              <w:t xml:space="preserve"> N</w:t>
            </w:r>
            <w:r w:rsidRPr="00BA1D5E">
              <w:rPr>
                <w:rFonts w:eastAsia="Calibri"/>
                <w:szCs w:val="28"/>
                <w:lang w:eastAsia="en-US"/>
              </w:rPr>
              <w:t xml:space="preserve">osacījums tiek piemērots atbilstoši LAP 2014.–2022. </w:t>
            </w:r>
            <w:r w:rsidR="00D966CD">
              <w:rPr>
                <w:rFonts w:eastAsia="Calibri"/>
                <w:szCs w:val="28"/>
                <w:lang w:eastAsia="en-US"/>
              </w:rPr>
              <w:t>paredzētajam</w:t>
            </w:r>
            <w:r w:rsidRPr="00BA1D5E">
              <w:rPr>
                <w:rFonts w:eastAsia="Calibri"/>
                <w:szCs w:val="28"/>
                <w:lang w:eastAsia="en-US"/>
              </w:rPr>
              <w:t>, kā arī tika piemērots iepriekšējā periodā</w:t>
            </w:r>
            <w:r w:rsidR="00D966CD">
              <w:rPr>
                <w:rFonts w:eastAsia="Calibri"/>
                <w:szCs w:val="28"/>
                <w:lang w:eastAsia="en-US"/>
              </w:rPr>
              <w:t>, īstenojot</w:t>
            </w:r>
            <w:r w:rsidRPr="00BA1D5E">
              <w:rPr>
                <w:rFonts w:eastAsia="Calibri"/>
                <w:szCs w:val="28"/>
                <w:lang w:eastAsia="en-US"/>
              </w:rPr>
              <w:t xml:space="preserve"> LAP 2014</w:t>
            </w:r>
            <w:r w:rsidR="00D966CD">
              <w:rPr>
                <w:rFonts w:eastAsia="Calibri"/>
                <w:szCs w:val="28"/>
                <w:lang w:eastAsia="en-US"/>
              </w:rPr>
              <w:t>–</w:t>
            </w:r>
            <w:r w:rsidRPr="00BA1D5E">
              <w:rPr>
                <w:rFonts w:eastAsia="Calibri"/>
                <w:szCs w:val="28"/>
                <w:lang w:eastAsia="en-US"/>
              </w:rPr>
              <w:t>2020</w:t>
            </w:r>
            <w:r w:rsidR="00D966CD">
              <w:rPr>
                <w:rFonts w:eastAsia="Calibri"/>
                <w:szCs w:val="28"/>
                <w:lang w:eastAsia="en-US"/>
              </w:rPr>
              <w:t>,</w:t>
            </w:r>
            <w:r w:rsidRPr="00BA1D5E">
              <w:rPr>
                <w:rFonts w:eastAsia="Calibri"/>
                <w:szCs w:val="28"/>
                <w:lang w:eastAsia="en-US"/>
              </w:rPr>
              <w:t xml:space="preserve"> </w:t>
            </w:r>
            <w:r w:rsidR="00D966CD">
              <w:rPr>
                <w:rFonts w:eastAsia="Calibri"/>
                <w:szCs w:val="28"/>
                <w:lang w:eastAsia="en-US"/>
              </w:rPr>
              <w:t xml:space="preserve">saskaņā ar </w:t>
            </w:r>
            <w:r w:rsidRPr="00BA1D5E">
              <w:rPr>
                <w:rFonts w:eastAsia="Calibri"/>
                <w:szCs w:val="28"/>
                <w:lang w:eastAsia="en-US"/>
              </w:rPr>
              <w:t>Ministru kabineta 2014. gada 30. septembra noteikumu Nr. 600 "Kārtība, kādā piešķir valsts un Eiropas Savienības atbalstu atklātu projektu konkursu veidā pasākumam "Ieguldījumi materiālajos aktīvos"" 10. punkt</w:t>
            </w:r>
            <w:r w:rsidR="00D966CD">
              <w:rPr>
                <w:rFonts w:eastAsia="Calibri"/>
                <w:szCs w:val="28"/>
                <w:lang w:eastAsia="en-US"/>
              </w:rPr>
              <w:t>u</w:t>
            </w:r>
            <w:r w:rsidRPr="00BA1D5E">
              <w:rPr>
                <w:rFonts w:eastAsia="Calibri"/>
                <w:szCs w:val="28"/>
                <w:lang w:eastAsia="en-US"/>
              </w:rPr>
              <w:t>.</w:t>
            </w:r>
          </w:p>
          <w:p w14:paraId="21E6BC9A" w14:textId="58D57AFE" w:rsidR="00304546" w:rsidRPr="00BA1D5E" w:rsidRDefault="007E5534" w:rsidP="007E5534">
            <w:pPr>
              <w:ind w:right="140"/>
              <w:jc w:val="both"/>
              <w:rPr>
                <w:rFonts w:eastAsia="Calibri"/>
                <w:szCs w:val="28"/>
                <w:lang w:eastAsia="en-US"/>
              </w:rPr>
            </w:pPr>
            <w:r w:rsidRPr="00BA1D5E">
              <w:rPr>
                <w:rFonts w:eastAsia="Calibri"/>
                <w:szCs w:val="28"/>
                <w:lang w:eastAsia="en-US"/>
              </w:rPr>
              <w:t>Noteikumu projekta 12.</w:t>
            </w:r>
            <w:r w:rsidR="00D966CD">
              <w:rPr>
                <w:rFonts w:eastAsia="Calibri"/>
                <w:szCs w:val="28"/>
                <w:lang w:eastAsia="en-US"/>
              </w:rPr>
              <w:t> </w:t>
            </w:r>
            <w:r w:rsidRPr="00BA1D5E">
              <w:rPr>
                <w:rFonts w:eastAsia="Calibri"/>
                <w:szCs w:val="28"/>
                <w:lang w:eastAsia="en-US"/>
              </w:rPr>
              <w:t>punkt</w:t>
            </w:r>
            <w:r w:rsidR="00D966CD">
              <w:rPr>
                <w:rFonts w:eastAsia="Calibri"/>
                <w:szCs w:val="28"/>
                <w:lang w:eastAsia="en-US"/>
              </w:rPr>
              <w:t>ā</w:t>
            </w:r>
            <w:r w:rsidRPr="00BA1D5E">
              <w:rPr>
                <w:rFonts w:eastAsia="Calibri"/>
                <w:szCs w:val="28"/>
                <w:lang w:eastAsia="en-US"/>
              </w:rPr>
              <w:t xml:space="preserve"> no</w:t>
            </w:r>
            <w:r w:rsidR="00D966CD">
              <w:rPr>
                <w:rFonts w:eastAsia="Calibri"/>
                <w:szCs w:val="28"/>
                <w:lang w:eastAsia="en-US"/>
              </w:rPr>
              <w:t>teikts</w:t>
            </w:r>
            <w:r w:rsidRPr="00BA1D5E">
              <w:rPr>
                <w:rFonts w:eastAsia="Calibri"/>
                <w:szCs w:val="28"/>
                <w:lang w:eastAsia="en-US"/>
              </w:rPr>
              <w:t xml:space="preserve">, ka pēc projekta īstenošanas atbalsta saņēmējs (izņemot kooperatīvo sabiedrību vai kooperatīvo sabiedrību apvienību) sasniedz vismaz vienu no saimnieciskās darbības rādītājiem vai mērķiem. </w:t>
            </w:r>
            <w:r w:rsidR="00D966CD">
              <w:rPr>
                <w:rFonts w:eastAsia="Calibri"/>
                <w:szCs w:val="28"/>
                <w:lang w:eastAsia="en-US"/>
              </w:rPr>
              <w:t>Ievērojot</w:t>
            </w:r>
            <w:r w:rsidRPr="00BA1D5E">
              <w:rPr>
                <w:rFonts w:eastAsia="Calibri"/>
                <w:szCs w:val="28"/>
                <w:lang w:eastAsia="en-US"/>
              </w:rPr>
              <w:t xml:space="preserve"> Lauku atbalsta dienesta pieredzi atbalsta projektu administrācijā un uzraudzībā, pārejas periodā atbalsta pretendentiem tiks </w:t>
            </w:r>
            <w:r w:rsidR="00D966CD">
              <w:rPr>
                <w:rFonts w:eastAsia="Calibri"/>
                <w:szCs w:val="28"/>
                <w:lang w:eastAsia="en-US"/>
              </w:rPr>
              <w:t>dot</w:t>
            </w:r>
            <w:r w:rsidR="00624532">
              <w:rPr>
                <w:rFonts w:eastAsia="Calibri"/>
                <w:szCs w:val="28"/>
                <w:lang w:eastAsia="en-US"/>
              </w:rPr>
              <w:t>a</w:t>
            </w:r>
            <w:r w:rsidR="00D966CD">
              <w:rPr>
                <w:rFonts w:eastAsia="Calibri"/>
                <w:szCs w:val="28"/>
                <w:lang w:eastAsia="en-US"/>
              </w:rPr>
              <w:t xml:space="preserve"> iespēja </w:t>
            </w:r>
            <w:r w:rsidRPr="00BA1D5E">
              <w:rPr>
                <w:rFonts w:eastAsia="Calibri"/>
                <w:szCs w:val="28"/>
                <w:lang w:eastAsia="en-US"/>
              </w:rPr>
              <w:t>elastī</w:t>
            </w:r>
            <w:r w:rsidR="00D966CD">
              <w:rPr>
                <w:rFonts w:eastAsia="Calibri"/>
                <w:szCs w:val="28"/>
                <w:lang w:eastAsia="en-US"/>
              </w:rPr>
              <w:t>gi</w:t>
            </w:r>
            <w:r w:rsidRPr="00BA1D5E">
              <w:rPr>
                <w:rFonts w:eastAsia="Calibri"/>
                <w:szCs w:val="28"/>
                <w:lang w:eastAsia="en-US"/>
              </w:rPr>
              <w:t xml:space="preserve"> </w:t>
            </w:r>
            <w:r w:rsidR="00D966CD">
              <w:rPr>
                <w:rFonts w:eastAsia="Calibri"/>
                <w:szCs w:val="28"/>
                <w:lang w:eastAsia="en-US"/>
              </w:rPr>
              <w:t xml:space="preserve">izvēlēties </w:t>
            </w:r>
            <w:r w:rsidRPr="00BA1D5E">
              <w:rPr>
                <w:rFonts w:eastAsia="Calibri"/>
                <w:szCs w:val="28"/>
                <w:lang w:eastAsia="en-US"/>
              </w:rPr>
              <w:t>ekonomisk</w:t>
            </w:r>
            <w:r w:rsidR="00D966CD">
              <w:rPr>
                <w:rFonts w:eastAsia="Calibri"/>
                <w:szCs w:val="28"/>
                <w:lang w:eastAsia="en-US"/>
              </w:rPr>
              <w:t>o</w:t>
            </w:r>
            <w:r w:rsidRPr="00BA1D5E">
              <w:rPr>
                <w:rFonts w:eastAsia="Calibri"/>
                <w:szCs w:val="28"/>
                <w:lang w:eastAsia="en-US"/>
              </w:rPr>
              <w:t xml:space="preserve"> apakšmērķ</w:t>
            </w:r>
            <w:r w:rsidR="00D966CD">
              <w:rPr>
                <w:rFonts w:eastAsia="Calibri"/>
                <w:szCs w:val="28"/>
                <w:lang w:eastAsia="en-US"/>
              </w:rPr>
              <w:t>i, t.i., a</w:t>
            </w:r>
            <w:r w:rsidR="009F7E04">
              <w:rPr>
                <w:rFonts w:eastAsia="Calibri"/>
                <w:szCs w:val="28"/>
                <w:lang w:eastAsia="en-US"/>
              </w:rPr>
              <w:t>tbalsta p</w:t>
            </w:r>
            <w:r w:rsidRPr="00BA1D5E">
              <w:rPr>
                <w:rFonts w:eastAsia="Calibri"/>
                <w:szCs w:val="28"/>
                <w:lang w:eastAsia="en-US"/>
              </w:rPr>
              <w:t>retendents pats izvēlēsies</w:t>
            </w:r>
            <w:r w:rsidR="00D966CD">
              <w:rPr>
                <w:rFonts w:eastAsia="Calibri"/>
                <w:szCs w:val="28"/>
                <w:lang w:eastAsia="en-US"/>
              </w:rPr>
              <w:t>,</w:t>
            </w:r>
            <w:r w:rsidRPr="00BA1D5E">
              <w:rPr>
                <w:rFonts w:eastAsia="Calibri"/>
                <w:szCs w:val="28"/>
                <w:lang w:eastAsia="en-US"/>
              </w:rPr>
              <w:t xml:space="preserve"> kuru ekonomisko rādītāju </w:t>
            </w:r>
            <w:r w:rsidR="00D966CD">
              <w:rPr>
                <w:rFonts w:eastAsia="Calibri"/>
                <w:szCs w:val="28"/>
                <w:lang w:eastAsia="en-US"/>
              </w:rPr>
              <w:t xml:space="preserve">pēc </w:t>
            </w:r>
            <w:r w:rsidRPr="00BA1D5E">
              <w:rPr>
                <w:rFonts w:eastAsia="Calibri"/>
                <w:szCs w:val="28"/>
                <w:lang w:eastAsia="en-US"/>
              </w:rPr>
              <w:t xml:space="preserve">projekta </w:t>
            </w:r>
            <w:r w:rsidR="00D966CD">
              <w:rPr>
                <w:rFonts w:eastAsia="Calibri"/>
                <w:szCs w:val="28"/>
                <w:lang w:eastAsia="en-US"/>
              </w:rPr>
              <w:t>īstenošanas</w:t>
            </w:r>
            <w:r w:rsidRPr="00BA1D5E">
              <w:rPr>
                <w:rFonts w:eastAsia="Calibri"/>
                <w:szCs w:val="28"/>
                <w:lang w:eastAsia="en-US"/>
              </w:rPr>
              <w:t xml:space="preserve"> vērtēt un auditējami pierādīt.</w:t>
            </w:r>
          </w:p>
          <w:p w14:paraId="3584C593" w14:textId="77777777" w:rsidR="007071F9" w:rsidRPr="00BA1D5E" w:rsidRDefault="007071F9" w:rsidP="007071F9">
            <w:pPr>
              <w:ind w:right="140"/>
              <w:jc w:val="both"/>
              <w:rPr>
                <w:rFonts w:eastAsia="Calibri"/>
                <w:szCs w:val="28"/>
                <w:lang w:eastAsia="en-US"/>
              </w:rPr>
            </w:pPr>
          </w:p>
          <w:p w14:paraId="419C5AA4" w14:textId="6CB37279" w:rsidR="007071F9" w:rsidRPr="00BA1D5E" w:rsidRDefault="007071F9" w:rsidP="007071F9">
            <w:pPr>
              <w:ind w:right="140"/>
              <w:jc w:val="both"/>
              <w:rPr>
                <w:rFonts w:eastAsia="Calibri"/>
                <w:szCs w:val="28"/>
                <w:lang w:eastAsia="en-US"/>
              </w:rPr>
            </w:pPr>
            <w:r w:rsidRPr="00BA1D5E">
              <w:rPr>
                <w:rFonts w:eastAsia="Calibri"/>
                <w:szCs w:val="28"/>
                <w:lang w:eastAsia="en-US"/>
              </w:rPr>
              <w:t>Noteikumu projekt</w:t>
            </w:r>
            <w:r w:rsidR="00D966CD">
              <w:rPr>
                <w:rFonts w:eastAsia="Calibri"/>
                <w:szCs w:val="28"/>
                <w:lang w:eastAsia="en-US"/>
              </w:rPr>
              <w:t>ā</w:t>
            </w:r>
            <w:r w:rsidRPr="00BA1D5E">
              <w:rPr>
                <w:rFonts w:eastAsia="Calibri"/>
                <w:szCs w:val="28"/>
                <w:lang w:eastAsia="en-US"/>
              </w:rPr>
              <w:t xml:space="preserve"> no</w:t>
            </w:r>
            <w:r w:rsidR="00D966CD">
              <w:rPr>
                <w:rFonts w:eastAsia="Calibri"/>
                <w:szCs w:val="28"/>
                <w:lang w:eastAsia="en-US"/>
              </w:rPr>
              <w:t>teikta</w:t>
            </w:r>
            <w:r w:rsidRPr="00BA1D5E">
              <w:rPr>
                <w:rFonts w:eastAsia="Calibri"/>
                <w:szCs w:val="28"/>
                <w:lang w:eastAsia="en-US"/>
              </w:rPr>
              <w:t xml:space="preserve"> kārtīb</w:t>
            </w:r>
            <w:r w:rsidR="00D966CD">
              <w:rPr>
                <w:rFonts w:eastAsia="Calibri"/>
                <w:szCs w:val="28"/>
                <w:lang w:eastAsia="en-US"/>
              </w:rPr>
              <w:t>a</w:t>
            </w:r>
            <w:r w:rsidRPr="00BA1D5E">
              <w:rPr>
                <w:rFonts w:eastAsia="Calibri"/>
                <w:szCs w:val="28"/>
                <w:lang w:eastAsia="en-US"/>
              </w:rPr>
              <w:t xml:space="preserve">, kādā jārīkojas atbalsta saņēmējam, ja tas nevar sasniegt </w:t>
            </w:r>
            <w:r w:rsidR="00D966CD">
              <w:rPr>
                <w:rFonts w:eastAsia="Calibri"/>
                <w:szCs w:val="28"/>
                <w:lang w:eastAsia="en-US"/>
              </w:rPr>
              <w:t>kādu</w:t>
            </w:r>
            <w:r w:rsidRPr="00BA1D5E">
              <w:rPr>
                <w:rFonts w:eastAsia="Calibri"/>
                <w:szCs w:val="28"/>
                <w:lang w:eastAsia="en-US"/>
              </w:rPr>
              <w:t xml:space="preserve"> no noteikumu projekt</w:t>
            </w:r>
            <w:r w:rsidR="00D966CD">
              <w:rPr>
                <w:rFonts w:eastAsia="Calibri"/>
                <w:szCs w:val="28"/>
                <w:lang w:eastAsia="en-US"/>
              </w:rPr>
              <w:t>ā</w:t>
            </w:r>
            <w:r w:rsidRPr="00BA1D5E">
              <w:rPr>
                <w:rFonts w:eastAsia="Calibri"/>
                <w:szCs w:val="28"/>
                <w:lang w:eastAsia="en-US"/>
              </w:rPr>
              <w:t xml:space="preserve"> </w:t>
            </w:r>
            <w:r w:rsidR="00D966CD">
              <w:rPr>
                <w:rFonts w:eastAsia="Calibri"/>
                <w:szCs w:val="28"/>
                <w:lang w:eastAsia="en-US"/>
              </w:rPr>
              <w:t>minē</w:t>
            </w:r>
            <w:r w:rsidRPr="00BA1D5E">
              <w:rPr>
                <w:rFonts w:eastAsia="Calibri"/>
                <w:szCs w:val="28"/>
                <w:lang w:eastAsia="en-US"/>
              </w:rPr>
              <w:t>tajiem saimnieciskās darbības rādītājiem vai mērķiem. Noteikumu projekta 13.</w:t>
            </w:r>
            <w:r w:rsidR="00D966CD">
              <w:rPr>
                <w:rFonts w:eastAsia="Calibri"/>
                <w:szCs w:val="28"/>
                <w:lang w:eastAsia="en-US"/>
              </w:rPr>
              <w:t> </w:t>
            </w:r>
            <w:r w:rsidRPr="00BA1D5E">
              <w:rPr>
                <w:rFonts w:eastAsia="Calibri"/>
                <w:szCs w:val="28"/>
                <w:lang w:eastAsia="en-US"/>
              </w:rPr>
              <w:t>punktā noteiktais izriet no 12.1.</w:t>
            </w:r>
            <w:r w:rsidR="00D966CD">
              <w:rPr>
                <w:rFonts w:eastAsia="Calibri"/>
                <w:szCs w:val="28"/>
                <w:lang w:eastAsia="en-US"/>
              </w:rPr>
              <w:t> </w:t>
            </w:r>
            <w:r w:rsidRPr="00BA1D5E">
              <w:rPr>
                <w:rFonts w:eastAsia="Calibri"/>
                <w:szCs w:val="28"/>
                <w:lang w:eastAsia="en-US"/>
              </w:rPr>
              <w:t xml:space="preserve">apakšpunktā noteiktā: ja atbalsta saņēmējs pēc projekta īstenošanas šo noteikumu 12.1. apakšpunktā minētos rādītājus, kurus </w:t>
            </w:r>
            <w:r w:rsidR="00D966CD">
              <w:rPr>
                <w:rFonts w:eastAsia="Calibri"/>
                <w:szCs w:val="28"/>
                <w:lang w:eastAsia="en-US"/>
              </w:rPr>
              <w:t xml:space="preserve">tas </w:t>
            </w:r>
            <w:r w:rsidRPr="00BA1D5E">
              <w:rPr>
                <w:rFonts w:eastAsia="Calibri"/>
                <w:szCs w:val="28"/>
                <w:lang w:eastAsia="en-US"/>
              </w:rPr>
              <w:t xml:space="preserve">norādījis projekta iesniegumā, nevar sasniegt nepārvaramas varas dēļ, no tā neatkarīgu vispārēju tirgus izmaiņu vai tādu vispārēju cenu izmaiņu dēļ kā, piemēram, valsts ekonomiskā krīze, </w:t>
            </w:r>
            <w:r w:rsidR="00D966CD">
              <w:rPr>
                <w:rFonts w:eastAsia="Calibri"/>
                <w:szCs w:val="28"/>
                <w:lang w:eastAsia="en-US"/>
              </w:rPr>
              <w:t>viņš</w:t>
            </w:r>
            <w:r w:rsidRPr="00BA1D5E">
              <w:rPr>
                <w:rFonts w:eastAsia="Calibri"/>
                <w:szCs w:val="28"/>
                <w:lang w:eastAsia="en-US"/>
              </w:rPr>
              <w:t>, sniedzot pamatojumu, ir tiesīgs lūgt Lauku atbalsta dienestu pārskatīt 12.1.</w:t>
            </w:r>
            <w:r w:rsidR="00D966CD">
              <w:rPr>
                <w:rFonts w:eastAsia="Calibri"/>
                <w:szCs w:val="28"/>
                <w:lang w:eastAsia="en-US"/>
              </w:rPr>
              <w:t xml:space="preserve"> </w:t>
            </w:r>
            <w:r w:rsidRPr="00BA1D5E">
              <w:rPr>
                <w:rFonts w:eastAsia="Calibri"/>
                <w:szCs w:val="28"/>
                <w:lang w:eastAsia="en-US"/>
              </w:rPr>
              <w:t xml:space="preserve">apakšpunktā plānoto rādītāju palielinājumu vai pagarināt projekta uzraudzības periodu plānoto rādītāju sasniegšanai šo noteikumu 12.1. apakšpunktā un 15. punktā minētajā līmenī. </w:t>
            </w:r>
          </w:p>
          <w:p w14:paraId="264E0EEF" w14:textId="00322E4C" w:rsidR="007071F9" w:rsidRPr="00BA1D5E" w:rsidRDefault="007071F9" w:rsidP="007071F9">
            <w:pPr>
              <w:ind w:right="140"/>
              <w:jc w:val="both"/>
              <w:rPr>
                <w:rFonts w:eastAsia="Calibri"/>
                <w:szCs w:val="28"/>
                <w:lang w:eastAsia="en-US"/>
              </w:rPr>
            </w:pPr>
            <w:r w:rsidRPr="00BA1D5E">
              <w:rPr>
                <w:rFonts w:eastAsia="Calibri"/>
                <w:szCs w:val="28"/>
                <w:lang w:eastAsia="en-US"/>
              </w:rPr>
              <w:lastRenderedPageBreak/>
              <w:t>Arī 14.</w:t>
            </w:r>
            <w:r w:rsidR="00D966CD">
              <w:rPr>
                <w:rFonts w:eastAsia="Calibri"/>
                <w:szCs w:val="28"/>
                <w:lang w:eastAsia="en-US"/>
              </w:rPr>
              <w:t> </w:t>
            </w:r>
            <w:r w:rsidRPr="00BA1D5E">
              <w:rPr>
                <w:rFonts w:eastAsia="Calibri"/>
                <w:szCs w:val="28"/>
                <w:lang w:eastAsia="en-US"/>
              </w:rPr>
              <w:t xml:space="preserve">punktā noteikts, </w:t>
            </w:r>
            <w:r w:rsidR="00D966CD">
              <w:rPr>
                <w:rFonts w:eastAsia="Calibri"/>
                <w:szCs w:val="28"/>
                <w:lang w:eastAsia="en-US"/>
              </w:rPr>
              <w:t>k</w:t>
            </w:r>
            <w:r w:rsidRPr="00BA1D5E">
              <w:rPr>
                <w:rFonts w:eastAsia="Calibri"/>
                <w:szCs w:val="28"/>
                <w:lang w:eastAsia="en-US"/>
              </w:rPr>
              <w:t xml:space="preserve">a atbalsta </w:t>
            </w:r>
            <w:r w:rsidR="00D966CD">
              <w:rPr>
                <w:rFonts w:eastAsia="Calibri"/>
                <w:szCs w:val="28"/>
                <w:lang w:eastAsia="en-US"/>
              </w:rPr>
              <w:t>saņēmējs</w:t>
            </w:r>
            <w:r w:rsidRPr="00BA1D5E">
              <w:rPr>
                <w:rFonts w:eastAsia="Calibri"/>
                <w:szCs w:val="28"/>
                <w:lang w:eastAsia="en-US"/>
              </w:rPr>
              <w:t xml:space="preserve">, kura kopējais apgrozījums kopā ar saistītajiem uzņēmumiem vai vienu vienotu uzņēmumu pēdējā noslēgtajā gadā pārsniedz 50 000 000 </w:t>
            </w:r>
            <w:proofErr w:type="spellStart"/>
            <w:r w:rsidRPr="00B25B61">
              <w:rPr>
                <w:rFonts w:eastAsia="Calibri"/>
                <w:i/>
                <w:szCs w:val="28"/>
                <w:lang w:eastAsia="en-US"/>
              </w:rPr>
              <w:t>euro</w:t>
            </w:r>
            <w:proofErr w:type="spellEnd"/>
            <w:r w:rsidRPr="00BA1D5E">
              <w:rPr>
                <w:rFonts w:eastAsia="Calibri"/>
                <w:szCs w:val="28"/>
                <w:lang w:eastAsia="en-US"/>
              </w:rPr>
              <w:t>, papildus noteikumu 12.</w:t>
            </w:r>
            <w:r w:rsidR="00D966CD">
              <w:rPr>
                <w:rFonts w:eastAsia="Calibri"/>
                <w:szCs w:val="28"/>
                <w:lang w:eastAsia="en-US"/>
              </w:rPr>
              <w:t> </w:t>
            </w:r>
            <w:r w:rsidRPr="00BA1D5E">
              <w:rPr>
                <w:rFonts w:eastAsia="Calibri"/>
                <w:szCs w:val="28"/>
                <w:lang w:eastAsia="en-US"/>
              </w:rPr>
              <w:t xml:space="preserve">punktā minētajiem mērķiem izpilda vienu no papildu nosacījumiem. </w:t>
            </w:r>
            <w:r w:rsidR="00D966CD">
              <w:rPr>
                <w:rFonts w:eastAsia="Calibri"/>
                <w:szCs w:val="28"/>
                <w:lang w:eastAsia="en-US"/>
              </w:rPr>
              <w:t>Uz n</w:t>
            </w:r>
            <w:r w:rsidRPr="00BA1D5E">
              <w:rPr>
                <w:rFonts w:eastAsia="Calibri"/>
                <w:szCs w:val="28"/>
                <w:lang w:eastAsia="en-US"/>
              </w:rPr>
              <w:t>oteikumu projekta 14.</w:t>
            </w:r>
            <w:r w:rsidR="00D966CD">
              <w:rPr>
                <w:rFonts w:eastAsia="Calibri"/>
                <w:szCs w:val="28"/>
                <w:lang w:eastAsia="en-US"/>
              </w:rPr>
              <w:t xml:space="preserve"> </w:t>
            </w:r>
            <w:r w:rsidRPr="00BA1D5E">
              <w:rPr>
                <w:rFonts w:eastAsia="Calibri"/>
                <w:szCs w:val="28"/>
                <w:lang w:eastAsia="en-US"/>
              </w:rPr>
              <w:t xml:space="preserve">punktā </w:t>
            </w:r>
            <w:r w:rsidR="00D966CD">
              <w:rPr>
                <w:rFonts w:eastAsia="Calibri"/>
                <w:szCs w:val="28"/>
                <w:lang w:eastAsia="en-US"/>
              </w:rPr>
              <w:t>minēto</w:t>
            </w:r>
            <w:r w:rsidR="00D966CD" w:rsidRPr="00BA1D5E">
              <w:rPr>
                <w:rFonts w:eastAsia="Calibri"/>
                <w:szCs w:val="28"/>
                <w:lang w:eastAsia="en-US"/>
              </w:rPr>
              <w:t xml:space="preserve"> </w:t>
            </w:r>
            <w:r w:rsidRPr="00BA1D5E">
              <w:rPr>
                <w:rFonts w:eastAsia="Calibri"/>
                <w:szCs w:val="28"/>
                <w:lang w:eastAsia="en-US"/>
              </w:rPr>
              <w:t>atbalsta saņēmēj</w:t>
            </w:r>
            <w:r w:rsidR="00D966CD">
              <w:rPr>
                <w:rFonts w:eastAsia="Calibri"/>
                <w:szCs w:val="28"/>
                <w:lang w:eastAsia="en-US"/>
              </w:rPr>
              <w:t>u attiecas</w:t>
            </w:r>
            <w:r w:rsidRPr="00BA1D5E">
              <w:rPr>
                <w:rFonts w:eastAsia="Calibri"/>
                <w:szCs w:val="28"/>
                <w:lang w:eastAsia="en-US"/>
              </w:rPr>
              <w:t xml:space="preserve"> arī 13.</w:t>
            </w:r>
            <w:r w:rsidR="00D966CD">
              <w:rPr>
                <w:rFonts w:eastAsia="Calibri"/>
                <w:szCs w:val="28"/>
                <w:lang w:eastAsia="en-US"/>
              </w:rPr>
              <w:t xml:space="preserve"> </w:t>
            </w:r>
            <w:r w:rsidRPr="00BA1D5E">
              <w:rPr>
                <w:rFonts w:eastAsia="Calibri"/>
                <w:szCs w:val="28"/>
                <w:lang w:eastAsia="en-US"/>
              </w:rPr>
              <w:t>punkt</w:t>
            </w:r>
            <w:r w:rsidR="00D966CD">
              <w:rPr>
                <w:rFonts w:eastAsia="Calibri"/>
                <w:szCs w:val="28"/>
                <w:lang w:eastAsia="en-US"/>
              </w:rPr>
              <w:t>a</w:t>
            </w:r>
            <w:r w:rsidRPr="00BA1D5E">
              <w:rPr>
                <w:rFonts w:eastAsia="Calibri"/>
                <w:szCs w:val="28"/>
                <w:lang w:eastAsia="en-US"/>
              </w:rPr>
              <w:t xml:space="preserve"> </w:t>
            </w:r>
            <w:r w:rsidR="00D966CD">
              <w:rPr>
                <w:rFonts w:eastAsia="Calibri"/>
                <w:szCs w:val="28"/>
                <w:lang w:eastAsia="en-US"/>
              </w:rPr>
              <w:t>prasība</w:t>
            </w:r>
            <w:r w:rsidRPr="00BA1D5E">
              <w:rPr>
                <w:rFonts w:eastAsia="Calibri"/>
                <w:szCs w:val="28"/>
                <w:lang w:eastAsia="en-US"/>
              </w:rPr>
              <w:t>.</w:t>
            </w:r>
          </w:p>
          <w:p w14:paraId="1B9FB9FF" w14:textId="54653746" w:rsidR="007071F9" w:rsidRPr="00BA1D5E" w:rsidRDefault="00944C62" w:rsidP="007071F9">
            <w:pPr>
              <w:ind w:right="140"/>
              <w:jc w:val="both"/>
              <w:rPr>
                <w:rFonts w:eastAsia="Calibri"/>
                <w:szCs w:val="28"/>
                <w:lang w:eastAsia="en-US"/>
              </w:rPr>
            </w:pPr>
            <w:r>
              <w:rPr>
                <w:rFonts w:eastAsia="Calibri"/>
                <w:szCs w:val="28"/>
                <w:lang w:eastAsia="en-US"/>
              </w:rPr>
              <w:t>A</w:t>
            </w:r>
            <w:r w:rsidR="007071F9" w:rsidRPr="00BA1D5E">
              <w:rPr>
                <w:rFonts w:eastAsia="Calibri"/>
                <w:szCs w:val="28"/>
                <w:lang w:eastAsia="en-US"/>
              </w:rPr>
              <w:t xml:space="preserve">tbilstoši noteikumu projekta 13.1. apakšpunktam ar plānoto rādītāju palielinājuma pārskatīšanu </w:t>
            </w:r>
            <w:r>
              <w:rPr>
                <w:rFonts w:eastAsia="Calibri"/>
                <w:szCs w:val="28"/>
                <w:lang w:eastAsia="en-US"/>
              </w:rPr>
              <w:t>domāts</w:t>
            </w:r>
            <w:r w:rsidRPr="00BA1D5E">
              <w:rPr>
                <w:rFonts w:eastAsia="Calibri"/>
                <w:szCs w:val="28"/>
                <w:lang w:eastAsia="en-US"/>
              </w:rPr>
              <w:t xml:space="preserve"> </w:t>
            </w:r>
            <w:r w:rsidR="007071F9" w:rsidRPr="00BA1D5E">
              <w:rPr>
                <w:rFonts w:eastAsia="Calibri"/>
                <w:szCs w:val="28"/>
                <w:lang w:eastAsia="en-US"/>
              </w:rPr>
              <w:t>12.1.</w:t>
            </w:r>
            <w:r>
              <w:rPr>
                <w:rFonts w:eastAsia="Calibri"/>
                <w:szCs w:val="28"/>
                <w:lang w:eastAsia="en-US"/>
              </w:rPr>
              <w:t> </w:t>
            </w:r>
            <w:r w:rsidR="007071F9" w:rsidRPr="00BA1D5E">
              <w:rPr>
                <w:rFonts w:eastAsia="Calibri"/>
                <w:szCs w:val="28"/>
                <w:lang w:eastAsia="en-US"/>
              </w:rPr>
              <w:t>apakšpunktā noteikto rādītāju samazinājums, bet saglabājot 12.1.</w:t>
            </w:r>
            <w:r>
              <w:rPr>
                <w:rFonts w:eastAsia="Calibri"/>
                <w:szCs w:val="28"/>
                <w:lang w:eastAsia="en-US"/>
              </w:rPr>
              <w:t> </w:t>
            </w:r>
            <w:r w:rsidR="007071F9" w:rsidRPr="00BA1D5E">
              <w:rPr>
                <w:rFonts w:eastAsia="Calibri"/>
                <w:szCs w:val="28"/>
                <w:lang w:eastAsia="en-US"/>
              </w:rPr>
              <w:t>apakšpunktā noteikto rādītāju palielinājumu attiecībā uz situāciju, kādā bija minētie rādītāji pirms projekta uzsākšanas: var izveidoties situācija, kad nepārv</w:t>
            </w:r>
            <w:r>
              <w:rPr>
                <w:rFonts w:eastAsia="Calibri"/>
                <w:szCs w:val="28"/>
                <w:lang w:eastAsia="en-US"/>
              </w:rPr>
              <w:t>a</w:t>
            </w:r>
            <w:r w:rsidR="007071F9" w:rsidRPr="00BA1D5E">
              <w:rPr>
                <w:rFonts w:eastAsia="Calibri"/>
                <w:szCs w:val="28"/>
                <w:lang w:eastAsia="en-US"/>
              </w:rPr>
              <w:t>r</w:t>
            </w:r>
            <w:r>
              <w:rPr>
                <w:rFonts w:eastAsia="Calibri"/>
                <w:szCs w:val="28"/>
                <w:lang w:eastAsia="en-US"/>
              </w:rPr>
              <w:t>a</w:t>
            </w:r>
            <w:r w:rsidR="007071F9" w:rsidRPr="00BA1D5E">
              <w:rPr>
                <w:rFonts w:eastAsia="Calibri"/>
                <w:szCs w:val="28"/>
                <w:lang w:eastAsia="en-US"/>
              </w:rPr>
              <w:t>m</w:t>
            </w:r>
            <w:r>
              <w:rPr>
                <w:rFonts w:eastAsia="Calibri"/>
                <w:szCs w:val="28"/>
                <w:lang w:eastAsia="en-US"/>
              </w:rPr>
              <w:t>u</w:t>
            </w:r>
            <w:r w:rsidR="007071F9" w:rsidRPr="00BA1D5E">
              <w:rPr>
                <w:rFonts w:eastAsia="Calibri"/>
                <w:szCs w:val="28"/>
                <w:lang w:eastAsia="en-US"/>
              </w:rPr>
              <w:t xml:space="preserve"> apstākļu ietekmē 12.1.</w:t>
            </w:r>
            <w:r>
              <w:rPr>
                <w:rFonts w:eastAsia="Calibri"/>
                <w:szCs w:val="28"/>
                <w:lang w:eastAsia="en-US"/>
              </w:rPr>
              <w:t> </w:t>
            </w:r>
            <w:r w:rsidR="007071F9" w:rsidRPr="00BA1D5E">
              <w:rPr>
                <w:rFonts w:eastAsia="Calibri"/>
                <w:szCs w:val="28"/>
                <w:lang w:eastAsia="en-US"/>
              </w:rPr>
              <w:t>apakšpunktā noteiktos rādītājus n</w:t>
            </w:r>
            <w:r>
              <w:rPr>
                <w:rFonts w:eastAsia="Calibri"/>
                <w:szCs w:val="28"/>
                <w:lang w:eastAsia="en-US"/>
              </w:rPr>
              <w:t>av iespējams</w:t>
            </w:r>
            <w:r w:rsidR="007071F9" w:rsidRPr="00BA1D5E">
              <w:rPr>
                <w:rFonts w:eastAsia="Calibri"/>
                <w:szCs w:val="28"/>
                <w:lang w:eastAsia="en-US"/>
              </w:rPr>
              <w:t xml:space="preserve"> sasniegt pieteikt</w:t>
            </w:r>
            <w:r>
              <w:rPr>
                <w:rFonts w:eastAsia="Calibri"/>
                <w:szCs w:val="28"/>
                <w:lang w:eastAsia="en-US"/>
              </w:rPr>
              <w:t>aj</w:t>
            </w:r>
            <w:r w:rsidR="007071F9" w:rsidRPr="00BA1D5E">
              <w:rPr>
                <w:rFonts w:eastAsia="Calibri"/>
                <w:szCs w:val="28"/>
                <w:lang w:eastAsia="en-US"/>
              </w:rPr>
              <w:t>ā līmenī</w:t>
            </w:r>
            <w:r>
              <w:rPr>
                <w:rFonts w:eastAsia="Calibri"/>
                <w:szCs w:val="28"/>
                <w:lang w:eastAsia="en-US"/>
              </w:rPr>
              <w:t xml:space="preserve"> un</w:t>
            </w:r>
            <w:r w:rsidR="007071F9" w:rsidRPr="00BA1D5E">
              <w:rPr>
                <w:rFonts w:eastAsia="Calibri"/>
                <w:szCs w:val="28"/>
                <w:lang w:eastAsia="en-US"/>
              </w:rPr>
              <w:t xml:space="preserve"> termiņa pagarinājums var nepalīdzēt. Šādos gadījumos, ja uzņēmums demonstrē pieteikto rādītāju auditējamo izaugsmi (bet ne pieteikt</w:t>
            </w:r>
            <w:r>
              <w:rPr>
                <w:rFonts w:eastAsia="Calibri"/>
                <w:szCs w:val="28"/>
                <w:lang w:eastAsia="en-US"/>
              </w:rPr>
              <w:t>aj</w:t>
            </w:r>
            <w:r w:rsidR="007071F9" w:rsidRPr="00BA1D5E">
              <w:rPr>
                <w:rFonts w:eastAsia="Calibri"/>
                <w:szCs w:val="28"/>
                <w:lang w:eastAsia="en-US"/>
              </w:rPr>
              <w:t>ā apmērā), LAD var pārskatīt 12.1.</w:t>
            </w:r>
            <w:r>
              <w:rPr>
                <w:rFonts w:eastAsia="Calibri"/>
                <w:szCs w:val="28"/>
                <w:lang w:eastAsia="en-US"/>
              </w:rPr>
              <w:t> </w:t>
            </w:r>
            <w:r w:rsidR="007071F9" w:rsidRPr="00BA1D5E">
              <w:rPr>
                <w:rFonts w:eastAsia="Calibri"/>
                <w:szCs w:val="28"/>
                <w:lang w:eastAsia="en-US"/>
              </w:rPr>
              <w:t>apakšpunkt</w:t>
            </w:r>
            <w:r>
              <w:rPr>
                <w:rFonts w:eastAsia="Calibri"/>
                <w:szCs w:val="28"/>
                <w:lang w:eastAsia="en-US"/>
              </w:rPr>
              <w:t>ā noteikto</w:t>
            </w:r>
            <w:r w:rsidR="007071F9" w:rsidRPr="00BA1D5E">
              <w:rPr>
                <w:rFonts w:eastAsia="Calibri"/>
                <w:szCs w:val="28"/>
                <w:lang w:eastAsia="en-US"/>
              </w:rPr>
              <w:t xml:space="preserve"> rādītāju skaitlisko p</w:t>
            </w:r>
            <w:r>
              <w:rPr>
                <w:rFonts w:eastAsia="Calibri"/>
                <w:szCs w:val="28"/>
                <w:lang w:eastAsia="en-US"/>
              </w:rPr>
              <w:t>alielinājumu</w:t>
            </w:r>
            <w:r w:rsidR="007071F9" w:rsidRPr="00BA1D5E">
              <w:rPr>
                <w:rFonts w:eastAsia="Calibri"/>
                <w:szCs w:val="28"/>
                <w:lang w:eastAsia="en-US"/>
              </w:rPr>
              <w:t xml:space="preserve">. </w:t>
            </w:r>
          </w:p>
          <w:p w14:paraId="59AF36F0" w14:textId="45FF7BEE" w:rsidR="007071F9" w:rsidRPr="00BA1D5E" w:rsidRDefault="007071F9" w:rsidP="007071F9">
            <w:pPr>
              <w:ind w:right="140"/>
              <w:jc w:val="both"/>
              <w:rPr>
                <w:rFonts w:eastAsia="Calibri"/>
                <w:szCs w:val="28"/>
                <w:lang w:eastAsia="en-US"/>
              </w:rPr>
            </w:pPr>
            <w:r w:rsidRPr="00BA1D5E">
              <w:rPr>
                <w:rFonts w:eastAsia="Calibri"/>
                <w:szCs w:val="28"/>
                <w:lang w:eastAsia="en-US"/>
              </w:rPr>
              <w:t>Noteikumu projekta 16.</w:t>
            </w:r>
            <w:r w:rsidR="00C325CE">
              <w:rPr>
                <w:rFonts w:eastAsia="Calibri"/>
                <w:szCs w:val="28"/>
                <w:lang w:eastAsia="en-US"/>
              </w:rPr>
              <w:t xml:space="preserve"> </w:t>
            </w:r>
            <w:r w:rsidRPr="00BA1D5E">
              <w:rPr>
                <w:rFonts w:eastAsia="Calibri"/>
                <w:szCs w:val="28"/>
                <w:lang w:eastAsia="en-US"/>
              </w:rPr>
              <w:t>punkt</w:t>
            </w:r>
            <w:r w:rsidR="00C325CE">
              <w:rPr>
                <w:rFonts w:eastAsia="Calibri"/>
                <w:szCs w:val="28"/>
                <w:lang w:eastAsia="en-US"/>
              </w:rPr>
              <w:t>ā</w:t>
            </w:r>
            <w:r w:rsidRPr="00BA1D5E">
              <w:rPr>
                <w:rFonts w:eastAsia="Calibri"/>
                <w:szCs w:val="28"/>
                <w:lang w:eastAsia="en-US"/>
              </w:rPr>
              <w:t xml:space="preserve"> no</w:t>
            </w:r>
            <w:r w:rsidR="00C325CE">
              <w:rPr>
                <w:rFonts w:eastAsia="Calibri"/>
                <w:szCs w:val="28"/>
                <w:lang w:eastAsia="en-US"/>
              </w:rPr>
              <w:t>teikts</w:t>
            </w:r>
            <w:r w:rsidRPr="00BA1D5E">
              <w:rPr>
                <w:rFonts w:eastAsia="Calibri"/>
                <w:szCs w:val="28"/>
                <w:lang w:eastAsia="en-US"/>
              </w:rPr>
              <w:t xml:space="preserve">, ka </w:t>
            </w:r>
            <w:r w:rsidR="00944C62" w:rsidRPr="00BA1D5E">
              <w:rPr>
                <w:rFonts w:eastAsia="Calibri"/>
                <w:szCs w:val="28"/>
                <w:lang w:eastAsia="en-US"/>
              </w:rPr>
              <w:t xml:space="preserve">atbalsta saņēmējs </w:t>
            </w:r>
            <w:r w:rsidRPr="00BA1D5E">
              <w:rPr>
                <w:rFonts w:eastAsia="Calibri"/>
                <w:szCs w:val="28"/>
                <w:lang w:eastAsia="en-US"/>
              </w:rPr>
              <w:t>saimnieciskās darbības rādītājus sasniedz trešajā noslēgtajā gadā pēc projekta īstenošanas un nepazemina tos visā turpmākajā uzraudzības periodā (gaļas liellopu audzēšanas nozares projektiem vai ilggadīgo augļkopības kultūru stādījumu gadījumā rādītāju sasniedz sestajā noslēgtajā gadā pēc projekta īstenošanas).</w:t>
            </w:r>
            <w:r w:rsidR="00944C62">
              <w:rPr>
                <w:rFonts w:eastAsia="Calibri"/>
                <w:szCs w:val="28"/>
                <w:lang w:eastAsia="en-US"/>
              </w:rPr>
              <w:t xml:space="preserve"> </w:t>
            </w:r>
            <w:r w:rsidRPr="00BA1D5E">
              <w:rPr>
                <w:rFonts w:eastAsia="Calibri"/>
                <w:szCs w:val="28"/>
                <w:lang w:eastAsia="en-US"/>
              </w:rPr>
              <w:t>16.</w:t>
            </w:r>
            <w:r w:rsidR="00944C62">
              <w:rPr>
                <w:rFonts w:eastAsia="Calibri"/>
                <w:szCs w:val="28"/>
                <w:lang w:eastAsia="en-US"/>
              </w:rPr>
              <w:t> </w:t>
            </w:r>
            <w:r w:rsidRPr="00BA1D5E">
              <w:rPr>
                <w:rFonts w:eastAsia="Calibri"/>
                <w:szCs w:val="28"/>
                <w:lang w:eastAsia="en-US"/>
              </w:rPr>
              <w:t>punkt</w:t>
            </w:r>
            <w:r w:rsidR="00944C62">
              <w:rPr>
                <w:rFonts w:eastAsia="Calibri"/>
                <w:szCs w:val="28"/>
                <w:lang w:eastAsia="en-US"/>
              </w:rPr>
              <w:t>a</w:t>
            </w:r>
            <w:r w:rsidRPr="00BA1D5E">
              <w:rPr>
                <w:rFonts w:eastAsia="Calibri"/>
                <w:szCs w:val="28"/>
                <w:lang w:eastAsia="en-US"/>
              </w:rPr>
              <w:t xml:space="preserve"> </w:t>
            </w:r>
            <w:r w:rsidR="00944C62">
              <w:rPr>
                <w:rFonts w:eastAsia="Calibri"/>
                <w:szCs w:val="28"/>
                <w:lang w:eastAsia="en-US"/>
              </w:rPr>
              <w:t>prasība</w:t>
            </w:r>
            <w:r w:rsidRPr="00BA1D5E">
              <w:rPr>
                <w:rFonts w:eastAsia="Calibri"/>
                <w:szCs w:val="28"/>
                <w:lang w:eastAsia="en-US"/>
              </w:rPr>
              <w:t xml:space="preserve"> attiecas uz visu uzraudzības periodu, kas ir noteikts saskaņā ar Ministru kabineta 2014. gada 30. septembra noteikumu Nr. 598 "Noteikumi par valsts un Eiropas Savienības atbalsta piešķiršanu, administrēšanu un uzraudzību lauku un zivsaimniecības attīstībai 2014.–2020.gada plānošanas periodā" 62. punktu</w:t>
            </w:r>
            <w:r w:rsidR="00944C62">
              <w:rPr>
                <w:rFonts w:eastAsia="Calibri"/>
                <w:szCs w:val="28"/>
                <w:lang w:eastAsia="en-US"/>
              </w:rPr>
              <w:t>, t.i.,</w:t>
            </w:r>
            <w:r w:rsidRPr="00BA1D5E">
              <w:rPr>
                <w:rFonts w:eastAsia="Calibri"/>
                <w:szCs w:val="28"/>
                <w:lang w:eastAsia="en-US"/>
              </w:rPr>
              <w:t xml:space="preserve"> projekta uzraudzības periodu uzskaita, sākot no pirmā noslēgtā gada pēc pēdējā maksājuma pieprasījuma iesniegšanas Lauku atbalsta dienestā.</w:t>
            </w:r>
          </w:p>
          <w:p w14:paraId="6A61D3EA" w14:textId="185D5859" w:rsidR="003665FF" w:rsidRPr="00BA1D5E" w:rsidRDefault="007071F9" w:rsidP="007071F9">
            <w:pPr>
              <w:ind w:right="140"/>
              <w:jc w:val="both"/>
              <w:rPr>
                <w:rFonts w:eastAsia="Calibri"/>
                <w:szCs w:val="28"/>
                <w:lang w:eastAsia="en-US"/>
              </w:rPr>
            </w:pPr>
            <w:r w:rsidRPr="00BA1D5E">
              <w:rPr>
                <w:rFonts w:eastAsia="Calibri"/>
                <w:szCs w:val="28"/>
                <w:lang w:eastAsia="en-US"/>
              </w:rPr>
              <w:t>Atbilstoši noteikumu projekta 80.</w:t>
            </w:r>
            <w:r w:rsidR="00C325CE">
              <w:rPr>
                <w:rFonts w:eastAsia="Calibri"/>
                <w:szCs w:val="28"/>
                <w:lang w:eastAsia="en-US"/>
              </w:rPr>
              <w:t xml:space="preserve"> </w:t>
            </w:r>
            <w:r w:rsidRPr="00BA1D5E">
              <w:rPr>
                <w:rFonts w:eastAsia="Calibri"/>
                <w:szCs w:val="28"/>
                <w:lang w:eastAsia="en-US"/>
              </w:rPr>
              <w:t xml:space="preserve">punktam atbalsta saņēmējs, sākot ar ceturto gadu pēc projekta īstenošanas, par pilno noslēgto gadu un turpmāk visā projekta uzraudzības periodā katru gadu mēneša laikā pēc gada pārskata iesniegšanas Valsts ieņēmumu dienestā iesniedz Lauku atbalsta dienesta elektroniskās pieteikšanās sistēmā pārskatu par saimnieciskās darbības rādītājiem par iepriekšējo kalendāra gadu, </w:t>
            </w:r>
            <w:r w:rsidR="00944C62">
              <w:rPr>
                <w:rFonts w:eastAsia="Calibri"/>
                <w:szCs w:val="28"/>
                <w:lang w:eastAsia="en-US"/>
              </w:rPr>
              <w:t>tajā</w:t>
            </w:r>
            <w:r w:rsidRPr="00BA1D5E">
              <w:rPr>
                <w:rFonts w:eastAsia="Calibri"/>
                <w:szCs w:val="28"/>
                <w:lang w:eastAsia="en-US"/>
              </w:rPr>
              <w:t xml:space="preserve"> ietver</w:t>
            </w:r>
            <w:r w:rsidR="00944C62">
              <w:rPr>
                <w:rFonts w:eastAsia="Calibri"/>
                <w:szCs w:val="28"/>
                <w:lang w:eastAsia="en-US"/>
              </w:rPr>
              <w:t>ot</w:t>
            </w:r>
            <w:r w:rsidRPr="00BA1D5E">
              <w:rPr>
                <w:rFonts w:eastAsia="Calibri"/>
                <w:szCs w:val="28"/>
                <w:lang w:eastAsia="en-US"/>
              </w:rPr>
              <w:t xml:space="preserve"> informāciju par atbalsta saņēmēju, </w:t>
            </w:r>
            <w:r w:rsidR="00944C62">
              <w:rPr>
                <w:rFonts w:eastAsia="Calibri"/>
                <w:szCs w:val="28"/>
                <w:lang w:eastAsia="en-US"/>
              </w:rPr>
              <w:t>tostarp</w:t>
            </w:r>
            <w:r w:rsidRPr="00BA1D5E">
              <w:rPr>
                <w:rFonts w:eastAsia="Calibri"/>
                <w:szCs w:val="28"/>
                <w:lang w:eastAsia="en-US"/>
              </w:rPr>
              <w:t xml:space="preserve"> nodarbinātajiem, </w:t>
            </w:r>
            <w:r w:rsidR="00944C62">
              <w:rPr>
                <w:rFonts w:eastAsia="Calibri"/>
                <w:szCs w:val="28"/>
                <w:lang w:eastAsia="en-US"/>
              </w:rPr>
              <w:t xml:space="preserve">un </w:t>
            </w:r>
            <w:r w:rsidRPr="00BA1D5E">
              <w:rPr>
                <w:rFonts w:eastAsia="Calibri"/>
                <w:szCs w:val="28"/>
                <w:lang w:eastAsia="en-US"/>
              </w:rPr>
              <w:t>sasniedzamo mērķu izpildes rādītājiem. Detalizēti pieprasīt</w:t>
            </w:r>
            <w:r w:rsidR="00944C62">
              <w:rPr>
                <w:rFonts w:eastAsia="Calibri"/>
                <w:szCs w:val="28"/>
                <w:lang w:eastAsia="en-US"/>
              </w:rPr>
              <w:t>ā</w:t>
            </w:r>
            <w:r w:rsidRPr="00BA1D5E">
              <w:rPr>
                <w:rFonts w:eastAsia="Calibri"/>
                <w:szCs w:val="28"/>
                <w:lang w:eastAsia="en-US"/>
              </w:rPr>
              <w:t xml:space="preserve">s informācijas apraksts ir iekļauts Lauku atbalsta dienesta elektroniskās pieteikšanās sistēmā. Atbalsta saņēmējam būs jāziņo arī par progresu klimata mērķu sasniegšanā, ievērojot 33. punktā noteikto par obligātu ieguldījumu klimata jomā, pat ja atbalsta pretendents projekta iesniegumā ir </w:t>
            </w:r>
            <w:r w:rsidR="00944C62">
              <w:rPr>
                <w:rFonts w:eastAsia="Calibri"/>
                <w:szCs w:val="28"/>
                <w:lang w:eastAsia="en-US"/>
              </w:rPr>
              <w:t>paredzējis</w:t>
            </w:r>
            <w:r w:rsidRPr="00BA1D5E">
              <w:rPr>
                <w:rFonts w:eastAsia="Calibri"/>
                <w:szCs w:val="28"/>
                <w:lang w:eastAsia="en-US"/>
              </w:rPr>
              <w:t xml:space="preserve"> sasniegt tikai ekonomiskos mērķus. </w:t>
            </w:r>
          </w:p>
          <w:p w14:paraId="473A08BC" w14:textId="77777777" w:rsidR="003665FF" w:rsidRPr="00BA1D5E" w:rsidRDefault="003665FF" w:rsidP="007071F9">
            <w:pPr>
              <w:ind w:right="140"/>
              <w:jc w:val="both"/>
              <w:rPr>
                <w:rFonts w:eastAsia="Calibri"/>
                <w:szCs w:val="28"/>
                <w:lang w:eastAsia="en-US"/>
              </w:rPr>
            </w:pPr>
          </w:p>
          <w:p w14:paraId="4AE876D0" w14:textId="39567089" w:rsidR="003665FF" w:rsidRPr="00BA1D5E" w:rsidRDefault="003665FF" w:rsidP="007071F9">
            <w:pPr>
              <w:ind w:right="140"/>
              <w:jc w:val="both"/>
              <w:rPr>
                <w:rFonts w:eastAsia="Calibri"/>
                <w:szCs w:val="28"/>
                <w:lang w:eastAsia="en-US"/>
              </w:rPr>
            </w:pPr>
            <w:r w:rsidRPr="00BA1D5E">
              <w:rPr>
                <w:rFonts w:eastAsia="Calibri"/>
                <w:szCs w:val="28"/>
                <w:lang w:eastAsia="en-US"/>
              </w:rPr>
              <w:t>Noteikumu projekta 20.2.2.</w:t>
            </w:r>
            <w:r w:rsidR="00944C62">
              <w:rPr>
                <w:rFonts w:eastAsia="Calibri"/>
                <w:szCs w:val="28"/>
                <w:lang w:eastAsia="en-US"/>
              </w:rPr>
              <w:t xml:space="preserve"> </w:t>
            </w:r>
            <w:r w:rsidRPr="00BA1D5E">
              <w:rPr>
                <w:rFonts w:eastAsia="Calibri"/>
                <w:szCs w:val="28"/>
                <w:lang w:eastAsia="en-US"/>
              </w:rPr>
              <w:t xml:space="preserve">apakšpunktā ir noteikts, ka apgrozāmo līdzekļu attiecība pret īstermiņa kreditoru saistībām attiecībā uz kooperatīvo sabiedrību, jaunu kooperatīvo sabiedrību vai kooperatīvo </w:t>
            </w:r>
            <w:r w:rsidR="00123A09">
              <w:rPr>
                <w:rFonts w:eastAsia="Calibri"/>
                <w:szCs w:val="28"/>
                <w:lang w:eastAsia="en-US"/>
              </w:rPr>
              <w:t xml:space="preserve">sabiedrību </w:t>
            </w:r>
            <w:r w:rsidRPr="00BA1D5E">
              <w:rPr>
                <w:rFonts w:eastAsia="Calibri"/>
                <w:szCs w:val="28"/>
                <w:lang w:eastAsia="en-US"/>
              </w:rPr>
              <w:t>apvienību ir vismaz 0,8. Lai gan šis rādītājs ir zem 1, tomēr kooperatīv</w:t>
            </w:r>
            <w:r w:rsidR="00944C62">
              <w:rPr>
                <w:rFonts w:eastAsia="Calibri"/>
                <w:szCs w:val="28"/>
                <w:lang w:eastAsia="en-US"/>
              </w:rPr>
              <w:t>aj</w:t>
            </w:r>
            <w:r w:rsidRPr="00BA1D5E">
              <w:rPr>
                <w:rFonts w:eastAsia="Calibri"/>
                <w:szCs w:val="28"/>
                <w:lang w:eastAsia="en-US"/>
              </w:rPr>
              <w:t xml:space="preserve">ām sabiedrībām </w:t>
            </w:r>
            <w:r w:rsidR="00944C62">
              <w:rPr>
                <w:rFonts w:eastAsia="Calibri"/>
                <w:szCs w:val="28"/>
                <w:lang w:eastAsia="en-US"/>
              </w:rPr>
              <w:t xml:space="preserve">ir </w:t>
            </w:r>
            <w:r w:rsidRPr="00BA1D5E">
              <w:rPr>
                <w:rFonts w:eastAsia="Calibri"/>
                <w:szCs w:val="28"/>
                <w:lang w:eastAsia="en-US"/>
              </w:rPr>
              <w:t xml:space="preserve">arī jānodrošina līdzfinansējums, un komercbankas padziļināti vērtēs kooperatīvo sabiedrību finanšu rādītājus. Konstatējot </w:t>
            </w:r>
            <w:r w:rsidR="00944C62">
              <w:rPr>
                <w:rFonts w:eastAsia="Calibri"/>
                <w:szCs w:val="28"/>
                <w:lang w:eastAsia="en-US"/>
              </w:rPr>
              <w:t>lielu</w:t>
            </w:r>
            <w:r w:rsidRPr="00BA1D5E">
              <w:rPr>
                <w:rFonts w:eastAsia="Calibri"/>
                <w:szCs w:val="28"/>
                <w:lang w:eastAsia="en-US"/>
              </w:rPr>
              <w:t xml:space="preserve"> likviditātes risku, komercbankas nepiešķirs </w:t>
            </w:r>
            <w:r w:rsidRPr="00BA1D5E">
              <w:rPr>
                <w:rFonts w:eastAsia="Calibri"/>
                <w:szCs w:val="28"/>
                <w:lang w:eastAsia="en-US"/>
              </w:rPr>
              <w:lastRenderedPageBreak/>
              <w:t>līdzfinansējumu, tā</w:t>
            </w:r>
            <w:r w:rsidR="00944C62">
              <w:rPr>
                <w:rFonts w:eastAsia="Calibri"/>
                <w:szCs w:val="28"/>
                <w:lang w:eastAsia="en-US"/>
              </w:rPr>
              <w:t xml:space="preserve"> ka</w:t>
            </w:r>
            <w:r w:rsidRPr="00BA1D5E">
              <w:rPr>
                <w:rFonts w:eastAsia="Calibri"/>
                <w:szCs w:val="28"/>
                <w:lang w:eastAsia="en-US"/>
              </w:rPr>
              <w:t xml:space="preserve"> šāds projekts vispār netiks īstenots un arī neiegūs valsts un ES atbalstu </w:t>
            </w:r>
            <w:r w:rsidR="00944C62">
              <w:rPr>
                <w:rFonts w:eastAsia="Calibri"/>
                <w:szCs w:val="28"/>
                <w:lang w:eastAsia="en-US"/>
              </w:rPr>
              <w:t xml:space="preserve">saistībā ar </w:t>
            </w:r>
            <w:r w:rsidRPr="00BA1D5E">
              <w:rPr>
                <w:rFonts w:eastAsia="Calibri"/>
                <w:szCs w:val="28"/>
                <w:lang w:eastAsia="en-US"/>
              </w:rPr>
              <w:t>IMA</w:t>
            </w:r>
            <w:r w:rsidR="003D351E" w:rsidRPr="00BA1D5E">
              <w:rPr>
                <w:rFonts w:eastAsia="Calibri"/>
                <w:szCs w:val="28"/>
                <w:lang w:eastAsia="en-US"/>
              </w:rPr>
              <w:t>.</w:t>
            </w:r>
          </w:p>
          <w:p w14:paraId="31DB8415" w14:textId="5322D53D" w:rsidR="007071F9" w:rsidRPr="00BA1D5E" w:rsidRDefault="007071F9" w:rsidP="007071F9">
            <w:pPr>
              <w:ind w:right="140"/>
              <w:jc w:val="both"/>
              <w:rPr>
                <w:rFonts w:eastAsia="Calibri"/>
                <w:szCs w:val="28"/>
                <w:lang w:eastAsia="en-US"/>
              </w:rPr>
            </w:pPr>
          </w:p>
          <w:p w14:paraId="4D66ECE0" w14:textId="37ECF5D3" w:rsidR="007071F9" w:rsidRPr="00BA1D5E" w:rsidRDefault="007071F9" w:rsidP="007071F9">
            <w:pPr>
              <w:ind w:right="140"/>
              <w:jc w:val="both"/>
              <w:rPr>
                <w:rFonts w:eastAsia="Calibri"/>
                <w:szCs w:val="28"/>
                <w:lang w:eastAsia="en-US"/>
              </w:rPr>
            </w:pPr>
            <w:r w:rsidRPr="00BA1D5E">
              <w:rPr>
                <w:rFonts w:eastAsia="Calibri"/>
                <w:szCs w:val="28"/>
                <w:lang w:eastAsia="en-US"/>
              </w:rPr>
              <w:t>Noteikumu projekta 33.</w:t>
            </w:r>
            <w:r w:rsidR="00944C62">
              <w:rPr>
                <w:rFonts w:eastAsia="Calibri"/>
                <w:szCs w:val="28"/>
                <w:lang w:eastAsia="en-US"/>
              </w:rPr>
              <w:t> </w:t>
            </w:r>
            <w:r w:rsidRPr="00BA1D5E">
              <w:rPr>
                <w:rFonts w:eastAsia="Calibri"/>
                <w:szCs w:val="28"/>
                <w:lang w:eastAsia="en-US"/>
              </w:rPr>
              <w:t>punkt</w:t>
            </w:r>
            <w:r w:rsidR="00944C62">
              <w:rPr>
                <w:rFonts w:eastAsia="Calibri"/>
                <w:szCs w:val="28"/>
                <w:lang w:eastAsia="en-US"/>
              </w:rPr>
              <w:t>ā</w:t>
            </w:r>
            <w:r w:rsidRPr="00BA1D5E">
              <w:rPr>
                <w:rFonts w:eastAsia="Calibri"/>
                <w:szCs w:val="28"/>
                <w:lang w:eastAsia="en-US"/>
              </w:rPr>
              <w:t xml:space="preserve"> no</w:t>
            </w:r>
            <w:r w:rsidR="00944C62">
              <w:rPr>
                <w:rFonts w:eastAsia="Calibri"/>
                <w:szCs w:val="28"/>
                <w:lang w:eastAsia="en-US"/>
              </w:rPr>
              <w:t>teikts, ka</w:t>
            </w:r>
            <w:r w:rsidRPr="00BA1D5E">
              <w:rPr>
                <w:rFonts w:eastAsia="Calibri"/>
                <w:szCs w:val="28"/>
                <w:lang w:eastAsia="en-US"/>
              </w:rPr>
              <w:t xml:space="preserve"> atbalsta saņēmējiem vienā vai vairākos projektos </w:t>
            </w:r>
            <w:r w:rsidR="00944C62">
              <w:rPr>
                <w:rFonts w:eastAsia="Calibri"/>
                <w:szCs w:val="28"/>
                <w:lang w:eastAsia="en-US"/>
              </w:rPr>
              <w:t>ir jāīsteno</w:t>
            </w:r>
            <w:r w:rsidRPr="00BA1D5E">
              <w:rPr>
                <w:rFonts w:eastAsia="Calibri"/>
                <w:szCs w:val="28"/>
                <w:lang w:eastAsia="en-US"/>
              </w:rPr>
              <w:t xml:space="preserve"> klimata pārmaiņu mazināšanas un pielāgošanās ieguldījum</w:t>
            </w:r>
            <w:r w:rsidR="00944C62">
              <w:rPr>
                <w:rFonts w:eastAsia="Calibri"/>
                <w:szCs w:val="28"/>
                <w:lang w:eastAsia="en-US"/>
              </w:rPr>
              <w:t>i</w:t>
            </w:r>
            <w:r w:rsidRPr="00BA1D5E">
              <w:rPr>
                <w:rFonts w:eastAsia="Calibri"/>
                <w:szCs w:val="28"/>
                <w:lang w:eastAsia="en-US"/>
              </w:rPr>
              <w:t xml:space="preserve"> atbilstoši šo noteikumu 15. pielikumam noteikumu projekt</w:t>
            </w:r>
            <w:r w:rsidR="00944C62">
              <w:rPr>
                <w:rFonts w:eastAsia="Calibri"/>
                <w:szCs w:val="28"/>
                <w:lang w:eastAsia="en-US"/>
              </w:rPr>
              <w:t>a</w:t>
            </w:r>
            <w:r w:rsidRPr="00BA1D5E">
              <w:rPr>
                <w:rFonts w:eastAsia="Calibri"/>
                <w:szCs w:val="28"/>
                <w:lang w:eastAsia="en-US"/>
              </w:rPr>
              <w:t xml:space="preserve"> 33.</w:t>
            </w:r>
            <w:r w:rsidR="00944C62">
              <w:rPr>
                <w:rFonts w:eastAsia="Calibri"/>
                <w:szCs w:val="28"/>
                <w:lang w:eastAsia="en-US"/>
              </w:rPr>
              <w:t xml:space="preserve"> </w:t>
            </w:r>
            <w:r w:rsidRPr="00BA1D5E">
              <w:rPr>
                <w:rFonts w:eastAsia="Calibri"/>
                <w:szCs w:val="28"/>
                <w:lang w:eastAsia="en-US"/>
              </w:rPr>
              <w:t xml:space="preserve">punktā norādītā apmērā. </w:t>
            </w:r>
          </w:p>
          <w:p w14:paraId="009A1FA7" w14:textId="5C271D44" w:rsidR="007071F9" w:rsidRPr="00BA1D5E" w:rsidRDefault="007071F9" w:rsidP="007071F9">
            <w:pPr>
              <w:ind w:right="140"/>
              <w:jc w:val="both"/>
              <w:rPr>
                <w:rFonts w:eastAsia="Calibri"/>
                <w:szCs w:val="28"/>
                <w:lang w:eastAsia="en-US"/>
              </w:rPr>
            </w:pPr>
            <w:r w:rsidRPr="00BA1D5E">
              <w:rPr>
                <w:rFonts w:eastAsia="Calibri"/>
                <w:szCs w:val="28"/>
                <w:lang w:eastAsia="en-US"/>
              </w:rPr>
              <w:t>15.</w:t>
            </w:r>
            <w:r w:rsidR="00944C62">
              <w:rPr>
                <w:rFonts w:eastAsia="Calibri"/>
                <w:szCs w:val="28"/>
                <w:lang w:eastAsia="en-US"/>
              </w:rPr>
              <w:t> </w:t>
            </w:r>
            <w:r w:rsidRPr="00BA1D5E">
              <w:rPr>
                <w:rFonts w:eastAsia="Calibri"/>
                <w:szCs w:val="28"/>
                <w:lang w:eastAsia="en-US"/>
              </w:rPr>
              <w:t>pielikum</w:t>
            </w:r>
            <w:r w:rsidR="00944C62">
              <w:rPr>
                <w:rFonts w:eastAsia="Calibri"/>
                <w:szCs w:val="28"/>
                <w:lang w:eastAsia="en-US"/>
              </w:rPr>
              <w:t>ā noteiktie</w:t>
            </w:r>
            <w:r w:rsidRPr="00BA1D5E">
              <w:rPr>
                <w:rFonts w:eastAsia="Calibri"/>
                <w:szCs w:val="28"/>
                <w:lang w:eastAsia="en-US"/>
              </w:rPr>
              <w:t xml:space="preserve"> pasākumi sniegs ieguldījumu Nacionāl</w:t>
            </w:r>
            <w:r w:rsidR="00944C62">
              <w:rPr>
                <w:rFonts w:eastAsia="Calibri"/>
                <w:szCs w:val="28"/>
                <w:lang w:eastAsia="en-US"/>
              </w:rPr>
              <w:t>ā</w:t>
            </w:r>
            <w:r w:rsidRPr="00BA1D5E">
              <w:rPr>
                <w:rFonts w:eastAsia="Calibri"/>
                <w:szCs w:val="28"/>
                <w:lang w:eastAsia="en-US"/>
              </w:rPr>
              <w:t xml:space="preserve"> enerģētikas un klimata plāna</w:t>
            </w:r>
            <w:r w:rsidR="00093D64">
              <w:rPr>
                <w:rFonts w:eastAsia="Calibri"/>
                <w:szCs w:val="28"/>
                <w:lang w:eastAsia="en-US"/>
              </w:rPr>
              <w:t xml:space="preserve"> (turpmāk – NEKP)</w:t>
            </w:r>
            <w:r w:rsidRPr="00BA1D5E">
              <w:rPr>
                <w:rFonts w:eastAsia="Calibri"/>
                <w:szCs w:val="28"/>
                <w:lang w:eastAsia="en-US"/>
              </w:rPr>
              <w:t xml:space="preserve"> izpildē, piemēram, šādās </w:t>
            </w:r>
            <w:proofErr w:type="spellStart"/>
            <w:r w:rsidRPr="00BA1D5E">
              <w:rPr>
                <w:rFonts w:eastAsia="Calibri"/>
                <w:szCs w:val="28"/>
                <w:lang w:eastAsia="en-US"/>
              </w:rPr>
              <w:t>rīcībpolitik</w:t>
            </w:r>
            <w:r w:rsidR="00944C62">
              <w:rPr>
                <w:rFonts w:eastAsia="Calibri"/>
                <w:szCs w:val="28"/>
                <w:lang w:eastAsia="en-US"/>
              </w:rPr>
              <w:t>ā</w:t>
            </w:r>
            <w:r w:rsidRPr="00BA1D5E">
              <w:rPr>
                <w:rFonts w:eastAsia="Calibri"/>
                <w:szCs w:val="28"/>
                <w:lang w:eastAsia="en-US"/>
              </w:rPr>
              <w:t>s</w:t>
            </w:r>
            <w:proofErr w:type="spellEnd"/>
            <w:r w:rsidRPr="00BA1D5E">
              <w:rPr>
                <w:rFonts w:eastAsia="Calibri"/>
                <w:szCs w:val="28"/>
                <w:lang w:eastAsia="en-US"/>
              </w:rPr>
              <w:t>: 4.1.</w:t>
            </w:r>
            <w:r w:rsidR="00944C62">
              <w:rPr>
                <w:rFonts w:eastAsia="Calibri"/>
                <w:szCs w:val="28"/>
                <w:lang w:eastAsia="en-US"/>
              </w:rPr>
              <w:t> </w:t>
            </w:r>
            <w:r w:rsidRPr="00BA1D5E">
              <w:rPr>
                <w:rFonts w:eastAsia="Calibri"/>
                <w:szCs w:val="28"/>
                <w:lang w:eastAsia="en-US"/>
              </w:rPr>
              <w:t>energoefektivitāte</w:t>
            </w:r>
            <w:r w:rsidR="00944C62">
              <w:rPr>
                <w:rFonts w:eastAsia="Calibri"/>
                <w:szCs w:val="28"/>
                <w:lang w:eastAsia="en-US"/>
              </w:rPr>
              <w:t>,</w:t>
            </w:r>
            <w:r w:rsidRPr="00BA1D5E">
              <w:rPr>
                <w:rFonts w:eastAsia="Calibri"/>
                <w:szCs w:val="28"/>
                <w:lang w:eastAsia="en-US"/>
              </w:rPr>
              <w:t xml:space="preserve"> 4.5. ēku energoefektivitātes uzlabošana</w:t>
            </w:r>
            <w:r w:rsidR="00944C62">
              <w:rPr>
                <w:rFonts w:eastAsia="Calibri"/>
                <w:szCs w:val="28"/>
                <w:lang w:eastAsia="en-US"/>
              </w:rPr>
              <w:t>,</w:t>
            </w:r>
            <w:r w:rsidRPr="00BA1D5E">
              <w:rPr>
                <w:rFonts w:eastAsia="Calibri"/>
                <w:szCs w:val="28"/>
                <w:lang w:eastAsia="en-US"/>
              </w:rPr>
              <w:t xml:space="preserve"> 4.12.</w:t>
            </w:r>
            <w:r w:rsidR="00944C62">
              <w:rPr>
                <w:rFonts w:eastAsia="Calibri"/>
                <w:szCs w:val="28"/>
                <w:lang w:eastAsia="en-US"/>
              </w:rPr>
              <w:t> </w:t>
            </w:r>
            <w:r w:rsidRPr="00BA1D5E">
              <w:rPr>
                <w:rFonts w:eastAsia="Calibri"/>
                <w:szCs w:val="28"/>
                <w:lang w:eastAsia="en-US"/>
              </w:rPr>
              <w:t xml:space="preserve">lauksaimniecība, zemes izmantošana un mežsaimniecība. Galvenais rīcības virziens </w:t>
            </w:r>
            <w:r w:rsidR="00944C62" w:rsidRPr="00BA1D5E">
              <w:rPr>
                <w:rFonts w:eastAsia="Calibri"/>
                <w:szCs w:val="28"/>
                <w:lang w:eastAsia="en-US"/>
              </w:rPr>
              <w:t>4.12.</w:t>
            </w:r>
            <w:r w:rsidR="00944C62">
              <w:rPr>
                <w:rFonts w:eastAsia="Calibri"/>
                <w:szCs w:val="28"/>
                <w:lang w:eastAsia="en-US"/>
              </w:rPr>
              <w:t xml:space="preserve"> </w:t>
            </w:r>
            <w:r w:rsidRPr="00BA1D5E">
              <w:rPr>
                <w:rFonts w:eastAsia="Calibri"/>
                <w:szCs w:val="28"/>
                <w:lang w:eastAsia="en-US"/>
              </w:rPr>
              <w:t>rīcībpolitikā</w:t>
            </w:r>
            <w:r w:rsidR="00944C62">
              <w:rPr>
                <w:rFonts w:eastAsia="Calibri"/>
                <w:szCs w:val="28"/>
                <w:lang w:eastAsia="en-US"/>
              </w:rPr>
              <w:t>:</w:t>
            </w:r>
          </w:p>
          <w:p w14:paraId="33BCE7B7" w14:textId="2B4D18DF" w:rsidR="007071F9" w:rsidRPr="001B41A0" w:rsidRDefault="007071F9" w:rsidP="00093D64">
            <w:pPr>
              <w:pStyle w:val="ListParagraph"/>
              <w:numPr>
                <w:ilvl w:val="0"/>
                <w:numId w:val="14"/>
              </w:numPr>
              <w:ind w:right="140"/>
              <w:jc w:val="both"/>
            </w:pPr>
            <w:r w:rsidRPr="00B967CC">
              <w:rPr>
                <w:rFonts w:ascii="Times New Roman" w:hAnsi="Times New Roman"/>
                <w:sz w:val="24"/>
                <w:szCs w:val="24"/>
              </w:rPr>
              <w:t xml:space="preserve">efektīva </w:t>
            </w:r>
            <w:r w:rsidR="00944C62" w:rsidRPr="006926AE">
              <w:rPr>
                <w:rFonts w:ascii="Times New Roman" w:hAnsi="Times New Roman"/>
                <w:sz w:val="24"/>
                <w:szCs w:val="24"/>
              </w:rPr>
              <w:t>resursu</w:t>
            </w:r>
            <w:r w:rsidR="00944C62" w:rsidRPr="008F55A6">
              <w:rPr>
                <w:rFonts w:ascii="Times New Roman" w:hAnsi="Times New Roman"/>
                <w:sz w:val="24"/>
                <w:szCs w:val="24"/>
              </w:rPr>
              <w:t xml:space="preserve"> </w:t>
            </w:r>
            <w:r w:rsidRPr="00093D64">
              <w:rPr>
                <w:rFonts w:ascii="Times New Roman" w:hAnsi="Times New Roman"/>
                <w:sz w:val="24"/>
                <w:szCs w:val="24"/>
              </w:rPr>
              <w:t>izmantošana un SEG emisij</w:t>
            </w:r>
            <w:r w:rsidR="00944C62">
              <w:rPr>
                <w:rFonts w:ascii="Times New Roman" w:hAnsi="Times New Roman"/>
                <w:sz w:val="24"/>
                <w:szCs w:val="24"/>
                <w:lang w:val="lv-LV"/>
              </w:rPr>
              <w:t>as</w:t>
            </w:r>
            <w:r w:rsidRPr="00093D64">
              <w:rPr>
                <w:rFonts w:ascii="Times New Roman" w:hAnsi="Times New Roman"/>
                <w:sz w:val="24"/>
                <w:szCs w:val="24"/>
              </w:rPr>
              <w:t xml:space="preserve"> samazināšana lauksaimniecībā</w:t>
            </w:r>
            <w:r w:rsidR="00944C62">
              <w:rPr>
                <w:rFonts w:ascii="Times New Roman" w:hAnsi="Times New Roman"/>
                <w:sz w:val="24"/>
                <w:szCs w:val="24"/>
                <w:lang w:val="lv-LV"/>
              </w:rPr>
              <w:t xml:space="preserve"> </w:t>
            </w:r>
            <w:r w:rsidRPr="00093D64">
              <w:rPr>
                <w:rFonts w:ascii="Times New Roman" w:hAnsi="Times New Roman"/>
                <w:sz w:val="24"/>
                <w:szCs w:val="24"/>
              </w:rPr>
              <w:t>(8</w:t>
            </w:r>
            <w:r w:rsidR="00944C62">
              <w:rPr>
                <w:rFonts w:ascii="Times New Roman" w:hAnsi="Times New Roman"/>
                <w:sz w:val="24"/>
                <w:szCs w:val="24"/>
                <w:lang w:val="lv-LV"/>
              </w:rPr>
              <w:t>.</w:t>
            </w:r>
            <w:r w:rsidRPr="00093D64">
              <w:rPr>
                <w:rFonts w:ascii="Times New Roman" w:hAnsi="Times New Roman"/>
                <w:sz w:val="24"/>
                <w:szCs w:val="24"/>
              </w:rPr>
              <w:t xml:space="preserve"> rīcības virziens)</w:t>
            </w:r>
          </w:p>
          <w:p w14:paraId="71122B19" w14:textId="6A4C3131" w:rsidR="007071F9" w:rsidRPr="001B41A0" w:rsidRDefault="00944C62" w:rsidP="00093D64">
            <w:pPr>
              <w:pStyle w:val="ListParagraph"/>
              <w:numPr>
                <w:ilvl w:val="0"/>
                <w:numId w:val="14"/>
              </w:numPr>
              <w:ind w:right="140"/>
              <w:jc w:val="both"/>
            </w:pPr>
            <w:r w:rsidRPr="00093D64">
              <w:rPr>
                <w:rFonts w:ascii="Times New Roman" w:hAnsi="Times New Roman"/>
                <w:sz w:val="24"/>
                <w:szCs w:val="24"/>
              </w:rPr>
              <w:t>i</w:t>
            </w:r>
            <w:r w:rsidR="007071F9" w:rsidRPr="00093D64">
              <w:rPr>
                <w:rFonts w:ascii="Times New Roman" w:hAnsi="Times New Roman"/>
                <w:sz w:val="24"/>
                <w:szCs w:val="24"/>
              </w:rPr>
              <w:t>lgtspējīga resursu izmantošana un SEG emisij</w:t>
            </w:r>
            <w:r>
              <w:rPr>
                <w:rFonts w:ascii="Times New Roman" w:hAnsi="Times New Roman"/>
                <w:sz w:val="24"/>
                <w:szCs w:val="24"/>
                <w:lang w:val="lv-LV"/>
              </w:rPr>
              <w:t>as</w:t>
            </w:r>
            <w:r w:rsidR="007071F9" w:rsidRPr="00093D64">
              <w:rPr>
                <w:rFonts w:ascii="Times New Roman" w:hAnsi="Times New Roman"/>
                <w:sz w:val="24"/>
                <w:szCs w:val="24"/>
              </w:rPr>
              <w:t xml:space="preserve"> samazināšana un CO</w:t>
            </w:r>
            <w:r w:rsidR="007071F9" w:rsidRPr="00093D64">
              <w:rPr>
                <w:rFonts w:ascii="Times New Roman" w:hAnsi="Times New Roman"/>
                <w:sz w:val="24"/>
                <w:szCs w:val="24"/>
                <w:vertAlign w:val="superscript"/>
              </w:rPr>
              <w:t>2</w:t>
            </w:r>
            <w:r w:rsidR="007071F9" w:rsidRPr="00093D64">
              <w:rPr>
                <w:rFonts w:ascii="Times New Roman" w:hAnsi="Times New Roman"/>
                <w:sz w:val="24"/>
                <w:szCs w:val="24"/>
              </w:rPr>
              <w:t xml:space="preserve"> piesaistes palielināšana zemes izmantošanas, zemes izmantošanas maiņas un mežsaimniecības sektorā (9</w:t>
            </w:r>
            <w:r>
              <w:rPr>
                <w:rFonts w:ascii="Times New Roman" w:hAnsi="Times New Roman"/>
                <w:sz w:val="24"/>
                <w:szCs w:val="24"/>
                <w:lang w:val="lv-LV"/>
              </w:rPr>
              <w:t>.</w:t>
            </w:r>
            <w:r w:rsidR="007071F9" w:rsidRPr="00093D64">
              <w:rPr>
                <w:rFonts w:ascii="Times New Roman" w:hAnsi="Times New Roman"/>
                <w:sz w:val="24"/>
                <w:szCs w:val="24"/>
              </w:rPr>
              <w:t xml:space="preserve"> rīcības virziens).</w:t>
            </w:r>
          </w:p>
          <w:p w14:paraId="610C5EB2" w14:textId="30FB3277" w:rsidR="007071F9" w:rsidRPr="008F55A6" w:rsidRDefault="007071F9" w:rsidP="00093D64">
            <w:pPr>
              <w:ind w:left="360" w:right="140"/>
              <w:jc w:val="both"/>
              <w:rPr>
                <w:rFonts w:eastAsia="Calibri"/>
              </w:rPr>
            </w:pPr>
            <w:r w:rsidRPr="008F55A6">
              <w:rPr>
                <w:rFonts w:eastAsia="Calibri"/>
              </w:rPr>
              <w:t>15.</w:t>
            </w:r>
            <w:r w:rsidR="00944C62" w:rsidRPr="008F55A6">
              <w:t> </w:t>
            </w:r>
            <w:r w:rsidRPr="008F55A6">
              <w:rPr>
                <w:rFonts w:eastAsia="Calibri"/>
              </w:rPr>
              <w:t xml:space="preserve">pielikuma pasākumi </w:t>
            </w:r>
            <w:r w:rsidRPr="00944C62">
              <w:rPr>
                <w:rFonts w:eastAsia="Calibri"/>
              </w:rPr>
              <w:t>sniegs ieguldījumu Nacionāl</w:t>
            </w:r>
            <w:r w:rsidR="00944C62">
              <w:rPr>
                <w:rFonts w:eastAsia="Calibri"/>
              </w:rPr>
              <w:t>ā</w:t>
            </w:r>
            <w:r w:rsidRPr="008F55A6">
              <w:rPr>
                <w:rFonts w:eastAsia="Calibri"/>
              </w:rPr>
              <w:t xml:space="preserve"> enerģētikas un klimata plāna pasākumu izpildē: </w:t>
            </w:r>
          </w:p>
          <w:p w14:paraId="3299B798" w14:textId="0B0BFF07" w:rsidR="007071F9" w:rsidRPr="001B41A0" w:rsidRDefault="00944C62" w:rsidP="00093D64">
            <w:pPr>
              <w:pStyle w:val="ListParagraph"/>
              <w:numPr>
                <w:ilvl w:val="0"/>
                <w:numId w:val="14"/>
              </w:numPr>
              <w:ind w:right="140"/>
              <w:jc w:val="both"/>
            </w:pPr>
            <w:r w:rsidRPr="00093D64">
              <w:rPr>
                <w:rFonts w:ascii="Times New Roman" w:hAnsi="Times New Roman"/>
                <w:sz w:val="24"/>
                <w:szCs w:val="24"/>
              </w:rPr>
              <w:t>e</w:t>
            </w:r>
            <w:r w:rsidR="007071F9" w:rsidRPr="00093D64">
              <w:rPr>
                <w:rFonts w:ascii="Times New Roman" w:hAnsi="Times New Roman"/>
                <w:sz w:val="24"/>
                <w:szCs w:val="24"/>
              </w:rPr>
              <w:t>fektīva mēslojuma lietošana un kūtsmēslu apsaimniekošanas sistēmas uzlabošana (H.2., 8.2., 8.3.</w:t>
            </w:r>
            <w:r>
              <w:rPr>
                <w:rFonts w:ascii="Times New Roman" w:hAnsi="Times New Roman"/>
                <w:sz w:val="24"/>
                <w:szCs w:val="24"/>
                <w:lang w:val="lv-LV"/>
              </w:rPr>
              <w:t xml:space="preserve"> un</w:t>
            </w:r>
            <w:r w:rsidR="007071F9" w:rsidRPr="00093D64">
              <w:rPr>
                <w:rFonts w:ascii="Times New Roman" w:hAnsi="Times New Roman"/>
                <w:sz w:val="24"/>
                <w:szCs w:val="24"/>
              </w:rPr>
              <w:t xml:space="preserve"> 8.1.</w:t>
            </w:r>
            <w:r>
              <w:rPr>
                <w:rFonts w:ascii="Times New Roman" w:hAnsi="Times New Roman"/>
                <w:sz w:val="24"/>
                <w:szCs w:val="24"/>
                <w:lang w:val="lv-LV"/>
              </w:rPr>
              <w:t xml:space="preserve"> </w:t>
            </w:r>
            <w:r w:rsidR="007071F9" w:rsidRPr="00093D64">
              <w:rPr>
                <w:rFonts w:ascii="Times New Roman" w:hAnsi="Times New Roman"/>
                <w:sz w:val="24"/>
                <w:szCs w:val="24"/>
              </w:rPr>
              <w:t>pasākums);</w:t>
            </w:r>
          </w:p>
          <w:p w14:paraId="4E250F65" w14:textId="78517CD3" w:rsidR="007071F9" w:rsidRPr="001B41A0" w:rsidRDefault="00944C62" w:rsidP="00093D64">
            <w:pPr>
              <w:pStyle w:val="ListParagraph"/>
              <w:numPr>
                <w:ilvl w:val="0"/>
                <w:numId w:val="14"/>
              </w:numPr>
              <w:ind w:right="140"/>
              <w:jc w:val="both"/>
            </w:pPr>
            <w:r w:rsidRPr="00093D64">
              <w:rPr>
                <w:rFonts w:ascii="Times New Roman" w:hAnsi="Times New Roman"/>
                <w:sz w:val="24"/>
                <w:szCs w:val="24"/>
              </w:rPr>
              <w:t>d</w:t>
            </w:r>
            <w:r w:rsidR="007071F9" w:rsidRPr="00093D64">
              <w:rPr>
                <w:rFonts w:ascii="Times New Roman" w:hAnsi="Times New Roman"/>
                <w:sz w:val="24"/>
                <w:szCs w:val="24"/>
              </w:rPr>
              <w:t>zīvnieku ēdināšanas uzlabošana (8.5.</w:t>
            </w:r>
            <w:r>
              <w:rPr>
                <w:rFonts w:ascii="Times New Roman" w:hAnsi="Times New Roman"/>
                <w:sz w:val="24"/>
                <w:szCs w:val="24"/>
                <w:lang w:val="lv-LV"/>
              </w:rPr>
              <w:t xml:space="preserve"> un</w:t>
            </w:r>
            <w:r w:rsidR="007071F9" w:rsidRPr="00093D64">
              <w:rPr>
                <w:rFonts w:ascii="Times New Roman" w:hAnsi="Times New Roman"/>
                <w:sz w:val="24"/>
                <w:szCs w:val="24"/>
              </w:rPr>
              <w:t xml:space="preserve"> 8.6.</w:t>
            </w:r>
            <w:r>
              <w:rPr>
                <w:rFonts w:ascii="Times New Roman" w:hAnsi="Times New Roman"/>
                <w:sz w:val="24"/>
                <w:szCs w:val="24"/>
                <w:lang w:val="lv-LV"/>
              </w:rPr>
              <w:t xml:space="preserve"> </w:t>
            </w:r>
            <w:r w:rsidR="007071F9" w:rsidRPr="00093D64">
              <w:rPr>
                <w:rFonts w:ascii="Times New Roman" w:hAnsi="Times New Roman"/>
                <w:sz w:val="24"/>
                <w:szCs w:val="24"/>
              </w:rPr>
              <w:t>pasākums).</w:t>
            </w:r>
          </w:p>
          <w:p w14:paraId="7ECC72F9" w14:textId="2BB75E3C" w:rsidR="007071F9" w:rsidRPr="00BA1D5E" w:rsidRDefault="007071F9" w:rsidP="007071F9">
            <w:pPr>
              <w:ind w:right="140"/>
              <w:jc w:val="both"/>
              <w:rPr>
                <w:rFonts w:eastAsia="Calibri"/>
                <w:szCs w:val="28"/>
                <w:lang w:eastAsia="en-US"/>
              </w:rPr>
            </w:pPr>
            <w:r w:rsidRPr="00BA1D5E">
              <w:rPr>
                <w:rFonts w:eastAsia="Calibri"/>
                <w:szCs w:val="28"/>
                <w:lang w:eastAsia="en-US"/>
              </w:rPr>
              <w:t>Plānošanas dokumentos minētie pasākumi</w:t>
            </w:r>
            <w:r w:rsidR="00944C62">
              <w:rPr>
                <w:rFonts w:eastAsia="Calibri"/>
                <w:szCs w:val="28"/>
                <w:lang w:eastAsia="en-US"/>
              </w:rPr>
              <w:t>,</w:t>
            </w:r>
            <w:r w:rsidRPr="00BA1D5E">
              <w:rPr>
                <w:rFonts w:eastAsia="Calibri"/>
                <w:szCs w:val="28"/>
                <w:lang w:eastAsia="en-US"/>
              </w:rPr>
              <w:t xml:space="preserve"> ciktāl tie atbilst pasākuma īstenošanas nosacījumiem</w:t>
            </w:r>
            <w:r w:rsidR="00944C62">
              <w:rPr>
                <w:rFonts w:eastAsia="Calibri"/>
                <w:szCs w:val="28"/>
                <w:lang w:eastAsia="en-US"/>
              </w:rPr>
              <w:t>,</w:t>
            </w:r>
            <w:r w:rsidRPr="00BA1D5E">
              <w:rPr>
                <w:rFonts w:eastAsia="Calibri"/>
                <w:szCs w:val="28"/>
                <w:lang w:eastAsia="en-US"/>
              </w:rPr>
              <w:t xml:space="preserve"> ir ņemti vērā un ietverti noteikumu projekta 15.</w:t>
            </w:r>
            <w:r w:rsidR="00944C62">
              <w:rPr>
                <w:rFonts w:eastAsia="Calibri"/>
                <w:szCs w:val="28"/>
                <w:lang w:eastAsia="en-US"/>
              </w:rPr>
              <w:t> </w:t>
            </w:r>
            <w:r w:rsidRPr="00BA1D5E">
              <w:rPr>
                <w:rFonts w:eastAsia="Calibri"/>
                <w:szCs w:val="28"/>
                <w:lang w:eastAsia="en-US"/>
              </w:rPr>
              <w:t xml:space="preserve">pielikumā. Sniegtā atbalsta pasākuma rezultatīvie rādītāji un kopējais ieguldījums mērķu izpildē tiks vērtēts un būs publiski pieejams. </w:t>
            </w:r>
          </w:p>
          <w:p w14:paraId="0463C022" w14:textId="77777777" w:rsidR="007071F9" w:rsidRPr="00BA1D5E" w:rsidRDefault="007071F9" w:rsidP="007071F9">
            <w:pPr>
              <w:ind w:right="140"/>
              <w:jc w:val="both"/>
              <w:rPr>
                <w:rFonts w:eastAsia="Calibri"/>
                <w:szCs w:val="28"/>
                <w:lang w:eastAsia="en-US"/>
              </w:rPr>
            </w:pPr>
          </w:p>
          <w:p w14:paraId="01CE8DA1" w14:textId="37B08E9A" w:rsidR="007071F9" w:rsidRPr="00BA1D5E" w:rsidRDefault="007071F9" w:rsidP="007071F9">
            <w:pPr>
              <w:ind w:right="140"/>
              <w:jc w:val="both"/>
              <w:rPr>
                <w:rFonts w:eastAsia="Calibri"/>
                <w:szCs w:val="28"/>
                <w:lang w:eastAsia="en-US"/>
              </w:rPr>
            </w:pPr>
            <w:r w:rsidRPr="00BA1D5E">
              <w:rPr>
                <w:rFonts w:eastAsia="Calibri"/>
                <w:szCs w:val="28"/>
                <w:lang w:eastAsia="en-US"/>
              </w:rPr>
              <w:t>Lai sekmētu pāreju uz nākotnes KLP pēc 2023.</w:t>
            </w:r>
            <w:r w:rsidR="00944C62">
              <w:rPr>
                <w:rFonts w:eastAsia="Calibri"/>
                <w:szCs w:val="28"/>
                <w:lang w:eastAsia="en-US"/>
              </w:rPr>
              <w:t xml:space="preserve"> </w:t>
            </w:r>
            <w:r w:rsidRPr="00BA1D5E">
              <w:rPr>
                <w:rFonts w:eastAsia="Calibri"/>
                <w:szCs w:val="28"/>
                <w:lang w:eastAsia="en-US"/>
              </w:rPr>
              <w:t xml:space="preserve">gada un Zaļā kursa prasībām, kā arī lauksaimniecības nozares ieguldījumu </w:t>
            </w:r>
            <w:r w:rsidR="00607920">
              <w:rPr>
                <w:rFonts w:eastAsia="Calibri"/>
                <w:szCs w:val="28"/>
                <w:lang w:eastAsia="en-US"/>
              </w:rPr>
              <w:t>N</w:t>
            </w:r>
            <w:r w:rsidR="00607920" w:rsidRPr="00607920">
              <w:rPr>
                <w:rFonts w:eastAsia="Calibri"/>
                <w:szCs w:val="28"/>
                <w:lang w:eastAsia="en-US"/>
              </w:rPr>
              <w:t>acionāl</w:t>
            </w:r>
            <w:r w:rsidR="00607920">
              <w:rPr>
                <w:rFonts w:eastAsia="Calibri"/>
                <w:szCs w:val="28"/>
                <w:lang w:eastAsia="en-US"/>
              </w:rPr>
              <w:t>a</w:t>
            </w:r>
            <w:r w:rsidR="001227C4">
              <w:rPr>
                <w:rFonts w:eastAsia="Calibri"/>
                <w:szCs w:val="28"/>
                <w:lang w:eastAsia="en-US"/>
              </w:rPr>
              <w:t>jā</w:t>
            </w:r>
            <w:r w:rsidR="00607920" w:rsidRPr="00607920">
              <w:rPr>
                <w:rFonts w:eastAsia="Calibri"/>
                <w:szCs w:val="28"/>
                <w:lang w:eastAsia="en-US"/>
              </w:rPr>
              <w:t xml:space="preserve"> enerģētikas un klimata plān</w:t>
            </w:r>
            <w:r w:rsidR="001227C4">
              <w:rPr>
                <w:rFonts w:eastAsia="Calibri"/>
                <w:szCs w:val="28"/>
                <w:lang w:eastAsia="en-US"/>
              </w:rPr>
              <w:t xml:space="preserve">ā (turpmāk – </w:t>
            </w:r>
            <w:r w:rsidRPr="00BA1D5E">
              <w:rPr>
                <w:rFonts w:eastAsia="Calibri"/>
                <w:szCs w:val="28"/>
                <w:lang w:eastAsia="en-US"/>
              </w:rPr>
              <w:t>NEKP</w:t>
            </w:r>
            <w:r w:rsidR="001227C4">
              <w:rPr>
                <w:rFonts w:eastAsia="Calibri"/>
                <w:szCs w:val="28"/>
                <w:lang w:eastAsia="en-US"/>
              </w:rPr>
              <w:t>)</w:t>
            </w:r>
            <w:r w:rsidRPr="00BA1D5E">
              <w:rPr>
                <w:rFonts w:eastAsia="Calibri"/>
                <w:szCs w:val="28"/>
                <w:lang w:eastAsia="en-US"/>
              </w:rPr>
              <w:t xml:space="preserve"> noteikto mērķu sasniegšanā, pārejas perioda nosacījum</w:t>
            </w:r>
            <w:r w:rsidR="00944C62">
              <w:rPr>
                <w:rFonts w:eastAsia="Calibri"/>
                <w:szCs w:val="28"/>
                <w:lang w:eastAsia="en-US"/>
              </w:rPr>
              <w:t>i</w:t>
            </w:r>
            <w:r w:rsidRPr="00BA1D5E">
              <w:rPr>
                <w:rFonts w:eastAsia="Calibri"/>
                <w:szCs w:val="28"/>
                <w:lang w:eastAsia="en-US"/>
              </w:rPr>
              <w:t xml:space="preserve"> paredz</w:t>
            </w:r>
            <w:r w:rsidR="00944C62">
              <w:rPr>
                <w:rFonts w:eastAsia="Calibri"/>
                <w:szCs w:val="28"/>
                <w:lang w:eastAsia="en-US"/>
              </w:rPr>
              <w:t>, ka</w:t>
            </w:r>
            <w:r w:rsidRPr="00BA1D5E">
              <w:rPr>
                <w:rFonts w:eastAsia="Calibri"/>
                <w:szCs w:val="28"/>
                <w:lang w:eastAsia="en-US"/>
              </w:rPr>
              <w:t xml:space="preserve"> lauku saimniecībām </w:t>
            </w:r>
            <w:r w:rsidR="00944C62">
              <w:rPr>
                <w:rFonts w:eastAsia="Calibri"/>
                <w:szCs w:val="28"/>
                <w:lang w:eastAsia="en-US"/>
              </w:rPr>
              <w:t>ir jāīsteno</w:t>
            </w:r>
            <w:r w:rsidRPr="00BA1D5E">
              <w:rPr>
                <w:rFonts w:eastAsia="Calibri"/>
                <w:szCs w:val="28"/>
                <w:lang w:eastAsia="en-US"/>
              </w:rPr>
              <w:t xml:space="preserve"> ieguldījum</w:t>
            </w:r>
            <w:r w:rsidR="00944C62">
              <w:rPr>
                <w:rFonts w:eastAsia="Calibri"/>
                <w:szCs w:val="28"/>
                <w:lang w:eastAsia="en-US"/>
              </w:rPr>
              <w:t>i</w:t>
            </w:r>
            <w:r w:rsidRPr="00BA1D5E">
              <w:rPr>
                <w:rFonts w:eastAsia="Calibri"/>
                <w:szCs w:val="28"/>
                <w:lang w:eastAsia="en-US"/>
              </w:rPr>
              <w:t xml:space="preserve"> klimata pārmaiņ</w:t>
            </w:r>
            <w:r w:rsidR="00944C62">
              <w:rPr>
                <w:rFonts w:eastAsia="Calibri"/>
                <w:szCs w:val="28"/>
                <w:lang w:eastAsia="en-US"/>
              </w:rPr>
              <w:t>as</w:t>
            </w:r>
            <w:r w:rsidRPr="00BA1D5E">
              <w:rPr>
                <w:rFonts w:eastAsia="Calibri"/>
                <w:szCs w:val="28"/>
                <w:lang w:eastAsia="en-US"/>
              </w:rPr>
              <w:t xml:space="preserve"> mazinošos pasākumos, piemēram, atbalstot ieguldījumus precīzo tehnoloģiju izmantošanā laukkopībā, mazinot minerālmēslojuma lietošanu, tiešai organiskā mēslojuma iestrādei augsnē, barības devu plānošanai un kvalitātes uzlabošanai lopkopībā, jaunu augļu dārzu izveidei</w:t>
            </w:r>
            <w:r w:rsidR="00944C62">
              <w:rPr>
                <w:rFonts w:eastAsia="Calibri"/>
                <w:szCs w:val="28"/>
                <w:lang w:eastAsia="en-US"/>
              </w:rPr>
              <w:t xml:space="preserve">, </w:t>
            </w:r>
            <w:r w:rsidRPr="00BA1D5E">
              <w:rPr>
                <w:rFonts w:eastAsia="Calibri"/>
                <w:szCs w:val="28"/>
                <w:lang w:eastAsia="en-US"/>
              </w:rPr>
              <w:t>t</w:t>
            </w:r>
            <w:r w:rsidR="00944C62">
              <w:rPr>
                <w:rFonts w:eastAsia="Calibri"/>
                <w:szCs w:val="28"/>
                <w:lang w:eastAsia="en-US"/>
              </w:rPr>
              <w:t>ostarp</w:t>
            </w:r>
            <w:r w:rsidRPr="00BA1D5E">
              <w:rPr>
                <w:rFonts w:eastAsia="Calibri"/>
                <w:szCs w:val="28"/>
                <w:lang w:eastAsia="en-US"/>
              </w:rPr>
              <w:t xml:space="preserve"> organiskajās augsnēs. Savukārt sniegtā atbalsta ietekmi un ieguldījumu NEKP mērķos </w:t>
            </w:r>
            <w:r w:rsidR="00944C62">
              <w:rPr>
                <w:rFonts w:eastAsia="Calibri"/>
                <w:szCs w:val="28"/>
                <w:lang w:eastAsia="en-US"/>
              </w:rPr>
              <w:t>vērtēs</w:t>
            </w:r>
            <w:r w:rsidRPr="00BA1D5E">
              <w:rPr>
                <w:rFonts w:eastAsia="Calibri"/>
                <w:szCs w:val="28"/>
                <w:lang w:eastAsia="en-US"/>
              </w:rPr>
              <w:t xml:space="preserve"> LLU </w:t>
            </w:r>
            <w:proofErr w:type="spellStart"/>
            <w:r w:rsidRPr="00BA1D5E">
              <w:rPr>
                <w:rFonts w:eastAsia="Calibri"/>
                <w:szCs w:val="28"/>
                <w:lang w:eastAsia="en-US"/>
              </w:rPr>
              <w:t>Agroresursu</w:t>
            </w:r>
            <w:proofErr w:type="spellEnd"/>
            <w:r w:rsidRPr="00BA1D5E">
              <w:rPr>
                <w:rFonts w:eastAsia="Calibri"/>
                <w:szCs w:val="28"/>
                <w:lang w:eastAsia="en-US"/>
              </w:rPr>
              <w:t xml:space="preserve"> un ekonomikas institūts</w:t>
            </w:r>
            <w:r w:rsidR="00944C62">
              <w:rPr>
                <w:rFonts w:eastAsia="Calibri"/>
                <w:szCs w:val="28"/>
                <w:lang w:eastAsia="en-US"/>
              </w:rPr>
              <w:t>, īstenojot l</w:t>
            </w:r>
            <w:r w:rsidRPr="00BA1D5E">
              <w:rPr>
                <w:rFonts w:eastAsia="Calibri"/>
                <w:szCs w:val="28"/>
                <w:lang w:eastAsia="en-US"/>
              </w:rPr>
              <w:t>auku attīstības nepārtraukt</w:t>
            </w:r>
            <w:r w:rsidR="00944C62">
              <w:rPr>
                <w:rFonts w:eastAsia="Calibri"/>
                <w:szCs w:val="28"/>
                <w:lang w:eastAsia="en-US"/>
              </w:rPr>
              <w:t>o</w:t>
            </w:r>
            <w:r w:rsidRPr="00BA1D5E">
              <w:rPr>
                <w:rFonts w:eastAsia="Calibri"/>
                <w:szCs w:val="28"/>
                <w:lang w:eastAsia="en-US"/>
              </w:rPr>
              <w:t xml:space="preserve"> novērtēšan</w:t>
            </w:r>
            <w:r w:rsidR="00944C62">
              <w:rPr>
                <w:rFonts w:eastAsia="Calibri"/>
                <w:szCs w:val="28"/>
                <w:lang w:eastAsia="en-US"/>
              </w:rPr>
              <w:t>u.</w:t>
            </w:r>
          </w:p>
          <w:p w14:paraId="57849CAE" w14:textId="77777777" w:rsidR="0047381B" w:rsidRPr="00BA1D5E" w:rsidRDefault="0047381B" w:rsidP="007071F9">
            <w:pPr>
              <w:ind w:right="140"/>
              <w:jc w:val="both"/>
              <w:rPr>
                <w:rFonts w:eastAsia="Calibri"/>
                <w:szCs w:val="28"/>
                <w:lang w:eastAsia="en-US"/>
              </w:rPr>
            </w:pPr>
          </w:p>
          <w:p w14:paraId="45826D2A" w14:textId="04546682" w:rsidR="0047381B" w:rsidRPr="00BA1D5E" w:rsidRDefault="00944C62" w:rsidP="007071F9">
            <w:pPr>
              <w:ind w:right="140"/>
              <w:jc w:val="both"/>
              <w:rPr>
                <w:rFonts w:eastAsia="Calibri"/>
                <w:szCs w:val="28"/>
                <w:lang w:eastAsia="en-US"/>
              </w:rPr>
            </w:pPr>
            <w:r>
              <w:rPr>
                <w:rFonts w:eastAsia="Calibri"/>
                <w:szCs w:val="28"/>
                <w:lang w:eastAsia="en-US"/>
              </w:rPr>
              <w:t>A</w:t>
            </w:r>
            <w:r w:rsidR="0047381B" w:rsidRPr="00BA1D5E">
              <w:rPr>
                <w:rFonts w:eastAsia="Calibri"/>
                <w:szCs w:val="28"/>
                <w:lang w:eastAsia="en-US"/>
              </w:rPr>
              <w:t>tbilstoši Zemkopības ministrijas politikai “Plāns “Prioritārie rīcības virzieni meliorācijas politikā 2021.–2027.gadam”” viens no rīcības virzieniem ir “Klimata pārmaiņu mazināšanai un klimata pārmaiņām pielāgota efektīvas meliorācijas nodrošināšana”, kurā plānots “1.2. Valsts un ES finanšu instrumentu atbalst</w:t>
            </w:r>
            <w:r w:rsidR="0010534E">
              <w:rPr>
                <w:rFonts w:eastAsia="Calibri"/>
                <w:szCs w:val="28"/>
                <w:lang w:eastAsia="en-US"/>
              </w:rPr>
              <w:t>s</w:t>
            </w:r>
            <w:r w:rsidR="0047381B" w:rsidRPr="00BA1D5E">
              <w:rPr>
                <w:rFonts w:eastAsia="Calibri"/>
                <w:szCs w:val="28"/>
                <w:lang w:eastAsia="en-US"/>
              </w:rPr>
              <w:t xml:space="preserve"> valsts un valsts nozīmes meliorācijas sistēmu būvniecībai un uzturēšanai”</w:t>
            </w:r>
            <w:r w:rsidR="0010534E">
              <w:rPr>
                <w:rFonts w:eastAsia="Calibri"/>
                <w:szCs w:val="28"/>
                <w:lang w:eastAsia="en-US"/>
              </w:rPr>
              <w:t>.</w:t>
            </w:r>
            <w:r w:rsidR="0047381B" w:rsidRPr="00BA1D5E">
              <w:rPr>
                <w:rFonts w:eastAsia="Calibri"/>
                <w:szCs w:val="28"/>
                <w:lang w:eastAsia="en-US"/>
              </w:rPr>
              <w:t xml:space="preserve"> </w:t>
            </w:r>
            <w:r w:rsidR="0010534E">
              <w:rPr>
                <w:rFonts w:eastAsia="Calibri"/>
                <w:szCs w:val="28"/>
                <w:lang w:eastAsia="en-US"/>
              </w:rPr>
              <w:t>T</w:t>
            </w:r>
            <w:r w:rsidR="0047381B" w:rsidRPr="00BA1D5E">
              <w:rPr>
                <w:rFonts w:eastAsia="Calibri"/>
                <w:szCs w:val="28"/>
                <w:lang w:eastAsia="en-US"/>
              </w:rPr>
              <w:t>ādējādi, izmantojot ELFLA finansējumu</w:t>
            </w:r>
            <w:r w:rsidR="0010534E">
              <w:rPr>
                <w:rFonts w:eastAsia="Calibri"/>
                <w:szCs w:val="28"/>
                <w:lang w:eastAsia="en-US"/>
              </w:rPr>
              <w:t>,</w:t>
            </w:r>
            <w:r w:rsidR="0047381B" w:rsidRPr="00BA1D5E">
              <w:rPr>
                <w:rFonts w:eastAsia="Calibri"/>
                <w:szCs w:val="28"/>
                <w:lang w:eastAsia="en-US"/>
              </w:rPr>
              <w:t xml:space="preserve"> plānots nodrošināt ūdensnoteku un meliorācijas </w:t>
            </w:r>
            <w:r w:rsidR="0047381B" w:rsidRPr="00BA1D5E">
              <w:rPr>
                <w:rFonts w:eastAsia="Calibri"/>
                <w:szCs w:val="28"/>
                <w:lang w:eastAsia="en-US"/>
              </w:rPr>
              <w:lastRenderedPageBreak/>
              <w:t xml:space="preserve">sistēmu atjaunošanu un pārbūvi, piemērojot videi draudzīgus meliorācijas sistēmu elementus vai "zaļās infrastruktūras" risinājumus. </w:t>
            </w:r>
            <w:r w:rsidR="0010534E" w:rsidRPr="00BA1D5E">
              <w:rPr>
                <w:rFonts w:eastAsia="Calibri"/>
                <w:szCs w:val="28"/>
                <w:lang w:eastAsia="en-US"/>
              </w:rPr>
              <w:t>2021.</w:t>
            </w:r>
            <w:r w:rsidR="0010534E">
              <w:rPr>
                <w:rFonts w:eastAsia="Calibri"/>
                <w:szCs w:val="28"/>
                <w:lang w:eastAsia="en-US"/>
              </w:rPr>
              <w:t>–</w:t>
            </w:r>
            <w:r w:rsidR="0010534E" w:rsidRPr="00BA1D5E">
              <w:rPr>
                <w:rFonts w:eastAsia="Calibri"/>
                <w:szCs w:val="28"/>
                <w:lang w:eastAsia="en-US"/>
              </w:rPr>
              <w:t>2027.</w:t>
            </w:r>
            <w:r w:rsidR="0010534E">
              <w:rPr>
                <w:rFonts w:eastAsia="Calibri"/>
                <w:szCs w:val="28"/>
                <w:lang w:eastAsia="en-US"/>
              </w:rPr>
              <w:t> </w:t>
            </w:r>
            <w:r w:rsidR="0010534E" w:rsidRPr="00BA1D5E">
              <w:rPr>
                <w:rFonts w:eastAsia="Calibri"/>
                <w:szCs w:val="28"/>
                <w:lang w:eastAsia="en-US"/>
              </w:rPr>
              <w:t>gada periodā noteikt</w:t>
            </w:r>
            <w:r w:rsidR="0010534E">
              <w:rPr>
                <w:rFonts w:eastAsia="Calibri"/>
                <w:szCs w:val="28"/>
                <w:lang w:eastAsia="en-US"/>
              </w:rPr>
              <w:t>ai</w:t>
            </w:r>
            <w:r w:rsidR="0010534E" w:rsidRPr="00BA1D5E">
              <w:rPr>
                <w:rFonts w:eastAsia="Calibri"/>
                <w:szCs w:val="28"/>
                <w:lang w:eastAsia="en-US"/>
              </w:rPr>
              <w:t xml:space="preserve">s </w:t>
            </w:r>
            <w:r w:rsidR="0010534E">
              <w:rPr>
                <w:rFonts w:eastAsia="Calibri"/>
                <w:szCs w:val="28"/>
                <w:lang w:eastAsia="en-US"/>
              </w:rPr>
              <w:t>r</w:t>
            </w:r>
            <w:r w:rsidR="0047381B" w:rsidRPr="00BA1D5E">
              <w:rPr>
                <w:rFonts w:eastAsia="Calibri"/>
                <w:szCs w:val="28"/>
                <w:lang w:eastAsia="en-US"/>
              </w:rPr>
              <w:t xml:space="preserve">ezultatīvs rādītājs ir </w:t>
            </w:r>
            <w:r w:rsidR="0010534E">
              <w:rPr>
                <w:rFonts w:eastAsia="Calibri"/>
                <w:szCs w:val="28"/>
                <w:lang w:eastAsia="en-US"/>
              </w:rPr>
              <w:t>i</w:t>
            </w:r>
            <w:r w:rsidR="0047381B" w:rsidRPr="00BA1D5E">
              <w:rPr>
                <w:rFonts w:eastAsia="Calibri"/>
                <w:szCs w:val="28"/>
                <w:lang w:eastAsia="en-US"/>
              </w:rPr>
              <w:t xml:space="preserve">nvestīcijas meliorācijas sistēmu būvniecībā 40 milj. </w:t>
            </w:r>
            <w:proofErr w:type="spellStart"/>
            <w:r w:rsidR="0047381B" w:rsidRPr="00950216">
              <w:rPr>
                <w:rFonts w:eastAsia="Calibri"/>
                <w:i/>
                <w:szCs w:val="28"/>
                <w:lang w:eastAsia="en-US"/>
              </w:rPr>
              <w:t>euro</w:t>
            </w:r>
            <w:proofErr w:type="spellEnd"/>
            <w:r w:rsidR="0010534E">
              <w:rPr>
                <w:rFonts w:eastAsia="Calibri"/>
                <w:i/>
                <w:szCs w:val="28"/>
                <w:lang w:eastAsia="en-US"/>
              </w:rPr>
              <w:t xml:space="preserve"> </w:t>
            </w:r>
            <w:r w:rsidR="0010534E" w:rsidRPr="00950216">
              <w:rPr>
                <w:rFonts w:eastAsia="Calibri"/>
                <w:szCs w:val="28"/>
                <w:lang w:eastAsia="en-US"/>
              </w:rPr>
              <w:t>apmērā</w:t>
            </w:r>
            <w:r w:rsidR="0047381B" w:rsidRPr="008F55A6">
              <w:rPr>
                <w:rFonts w:eastAsia="Calibri"/>
                <w:szCs w:val="28"/>
                <w:lang w:eastAsia="en-US"/>
              </w:rPr>
              <w:t>. T</w:t>
            </w:r>
            <w:r w:rsidR="0010534E">
              <w:rPr>
                <w:rFonts w:eastAsia="Calibri"/>
                <w:szCs w:val="28"/>
                <w:lang w:eastAsia="en-US"/>
              </w:rPr>
              <w:t>as nozīmē, ka</w:t>
            </w:r>
            <w:r w:rsidR="0047381B" w:rsidRPr="0010534E">
              <w:rPr>
                <w:rFonts w:eastAsia="Calibri"/>
                <w:szCs w:val="28"/>
                <w:lang w:eastAsia="en-US"/>
              </w:rPr>
              <w:t xml:space="preserve"> pārejas periodā LAP 2014</w:t>
            </w:r>
            <w:r w:rsidR="0010534E">
              <w:rPr>
                <w:rFonts w:eastAsia="Calibri"/>
                <w:szCs w:val="28"/>
                <w:lang w:eastAsia="en-US"/>
              </w:rPr>
              <w:t>–</w:t>
            </w:r>
            <w:r w:rsidR="0047381B" w:rsidRPr="008F55A6">
              <w:rPr>
                <w:rFonts w:eastAsia="Calibri"/>
                <w:szCs w:val="28"/>
                <w:lang w:eastAsia="en-US"/>
              </w:rPr>
              <w:t>2020 valsts nozīmes un</w:t>
            </w:r>
            <w:r w:rsidR="0047381B" w:rsidRPr="00BA1D5E">
              <w:rPr>
                <w:rFonts w:eastAsia="Calibri"/>
                <w:szCs w:val="28"/>
                <w:lang w:eastAsia="en-US"/>
              </w:rPr>
              <w:t xml:space="preserve"> pašvaldību koplietošanas meliorācijas sistēmu atjaunošanai būs pieejams finansējums 10 milj. </w:t>
            </w:r>
            <w:proofErr w:type="spellStart"/>
            <w:r w:rsidR="0047381B" w:rsidRPr="00950216">
              <w:rPr>
                <w:rFonts w:eastAsia="Calibri"/>
                <w:i/>
                <w:szCs w:val="28"/>
                <w:lang w:eastAsia="en-US"/>
              </w:rPr>
              <w:t>euro</w:t>
            </w:r>
            <w:proofErr w:type="spellEnd"/>
            <w:r w:rsidR="0047381B" w:rsidRPr="00BA1D5E">
              <w:rPr>
                <w:rFonts w:eastAsia="Calibri"/>
                <w:szCs w:val="28"/>
                <w:lang w:eastAsia="en-US"/>
              </w:rPr>
              <w:t xml:space="preserve"> apmērā, </w:t>
            </w:r>
            <w:r w:rsidR="0010534E">
              <w:rPr>
                <w:rFonts w:eastAsia="Calibri"/>
                <w:szCs w:val="28"/>
                <w:lang w:eastAsia="en-US"/>
              </w:rPr>
              <w:t>bet</w:t>
            </w:r>
            <w:r w:rsidR="0010534E" w:rsidRPr="00BA1D5E">
              <w:rPr>
                <w:rFonts w:eastAsia="Calibri"/>
                <w:szCs w:val="28"/>
                <w:lang w:eastAsia="en-US"/>
              </w:rPr>
              <w:t xml:space="preserve"> </w:t>
            </w:r>
            <w:r w:rsidR="0010534E">
              <w:rPr>
                <w:rFonts w:eastAsia="Calibri"/>
                <w:szCs w:val="28"/>
                <w:lang w:eastAsia="en-US"/>
              </w:rPr>
              <w:t>2023.–</w:t>
            </w:r>
            <w:r w:rsidR="0010534E" w:rsidRPr="00BA1D5E">
              <w:rPr>
                <w:rFonts w:eastAsia="Calibri"/>
                <w:szCs w:val="28"/>
                <w:lang w:eastAsia="en-US"/>
              </w:rPr>
              <w:t>2027</w:t>
            </w:r>
            <w:r w:rsidR="0010534E">
              <w:rPr>
                <w:rFonts w:eastAsia="Calibri"/>
                <w:szCs w:val="28"/>
                <w:lang w:eastAsia="en-US"/>
              </w:rPr>
              <w:t>. gada</w:t>
            </w:r>
            <w:r w:rsidR="0010534E" w:rsidRPr="00BA1D5E">
              <w:rPr>
                <w:rFonts w:eastAsia="Calibri"/>
                <w:szCs w:val="28"/>
                <w:lang w:eastAsia="en-US"/>
              </w:rPr>
              <w:t xml:space="preserve"> </w:t>
            </w:r>
            <w:r w:rsidR="0047381B" w:rsidRPr="00BA1D5E">
              <w:rPr>
                <w:rFonts w:eastAsia="Calibri"/>
                <w:szCs w:val="28"/>
                <w:lang w:eastAsia="en-US"/>
              </w:rPr>
              <w:t xml:space="preserve">periodā indikatīvi plānoti 36 milj. </w:t>
            </w:r>
            <w:proofErr w:type="spellStart"/>
            <w:r w:rsidR="0047381B" w:rsidRPr="00950216">
              <w:rPr>
                <w:rFonts w:eastAsia="Calibri"/>
                <w:i/>
                <w:szCs w:val="28"/>
                <w:lang w:eastAsia="en-US"/>
              </w:rPr>
              <w:t>euro</w:t>
            </w:r>
            <w:proofErr w:type="spellEnd"/>
            <w:r w:rsidR="0047381B" w:rsidRPr="00BA1D5E">
              <w:rPr>
                <w:rFonts w:eastAsia="Calibri"/>
                <w:szCs w:val="28"/>
                <w:lang w:eastAsia="en-US"/>
              </w:rPr>
              <w:t>. Attiecīgi sniegtais atbalsts ir tiešā sinerģijā ar Zemkopības ministrijas izstrādāto politiku meliorācijas jomā.</w:t>
            </w:r>
          </w:p>
          <w:p w14:paraId="7AD38632" w14:textId="77777777" w:rsidR="0047381B" w:rsidRPr="00BA1D5E" w:rsidRDefault="0047381B" w:rsidP="007071F9">
            <w:pPr>
              <w:ind w:right="140"/>
              <w:jc w:val="both"/>
              <w:rPr>
                <w:rFonts w:eastAsia="Calibri"/>
                <w:szCs w:val="28"/>
                <w:lang w:eastAsia="en-US"/>
              </w:rPr>
            </w:pPr>
          </w:p>
          <w:p w14:paraId="0C01C7B5" w14:textId="2B4ACF65" w:rsidR="007071F9" w:rsidRPr="00BA1D5E" w:rsidRDefault="007071F9" w:rsidP="007071F9">
            <w:pPr>
              <w:ind w:right="140"/>
              <w:jc w:val="both"/>
              <w:rPr>
                <w:rFonts w:eastAsia="Calibri"/>
                <w:szCs w:val="28"/>
                <w:lang w:eastAsia="en-US"/>
              </w:rPr>
            </w:pPr>
            <w:r w:rsidRPr="00BA1D5E">
              <w:rPr>
                <w:rFonts w:eastAsia="Calibri"/>
                <w:szCs w:val="28"/>
                <w:lang w:eastAsia="en-US"/>
              </w:rPr>
              <w:t>Noteikumu projekta 52.</w:t>
            </w:r>
            <w:r w:rsidR="0010534E">
              <w:rPr>
                <w:rFonts w:eastAsia="Calibri"/>
                <w:szCs w:val="28"/>
                <w:lang w:eastAsia="en-US"/>
              </w:rPr>
              <w:t> </w:t>
            </w:r>
            <w:r w:rsidRPr="00BA1D5E">
              <w:rPr>
                <w:rFonts w:eastAsia="Calibri"/>
                <w:szCs w:val="28"/>
                <w:lang w:eastAsia="en-US"/>
              </w:rPr>
              <w:t>punkt</w:t>
            </w:r>
            <w:r w:rsidR="0010534E">
              <w:rPr>
                <w:rFonts w:eastAsia="Calibri"/>
                <w:szCs w:val="28"/>
                <w:lang w:eastAsia="en-US"/>
              </w:rPr>
              <w:t>ā</w:t>
            </w:r>
            <w:r w:rsidRPr="00BA1D5E">
              <w:rPr>
                <w:rFonts w:eastAsia="Calibri"/>
                <w:szCs w:val="28"/>
                <w:lang w:eastAsia="en-US"/>
              </w:rPr>
              <w:t xml:space="preserve"> no</w:t>
            </w:r>
            <w:r w:rsidR="0010534E">
              <w:rPr>
                <w:rFonts w:eastAsia="Calibri"/>
                <w:szCs w:val="28"/>
                <w:lang w:eastAsia="en-US"/>
              </w:rPr>
              <w:t>teikts</w:t>
            </w:r>
            <w:r w:rsidRPr="00BA1D5E">
              <w:rPr>
                <w:rFonts w:eastAsia="Calibri"/>
                <w:szCs w:val="28"/>
                <w:lang w:eastAsia="en-US"/>
              </w:rPr>
              <w:t xml:space="preserve"> vienam atbalsta pretendentam plānošanas periodā 2021.</w:t>
            </w:r>
            <w:r w:rsidR="0010534E">
              <w:rPr>
                <w:rFonts w:eastAsia="Calibri"/>
                <w:szCs w:val="28"/>
                <w:lang w:eastAsia="en-US"/>
              </w:rPr>
              <w:t>–</w:t>
            </w:r>
            <w:r w:rsidRPr="00BA1D5E">
              <w:rPr>
                <w:rFonts w:eastAsia="Calibri"/>
                <w:szCs w:val="28"/>
                <w:lang w:eastAsia="en-US"/>
              </w:rPr>
              <w:t>2027. gadam pieejam</w:t>
            </w:r>
            <w:r w:rsidR="0010534E">
              <w:rPr>
                <w:rFonts w:eastAsia="Calibri"/>
                <w:szCs w:val="28"/>
                <w:lang w:eastAsia="en-US"/>
              </w:rPr>
              <w:t>ais</w:t>
            </w:r>
            <w:r w:rsidRPr="00BA1D5E">
              <w:rPr>
                <w:rFonts w:eastAsia="Calibri"/>
                <w:szCs w:val="28"/>
                <w:lang w:eastAsia="en-US"/>
              </w:rPr>
              <w:t xml:space="preserve"> maksimālo attiecināmo izmaksu apmēr</w:t>
            </w:r>
            <w:r w:rsidR="0010534E">
              <w:rPr>
                <w:rFonts w:eastAsia="Calibri"/>
                <w:szCs w:val="28"/>
                <w:lang w:eastAsia="en-US"/>
              </w:rPr>
              <w:t>s</w:t>
            </w:r>
            <w:r w:rsidRPr="00BA1D5E">
              <w:rPr>
                <w:rFonts w:eastAsia="Calibri"/>
                <w:szCs w:val="28"/>
                <w:lang w:eastAsia="en-US"/>
              </w:rPr>
              <w:t xml:space="preserve"> (atbilstoši 7.pielikumam), </w:t>
            </w:r>
            <w:r w:rsidR="0010534E">
              <w:rPr>
                <w:rFonts w:eastAsia="Calibri"/>
                <w:szCs w:val="28"/>
                <w:lang w:eastAsia="en-US"/>
              </w:rPr>
              <w:t xml:space="preserve">dodot </w:t>
            </w:r>
            <w:r w:rsidRPr="00BA1D5E">
              <w:rPr>
                <w:rFonts w:eastAsia="Calibri"/>
                <w:szCs w:val="28"/>
                <w:lang w:eastAsia="en-US"/>
              </w:rPr>
              <w:t>iespēju palielināt maksimālās attiecināmās izmaksas</w:t>
            </w:r>
            <w:r w:rsidR="0010534E">
              <w:rPr>
                <w:rFonts w:eastAsia="Calibri"/>
                <w:szCs w:val="28"/>
                <w:lang w:eastAsia="en-US"/>
              </w:rPr>
              <w:t xml:space="preserve"> </w:t>
            </w:r>
            <w:r w:rsidRPr="00BA1D5E">
              <w:rPr>
                <w:rFonts w:eastAsia="Calibri"/>
                <w:szCs w:val="28"/>
                <w:lang w:eastAsia="en-US"/>
              </w:rPr>
              <w:t xml:space="preserve">tādam atbalsta pretendentam, kura ieņēmumi no lauksaimnieciskās darbības pārsniedz 50 procentus no kopējiem ieņēmumiem, par izmaksātas darba algas un ar to saistīto darba spēka nodokļu un nodevu kopsummu pēdējos divos gados, </w:t>
            </w:r>
            <w:r w:rsidR="0010534E">
              <w:rPr>
                <w:rFonts w:eastAsia="Calibri"/>
                <w:szCs w:val="28"/>
                <w:lang w:eastAsia="en-US"/>
              </w:rPr>
              <w:t xml:space="preserve">bet </w:t>
            </w:r>
            <w:r w:rsidRPr="00BA1D5E">
              <w:rPr>
                <w:rFonts w:eastAsia="Calibri"/>
                <w:szCs w:val="28"/>
                <w:lang w:eastAsia="en-US"/>
              </w:rPr>
              <w:t>nepārsniedzot 2</w:t>
            </w:r>
            <w:r w:rsidR="0010534E">
              <w:rPr>
                <w:rFonts w:eastAsia="Calibri"/>
                <w:szCs w:val="28"/>
                <w:lang w:eastAsia="en-US"/>
              </w:rPr>
              <w:t> </w:t>
            </w:r>
            <w:r w:rsidRPr="00BA1D5E">
              <w:rPr>
                <w:rFonts w:eastAsia="Calibri"/>
                <w:szCs w:val="28"/>
                <w:lang w:eastAsia="en-US"/>
              </w:rPr>
              <w:t>000</w:t>
            </w:r>
            <w:r w:rsidR="0010534E">
              <w:rPr>
                <w:rFonts w:eastAsia="Calibri"/>
                <w:szCs w:val="28"/>
                <w:lang w:eastAsia="en-US"/>
              </w:rPr>
              <w:t> </w:t>
            </w:r>
            <w:r w:rsidRPr="00BA1D5E">
              <w:rPr>
                <w:rFonts w:eastAsia="Calibri"/>
                <w:szCs w:val="28"/>
                <w:lang w:eastAsia="en-US"/>
              </w:rPr>
              <w:t xml:space="preserve">000 </w:t>
            </w:r>
            <w:proofErr w:type="spellStart"/>
            <w:r w:rsidRPr="00950216">
              <w:rPr>
                <w:rFonts w:eastAsia="Calibri"/>
                <w:i/>
                <w:szCs w:val="28"/>
                <w:lang w:eastAsia="en-US"/>
              </w:rPr>
              <w:t>euro</w:t>
            </w:r>
            <w:proofErr w:type="spellEnd"/>
            <w:r w:rsidRPr="00BA1D5E">
              <w:rPr>
                <w:rFonts w:eastAsia="Calibri"/>
                <w:szCs w:val="28"/>
                <w:lang w:eastAsia="en-US"/>
              </w:rPr>
              <w:t xml:space="preserve"> atbilstoši šo noteikumu 7.</w:t>
            </w:r>
            <w:r w:rsidR="0010534E">
              <w:rPr>
                <w:rFonts w:eastAsia="Calibri"/>
                <w:szCs w:val="28"/>
                <w:lang w:eastAsia="en-US"/>
              </w:rPr>
              <w:t> </w:t>
            </w:r>
            <w:r w:rsidRPr="00BA1D5E">
              <w:rPr>
                <w:rFonts w:eastAsia="Calibri"/>
                <w:szCs w:val="28"/>
                <w:lang w:eastAsia="en-US"/>
              </w:rPr>
              <w:t>pielikumam</w:t>
            </w:r>
            <w:r w:rsidR="005E2CE1" w:rsidRPr="00BA1D5E">
              <w:rPr>
                <w:rFonts w:eastAsia="Calibri"/>
                <w:szCs w:val="28"/>
                <w:lang w:eastAsia="en-US"/>
              </w:rPr>
              <w:t>.</w:t>
            </w:r>
          </w:p>
          <w:p w14:paraId="472C67BF" w14:textId="12ED6717" w:rsidR="00E30935" w:rsidRPr="00BA1D5E" w:rsidRDefault="0010534E" w:rsidP="00E30935">
            <w:pPr>
              <w:ind w:right="140"/>
              <w:jc w:val="both"/>
              <w:rPr>
                <w:rFonts w:eastAsia="Calibri"/>
                <w:szCs w:val="28"/>
                <w:lang w:eastAsia="en-US"/>
              </w:rPr>
            </w:pPr>
            <w:r>
              <w:rPr>
                <w:rFonts w:eastAsia="Calibri"/>
                <w:szCs w:val="28"/>
                <w:lang w:eastAsia="en-US"/>
              </w:rPr>
              <w:t>N</w:t>
            </w:r>
            <w:r w:rsidR="007071F9" w:rsidRPr="00BA1D5E">
              <w:rPr>
                <w:rFonts w:eastAsia="Calibri"/>
                <w:szCs w:val="28"/>
                <w:lang w:eastAsia="en-US"/>
              </w:rPr>
              <w:t xml:space="preserve">oteikts arī maksimālais attiecināmo izmaksu apmērs siltumnīcu būvniecībai un pārbūvei </w:t>
            </w:r>
            <w:r>
              <w:rPr>
                <w:rFonts w:eastAsia="Calibri"/>
                <w:szCs w:val="28"/>
                <w:lang w:eastAsia="en-US"/>
              </w:rPr>
              <w:t>–</w:t>
            </w:r>
            <w:r w:rsidR="007071F9" w:rsidRPr="00BA1D5E">
              <w:rPr>
                <w:rFonts w:eastAsia="Calibri"/>
                <w:szCs w:val="28"/>
                <w:lang w:eastAsia="en-US"/>
              </w:rPr>
              <w:t xml:space="preserve"> 3</w:t>
            </w:r>
            <w:r>
              <w:rPr>
                <w:rFonts w:eastAsia="Calibri"/>
                <w:szCs w:val="28"/>
                <w:lang w:eastAsia="en-US"/>
              </w:rPr>
              <w:t> </w:t>
            </w:r>
            <w:r w:rsidR="007071F9" w:rsidRPr="00BA1D5E">
              <w:rPr>
                <w:rFonts w:eastAsia="Calibri"/>
                <w:szCs w:val="28"/>
                <w:lang w:eastAsia="en-US"/>
              </w:rPr>
              <w:t>000</w:t>
            </w:r>
            <w:r>
              <w:rPr>
                <w:rFonts w:eastAsia="Calibri"/>
                <w:szCs w:val="28"/>
                <w:lang w:eastAsia="en-US"/>
              </w:rPr>
              <w:t> </w:t>
            </w:r>
            <w:r w:rsidR="007071F9" w:rsidRPr="00BA1D5E">
              <w:rPr>
                <w:rFonts w:eastAsia="Calibri"/>
                <w:szCs w:val="28"/>
                <w:lang w:eastAsia="en-US"/>
              </w:rPr>
              <w:t xml:space="preserve">000 </w:t>
            </w:r>
            <w:proofErr w:type="spellStart"/>
            <w:r w:rsidR="007071F9" w:rsidRPr="003F58A1">
              <w:rPr>
                <w:rFonts w:eastAsia="Calibri"/>
                <w:i/>
                <w:szCs w:val="28"/>
                <w:lang w:eastAsia="en-US"/>
              </w:rPr>
              <w:t>euro</w:t>
            </w:r>
            <w:proofErr w:type="spellEnd"/>
            <w:r w:rsidR="007071F9" w:rsidRPr="00BA1D5E">
              <w:rPr>
                <w:rFonts w:eastAsia="Calibri"/>
                <w:szCs w:val="28"/>
                <w:lang w:eastAsia="en-US"/>
              </w:rPr>
              <w:t xml:space="preserve">. </w:t>
            </w:r>
            <w:r>
              <w:rPr>
                <w:rFonts w:eastAsia="Calibri"/>
                <w:szCs w:val="28"/>
                <w:lang w:eastAsia="en-US"/>
              </w:rPr>
              <w:t>Savukārt</w:t>
            </w:r>
            <w:r w:rsidR="007071F9" w:rsidRPr="00BA1D5E">
              <w:rPr>
                <w:rFonts w:eastAsia="Calibri"/>
                <w:szCs w:val="28"/>
                <w:lang w:eastAsia="en-US"/>
              </w:rPr>
              <w:t xml:space="preserve"> pārstrādes uzņēmum</w:t>
            </w:r>
            <w:r>
              <w:rPr>
                <w:rFonts w:eastAsia="Calibri"/>
                <w:szCs w:val="28"/>
                <w:lang w:eastAsia="en-US"/>
              </w:rPr>
              <w:t>iem pasākumā</w:t>
            </w:r>
            <w:r w:rsidR="007071F9" w:rsidRPr="00BA1D5E">
              <w:rPr>
                <w:rFonts w:eastAsia="Calibri"/>
                <w:szCs w:val="28"/>
                <w:lang w:eastAsia="en-US"/>
              </w:rPr>
              <w:t xml:space="preserve"> </w:t>
            </w:r>
            <w:r>
              <w:rPr>
                <w:rFonts w:eastAsia="Calibri"/>
                <w:szCs w:val="28"/>
                <w:lang w:eastAsia="en-US"/>
              </w:rPr>
              <w:t>“</w:t>
            </w:r>
            <w:r w:rsidR="007071F9" w:rsidRPr="00BA1D5E">
              <w:rPr>
                <w:rFonts w:eastAsia="Calibri"/>
                <w:szCs w:val="28"/>
                <w:lang w:eastAsia="en-US"/>
              </w:rPr>
              <w:t>Atbalsts ieguldījumiem pārstrādē”  maksimāl</w:t>
            </w:r>
            <w:r>
              <w:rPr>
                <w:rFonts w:eastAsia="Calibri"/>
                <w:szCs w:val="28"/>
                <w:lang w:eastAsia="en-US"/>
              </w:rPr>
              <w:t>ā</w:t>
            </w:r>
            <w:r w:rsidR="007071F9" w:rsidRPr="00BA1D5E">
              <w:rPr>
                <w:rFonts w:eastAsia="Calibri"/>
                <w:szCs w:val="28"/>
                <w:lang w:eastAsia="en-US"/>
              </w:rPr>
              <w:t xml:space="preserve"> attiecināmo izmaksu </w:t>
            </w:r>
            <w:r>
              <w:rPr>
                <w:rFonts w:eastAsia="Calibri"/>
                <w:szCs w:val="28"/>
                <w:lang w:eastAsia="en-US"/>
              </w:rPr>
              <w:t>summa</w:t>
            </w:r>
            <w:r w:rsidR="007071F9" w:rsidRPr="00BA1D5E">
              <w:rPr>
                <w:rFonts w:eastAsia="Calibri"/>
                <w:szCs w:val="28"/>
                <w:lang w:eastAsia="en-US"/>
              </w:rPr>
              <w:t xml:space="preserve"> ir 5 000 000 </w:t>
            </w:r>
            <w:proofErr w:type="spellStart"/>
            <w:r w:rsidR="007071F9" w:rsidRPr="003F58A1">
              <w:rPr>
                <w:rFonts w:eastAsia="Calibri"/>
                <w:i/>
                <w:szCs w:val="28"/>
                <w:lang w:eastAsia="en-US"/>
              </w:rPr>
              <w:t>euro</w:t>
            </w:r>
            <w:proofErr w:type="spellEnd"/>
            <w:r w:rsidR="007071F9" w:rsidRPr="00BA1D5E">
              <w:rPr>
                <w:rFonts w:eastAsia="Calibri"/>
                <w:szCs w:val="28"/>
                <w:lang w:eastAsia="en-US"/>
              </w:rPr>
              <w:t xml:space="preserve">. </w:t>
            </w:r>
            <w:r>
              <w:rPr>
                <w:rFonts w:eastAsia="Calibri"/>
                <w:szCs w:val="28"/>
                <w:lang w:eastAsia="en-US"/>
              </w:rPr>
              <w:t>T</w:t>
            </w:r>
            <w:r w:rsidR="007071F9" w:rsidRPr="00BA1D5E">
              <w:rPr>
                <w:rFonts w:eastAsia="Calibri"/>
                <w:szCs w:val="28"/>
                <w:lang w:eastAsia="en-US"/>
              </w:rPr>
              <w:t xml:space="preserve">o summu var palielināt tādam atbalsta pretendentam, kura ieņēmumi no lauksaimniecības produktu pārstrādes pārsniedz vismaz 50 procentus no kopējiem ieņēmumiem, par izmaksātās darba algas un ar to saistīto darba spēka nodokļu un nodevu kopsummu pēdējos divos gados, </w:t>
            </w:r>
            <w:r>
              <w:rPr>
                <w:rFonts w:eastAsia="Calibri"/>
                <w:szCs w:val="28"/>
                <w:lang w:eastAsia="en-US"/>
              </w:rPr>
              <w:t xml:space="preserve">bet </w:t>
            </w:r>
            <w:r w:rsidR="007071F9" w:rsidRPr="00BA1D5E">
              <w:rPr>
                <w:rFonts w:eastAsia="Calibri"/>
                <w:szCs w:val="28"/>
                <w:lang w:eastAsia="en-US"/>
              </w:rPr>
              <w:t>nepārsniedzot 7</w:t>
            </w:r>
            <w:r>
              <w:rPr>
                <w:rFonts w:eastAsia="Calibri"/>
                <w:szCs w:val="28"/>
                <w:lang w:eastAsia="en-US"/>
              </w:rPr>
              <w:t> </w:t>
            </w:r>
            <w:r w:rsidR="007071F9" w:rsidRPr="00BA1D5E">
              <w:rPr>
                <w:rFonts w:eastAsia="Calibri"/>
                <w:szCs w:val="28"/>
                <w:lang w:eastAsia="en-US"/>
              </w:rPr>
              <w:t xml:space="preserve">000 000 </w:t>
            </w:r>
            <w:proofErr w:type="spellStart"/>
            <w:r w:rsidR="007071F9" w:rsidRPr="003F58A1">
              <w:rPr>
                <w:rFonts w:eastAsia="Calibri"/>
                <w:i/>
                <w:szCs w:val="28"/>
                <w:lang w:eastAsia="en-US"/>
              </w:rPr>
              <w:t>euro</w:t>
            </w:r>
            <w:proofErr w:type="spellEnd"/>
            <w:r w:rsidR="007071F9" w:rsidRPr="00BA1D5E">
              <w:rPr>
                <w:rFonts w:eastAsia="Calibri"/>
                <w:szCs w:val="28"/>
                <w:lang w:eastAsia="en-US"/>
              </w:rPr>
              <w:t xml:space="preserve"> atbilstoši šo noteikumu 7. pielikumam</w:t>
            </w:r>
            <w:r w:rsidR="005E2CE1" w:rsidRPr="00BA1D5E">
              <w:rPr>
                <w:rFonts w:eastAsia="Calibri"/>
                <w:szCs w:val="28"/>
                <w:lang w:eastAsia="en-US"/>
              </w:rPr>
              <w:t>.</w:t>
            </w:r>
            <w:r w:rsidR="00E30935" w:rsidRPr="00BA1D5E">
              <w:rPr>
                <w:rFonts w:eastAsia="Calibri"/>
                <w:szCs w:val="28"/>
                <w:lang w:eastAsia="en-US"/>
              </w:rPr>
              <w:t xml:space="preserve"> </w:t>
            </w:r>
          </w:p>
          <w:p w14:paraId="693970D3" w14:textId="7A3BBEFB" w:rsidR="00E30935" w:rsidRPr="00BA1D5E" w:rsidRDefault="0010534E" w:rsidP="00E30935">
            <w:pPr>
              <w:ind w:right="140"/>
              <w:jc w:val="both"/>
              <w:rPr>
                <w:rFonts w:eastAsia="Calibri"/>
                <w:szCs w:val="28"/>
                <w:lang w:eastAsia="en-US"/>
              </w:rPr>
            </w:pPr>
            <w:r>
              <w:rPr>
                <w:rFonts w:eastAsia="Calibri"/>
                <w:szCs w:val="28"/>
                <w:lang w:eastAsia="en-US"/>
              </w:rPr>
              <w:t>M</w:t>
            </w:r>
            <w:r w:rsidR="00E30935" w:rsidRPr="00BA1D5E">
              <w:rPr>
                <w:rFonts w:eastAsia="Calibri"/>
                <w:szCs w:val="28"/>
                <w:lang w:eastAsia="en-US"/>
              </w:rPr>
              <w:t>inēto rādītāju apmēr</w:t>
            </w:r>
            <w:r>
              <w:rPr>
                <w:rFonts w:eastAsia="Calibri"/>
                <w:szCs w:val="28"/>
                <w:lang w:eastAsia="en-US"/>
              </w:rPr>
              <w:t>s</w:t>
            </w:r>
            <w:r w:rsidR="00E30935" w:rsidRPr="00BA1D5E">
              <w:rPr>
                <w:rFonts w:eastAsia="Calibri"/>
                <w:szCs w:val="28"/>
                <w:lang w:eastAsia="en-US"/>
              </w:rPr>
              <w:t xml:space="preserve"> ir noteikti</w:t>
            </w:r>
            <w:r>
              <w:rPr>
                <w:rFonts w:eastAsia="Calibri"/>
                <w:szCs w:val="28"/>
                <w:lang w:eastAsia="en-US"/>
              </w:rPr>
              <w:t>, ievērojot</w:t>
            </w:r>
            <w:r w:rsidR="00E30935" w:rsidRPr="00BA1D5E">
              <w:rPr>
                <w:rFonts w:eastAsia="Calibri"/>
                <w:szCs w:val="28"/>
                <w:lang w:eastAsia="en-US"/>
              </w:rPr>
              <w:t xml:space="preserve"> IMA pasākuma īstenošanas </w:t>
            </w:r>
            <w:r>
              <w:rPr>
                <w:rFonts w:eastAsia="Calibri"/>
                <w:szCs w:val="28"/>
                <w:lang w:eastAsia="en-US"/>
              </w:rPr>
              <w:t>laikā</w:t>
            </w:r>
            <w:r w:rsidR="00E30935" w:rsidRPr="00BA1D5E">
              <w:rPr>
                <w:rFonts w:eastAsia="Calibri"/>
                <w:szCs w:val="28"/>
                <w:lang w:eastAsia="en-US"/>
              </w:rPr>
              <w:t xml:space="preserve"> gūt</w:t>
            </w:r>
            <w:r>
              <w:rPr>
                <w:rFonts w:eastAsia="Calibri"/>
                <w:szCs w:val="28"/>
                <w:lang w:eastAsia="en-US"/>
              </w:rPr>
              <w:t>o</w:t>
            </w:r>
            <w:r w:rsidR="00E30935" w:rsidRPr="00BA1D5E">
              <w:rPr>
                <w:rFonts w:eastAsia="Calibri"/>
                <w:szCs w:val="28"/>
                <w:lang w:eastAsia="en-US"/>
              </w:rPr>
              <w:t xml:space="preserve"> pieredzi LAP 2014</w:t>
            </w:r>
            <w:r>
              <w:rPr>
                <w:rFonts w:eastAsia="Calibri"/>
                <w:szCs w:val="28"/>
                <w:lang w:eastAsia="en-US"/>
              </w:rPr>
              <w:t>–</w:t>
            </w:r>
            <w:r w:rsidR="00E30935" w:rsidRPr="00BA1D5E">
              <w:rPr>
                <w:rFonts w:eastAsia="Calibri"/>
                <w:szCs w:val="28"/>
                <w:lang w:eastAsia="en-US"/>
              </w:rPr>
              <w:t>2020</w:t>
            </w:r>
            <w:r>
              <w:rPr>
                <w:rFonts w:eastAsia="Calibri"/>
                <w:szCs w:val="28"/>
                <w:lang w:eastAsia="en-US"/>
              </w:rPr>
              <w:t xml:space="preserve"> periodā.</w:t>
            </w:r>
            <w:r w:rsidR="00E30935" w:rsidRPr="00BA1D5E">
              <w:rPr>
                <w:rFonts w:eastAsia="Calibri"/>
                <w:szCs w:val="28"/>
                <w:lang w:eastAsia="en-US"/>
              </w:rPr>
              <w:t xml:space="preserve"> Lai aptvertu lielāk</w:t>
            </w:r>
            <w:r>
              <w:rPr>
                <w:rFonts w:eastAsia="Calibri"/>
                <w:szCs w:val="28"/>
                <w:lang w:eastAsia="en-US"/>
              </w:rPr>
              <w:t>u</w:t>
            </w:r>
            <w:r w:rsidR="00E30935" w:rsidRPr="00BA1D5E">
              <w:rPr>
                <w:rFonts w:eastAsia="Calibri"/>
                <w:szCs w:val="28"/>
                <w:lang w:eastAsia="en-US"/>
              </w:rPr>
              <w:t xml:space="preserve"> atbalsta saņēmēju skaitu, kopējo maksimālo attiecināmo izmaksu apmērs tika samazināts līdz 1 milj.</w:t>
            </w:r>
            <w:r>
              <w:rPr>
                <w:rFonts w:eastAsia="Calibri"/>
                <w:szCs w:val="28"/>
                <w:lang w:eastAsia="en-US"/>
              </w:rPr>
              <w:t xml:space="preserve"> </w:t>
            </w:r>
            <w:proofErr w:type="spellStart"/>
            <w:r w:rsidR="00E30935" w:rsidRPr="003F58A1">
              <w:rPr>
                <w:rFonts w:eastAsia="Calibri"/>
                <w:i/>
                <w:szCs w:val="28"/>
                <w:lang w:eastAsia="en-US"/>
              </w:rPr>
              <w:t>euro</w:t>
            </w:r>
            <w:proofErr w:type="spellEnd"/>
            <w:r w:rsidR="00E30935" w:rsidRPr="00BA1D5E">
              <w:rPr>
                <w:rFonts w:eastAsia="Calibri"/>
                <w:szCs w:val="28"/>
                <w:lang w:eastAsia="en-US"/>
              </w:rPr>
              <w:t>, tomēr tika noteikti papildu nosacījumi par iespēju palielināt maksimāl</w:t>
            </w:r>
            <w:r>
              <w:rPr>
                <w:rFonts w:eastAsia="Calibri"/>
                <w:szCs w:val="28"/>
                <w:lang w:eastAsia="en-US"/>
              </w:rPr>
              <w:t>ās</w:t>
            </w:r>
            <w:r w:rsidR="00E30935" w:rsidRPr="00BA1D5E">
              <w:rPr>
                <w:rFonts w:eastAsia="Calibri"/>
                <w:szCs w:val="28"/>
                <w:lang w:eastAsia="en-US"/>
              </w:rPr>
              <w:t xml:space="preserve"> attiecināmo izmaksu </w:t>
            </w:r>
            <w:r>
              <w:rPr>
                <w:rFonts w:eastAsia="Calibri"/>
                <w:szCs w:val="28"/>
                <w:lang w:eastAsia="en-US"/>
              </w:rPr>
              <w:t>summas</w:t>
            </w:r>
            <w:r w:rsidR="00E30935" w:rsidRPr="00BA1D5E">
              <w:rPr>
                <w:rFonts w:eastAsia="Calibri"/>
                <w:szCs w:val="28"/>
                <w:lang w:eastAsia="en-US"/>
              </w:rPr>
              <w:t xml:space="preserve"> </w:t>
            </w:r>
            <w:r w:rsidR="00697E5E" w:rsidRPr="00BA1D5E">
              <w:rPr>
                <w:rFonts w:eastAsia="Calibri"/>
                <w:szCs w:val="28"/>
                <w:lang w:eastAsia="en-US"/>
              </w:rPr>
              <w:t xml:space="preserve">projektos, kuru īstenošana var </w:t>
            </w:r>
            <w:r w:rsidR="00045FD1" w:rsidRPr="00BA1D5E">
              <w:rPr>
                <w:rFonts w:eastAsia="Calibri"/>
                <w:szCs w:val="28"/>
                <w:lang w:eastAsia="en-US"/>
              </w:rPr>
              <w:t>prasīt lielākos ieguldījumus</w:t>
            </w:r>
            <w:r w:rsidR="00E30935" w:rsidRPr="00BA1D5E">
              <w:rPr>
                <w:rFonts w:eastAsia="Calibri"/>
                <w:szCs w:val="28"/>
                <w:lang w:eastAsia="en-US"/>
              </w:rPr>
              <w:t xml:space="preserve">, </w:t>
            </w:r>
            <w:r w:rsidR="00045FD1" w:rsidRPr="00BA1D5E">
              <w:rPr>
                <w:rFonts w:eastAsia="Calibri"/>
                <w:szCs w:val="28"/>
                <w:lang w:eastAsia="en-US"/>
              </w:rPr>
              <w:t xml:space="preserve">piemēram, </w:t>
            </w:r>
            <w:r w:rsidR="00E30935" w:rsidRPr="00BA1D5E">
              <w:rPr>
                <w:rFonts w:eastAsia="Calibri"/>
                <w:szCs w:val="28"/>
                <w:lang w:eastAsia="en-US"/>
              </w:rPr>
              <w:t>projek</w:t>
            </w:r>
            <w:r w:rsidR="00045FD1" w:rsidRPr="00BA1D5E">
              <w:rPr>
                <w:rFonts w:eastAsia="Calibri"/>
                <w:szCs w:val="28"/>
                <w:lang w:eastAsia="en-US"/>
              </w:rPr>
              <w:t>tos</w:t>
            </w:r>
            <w:r w:rsidR="00E30935" w:rsidRPr="00BA1D5E">
              <w:rPr>
                <w:rFonts w:eastAsia="Calibri"/>
                <w:szCs w:val="28"/>
                <w:lang w:eastAsia="en-US"/>
              </w:rPr>
              <w:t>, kuros ir paredzēta būve vai pārbūve.</w:t>
            </w:r>
          </w:p>
          <w:p w14:paraId="1CCCFB7C" w14:textId="77777777" w:rsidR="00045FD1" w:rsidRPr="00BA1D5E" w:rsidRDefault="00045FD1" w:rsidP="00E30935">
            <w:pPr>
              <w:ind w:right="140"/>
              <w:jc w:val="both"/>
              <w:rPr>
                <w:rFonts w:eastAsia="Calibri"/>
                <w:szCs w:val="28"/>
                <w:lang w:eastAsia="en-US"/>
              </w:rPr>
            </w:pPr>
          </w:p>
          <w:p w14:paraId="1B3D6BEE" w14:textId="0C93A129" w:rsidR="007071F9" w:rsidRPr="00BA1D5E" w:rsidRDefault="00E30935" w:rsidP="007071F9">
            <w:pPr>
              <w:ind w:right="140"/>
              <w:jc w:val="both"/>
              <w:rPr>
                <w:rFonts w:eastAsia="Calibri"/>
                <w:szCs w:val="28"/>
                <w:lang w:eastAsia="en-US"/>
              </w:rPr>
            </w:pPr>
            <w:r w:rsidRPr="00BA1D5E">
              <w:rPr>
                <w:rFonts w:eastAsia="Calibri"/>
                <w:szCs w:val="28"/>
                <w:lang w:eastAsia="en-US"/>
              </w:rPr>
              <w:t>Vienlai</w:t>
            </w:r>
            <w:r w:rsidR="0010534E">
              <w:rPr>
                <w:rFonts w:eastAsia="Calibri"/>
                <w:szCs w:val="28"/>
                <w:lang w:eastAsia="en-US"/>
              </w:rPr>
              <w:t>kus</w:t>
            </w:r>
            <w:r w:rsidRPr="00BA1D5E">
              <w:rPr>
                <w:rFonts w:eastAsia="Calibri"/>
                <w:szCs w:val="28"/>
                <w:lang w:eastAsia="en-US"/>
              </w:rPr>
              <w:t>, ievērojot to, ka ir jāveicina kooperatīv</w:t>
            </w:r>
            <w:r w:rsidR="0010534E">
              <w:rPr>
                <w:rFonts w:eastAsia="Calibri"/>
                <w:szCs w:val="28"/>
                <w:lang w:eastAsia="en-US"/>
              </w:rPr>
              <w:t>o</w:t>
            </w:r>
            <w:r w:rsidRPr="00BA1D5E">
              <w:rPr>
                <w:rFonts w:eastAsia="Calibri"/>
                <w:szCs w:val="28"/>
                <w:lang w:eastAsia="en-US"/>
              </w:rPr>
              <w:t xml:space="preserve"> sabiedrību attīstība un jaunu kooperatīvo sabiedrību dibināšana, kā arī to, ka kooperatīv</w:t>
            </w:r>
            <w:r w:rsidR="0010534E">
              <w:rPr>
                <w:rFonts w:eastAsia="Calibri"/>
                <w:szCs w:val="28"/>
                <w:lang w:eastAsia="en-US"/>
              </w:rPr>
              <w:t>ās</w:t>
            </w:r>
            <w:r w:rsidRPr="00BA1D5E">
              <w:rPr>
                <w:rFonts w:eastAsia="Calibri"/>
                <w:szCs w:val="28"/>
                <w:lang w:eastAsia="en-US"/>
              </w:rPr>
              <w:t xml:space="preserve"> sabiedrības apvieno lielu lauksaimnieku skaitu, kooperatīv</w:t>
            </w:r>
            <w:r w:rsidR="0010534E">
              <w:rPr>
                <w:rFonts w:eastAsia="Calibri"/>
                <w:szCs w:val="28"/>
                <w:lang w:eastAsia="en-US"/>
              </w:rPr>
              <w:t>aj</w:t>
            </w:r>
            <w:r w:rsidRPr="00BA1D5E">
              <w:rPr>
                <w:rFonts w:eastAsia="Calibri"/>
                <w:szCs w:val="28"/>
                <w:lang w:eastAsia="en-US"/>
              </w:rPr>
              <w:t>ām sabiedrībām n</w:t>
            </w:r>
            <w:r w:rsidR="0010534E">
              <w:rPr>
                <w:rFonts w:eastAsia="Calibri"/>
                <w:szCs w:val="28"/>
                <w:lang w:eastAsia="en-US"/>
              </w:rPr>
              <w:t>av</w:t>
            </w:r>
            <w:r w:rsidRPr="00BA1D5E">
              <w:rPr>
                <w:rFonts w:eastAsia="Calibri"/>
                <w:szCs w:val="28"/>
                <w:lang w:eastAsia="en-US"/>
              </w:rPr>
              <w:t xml:space="preserve"> noteikts maksimālo attiecināmo izmaksu ierobežojums (izņemot jaun</w:t>
            </w:r>
            <w:r w:rsidR="0010534E">
              <w:rPr>
                <w:rFonts w:eastAsia="Calibri"/>
                <w:szCs w:val="28"/>
                <w:lang w:eastAsia="en-US"/>
              </w:rPr>
              <w:t>ajām</w:t>
            </w:r>
            <w:r w:rsidRPr="00BA1D5E">
              <w:rPr>
                <w:rFonts w:eastAsia="Calibri"/>
                <w:szCs w:val="28"/>
                <w:lang w:eastAsia="en-US"/>
              </w:rPr>
              <w:t xml:space="preserve"> kooperatīv</w:t>
            </w:r>
            <w:r w:rsidR="0010534E">
              <w:rPr>
                <w:rFonts w:eastAsia="Calibri"/>
                <w:szCs w:val="28"/>
                <w:lang w:eastAsia="en-US"/>
              </w:rPr>
              <w:t>ajām</w:t>
            </w:r>
            <w:r w:rsidRPr="00BA1D5E">
              <w:rPr>
                <w:rFonts w:eastAsia="Calibri"/>
                <w:szCs w:val="28"/>
                <w:lang w:eastAsia="en-US"/>
              </w:rPr>
              <w:t xml:space="preserve"> sabiedrīb</w:t>
            </w:r>
            <w:r w:rsidR="0010534E">
              <w:rPr>
                <w:rFonts w:eastAsia="Calibri"/>
                <w:szCs w:val="28"/>
                <w:lang w:eastAsia="en-US"/>
              </w:rPr>
              <w:t>ām</w:t>
            </w:r>
            <w:r w:rsidRPr="00BA1D5E">
              <w:rPr>
                <w:rFonts w:eastAsia="Calibri"/>
                <w:szCs w:val="28"/>
                <w:lang w:eastAsia="en-US"/>
              </w:rPr>
              <w:t>). Arī iepriekš Ministru kabineta 2014. gada 30. septembra noteikumi Nr. 600 "Kārtība, kādā piešķir valsts un Eiropas Savienības atbalstu atklātu projektu konkursu veidā pasākumam "Ieguldījumi materiālajos aktīvos"" neierobežoja maksimālās attiecināmās izmaksas kooperatīv</w:t>
            </w:r>
            <w:r w:rsidR="0010534E">
              <w:rPr>
                <w:rFonts w:eastAsia="Calibri"/>
                <w:szCs w:val="28"/>
                <w:lang w:eastAsia="en-US"/>
              </w:rPr>
              <w:t>aj</w:t>
            </w:r>
            <w:r w:rsidRPr="00BA1D5E">
              <w:rPr>
                <w:rFonts w:eastAsia="Calibri"/>
                <w:szCs w:val="28"/>
                <w:lang w:eastAsia="en-US"/>
              </w:rPr>
              <w:t>ām sabiedrībām</w:t>
            </w:r>
            <w:r w:rsidR="00045FD1" w:rsidRPr="00BA1D5E">
              <w:rPr>
                <w:rFonts w:eastAsia="Calibri"/>
                <w:szCs w:val="28"/>
                <w:lang w:eastAsia="en-US"/>
              </w:rPr>
              <w:t>. Tādējādi k</w:t>
            </w:r>
            <w:r w:rsidR="007071F9" w:rsidRPr="00BA1D5E">
              <w:rPr>
                <w:rFonts w:eastAsia="Calibri"/>
                <w:szCs w:val="28"/>
                <w:lang w:eastAsia="en-US"/>
              </w:rPr>
              <w:t>ooperatīva</w:t>
            </w:r>
            <w:r w:rsidR="0010534E">
              <w:rPr>
                <w:rFonts w:eastAsia="Calibri"/>
                <w:szCs w:val="28"/>
                <w:lang w:eastAsia="en-US"/>
              </w:rPr>
              <w:t>ja</w:t>
            </w:r>
            <w:r w:rsidR="007071F9" w:rsidRPr="00BA1D5E">
              <w:rPr>
                <w:rFonts w:eastAsia="Calibri"/>
                <w:szCs w:val="28"/>
                <w:lang w:eastAsia="en-US"/>
              </w:rPr>
              <w:t xml:space="preserve">i sabiedrībai un kooperatīvo sabiedrību apvienībai maksimālā atbalsta ierobežojuma prasību nepiemēro, izņemot jaunu kooperatīvo sabiedrību, kurai maksimālais attiecināmo </w:t>
            </w:r>
            <w:r w:rsidR="007071F9" w:rsidRPr="00BA1D5E">
              <w:rPr>
                <w:rFonts w:eastAsia="Calibri"/>
                <w:szCs w:val="28"/>
                <w:lang w:eastAsia="en-US"/>
              </w:rPr>
              <w:lastRenderedPageBreak/>
              <w:t>izmaksu apmērs šo noteikumu</w:t>
            </w:r>
            <w:r w:rsidR="006704CF">
              <w:rPr>
                <w:rFonts w:eastAsia="Calibri"/>
                <w:szCs w:val="28"/>
                <w:lang w:eastAsia="en-US"/>
              </w:rPr>
              <w:t xml:space="preserve"> projekta</w:t>
            </w:r>
            <w:r w:rsidR="007071F9" w:rsidRPr="00BA1D5E">
              <w:rPr>
                <w:rFonts w:eastAsia="Calibri"/>
                <w:szCs w:val="28"/>
                <w:lang w:eastAsia="en-US"/>
              </w:rPr>
              <w:t xml:space="preserve"> 1.</w:t>
            </w:r>
            <w:r w:rsidR="0010534E">
              <w:rPr>
                <w:rFonts w:eastAsia="Calibri"/>
                <w:szCs w:val="28"/>
                <w:lang w:eastAsia="en-US"/>
              </w:rPr>
              <w:t> </w:t>
            </w:r>
            <w:r w:rsidR="007071F9" w:rsidRPr="00BA1D5E">
              <w:rPr>
                <w:rFonts w:eastAsia="Calibri"/>
                <w:szCs w:val="28"/>
                <w:lang w:eastAsia="en-US"/>
              </w:rPr>
              <w:t xml:space="preserve">punktā minētajos </w:t>
            </w:r>
            <w:proofErr w:type="spellStart"/>
            <w:r w:rsidR="007071F9" w:rsidRPr="00BA1D5E">
              <w:rPr>
                <w:rFonts w:eastAsia="Calibri"/>
                <w:szCs w:val="28"/>
                <w:lang w:eastAsia="en-US"/>
              </w:rPr>
              <w:t>apakšpasākumos</w:t>
            </w:r>
            <w:proofErr w:type="spellEnd"/>
            <w:r w:rsidR="007071F9" w:rsidRPr="00BA1D5E">
              <w:rPr>
                <w:rFonts w:eastAsia="Calibri"/>
                <w:szCs w:val="28"/>
                <w:lang w:eastAsia="en-US"/>
              </w:rPr>
              <w:t xml:space="preserve"> ir 5 000 000 </w:t>
            </w:r>
            <w:proofErr w:type="spellStart"/>
            <w:r w:rsidR="007071F9" w:rsidRPr="009A723B">
              <w:rPr>
                <w:rFonts w:eastAsia="Calibri"/>
                <w:i/>
                <w:szCs w:val="28"/>
                <w:lang w:eastAsia="en-US"/>
              </w:rPr>
              <w:t>euro</w:t>
            </w:r>
            <w:proofErr w:type="spellEnd"/>
            <w:r w:rsidR="0010534E">
              <w:rPr>
                <w:rFonts w:eastAsia="Calibri"/>
                <w:i/>
                <w:szCs w:val="28"/>
                <w:lang w:eastAsia="en-US"/>
              </w:rPr>
              <w:t>.</w:t>
            </w:r>
          </w:p>
          <w:p w14:paraId="1E625A76" w14:textId="1C127158" w:rsidR="007071F9" w:rsidRPr="008F55A6" w:rsidRDefault="007071F9" w:rsidP="009A723B">
            <w:pPr>
              <w:ind w:right="142"/>
              <w:jc w:val="both"/>
              <w:rPr>
                <w:rFonts w:eastAsia="Calibri"/>
                <w:lang w:eastAsia="en-US"/>
              </w:rPr>
            </w:pPr>
            <w:r w:rsidRPr="00BA1D5E">
              <w:rPr>
                <w:rFonts w:eastAsia="Calibri"/>
                <w:szCs w:val="28"/>
                <w:lang w:eastAsia="en-US"/>
              </w:rPr>
              <w:t>Noteikumu projekta 53.</w:t>
            </w:r>
            <w:r w:rsidR="0010534E">
              <w:rPr>
                <w:rFonts w:eastAsia="Calibri"/>
                <w:szCs w:val="28"/>
                <w:lang w:eastAsia="en-US"/>
              </w:rPr>
              <w:t> </w:t>
            </w:r>
            <w:r w:rsidRPr="00BA1D5E">
              <w:rPr>
                <w:rFonts w:eastAsia="Calibri"/>
                <w:szCs w:val="28"/>
                <w:lang w:eastAsia="en-US"/>
              </w:rPr>
              <w:t>punkt</w:t>
            </w:r>
            <w:r w:rsidR="0010534E">
              <w:rPr>
                <w:rFonts w:eastAsia="Calibri"/>
                <w:szCs w:val="28"/>
                <w:lang w:eastAsia="en-US"/>
              </w:rPr>
              <w:t>ā</w:t>
            </w:r>
            <w:r w:rsidRPr="00BA1D5E">
              <w:rPr>
                <w:rFonts w:eastAsia="Calibri"/>
                <w:szCs w:val="28"/>
                <w:lang w:eastAsia="en-US"/>
              </w:rPr>
              <w:t xml:space="preserve"> no</w:t>
            </w:r>
            <w:r w:rsidR="0010534E">
              <w:rPr>
                <w:rFonts w:eastAsia="Calibri"/>
                <w:szCs w:val="28"/>
                <w:lang w:eastAsia="en-US"/>
              </w:rPr>
              <w:t>teikti</w:t>
            </w:r>
            <w:r w:rsidRPr="00BA1D5E">
              <w:rPr>
                <w:rFonts w:eastAsia="Calibri"/>
                <w:szCs w:val="28"/>
                <w:lang w:eastAsia="en-US"/>
              </w:rPr>
              <w:t xml:space="preserve"> </w:t>
            </w:r>
            <w:r w:rsidR="0010534E">
              <w:rPr>
                <w:rFonts w:eastAsia="Calibri"/>
                <w:szCs w:val="28"/>
                <w:lang w:eastAsia="en-US"/>
              </w:rPr>
              <w:t>individuāli</w:t>
            </w:r>
            <w:r w:rsidR="0010534E" w:rsidRPr="00BA1D5E">
              <w:rPr>
                <w:rFonts w:eastAsia="Calibri"/>
                <w:szCs w:val="28"/>
                <w:lang w:eastAsia="en-US"/>
              </w:rPr>
              <w:t xml:space="preserve"> </w:t>
            </w:r>
            <w:r w:rsidRPr="00BA1D5E">
              <w:rPr>
                <w:rFonts w:eastAsia="Calibri"/>
                <w:szCs w:val="28"/>
                <w:lang w:eastAsia="en-US"/>
              </w:rPr>
              <w:t>maksimālā attiecināmo izmaksu apmēra “griest</w:t>
            </w:r>
            <w:r w:rsidR="0010534E">
              <w:rPr>
                <w:rFonts w:eastAsia="Calibri"/>
                <w:szCs w:val="28"/>
                <w:lang w:eastAsia="en-US"/>
              </w:rPr>
              <w:t>i</w:t>
            </w:r>
            <w:r w:rsidRPr="00BA1D5E">
              <w:rPr>
                <w:rFonts w:eastAsia="Calibri"/>
                <w:szCs w:val="28"/>
                <w:lang w:eastAsia="en-US"/>
              </w:rPr>
              <w:t>”</w:t>
            </w:r>
            <w:r w:rsidR="0010534E">
              <w:rPr>
                <w:rFonts w:eastAsia="Calibri"/>
                <w:szCs w:val="28"/>
                <w:lang w:eastAsia="en-US"/>
              </w:rPr>
              <w:t xml:space="preserve"> atkarībā no</w:t>
            </w:r>
            <w:r w:rsidRPr="00BA1D5E">
              <w:rPr>
                <w:rFonts w:eastAsia="Calibri"/>
                <w:szCs w:val="28"/>
                <w:lang w:eastAsia="en-US"/>
              </w:rPr>
              <w:t xml:space="preserve"> atbalsta pretendenta ieņēmum</w:t>
            </w:r>
            <w:r w:rsidR="0010534E">
              <w:rPr>
                <w:rFonts w:eastAsia="Calibri"/>
                <w:szCs w:val="28"/>
                <w:lang w:eastAsia="en-US"/>
              </w:rPr>
              <w:t>iem</w:t>
            </w:r>
            <w:r w:rsidRPr="00BA1D5E">
              <w:rPr>
                <w:rFonts w:eastAsia="Calibri"/>
                <w:szCs w:val="28"/>
                <w:lang w:eastAsia="en-US"/>
              </w:rPr>
              <w:t xml:space="preserve"> no lauksaimniecības produktu ražošanas un pārstrādes pēdējos divos noslēgtajos gados, bet maksimālā attiecināmo izmaksu apmēra individuāli</w:t>
            </w:r>
            <w:r w:rsidR="0010534E">
              <w:rPr>
                <w:rFonts w:eastAsia="Calibri"/>
                <w:szCs w:val="28"/>
                <w:lang w:eastAsia="en-US"/>
              </w:rPr>
              <w:t>e</w:t>
            </w:r>
            <w:r w:rsidRPr="00BA1D5E">
              <w:rPr>
                <w:rFonts w:eastAsia="Calibri"/>
                <w:szCs w:val="28"/>
                <w:lang w:eastAsia="en-US"/>
              </w:rPr>
              <w:t xml:space="preserve"> “griesti” nepārsniedz pēdējā noslēgtā gada </w:t>
            </w:r>
            <w:r w:rsidRPr="008F55A6">
              <w:rPr>
                <w:rFonts w:eastAsia="Calibri"/>
                <w:lang w:eastAsia="en-US"/>
              </w:rPr>
              <w:t>ieņēmumus no lauksaimniecības produktu ražošanas un pārstrādes:</w:t>
            </w:r>
          </w:p>
          <w:p w14:paraId="3E3521E8" w14:textId="0A92F64B" w:rsidR="007071F9" w:rsidRPr="001B41A0" w:rsidRDefault="007071F9" w:rsidP="009A723B">
            <w:pPr>
              <w:pStyle w:val="ListParagraph"/>
              <w:numPr>
                <w:ilvl w:val="0"/>
                <w:numId w:val="16"/>
              </w:numPr>
              <w:spacing w:after="0" w:line="240" w:lineRule="auto"/>
              <w:ind w:right="142"/>
              <w:jc w:val="both"/>
            </w:pPr>
            <w:r w:rsidRPr="009A723B">
              <w:rPr>
                <w:rFonts w:ascii="Times New Roman" w:hAnsi="Times New Roman"/>
                <w:sz w:val="24"/>
                <w:szCs w:val="24"/>
              </w:rPr>
              <w:t xml:space="preserve">vairāk par piecām reizēm, ja atbalsta pretendenta kopējais apgrozījums ir līdz 70 000 </w:t>
            </w:r>
            <w:proofErr w:type="spellStart"/>
            <w:r w:rsidRPr="009A723B">
              <w:rPr>
                <w:rFonts w:ascii="Times New Roman" w:hAnsi="Times New Roman"/>
                <w:i/>
                <w:sz w:val="24"/>
                <w:szCs w:val="24"/>
              </w:rPr>
              <w:t>euro</w:t>
            </w:r>
            <w:proofErr w:type="spellEnd"/>
            <w:r w:rsidRPr="009A723B">
              <w:rPr>
                <w:rFonts w:ascii="Times New Roman" w:hAnsi="Times New Roman"/>
                <w:sz w:val="24"/>
                <w:szCs w:val="24"/>
              </w:rPr>
              <w:t>;</w:t>
            </w:r>
          </w:p>
          <w:p w14:paraId="17628E3C" w14:textId="42FF4D00" w:rsidR="007071F9" w:rsidRPr="001B41A0" w:rsidRDefault="007071F9" w:rsidP="009A723B">
            <w:pPr>
              <w:pStyle w:val="ListParagraph"/>
              <w:numPr>
                <w:ilvl w:val="0"/>
                <w:numId w:val="16"/>
              </w:numPr>
              <w:spacing w:after="0" w:line="240" w:lineRule="auto"/>
              <w:ind w:right="142"/>
              <w:jc w:val="both"/>
            </w:pPr>
            <w:r w:rsidRPr="009A723B">
              <w:rPr>
                <w:rFonts w:ascii="Times New Roman" w:hAnsi="Times New Roman"/>
                <w:sz w:val="24"/>
                <w:szCs w:val="24"/>
              </w:rPr>
              <w:t xml:space="preserve">vairāk par trīs reizēm, ja atbalsta pretendenta kopējais apgrozījums ir lielāks par 70 000 </w:t>
            </w:r>
            <w:proofErr w:type="spellStart"/>
            <w:r w:rsidRPr="009A723B">
              <w:rPr>
                <w:rFonts w:ascii="Times New Roman" w:hAnsi="Times New Roman"/>
                <w:i/>
                <w:sz w:val="24"/>
                <w:szCs w:val="24"/>
              </w:rPr>
              <w:t>euro</w:t>
            </w:r>
            <w:proofErr w:type="spellEnd"/>
            <w:r w:rsidR="0010534E">
              <w:rPr>
                <w:rFonts w:ascii="Times New Roman" w:hAnsi="Times New Roman"/>
                <w:sz w:val="24"/>
                <w:szCs w:val="24"/>
                <w:lang w:val="lv-LV"/>
              </w:rPr>
              <w:t>.</w:t>
            </w:r>
          </w:p>
          <w:p w14:paraId="3AF75C2E" w14:textId="77BFA0AB" w:rsidR="007071F9" w:rsidRPr="00BA1D5E" w:rsidRDefault="007071F9" w:rsidP="009A723B">
            <w:pPr>
              <w:ind w:right="142"/>
              <w:jc w:val="both"/>
              <w:rPr>
                <w:rFonts w:eastAsia="Calibri"/>
                <w:szCs w:val="28"/>
                <w:lang w:eastAsia="en-US"/>
              </w:rPr>
            </w:pPr>
            <w:proofErr w:type="spellStart"/>
            <w:r w:rsidRPr="00BA1D5E">
              <w:rPr>
                <w:rFonts w:eastAsia="Calibri"/>
                <w:szCs w:val="28"/>
                <w:lang w:eastAsia="en-US"/>
              </w:rPr>
              <w:t>Apakšpasākum</w:t>
            </w:r>
            <w:r w:rsidR="0010534E">
              <w:rPr>
                <w:rFonts w:eastAsia="Calibri"/>
                <w:szCs w:val="28"/>
                <w:lang w:eastAsia="en-US"/>
              </w:rPr>
              <w:t>ā</w:t>
            </w:r>
            <w:proofErr w:type="spellEnd"/>
            <w:r w:rsidRPr="00BA1D5E">
              <w:rPr>
                <w:rFonts w:eastAsia="Calibri"/>
                <w:szCs w:val="28"/>
                <w:lang w:eastAsia="en-US"/>
              </w:rPr>
              <w:t xml:space="preserve"> </w:t>
            </w:r>
            <w:r w:rsidR="0010534E">
              <w:rPr>
                <w:rFonts w:eastAsia="Calibri"/>
                <w:szCs w:val="28"/>
                <w:lang w:eastAsia="en-US"/>
              </w:rPr>
              <w:t>“</w:t>
            </w:r>
            <w:r w:rsidRPr="00BA1D5E">
              <w:rPr>
                <w:rFonts w:eastAsia="Calibri"/>
                <w:szCs w:val="28"/>
                <w:lang w:eastAsia="en-US"/>
              </w:rPr>
              <w:t>Atbalsts ieguldījumiem pārstrādē” individuāl</w:t>
            </w:r>
            <w:r w:rsidR="0010534E">
              <w:rPr>
                <w:rFonts w:eastAsia="Calibri"/>
                <w:szCs w:val="28"/>
                <w:lang w:eastAsia="en-US"/>
              </w:rPr>
              <w:t>o</w:t>
            </w:r>
            <w:r w:rsidRPr="00BA1D5E">
              <w:rPr>
                <w:rFonts w:eastAsia="Calibri"/>
                <w:szCs w:val="28"/>
                <w:lang w:eastAsia="en-US"/>
              </w:rPr>
              <w:t xml:space="preserve"> “griest</w:t>
            </w:r>
            <w:r w:rsidR="0010534E">
              <w:rPr>
                <w:rFonts w:eastAsia="Calibri"/>
                <w:szCs w:val="28"/>
                <w:lang w:eastAsia="en-US"/>
              </w:rPr>
              <w:t>u</w:t>
            </w:r>
            <w:r w:rsidRPr="00BA1D5E">
              <w:rPr>
                <w:rFonts w:eastAsia="Calibri"/>
                <w:szCs w:val="28"/>
                <w:lang w:eastAsia="en-US"/>
              </w:rPr>
              <w:t>” maksimāl</w:t>
            </w:r>
            <w:r w:rsidR="0010534E">
              <w:rPr>
                <w:rFonts w:eastAsia="Calibri"/>
                <w:szCs w:val="28"/>
                <w:lang w:eastAsia="en-US"/>
              </w:rPr>
              <w:t>o</w:t>
            </w:r>
            <w:r w:rsidRPr="00BA1D5E">
              <w:rPr>
                <w:rFonts w:eastAsia="Calibri"/>
                <w:szCs w:val="28"/>
                <w:lang w:eastAsia="en-US"/>
              </w:rPr>
              <w:t xml:space="preserve"> attiecināmo izmaksu apmērs nav lielāks par pretendenta neto apgrozījumu no lauksaimniecības produktu pārstrādes un ražošanas pēdējā noslēgtajā gadā pirms projekta iesnieguma iesniegšanas vairāk kā piecas reizes.</w:t>
            </w:r>
          </w:p>
          <w:p w14:paraId="3E981605" w14:textId="713A6122" w:rsidR="007071F9" w:rsidRPr="00BA1D5E" w:rsidRDefault="007071F9" w:rsidP="007071F9">
            <w:pPr>
              <w:ind w:right="140"/>
              <w:jc w:val="both"/>
              <w:rPr>
                <w:rFonts w:eastAsia="Calibri"/>
                <w:szCs w:val="28"/>
                <w:lang w:eastAsia="en-US"/>
              </w:rPr>
            </w:pPr>
          </w:p>
          <w:p w14:paraId="6B919854" w14:textId="38BD8DAC" w:rsidR="007071F9" w:rsidRPr="00BA1D5E" w:rsidRDefault="007071F9" w:rsidP="007071F9">
            <w:pPr>
              <w:ind w:right="140"/>
              <w:jc w:val="both"/>
              <w:rPr>
                <w:rFonts w:eastAsia="Calibri"/>
                <w:szCs w:val="28"/>
                <w:lang w:eastAsia="en-US"/>
              </w:rPr>
            </w:pPr>
            <w:r w:rsidRPr="00BA1D5E">
              <w:rPr>
                <w:rFonts w:eastAsia="Calibri"/>
                <w:szCs w:val="28"/>
                <w:lang w:eastAsia="en-US"/>
              </w:rPr>
              <w:t>Noteikumu projekta 8.</w:t>
            </w:r>
            <w:r w:rsidR="0010534E">
              <w:rPr>
                <w:rFonts w:eastAsia="Calibri"/>
                <w:szCs w:val="28"/>
                <w:lang w:eastAsia="en-US"/>
              </w:rPr>
              <w:t> no</w:t>
            </w:r>
            <w:r w:rsidRPr="00BA1D5E">
              <w:rPr>
                <w:rFonts w:eastAsia="Calibri"/>
                <w:szCs w:val="28"/>
                <w:lang w:eastAsia="en-US"/>
              </w:rPr>
              <w:t>daļ</w:t>
            </w:r>
            <w:r w:rsidR="0010534E">
              <w:rPr>
                <w:rFonts w:eastAsia="Calibri"/>
                <w:szCs w:val="28"/>
                <w:lang w:eastAsia="en-US"/>
              </w:rPr>
              <w:t>ā</w:t>
            </w:r>
            <w:r w:rsidRPr="00BA1D5E">
              <w:rPr>
                <w:rFonts w:eastAsia="Calibri"/>
                <w:szCs w:val="28"/>
                <w:lang w:eastAsia="en-US"/>
              </w:rPr>
              <w:t xml:space="preserve"> </w:t>
            </w:r>
            <w:r w:rsidR="0010534E">
              <w:rPr>
                <w:rFonts w:eastAsia="Calibri"/>
                <w:szCs w:val="28"/>
                <w:lang w:eastAsia="en-US"/>
              </w:rPr>
              <w:t>ietverti</w:t>
            </w:r>
            <w:r w:rsidRPr="00BA1D5E">
              <w:rPr>
                <w:rFonts w:eastAsia="Calibri"/>
                <w:szCs w:val="28"/>
                <w:lang w:eastAsia="en-US"/>
              </w:rPr>
              <w:t xml:space="preserve"> finansēšanas pieprasīšanas papildu nosacījumus, t</w:t>
            </w:r>
            <w:r w:rsidR="0010534E">
              <w:rPr>
                <w:rFonts w:eastAsia="Calibri"/>
                <w:szCs w:val="28"/>
                <w:lang w:eastAsia="en-US"/>
              </w:rPr>
              <w:t>ostarp</w:t>
            </w:r>
            <w:r w:rsidRPr="00BA1D5E">
              <w:rPr>
                <w:rFonts w:eastAsia="Calibri"/>
                <w:szCs w:val="28"/>
                <w:lang w:eastAsia="en-US"/>
              </w:rPr>
              <w:t xml:space="preserve"> papildus iesniedzam</w:t>
            </w:r>
            <w:r w:rsidR="0010534E">
              <w:rPr>
                <w:rFonts w:eastAsia="Calibri"/>
                <w:szCs w:val="28"/>
                <w:lang w:eastAsia="en-US"/>
              </w:rPr>
              <w:t>ie</w:t>
            </w:r>
            <w:r w:rsidRPr="00BA1D5E">
              <w:rPr>
                <w:rFonts w:eastAsia="Calibri"/>
                <w:szCs w:val="28"/>
                <w:lang w:eastAsia="en-US"/>
              </w:rPr>
              <w:t xml:space="preserve"> dokument</w:t>
            </w:r>
            <w:r w:rsidR="0010534E">
              <w:rPr>
                <w:rFonts w:eastAsia="Calibri"/>
                <w:szCs w:val="28"/>
                <w:lang w:eastAsia="en-US"/>
              </w:rPr>
              <w:t>i</w:t>
            </w:r>
            <w:r w:rsidRPr="00BA1D5E">
              <w:rPr>
                <w:rFonts w:eastAsia="Calibri"/>
                <w:szCs w:val="28"/>
                <w:lang w:eastAsia="en-US"/>
              </w:rPr>
              <w:t>. Atbalsta saņēmējam atbilstoši 82.</w:t>
            </w:r>
            <w:r w:rsidR="0010534E">
              <w:rPr>
                <w:rFonts w:eastAsia="Calibri"/>
                <w:szCs w:val="28"/>
                <w:lang w:eastAsia="en-US"/>
              </w:rPr>
              <w:t> </w:t>
            </w:r>
            <w:r w:rsidRPr="00BA1D5E">
              <w:rPr>
                <w:rFonts w:eastAsia="Calibri"/>
                <w:szCs w:val="28"/>
                <w:lang w:eastAsia="en-US"/>
              </w:rPr>
              <w:t>punktam ir jāsniedz Lauku atbalsta dienest</w:t>
            </w:r>
            <w:r w:rsidR="0010534E">
              <w:rPr>
                <w:rFonts w:eastAsia="Calibri"/>
                <w:szCs w:val="28"/>
                <w:lang w:eastAsia="en-US"/>
              </w:rPr>
              <w:t>ā</w:t>
            </w:r>
            <w:r w:rsidRPr="00BA1D5E">
              <w:rPr>
                <w:rFonts w:eastAsia="Calibri"/>
                <w:szCs w:val="28"/>
                <w:lang w:eastAsia="en-US"/>
              </w:rPr>
              <w:t xml:space="preserve"> nepieciešama </w:t>
            </w:r>
            <w:r w:rsidR="00C5420C" w:rsidRPr="00BA1D5E">
              <w:rPr>
                <w:rFonts w:eastAsia="Calibri"/>
                <w:szCs w:val="28"/>
                <w:lang w:eastAsia="en-US"/>
              </w:rPr>
              <w:t>informācij</w:t>
            </w:r>
            <w:r w:rsidR="00C5420C">
              <w:rPr>
                <w:rFonts w:eastAsia="Calibri"/>
                <w:szCs w:val="28"/>
                <w:lang w:eastAsia="en-US"/>
              </w:rPr>
              <w:t>a</w:t>
            </w:r>
            <w:r w:rsidRPr="00BA1D5E">
              <w:rPr>
                <w:rFonts w:eastAsia="Calibri"/>
                <w:szCs w:val="28"/>
                <w:lang w:eastAsia="en-US"/>
              </w:rPr>
              <w:t xml:space="preserve">. </w:t>
            </w:r>
            <w:r w:rsidR="0010534E">
              <w:rPr>
                <w:rFonts w:eastAsia="Calibri"/>
                <w:szCs w:val="28"/>
                <w:lang w:eastAsia="en-US"/>
              </w:rPr>
              <w:t>J</w:t>
            </w:r>
            <w:r w:rsidRPr="00BA1D5E">
              <w:rPr>
                <w:rFonts w:eastAsia="Calibri"/>
                <w:szCs w:val="28"/>
                <w:lang w:eastAsia="en-US"/>
              </w:rPr>
              <w:t>a attiecīgie dokumenti nebūs pievienoti atbilstoši 82.</w:t>
            </w:r>
            <w:r w:rsidR="0010534E">
              <w:rPr>
                <w:rFonts w:eastAsia="Calibri"/>
                <w:szCs w:val="28"/>
                <w:lang w:eastAsia="en-US"/>
              </w:rPr>
              <w:t> </w:t>
            </w:r>
            <w:r w:rsidRPr="00BA1D5E">
              <w:rPr>
                <w:rFonts w:eastAsia="Calibri"/>
                <w:szCs w:val="28"/>
                <w:lang w:eastAsia="en-US"/>
              </w:rPr>
              <w:t>punktam, informācija tiks pieprasīta atbilstoši Administratīvā procesa likumā noteiktajai kārtībai.</w:t>
            </w:r>
          </w:p>
          <w:p w14:paraId="55580AB9" w14:textId="77777777" w:rsidR="007E4132" w:rsidRDefault="007E4132" w:rsidP="007071F9">
            <w:pPr>
              <w:ind w:right="140"/>
              <w:jc w:val="both"/>
              <w:rPr>
                <w:rFonts w:eastAsia="Calibri"/>
                <w:szCs w:val="28"/>
                <w:lang w:eastAsia="en-US"/>
              </w:rPr>
            </w:pPr>
          </w:p>
          <w:p w14:paraId="0492C5C5" w14:textId="22AFAA86" w:rsidR="00304546" w:rsidRPr="00BA1D5E" w:rsidRDefault="007071F9" w:rsidP="007071F9">
            <w:pPr>
              <w:ind w:right="140"/>
              <w:jc w:val="both"/>
              <w:rPr>
                <w:rFonts w:eastAsia="Calibri"/>
                <w:szCs w:val="28"/>
                <w:lang w:eastAsia="en-US"/>
              </w:rPr>
            </w:pPr>
            <w:r w:rsidRPr="00BA1D5E">
              <w:rPr>
                <w:rFonts w:eastAsia="Calibri"/>
                <w:szCs w:val="28"/>
                <w:lang w:eastAsia="en-US"/>
              </w:rPr>
              <w:t xml:space="preserve">Ja atbalsta saņēmējs projektā </w:t>
            </w:r>
            <w:r w:rsidR="0010534E" w:rsidRPr="00BA1D5E">
              <w:rPr>
                <w:rFonts w:eastAsia="Calibri"/>
                <w:szCs w:val="28"/>
                <w:lang w:eastAsia="en-US"/>
              </w:rPr>
              <w:t xml:space="preserve">plāno </w:t>
            </w:r>
            <w:r w:rsidRPr="00BA1D5E">
              <w:rPr>
                <w:rFonts w:eastAsia="Calibri"/>
                <w:szCs w:val="28"/>
                <w:lang w:eastAsia="en-US"/>
              </w:rPr>
              <w:t>kūtsmēslu krātuvju būvniecību vai pārbūvi, tad saskaņā ar noteikumu projekta 74.9.3.</w:t>
            </w:r>
            <w:r w:rsidR="0010534E">
              <w:rPr>
                <w:rFonts w:eastAsia="Calibri"/>
                <w:szCs w:val="28"/>
                <w:lang w:eastAsia="en-US"/>
              </w:rPr>
              <w:t xml:space="preserve"> </w:t>
            </w:r>
            <w:r w:rsidRPr="00BA1D5E">
              <w:rPr>
                <w:rFonts w:eastAsia="Calibri"/>
                <w:szCs w:val="28"/>
                <w:lang w:eastAsia="en-US"/>
              </w:rPr>
              <w:t xml:space="preserve">apakšpunktu </w:t>
            </w:r>
            <w:r w:rsidR="0010534E">
              <w:rPr>
                <w:rFonts w:eastAsia="Calibri"/>
                <w:szCs w:val="28"/>
                <w:lang w:eastAsia="en-US"/>
              </w:rPr>
              <w:t xml:space="preserve">viņš </w:t>
            </w:r>
            <w:r w:rsidRPr="00BA1D5E">
              <w:rPr>
                <w:rFonts w:eastAsia="Calibri"/>
                <w:szCs w:val="28"/>
                <w:lang w:eastAsia="en-US"/>
              </w:rPr>
              <w:t>iesniedz plānotā amonjaka emisij</w:t>
            </w:r>
            <w:r w:rsidR="0010534E">
              <w:rPr>
                <w:rFonts w:eastAsia="Calibri"/>
                <w:szCs w:val="28"/>
                <w:lang w:eastAsia="en-US"/>
              </w:rPr>
              <w:t>as</w:t>
            </w:r>
            <w:r w:rsidRPr="00BA1D5E">
              <w:rPr>
                <w:rFonts w:eastAsia="Calibri"/>
                <w:szCs w:val="28"/>
                <w:lang w:eastAsia="en-US"/>
              </w:rPr>
              <w:t xml:space="preserve"> samazinājuma aprēķinu. Skaidrojam, ka minēta</w:t>
            </w:r>
            <w:r w:rsidR="008B4438">
              <w:rPr>
                <w:rFonts w:eastAsia="Calibri"/>
                <w:szCs w:val="28"/>
                <w:lang w:eastAsia="en-US"/>
              </w:rPr>
              <w:t>is</w:t>
            </w:r>
            <w:r w:rsidRPr="00BA1D5E">
              <w:rPr>
                <w:rFonts w:eastAsia="Calibri"/>
                <w:szCs w:val="28"/>
                <w:lang w:eastAsia="en-US"/>
              </w:rPr>
              <w:t xml:space="preserve"> aprēķins ir veicams atbilstoši 2013 </w:t>
            </w:r>
            <w:r w:rsidRPr="008B2F36">
              <w:rPr>
                <w:rFonts w:eastAsia="Calibri"/>
                <w:i/>
                <w:szCs w:val="28"/>
                <w:lang w:eastAsia="en-US"/>
              </w:rPr>
              <w:t>EMEP/EEA</w:t>
            </w:r>
            <w:r w:rsidRPr="00BA1D5E">
              <w:rPr>
                <w:rFonts w:eastAsia="Calibri"/>
                <w:szCs w:val="28"/>
                <w:lang w:eastAsia="en-US"/>
              </w:rPr>
              <w:t xml:space="preserve"> </w:t>
            </w:r>
            <w:r w:rsidR="00F2002E" w:rsidRPr="00F2002E">
              <w:rPr>
                <w:rFonts w:eastAsia="Calibri"/>
                <w:szCs w:val="28"/>
                <w:lang w:eastAsia="en-US"/>
              </w:rPr>
              <w:t>gaisu piesārņojoša viel</w:t>
            </w:r>
            <w:r w:rsidR="006E1179">
              <w:rPr>
                <w:rFonts w:eastAsia="Calibri"/>
                <w:szCs w:val="28"/>
                <w:lang w:eastAsia="en-US"/>
              </w:rPr>
              <w:t>u em</w:t>
            </w:r>
            <w:r w:rsidR="006E047E">
              <w:rPr>
                <w:rFonts w:eastAsia="Calibri"/>
                <w:szCs w:val="28"/>
                <w:lang w:eastAsia="en-US"/>
              </w:rPr>
              <w:t>i</w:t>
            </w:r>
            <w:r w:rsidR="006E1179">
              <w:rPr>
                <w:rFonts w:eastAsia="Calibri"/>
                <w:szCs w:val="28"/>
                <w:lang w:eastAsia="en-US"/>
              </w:rPr>
              <w:t xml:space="preserve">siju inventarizācijas </w:t>
            </w:r>
            <w:r w:rsidRPr="00BA1D5E">
              <w:rPr>
                <w:rFonts w:eastAsia="Calibri"/>
                <w:szCs w:val="28"/>
                <w:lang w:eastAsia="en-US"/>
              </w:rPr>
              <w:t>vadlīnijām</w:t>
            </w:r>
            <w:r w:rsidR="008B4438">
              <w:rPr>
                <w:rFonts w:eastAsia="Calibri"/>
                <w:szCs w:val="28"/>
                <w:lang w:eastAsia="en-US"/>
              </w:rPr>
              <w:t xml:space="preserve">. </w:t>
            </w:r>
            <w:r w:rsidR="002163B8">
              <w:rPr>
                <w:rFonts w:eastAsia="Calibri"/>
                <w:szCs w:val="28"/>
                <w:lang w:eastAsia="en-US"/>
              </w:rPr>
              <w:t xml:space="preserve">Atbilstoši </w:t>
            </w:r>
            <w:r w:rsidR="00FE3F3F">
              <w:rPr>
                <w:rFonts w:eastAsia="Calibri"/>
                <w:szCs w:val="28"/>
                <w:lang w:eastAsia="en-US"/>
              </w:rPr>
              <w:t xml:space="preserve">norādījumiem </w:t>
            </w:r>
            <w:r w:rsidR="002163B8">
              <w:rPr>
                <w:rFonts w:eastAsia="Calibri"/>
                <w:szCs w:val="28"/>
                <w:lang w:eastAsia="en-US"/>
              </w:rPr>
              <w:t>Lauku atbalsta dienesta tīmek</w:t>
            </w:r>
            <w:r w:rsidR="00FE3F3F">
              <w:rPr>
                <w:rFonts w:eastAsia="Calibri"/>
                <w:szCs w:val="28"/>
                <w:lang w:eastAsia="en-US"/>
              </w:rPr>
              <w:t>ļvietnē</w:t>
            </w:r>
            <w:r w:rsidRPr="00BA1D5E">
              <w:rPr>
                <w:rFonts w:eastAsia="Calibri"/>
                <w:szCs w:val="28"/>
                <w:lang w:eastAsia="en-US"/>
              </w:rPr>
              <w:t xml:space="preserve"> aprēķin</w:t>
            </w:r>
            <w:r w:rsidR="002163B8">
              <w:rPr>
                <w:rFonts w:eastAsia="Calibri"/>
                <w:szCs w:val="28"/>
                <w:lang w:eastAsia="en-US"/>
              </w:rPr>
              <w:t>a</w:t>
            </w:r>
            <w:r w:rsidRPr="00BA1D5E">
              <w:rPr>
                <w:rFonts w:eastAsia="Calibri"/>
                <w:szCs w:val="28"/>
                <w:lang w:eastAsia="en-US"/>
              </w:rPr>
              <w:t xml:space="preserve">m ir izmantojams Latvijas Lauksaimniecības </w:t>
            </w:r>
            <w:r w:rsidR="00FE3F3F">
              <w:rPr>
                <w:rFonts w:eastAsia="Calibri"/>
                <w:szCs w:val="28"/>
                <w:lang w:eastAsia="en-US"/>
              </w:rPr>
              <w:t>u</w:t>
            </w:r>
            <w:r w:rsidRPr="00BA1D5E">
              <w:rPr>
                <w:rFonts w:eastAsia="Calibri"/>
                <w:szCs w:val="28"/>
                <w:lang w:eastAsia="en-US"/>
              </w:rPr>
              <w:t xml:space="preserve">niversitātes izstrādātais </w:t>
            </w:r>
            <w:r w:rsidR="00FE3F3F">
              <w:rPr>
                <w:rFonts w:eastAsia="Calibri"/>
                <w:szCs w:val="28"/>
                <w:lang w:eastAsia="en-US"/>
              </w:rPr>
              <w:t>a</w:t>
            </w:r>
            <w:r w:rsidRPr="00BA1D5E">
              <w:rPr>
                <w:rFonts w:eastAsia="Calibri"/>
                <w:szCs w:val="28"/>
                <w:lang w:eastAsia="en-US"/>
              </w:rPr>
              <w:t xml:space="preserve">monjaka emisiju </w:t>
            </w:r>
            <w:r w:rsidR="00FE3F3F">
              <w:rPr>
                <w:rFonts w:eastAsia="Calibri"/>
                <w:szCs w:val="28"/>
                <w:lang w:eastAsia="en-US"/>
              </w:rPr>
              <w:t>k</w:t>
            </w:r>
            <w:r w:rsidRPr="00BA1D5E">
              <w:rPr>
                <w:rFonts w:eastAsia="Calibri"/>
                <w:szCs w:val="28"/>
                <w:lang w:eastAsia="en-US"/>
              </w:rPr>
              <w:t>alkulators (</w:t>
            </w:r>
            <w:hyperlink r:id="rId11" w:history="1">
              <w:r w:rsidR="007E5534" w:rsidRPr="00BA1D5E">
                <w:rPr>
                  <w:rFonts w:eastAsia="Calibri"/>
                  <w:szCs w:val="28"/>
                  <w:lang w:eastAsia="en-US"/>
                </w:rPr>
                <w:t>https://www.vbf.llu.lv/lv/amonjaka-emisiju-kalkulators</w:t>
              </w:r>
            </w:hyperlink>
            <w:r w:rsidR="008B4438">
              <w:rPr>
                <w:rFonts w:eastAsia="Calibri"/>
                <w:szCs w:val="28"/>
                <w:lang w:eastAsia="en-US"/>
              </w:rPr>
              <w:t>)</w:t>
            </w:r>
            <w:r w:rsidRPr="00BA1D5E">
              <w:rPr>
                <w:rFonts w:eastAsia="Calibri"/>
                <w:szCs w:val="28"/>
                <w:lang w:eastAsia="en-US"/>
              </w:rPr>
              <w:t>.</w:t>
            </w:r>
          </w:p>
          <w:p w14:paraId="0D42CCD7" w14:textId="56B8FA3E" w:rsidR="00F978A0" w:rsidRPr="00BA1D5E" w:rsidRDefault="00F978A0" w:rsidP="007071F9">
            <w:pPr>
              <w:ind w:right="140"/>
              <w:jc w:val="both"/>
              <w:rPr>
                <w:rFonts w:eastAsia="Calibri"/>
                <w:szCs w:val="28"/>
                <w:lang w:eastAsia="en-US"/>
              </w:rPr>
            </w:pPr>
          </w:p>
          <w:p w14:paraId="116507D3" w14:textId="14D5D46C" w:rsidR="00F978A0" w:rsidRDefault="0012327D" w:rsidP="00F978A0">
            <w:pPr>
              <w:ind w:right="140"/>
              <w:jc w:val="both"/>
              <w:rPr>
                <w:rFonts w:eastAsia="Calibri"/>
                <w:szCs w:val="28"/>
                <w:lang w:eastAsia="en-US"/>
              </w:rPr>
            </w:pPr>
            <w:r w:rsidRPr="00BA1D5E">
              <w:rPr>
                <w:rFonts w:eastAsia="Calibri"/>
                <w:szCs w:val="28"/>
                <w:lang w:eastAsia="en-US"/>
              </w:rPr>
              <w:t>Attiecībā uz noteikumu projekta 42.</w:t>
            </w:r>
            <w:r w:rsidR="00FE3F3F">
              <w:rPr>
                <w:rFonts w:eastAsia="Calibri"/>
                <w:szCs w:val="28"/>
                <w:lang w:eastAsia="en-US"/>
              </w:rPr>
              <w:t> </w:t>
            </w:r>
            <w:r w:rsidRPr="00BA1D5E">
              <w:rPr>
                <w:rFonts w:eastAsia="Calibri"/>
                <w:szCs w:val="28"/>
                <w:lang w:eastAsia="en-US"/>
              </w:rPr>
              <w:t>punktu</w:t>
            </w:r>
            <w:r w:rsidR="00FE3F3F">
              <w:rPr>
                <w:rFonts w:eastAsia="Calibri"/>
                <w:szCs w:val="28"/>
                <w:lang w:eastAsia="en-US"/>
              </w:rPr>
              <w:t>,</w:t>
            </w:r>
            <w:r w:rsidR="00F978A0" w:rsidRPr="00BA1D5E">
              <w:rPr>
                <w:rFonts w:eastAsia="Calibri"/>
                <w:szCs w:val="28"/>
                <w:lang w:eastAsia="en-US"/>
              </w:rPr>
              <w:t xml:space="preserve"> </w:t>
            </w:r>
            <w:r w:rsidR="006246F9">
              <w:rPr>
                <w:rFonts w:eastAsia="Calibri"/>
                <w:szCs w:val="28"/>
                <w:lang w:eastAsia="en-US"/>
              </w:rPr>
              <w:t>ņ</w:t>
            </w:r>
            <w:r w:rsidR="00F978A0" w:rsidRPr="00BA1D5E">
              <w:rPr>
                <w:rFonts w:eastAsia="Calibri"/>
                <w:szCs w:val="28"/>
                <w:lang w:eastAsia="en-US"/>
              </w:rPr>
              <w:t xml:space="preserve">emot vērā </w:t>
            </w:r>
            <w:proofErr w:type="spellStart"/>
            <w:r w:rsidR="00F978A0" w:rsidRPr="00BA1D5E">
              <w:rPr>
                <w:rFonts w:eastAsia="Calibri"/>
                <w:szCs w:val="28"/>
                <w:lang w:eastAsia="en-US"/>
              </w:rPr>
              <w:t>C</w:t>
            </w:r>
            <w:r w:rsidR="00FE3F3F">
              <w:rPr>
                <w:rFonts w:eastAsia="Calibri"/>
                <w:szCs w:val="28"/>
                <w:lang w:eastAsia="en-US"/>
              </w:rPr>
              <w:t>ovid</w:t>
            </w:r>
            <w:r w:rsidR="00F978A0" w:rsidRPr="00BA1D5E">
              <w:rPr>
                <w:rFonts w:eastAsia="Calibri"/>
                <w:szCs w:val="28"/>
                <w:lang w:eastAsia="en-US"/>
              </w:rPr>
              <w:t>-19</w:t>
            </w:r>
            <w:proofErr w:type="spellEnd"/>
            <w:r w:rsidR="00F978A0" w:rsidRPr="00BA1D5E">
              <w:rPr>
                <w:rFonts w:eastAsia="Calibri"/>
                <w:szCs w:val="28"/>
                <w:lang w:eastAsia="en-US"/>
              </w:rPr>
              <w:t xml:space="preserve"> ekonomisk</w:t>
            </w:r>
            <w:r w:rsidR="00FE3F3F">
              <w:rPr>
                <w:rFonts w:eastAsia="Calibri"/>
                <w:szCs w:val="28"/>
                <w:lang w:eastAsia="en-US"/>
              </w:rPr>
              <w:t>ā</w:t>
            </w:r>
            <w:r w:rsidR="00F978A0" w:rsidRPr="00BA1D5E">
              <w:rPr>
                <w:rFonts w:eastAsia="Calibri"/>
                <w:szCs w:val="28"/>
                <w:lang w:eastAsia="en-US"/>
              </w:rPr>
              <w:t>s sekas</w:t>
            </w:r>
            <w:r w:rsidR="00FE3F3F">
              <w:rPr>
                <w:rFonts w:eastAsia="Calibri"/>
                <w:szCs w:val="28"/>
                <w:lang w:eastAsia="en-US"/>
              </w:rPr>
              <w:t>,</w:t>
            </w:r>
            <w:r w:rsidR="00F978A0" w:rsidRPr="00BA1D5E">
              <w:rPr>
                <w:rFonts w:eastAsia="Calibri"/>
                <w:szCs w:val="28"/>
                <w:lang w:eastAsia="en-US"/>
              </w:rPr>
              <w:t xml:space="preserve"> ir nepieciešams attīstīt un k</w:t>
            </w:r>
            <w:r w:rsidR="00FE3F3F">
              <w:rPr>
                <w:rFonts w:eastAsia="Calibri"/>
                <w:szCs w:val="28"/>
                <w:lang w:eastAsia="en-US"/>
              </w:rPr>
              <w:t>ā</w:t>
            </w:r>
            <w:r w:rsidR="00F978A0" w:rsidRPr="00BA1D5E">
              <w:rPr>
                <w:rFonts w:eastAsia="Calibri"/>
                <w:szCs w:val="28"/>
                <w:lang w:eastAsia="en-US"/>
              </w:rPr>
              <w:t>pināt ražošanas izlaidi, t</w:t>
            </w:r>
            <w:r w:rsidR="00FE3F3F">
              <w:rPr>
                <w:rFonts w:eastAsia="Calibri"/>
                <w:szCs w:val="28"/>
                <w:lang w:eastAsia="en-US"/>
              </w:rPr>
              <w:t>ostarp</w:t>
            </w:r>
            <w:r w:rsidR="00F978A0" w:rsidRPr="00BA1D5E">
              <w:rPr>
                <w:rFonts w:eastAsia="Calibri"/>
                <w:szCs w:val="28"/>
                <w:lang w:eastAsia="en-US"/>
              </w:rPr>
              <w:t xml:space="preserve"> dabiski raudzētu dzērienu ražošanas sektorā (ja dzērieni ir iekļauti Līguma par Eiropas Savienības darbību I pielikumā), </w:t>
            </w:r>
            <w:r w:rsidR="006246F9">
              <w:rPr>
                <w:rFonts w:eastAsia="Calibri"/>
                <w:szCs w:val="28"/>
                <w:lang w:eastAsia="en-US"/>
              </w:rPr>
              <w:t>mai</w:t>
            </w:r>
            <w:r w:rsidR="00FE3F3F">
              <w:rPr>
                <w:rFonts w:eastAsia="Calibri"/>
                <w:szCs w:val="28"/>
                <w:lang w:eastAsia="en-US"/>
              </w:rPr>
              <w:t>not</w:t>
            </w:r>
            <w:r w:rsidR="00F978A0" w:rsidRPr="00BA1D5E">
              <w:rPr>
                <w:rFonts w:eastAsia="Calibri"/>
                <w:szCs w:val="28"/>
                <w:lang w:eastAsia="en-US"/>
              </w:rPr>
              <w:t xml:space="preserve"> līdzšinējos ierobežojumus</w:t>
            </w:r>
            <w:r w:rsidR="006246F9">
              <w:rPr>
                <w:rFonts w:eastAsia="Calibri"/>
                <w:szCs w:val="28"/>
                <w:lang w:eastAsia="en-US"/>
              </w:rPr>
              <w:t xml:space="preserve">, lai </w:t>
            </w:r>
            <w:r w:rsidR="00FE3F3F">
              <w:rPr>
                <w:rFonts w:eastAsia="Calibri"/>
                <w:szCs w:val="28"/>
                <w:lang w:eastAsia="en-US"/>
              </w:rPr>
              <w:t xml:space="preserve">sniegtu </w:t>
            </w:r>
            <w:r w:rsidR="006246F9">
              <w:rPr>
                <w:rFonts w:eastAsia="Calibri"/>
                <w:szCs w:val="28"/>
                <w:lang w:eastAsia="en-US"/>
              </w:rPr>
              <w:t>atbalsta iespējas arī tādiem pretendentiem, kas ražo, piemēram</w:t>
            </w:r>
            <w:r w:rsidR="00E25A94">
              <w:rPr>
                <w:rFonts w:eastAsia="Calibri"/>
                <w:szCs w:val="28"/>
                <w:lang w:eastAsia="en-US"/>
              </w:rPr>
              <w:t>,</w:t>
            </w:r>
            <w:r w:rsidR="006246F9">
              <w:rPr>
                <w:rFonts w:eastAsia="Calibri"/>
                <w:szCs w:val="28"/>
                <w:lang w:eastAsia="en-US"/>
              </w:rPr>
              <w:t xml:space="preserve"> vīnu vai sidru, nodrošinot saimnieciskās darbības attīstību un darbavietas lauku teritorijā.</w:t>
            </w:r>
          </w:p>
          <w:p w14:paraId="6A42FAA4" w14:textId="26964364" w:rsidR="0063482C" w:rsidRDefault="0063482C" w:rsidP="00F978A0">
            <w:pPr>
              <w:ind w:right="140"/>
              <w:jc w:val="both"/>
              <w:rPr>
                <w:rFonts w:eastAsia="Calibri"/>
                <w:szCs w:val="28"/>
                <w:lang w:eastAsia="en-US"/>
              </w:rPr>
            </w:pPr>
          </w:p>
          <w:p w14:paraId="6DA416B0" w14:textId="41796956" w:rsidR="0063482C" w:rsidRPr="00BA1D5E" w:rsidRDefault="0063482C" w:rsidP="00F978A0">
            <w:pPr>
              <w:ind w:right="140"/>
              <w:jc w:val="both"/>
              <w:rPr>
                <w:rFonts w:eastAsia="Calibri"/>
                <w:szCs w:val="28"/>
                <w:lang w:eastAsia="en-US"/>
              </w:rPr>
            </w:pPr>
            <w:r>
              <w:rPr>
                <w:rFonts w:eastAsia="Calibri"/>
                <w:szCs w:val="28"/>
                <w:lang w:eastAsia="en-US"/>
              </w:rPr>
              <w:t>Noteikumu projekt</w:t>
            </w:r>
            <w:r w:rsidR="00535461">
              <w:rPr>
                <w:rFonts w:eastAsia="Calibri"/>
                <w:szCs w:val="28"/>
                <w:lang w:eastAsia="en-US"/>
              </w:rPr>
              <w:t xml:space="preserve">ā </w:t>
            </w:r>
            <w:r w:rsidR="00AE6611">
              <w:rPr>
                <w:rFonts w:eastAsia="Calibri"/>
                <w:szCs w:val="28"/>
                <w:lang w:eastAsia="en-US"/>
              </w:rPr>
              <w:t xml:space="preserve">92. punktā </w:t>
            </w:r>
            <w:r w:rsidR="00414C5D">
              <w:rPr>
                <w:rFonts w:eastAsia="Calibri"/>
                <w:szCs w:val="28"/>
                <w:lang w:eastAsia="en-US"/>
              </w:rPr>
              <w:t xml:space="preserve">ir paredzēta iespēja </w:t>
            </w:r>
            <w:r w:rsidR="00414C5D" w:rsidRPr="00414C5D">
              <w:rPr>
                <w:rFonts w:eastAsia="Calibri"/>
                <w:szCs w:val="28"/>
                <w:lang w:eastAsia="en-US"/>
              </w:rPr>
              <w:t>kooperatīvo sabiedrību apvienība</w:t>
            </w:r>
            <w:r w:rsidR="00BE40A4">
              <w:rPr>
                <w:rFonts w:eastAsia="Calibri"/>
                <w:szCs w:val="28"/>
                <w:lang w:eastAsia="en-US"/>
              </w:rPr>
              <w:t>i</w:t>
            </w:r>
            <w:r w:rsidR="00414C5D" w:rsidRPr="00414C5D">
              <w:rPr>
                <w:rFonts w:eastAsia="Calibri"/>
                <w:szCs w:val="28"/>
                <w:lang w:eastAsia="en-US"/>
              </w:rPr>
              <w:t xml:space="preserve"> pārjaunot tās kapitāldaļu turētājas – kooperatīvās sabiedrības – projekta īstenošanu, ja projekta saistības tā ir uzņēmusies iepriekš.</w:t>
            </w:r>
            <w:r w:rsidR="008B626D">
              <w:rPr>
                <w:rFonts w:eastAsia="Calibri"/>
                <w:szCs w:val="28"/>
                <w:lang w:eastAsia="en-US"/>
              </w:rPr>
              <w:t xml:space="preserve"> </w:t>
            </w:r>
            <w:r w:rsidR="00302FA1">
              <w:rPr>
                <w:rFonts w:eastAsia="Calibri"/>
                <w:szCs w:val="28"/>
                <w:lang w:eastAsia="en-US"/>
              </w:rPr>
              <w:t>K</w:t>
            </w:r>
            <w:r w:rsidR="00302FA1" w:rsidRPr="00302FA1">
              <w:rPr>
                <w:rFonts w:eastAsia="Calibri"/>
                <w:szCs w:val="28"/>
                <w:lang w:eastAsia="en-US"/>
              </w:rPr>
              <w:t>ooperatīvu apvienības gadījumā tiks izvērtēti atbilstības nosacījumi (piem., GNU, dzīvot</w:t>
            </w:r>
            <w:r w:rsidR="00B60F12">
              <w:rPr>
                <w:rFonts w:eastAsia="Calibri"/>
                <w:szCs w:val="28"/>
                <w:lang w:eastAsia="en-US"/>
              </w:rPr>
              <w:t>s</w:t>
            </w:r>
            <w:r w:rsidR="00302FA1" w:rsidRPr="00302FA1">
              <w:rPr>
                <w:rFonts w:eastAsia="Calibri"/>
                <w:szCs w:val="28"/>
                <w:lang w:eastAsia="en-US"/>
              </w:rPr>
              <w:t xml:space="preserve">pēja) </w:t>
            </w:r>
            <w:r w:rsidR="006D34D4" w:rsidRPr="006D34D4">
              <w:rPr>
                <w:rFonts w:eastAsia="Calibri"/>
                <w:szCs w:val="28"/>
                <w:lang w:eastAsia="en-US"/>
              </w:rPr>
              <w:t>kapitāldaļu turētāj</w:t>
            </w:r>
            <w:r w:rsidR="00525DCD">
              <w:rPr>
                <w:rFonts w:eastAsia="Calibri"/>
                <w:szCs w:val="28"/>
                <w:lang w:eastAsia="en-US"/>
              </w:rPr>
              <w:t>ām</w:t>
            </w:r>
            <w:r w:rsidR="006D34D4" w:rsidRPr="006D34D4">
              <w:rPr>
                <w:rFonts w:eastAsia="Calibri"/>
                <w:szCs w:val="28"/>
                <w:lang w:eastAsia="en-US"/>
              </w:rPr>
              <w:t xml:space="preserve"> – kooperatīv</w:t>
            </w:r>
            <w:r w:rsidR="00525DCD">
              <w:rPr>
                <w:rFonts w:eastAsia="Calibri"/>
                <w:szCs w:val="28"/>
                <w:lang w:eastAsia="en-US"/>
              </w:rPr>
              <w:t>aj</w:t>
            </w:r>
            <w:r w:rsidR="006D34D4" w:rsidRPr="006D34D4">
              <w:rPr>
                <w:rFonts w:eastAsia="Calibri"/>
                <w:szCs w:val="28"/>
                <w:lang w:eastAsia="en-US"/>
              </w:rPr>
              <w:t>ā</w:t>
            </w:r>
            <w:r w:rsidR="00525DCD">
              <w:rPr>
                <w:rFonts w:eastAsia="Calibri"/>
                <w:szCs w:val="28"/>
                <w:lang w:eastAsia="en-US"/>
              </w:rPr>
              <w:t>m</w:t>
            </w:r>
            <w:r w:rsidR="006D34D4" w:rsidRPr="006D34D4">
              <w:rPr>
                <w:rFonts w:eastAsia="Calibri"/>
                <w:szCs w:val="28"/>
                <w:lang w:eastAsia="en-US"/>
              </w:rPr>
              <w:t xml:space="preserve"> sabiedrīb</w:t>
            </w:r>
            <w:r w:rsidR="00525DCD">
              <w:rPr>
                <w:rFonts w:eastAsia="Calibri"/>
                <w:szCs w:val="28"/>
                <w:lang w:eastAsia="en-US"/>
              </w:rPr>
              <w:t>ām</w:t>
            </w:r>
            <w:r w:rsidR="00302FA1" w:rsidRPr="00302FA1">
              <w:rPr>
                <w:rFonts w:eastAsia="Calibri"/>
                <w:szCs w:val="28"/>
                <w:lang w:eastAsia="en-US"/>
              </w:rPr>
              <w:t xml:space="preserve">. </w:t>
            </w:r>
            <w:r w:rsidR="00525DCD">
              <w:rPr>
                <w:rFonts w:eastAsia="Calibri"/>
                <w:szCs w:val="28"/>
                <w:lang w:eastAsia="en-US"/>
              </w:rPr>
              <w:t>Pārjaunojot projektu</w:t>
            </w:r>
            <w:r w:rsidR="0071218D">
              <w:rPr>
                <w:rFonts w:eastAsia="Calibri"/>
                <w:szCs w:val="28"/>
                <w:lang w:eastAsia="en-US"/>
              </w:rPr>
              <w:t>, n</w:t>
            </w:r>
            <w:r w:rsidR="00302FA1" w:rsidRPr="00302FA1">
              <w:rPr>
                <w:rFonts w:eastAsia="Calibri"/>
                <w:szCs w:val="28"/>
                <w:lang w:eastAsia="en-US"/>
              </w:rPr>
              <w:t xml:space="preserve">evērtē tikai atbalsta pretendenta statusu, proti, </w:t>
            </w:r>
            <w:r w:rsidR="0071218D">
              <w:rPr>
                <w:rFonts w:eastAsia="Calibri"/>
                <w:szCs w:val="28"/>
                <w:lang w:eastAsia="en-US"/>
              </w:rPr>
              <w:t>kurš</w:t>
            </w:r>
            <w:r w:rsidR="00302FA1" w:rsidRPr="00302FA1">
              <w:rPr>
                <w:rFonts w:eastAsia="Calibri"/>
                <w:szCs w:val="28"/>
                <w:lang w:eastAsia="en-US"/>
              </w:rPr>
              <w:t xml:space="preserve"> varēja </w:t>
            </w:r>
            <w:r w:rsidR="00525DCD">
              <w:rPr>
                <w:rFonts w:eastAsia="Calibri"/>
                <w:szCs w:val="28"/>
                <w:lang w:eastAsia="en-US"/>
              </w:rPr>
              <w:t>pretendēt</w:t>
            </w:r>
            <w:r w:rsidR="00302FA1" w:rsidRPr="00302FA1">
              <w:rPr>
                <w:rFonts w:eastAsia="Calibri"/>
                <w:szCs w:val="28"/>
                <w:lang w:eastAsia="en-US"/>
              </w:rPr>
              <w:t xml:space="preserve"> uz konkrētās kārtas </w:t>
            </w:r>
            <w:r w:rsidR="00302FA1" w:rsidRPr="00302FA1">
              <w:rPr>
                <w:rFonts w:eastAsia="Calibri"/>
                <w:szCs w:val="28"/>
                <w:lang w:eastAsia="en-US"/>
              </w:rPr>
              <w:lastRenderedPageBreak/>
              <w:t>projektiem</w:t>
            </w:r>
            <w:r w:rsidR="0071218D">
              <w:rPr>
                <w:rFonts w:eastAsia="Calibri"/>
                <w:szCs w:val="28"/>
                <w:lang w:eastAsia="en-US"/>
              </w:rPr>
              <w:t xml:space="preserve">. </w:t>
            </w:r>
            <w:r w:rsidR="00655A81">
              <w:rPr>
                <w:rFonts w:eastAsia="Calibri"/>
                <w:szCs w:val="28"/>
                <w:lang w:eastAsia="en-US"/>
              </w:rPr>
              <w:t>Atbilstība p</w:t>
            </w:r>
            <w:r w:rsidR="00302FA1" w:rsidRPr="00302FA1">
              <w:rPr>
                <w:rFonts w:eastAsia="Calibri"/>
                <w:szCs w:val="28"/>
                <w:lang w:eastAsia="en-US"/>
              </w:rPr>
              <w:t>ārēj</w:t>
            </w:r>
            <w:r w:rsidR="00655A81">
              <w:rPr>
                <w:rFonts w:eastAsia="Calibri"/>
                <w:szCs w:val="28"/>
                <w:lang w:eastAsia="en-US"/>
              </w:rPr>
              <w:t>iem</w:t>
            </w:r>
            <w:r w:rsidR="005C4D91">
              <w:rPr>
                <w:rFonts w:eastAsia="Calibri"/>
                <w:szCs w:val="28"/>
                <w:lang w:eastAsia="en-US"/>
              </w:rPr>
              <w:t xml:space="preserve"> no</w:t>
            </w:r>
            <w:r w:rsidR="00655A81">
              <w:rPr>
                <w:rFonts w:eastAsia="Calibri"/>
                <w:szCs w:val="28"/>
                <w:lang w:eastAsia="en-US"/>
              </w:rPr>
              <w:t>sacījumiem (tai skaitā</w:t>
            </w:r>
            <w:r w:rsidR="00302FA1" w:rsidRPr="00302FA1">
              <w:rPr>
                <w:rFonts w:eastAsia="Calibri"/>
                <w:szCs w:val="28"/>
                <w:lang w:eastAsia="en-US"/>
              </w:rPr>
              <w:t xml:space="preserve"> </w:t>
            </w:r>
            <w:r w:rsidR="00655A81">
              <w:rPr>
                <w:rFonts w:eastAsia="Calibri"/>
                <w:szCs w:val="28"/>
                <w:lang w:eastAsia="en-US"/>
              </w:rPr>
              <w:t xml:space="preserve">ekonomiskā </w:t>
            </w:r>
            <w:r w:rsidR="00302FA1" w:rsidRPr="00302FA1">
              <w:rPr>
                <w:rFonts w:eastAsia="Calibri"/>
                <w:szCs w:val="28"/>
                <w:lang w:eastAsia="en-US"/>
              </w:rPr>
              <w:t>dzīvotspēj</w:t>
            </w:r>
            <w:r w:rsidR="00655A81">
              <w:rPr>
                <w:rFonts w:eastAsia="Calibri"/>
                <w:szCs w:val="28"/>
                <w:lang w:eastAsia="en-US"/>
              </w:rPr>
              <w:t>a</w:t>
            </w:r>
            <w:r w:rsidR="00302FA1" w:rsidRPr="00302FA1">
              <w:rPr>
                <w:rFonts w:eastAsia="Calibri"/>
                <w:szCs w:val="28"/>
                <w:lang w:eastAsia="en-US"/>
              </w:rPr>
              <w:t>, GNU, soda reģistra info</w:t>
            </w:r>
            <w:r w:rsidR="00655A81">
              <w:rPr>
                <w:rFonts w:eastAsia="Calibri"/>
                <w:szCs w:val="28"/>
                <w:lang w:eastAsia="en-US"/>
              </w:rPr>
              <w:t>rmāc</w:t>
            </w:r>
            <w:r w:rsidR="00E64B5A">
              <w:rPr>
                <w:rFonts w:eastAsia="Calibri"/>
                <w:szCs w:val="28"/>
                <w:lang w:eastAsia="en-US"/>
              </w:rPr>
              <w:t>ija)</w:t>
            </w:r>
            <w:r w:rsidR="00302FA1" w:rsidRPr="00302FA1">
              <w:rPr>
                <w:rFonts w:eastAsia="Calibri"/>
                <w:szCs w:val="28"/>
                <w:lang w:eastAsia="en-US"/>
              </w:rPr>
              <w:t xml:space="preserve"> </w:t>
            </w:r>
            <w:r w:rsidR="00E64B5A">
              <w:rPr>
                <w:rFonts w:eastAsia="Calibri"/>
                <w:szCs w:val="28"/>
                <w:lang w:eastAsia="en-US"/>
              </w:rPr>
              <w:t>tiks vērtēta</w:t>
            </w:r>
            <w:r w:rsidR="00302FA1" w:rsidRPr="00302FA1">
              <w:rPr>
                <w:rFonts w:eastAsia="Calibri"/>
                <w:szCs w:val="28"/>
                <w:lang w:eastAsia="en-US"/>
              </w:rPr>
              <w:t xml:space="preserve"> </w:t>
            </w:r>
            <w:r w:rsidR="00E64B5A">
              <w:rPr>
                <w:rFonts w:eastAsia="Calibri"/>
                <w:szCs w:val="28"/>
                <w:lang w:eastAsia="en-US"/>
              </w:rPr>
              <w:t>kooperatīvo sabiedrību apvienībai</w:t>
            </w:r>
            <w:r w:rsidR="00302FA1" w:rsidRPr="00302FA1">
              <w:rPr>
                <w:rFonts w:eastAsia="Calibri"/>
                <w:szCs w:val="28"/>
                <w:lang w:eastAsia="en-US"/>
              </w:rPr>
              <w:t xml:space="preserve">, </w:t>
            </w:r>
            <w:r w:rsidR="00ED0315">
              <w:rPr>
                <w:rFonts w:eastAsia="Calibri"/>
                <w:szCs w:val="28"/>
                <w:lang w:eastAsia="en-US"/>
              </w:rPr>
              <w:t>kā arī minētas apvienības kapitāldaļu turētāj</w:t>
            </w:r>
            <w:r w:rsidR="00C742AE">
              <w:rPr>
                <w:rFonts w:eastAsia="Calibri"/>
                <w:szCs w:val="28"/>
                <w:lang w:eastAsia="en-US"/>
              </w:rPr>
              <w:t>ā</w:t>
            </w:r>
            <w:r w:rsidR="00ED0315">
              <w:rPr>
                <w:rFonts w:eastAsia="Calibri"/>
                <w:szCs w:val="28"/>
                <w:lang w:eastAsia="en-US"/>
              </w:rPr>
              <w:t>m – kooperatīv</w:t>
            </w:r>
            <w:r w:rsidR="00C742AE">
              <w:rPr>
                <w:rFonts w:eastAsia="Calibri"/>
                <w:szCs w:val="28"/>
                <w:lang w:eastAsia="en-US"/>
              </w:rPr>
              <w:t>aj</w:t>
            </w:r>
            <w:r w:rsidR="00ED0315">
              <w:rPr>
                <w:rFonts w:eastAsia="Calibri"/>
                <w:szCs w:val="28"/>
                <w:lang w:eastAsia="en-US"/>
              </w:rPr>
              <w:t>ām sabiedrībām</w:t>
            </w:r>
            <w:r w:rsidR="00302FA1" w:rsidRPr="00302FA1">
              <w:rPr>
                <w:rFonts w:eastAsia="Calibri"/>
                <w:szCs w:val="28"/>
                <w:lang w:eastAsia="en-US"/>
              </w:rPr>
              <w:t xml:space="preserve">. Ja </w:t>
            </w:r>
            <w:r w:rsidR="00C742AE">
              <w:rPr>
                <w:rFonts w:eastAsia="Calibri"/>
                <w:szCs w:val="28"/>
                <w:lang w:eastAsia="en-US"/>
              </w:rPr>
              <w:t xml:space="preserve">kapitāldaļas turētājai – kooperatīvajai sabiedrībai </w:t>
            </w:r>
            <w:r w:rsidR="00A20FC5">
              <w:rPr>
                <w:rFonts w:eastAsia="Calibri"/>
                <w:szCs w:val="28"/>
                <w:lang w:eastAsia="en-US"/>
              </w:rPr>
              <w:t>tiks konstatētas</w:t>
            </w:r>
            <w:r w:rsidR="00302FA1" w:rsidRPr="00302FA1">
              <w:rPr>
                <w:rFonts w:eastAsia="Calibri"/>
                <w:szCs w:val="28"/>
                <w:lang w:eastAsia="en-US"/>
              </w:rPr>
              <w:t xml:space="preserve"> finansiālas </w:t>
            </w:r>
            <w:r w:rsidR="00A20FC5">
              <w:rPr>
                <w:rFonts w:eastAsia="Calibri"/>
                <w:szCs w:val="28"/>
                <w:lang w:eastAsia="en-US"/>
              </w:rPr>
              <w:t>grūtības</w:t>
            </w:r>
            <w:r w:rsidR="00302FA1" w:rsidRPr="00302FA1">
              <w:rPr>
                <w:rFonts w:eastAsia="Calibri"/>
                <w:szCs w:val="28"/>
                <w:lang w:eastAsia="en-US"/>
              </w:rPr>
              <w:t xml:space="preserve">, tad </w:t>
            </w:r>
            <w:r w:rsidR="00B60F12">
              <w:rPr>
                <w:rFonts w:eastAsia="Calibri"/>
                <w:szCs w:val="28"/>
                <w:lang w:eastAsia="en-US"/>
              </w:rPr>
              <w:t xml:space="preserve">kooperatīvas sabiedrības iepriekš </w:t>
            </w:r>
            <w:r w:rsidR="00303EF8">
              <w:rPr>
                <w:rFonts w:eastAsia="Calibri"/>
                <w:szCs w:val="28"/>
                <w:lang w:eastAsia="en-US"/>
              </w:rPr>
              <w:t>apstipri</w:t>
            </w:r>
            <w:r w:rsidR="00AD3DF0">
              <w:rPr>
                <w:rFonts w:eastAsia="Calibri"/>
                <w:szCs w:val="28"/>
                <w:lang w:eastAsia="en-US"/>
              </w:rPr>
              <w:t xml:space="preserve">nāto projektu </w:t>
            </w:r>
            <w:r w:rsidR="00302FA1" w:rsidRPr="00302FA1">
              <w:rPr>
                <w:rFonts w:eastAsia="Calibri"/>
                <w:szCs w:val="28"/>
                <w:lang w:eastAsia="en-US"/>
              </w:rPr>
              <w:t>nevarēs pār</w:t>
            </w:r>
            <w:r w:rsidR="00AD3DF0">
              <w:rPr>
                <w:rFonts w:eastAsia="Calibri"/>
                <w:szCs w:val="28"/>
                <w:lang w:eastAsia="en-US"/>
              </w:rPr>
              <w:t>jaunot</w:t>
            </w:r>
            <w:r w:rsidR="00302FA1" w:rsidRPr="00302FA1">
              <w:rPr>
                <w:rFonts w:eastAsia="Calibri"/>
                <w:szCs w:val="28"/>
                <w:lang w:eastAsia="en-US"/>
              </w:rPr>
              <w:t xml:space="preserve"> </w:t>
            </w:r>
            <w:r w:rsidR="00AD3DF0">
              <w:rPr>
                <w:rFonts w:eastAsia="Calibri"/>
                <w:szCs w:val="28"/>
                <w:lang w:eastAsia="en-US"/>
              </w:rPr>
              <w:t>kooperatīvu sabiedrību</w:t>
            </w:r>
            <w:r w:rsidR="00302FA1" w:rsidRPr="00302FA1">
              <w:rPr>
                <w:rFonts w:eastAsia="Calibri"/>
                <w:szCs w:val="28"/>
                <w:lang w:eastAsia="en-US"/>
              </w:rPr>
              <w:t xml:space="preserve"> apvienība.</w:t>
            </w:r>
          </w:p>
          <w:p w14:paraId="2966B23E" w14:textId="77777777" w:rsidR="00304546" w:rsidRPr="00BA1D5E" w:rsidRDefault="00304546" w:rsidP="00304546">
            <w:pPr>
              <w:ind w:right="140"/>
              <w:jc w:val="both"/>
              <w:rPr>
                <w:rFonts w:eastAsia="Calibri"/>
                <w:szCs w:val="28"/>
                <w:lang w:eastAsia="en-US"/>
              </w:rPr>
            </w:pPr>
          </w:p>
          <w:p w14:paraId="3A031755" w14:textId="32CAF698" w:rsidR="002D1333" w:rsidRDefault="00304546">
            <w:pPr>
              <w:ind w:right="140"/>
              <w:jc w:val="both"/>
              <w:rPr>
                <w:rFonts w:eastAsia="Calibri"/>
                <w:szCs w:val="28"/>
                <w:lang w:eastAsia="en-US"/>
              </w:rPr>
            </w:pPr>
            <w:r w:rsidRPr="00BA1D5E">
              <w:rPr>
                <w:rFonts w:eastAsia="Calibri"/>
                <w:szCs w:val="28"/>
                <w:lang w:eastAsia="en-US"/>
              </w:rPr>
              <w:t>Finansējuma ap</w:t>
            </w:r>
            <w:r w:rsidR="00FE3F3F">
              <w:rPr>
                <w:rFonts w:eastAsia="Calibri"/>
                <w:szCs w:val="28"/>
                <w:lang w:eastAsia="en-US"/>
              </w:rPr>
              <w:t>mērs</w:t>
            </w:r>
            <w:r w:rsidRPr="00BA1D5E">
              <w:rPr>
                <w:rFonts w:eastAsia="Calibri"/>
                <w:szCs w:val="28"/>
                <w:lang w:eastAsia="en-US"/>
              </w:rPr>
              <w:t xml:space="preserve"> pārejas periodam ir noteikts atbilstoši LAP 2014</w:t>
            </w:r>
            <w:r w:rsidR="00FE3F3F">
              <w:rPr>
                <w:rFonts w:eastAsia="Calibri"/>
                <w:szCs w:val="28"/>
                <w:lang w:eastAsia="en-US"/>
              </w:rPr>
              <w:t>–</w:t>
            </w:r>
            <w:r w:rsidRPr="00BA1D5E">
              <w:rPr>
                <w:rFonts w:eastAsia="Calibri"/>
                <w:szCs w:val="28"/>
                <w:lang w:eastAsia="en-US"/>
              </w:rPr>
              <w:t xml:space="preserve">2020 </w:t>
            </w:r>
            <w:r w:rsidR="00FE3F3F">
              <w:rPr>
                <w:rFonts w:eastAsia="Calibri"/>
                <w:szCs w:val="28"/>
                <w:lang w:eastAsia="en-US"/>
              </w:rPr>
              <w:t>izdarī</w:t>
            </w:r>
            <w:r w:rsidRPr="00BA1D5E">
              <w:rPr>
                <w:rFonts w:eastAsia="Calibri"/>
                <w:szCs w:val="28"/>
                <w:lang w:eastAsia="en-US"/>
              </w:rPr>
              <w:t>tajiem grozījumiem par papildu finansējumu pārejas perioda gadiem (2021. un 2022.</w:t>
            </w:r>
            <w:r w:rsidR="00FE3F3F">
              <w:rPr>
                <w:rFonts w:eastAsia="Calibri"/>
                <w:szCs w:val="28"/>
                <w:lang w:eastAsia="en-US"/>
              </w:rPr>
              <w:t> </w:t>
            </w:r>
            <w:r w:rsidRPr="00BA1D5E">
              <w:rPr>
                <w:rFonts w:eastAsia="Calibri"/>
                <w:szCs w:val="28"/>
                <w:lang w:eastAsia="en-US"/>
              </w:rPr>
              <w:t xml:space="preserve">gadam), ņemot vērā attiecīgo pasākumu un </w:t>
            </w:r>
            <w:proofErr w:type="spellStart"/>
            <w:r w:rsidRPr="00BA1D5E">
              <w:rPr>
                <w:rFonts w:eastAsia="Calibri"/>
                <w:szCs w:val="28"/>
                <w:lang w:eastAsia="en-US"/>
              </w:rPr>
              <w:t>apakšpasākumu</w:t>
            </w:r>
            <w:proofErr w:type="spellEnd"/>
            <w:r w:rsidRPr="00BA1D5E">
              <w:rPr>
                <w:rFonts w:eastAsia="Calibri"/>
                <w:szCs w:val="28"/>
                <w:lang w:eastAsia="en-US"/>
              </w:rPr>
              <w:t xml:space="preserve"> līdzšinējo ieviešanas pieredzi</w:t>
            </w:r>
            <w:r w:rsidR="00FE3F3F">
              <w:rPr>
                <w:rFonts w:eastAsia="Calibri"/>
                <w:szCs w:val="28"/>
                <w:lang w:eastAsia="en-US"/>
              </w:rPr>
              <w:t>.</w:t>
            </w:r>
            <w:r w:rsidRPr="00BA1D5E">
              <w:rPr>
                <w:rFonts w:eastAsia="Calibri"/>
                <w:szCs w:val="28"/>
                <w:lang w:eastAsia="en-US"/>
              </w:rPr>
              <w:t xml:space="preserve"> </w:t>
            </w:r>
            <w:r w:rsidR="00FE3F3F">
              <w:rPr>
                <w:rFonts w:eastAsia="Calibri"/>
                <w:szCs w:val="28"/>
                <w:lang w:eastAsia="en-US"/>
              </w:rPr>
              <w:t>P</w:t>
            </w:r>
            <w:r w:rsidR="00543C23">
              <w:rPr>
                <w:rFonts w:eastAsia="Calibri"/>
                <w:szCs w:val="28"/>
                <w:lang w:eastAsia="en-US"/>
              </w:rPr>
              <w:t>ārejas period</w:t>
            </w:r>
            <w:r w:rsidR="00DF768B">
              <w:rPr>
                <w:rFonts w:eastAsia="Calibri"/>
                <w:szCs w:val="28"/>
                <w:lang w:eastAsia="en-US"/>
              </w:rPr>
              <w:t>ā</w:t>
            </w:r>
            <w:r w:rsidR="00543C23">
              <w:rPr>
                <w:rFonts w:eastAsia="Calibri"/>
                <w:szCs w:val="28"/>
                <w:lang w:eastAsia="en-US"/>
              </w:rPr>
              <w:t xml:space="preserve"> 2021. un 2022.</w:t>
            </w:r>
            <w:r w:rsidR="00FE3F3F">
              <w:rPr>
                <w:rFonts w:eastAsia="Calibri"/>
                <w:szCs w:val="28"/>
                <w:lang w:eastAsia="en-US"/>
              </w:rPr>
              <w:t> </w:t>
            </w:r>
            <w:r w:rsidR="00543C23">
              <w:rPr>
                <w:rFonts w:eastAsia="Calibri"/>
                <w:szCs w:val="28"/>
                <w:lang w:eastAsia="en-US"/>
              </w:rPr>
              <w:t>gadā</w:t>
            </w:r>
            <w:r w:rsidR="002D1333">
              <w:rPr>
                <w:rFonts w:eastAsia="Calibri"/>
                <w:szCs w:val="28"/>
                <w:lang w:eastAsia="en-US"/>
              </w:rPr>
              <w:t xml:space="preserve"> pasākuma “Ieguldījumi materiālajos aktīvos” </w:t>
            </w:r>
            <w:proofErr w:type="spellStart"/>
            <w:r w:rsidR="002D1333">
              <w:rPr>
                <w:rFonts w:eastAsia="Calibri"/>
                <w:szCs w:val="28"/>
                <w:lang w:eastAsia="en-US"/>
              </w:rPr>
              <w:t>apakšpsākumos</w:t>
            </w:r>
            <w:proofErr w:type="spellEnd"/>
            <w:r w:rsidR="002D1333">
              <w:rPr>
                <w:rFonts w:eastAsia="Calibri"/>
                <w:szCs w:val="28"/>
                <w:lang w:eastAsia="en-US"/>
              </w:rPr>
              <w:t xml:space="preserve"> </w:t>
            </w:r>
            <w:r w:rsidR="00DF768B">
              <w:rPr>
                <w:rFonts w:eastAsia="Calibri"/>
                <w:szCs w:val="28"/>
                <w:lang w:eastAsia="en-US"/>
              </w:rPr>
              <w:t>tiek paredzēts šāds finansējums:</w:t>
            </w:r>
          </w:p>
          <w:p w14:paraId="33A22374" w14:textId="2F6302F5" w:rsidR="002D1333" w:rsidRPr="002D1333" w:rsidRDefault="002D1333" w:rsidP="002D1333">
            <w:pPr>
              <w:ind w:right="140"/>
              <w:jc w:val="both"/>
              <w:rPr>
                <w:rFonts w:eastAsia="Calibri"/>
                <w:szCs w:val="28"/>
                <w:lang w:eastAsia="en-US"/>
              </w:rPr>
            </w:pPr>
            <w:r>
              <w:rPr>
                <w:rFonts w:eastAsia="Calibri"/>
                <w:szCs w:val="28"/>
                <w:lang w:eastAsia="en-US"/>
              </w:rPr>
              <w:t xml:space="preserve"> </w:t>
            </w:r>
            <w:r w:rsidRPr="002D1333">
              <w:rPr>
                <w:rFonts w:eastAsia="Calibri"/>
                <w:szCs w:val="28"/>
                <w:lang w:eastAsia="en-US"/>
              </w:rPr>
              <w:t>•</w:t>
            </w:r>
            <w:r w:rsidRPr="002D1333">
              <w:rPr>
                <w:rFonts w:eastAsia="Calibri"/>
                <w:szCs w:val="28"/>
                <w:lang w:eastAsia="en-US"/>
              </w:rPr>
              <w:tab/>
            </w:r>
            <w:r w:rsidR="00FE3F3F">
              <w:rPr>
                <w:rFonts w:eastAsia="Calibri"/>
                <w:szCs w:val="28"/>
                <w:lang w:eastAsia="en-US"/>
              </w:rPr>
              <w:t>“</w:t>
            </w:r>
            <w:r w:rsidRPr="002D1333">
              <w:rPr>
                <w:rFonts w:eastAsia="Calibri"/>
                <w:szCs w:val="28"/>
                <w:lang w:eastAsia="en-US"/>
              </w:rPr>
              <w:t>Atbalsts ieguldījumiem lauku saimniecībās”</w:t>
            </w:r>
            <w:r w:rsidR="00473D21">
              <w:rPr>
                <w:rFonts w:eastAsia="Calibri"/>
                <w:szCs w:val="28"/>
                <w:lang w:eastAsia="en-US"/>
              </w:rPr>
              <w:t xml:space="preserve">– </w:t>
            </w:r>
            <w:r w:rsidR="00473D21" w:rsidRPr="00473D21">
              <w:rPr>
                <w:rFonts w:eastAsia="Calibri"/>
                <w:szCs w:val="28"/>
                <w:lang w:eastAsia="en-US"/>
              </w:rPr>
              <w:t>187</w:t>
            </w:r>
            <w:r w:rsidR="00473D21">
              <w:rPr>
                <w:rFonts w:eastAsia="Calibri"/>
                <w:szCs w:val="28"/>
                <w:lang w:eastAsia="en-US"/>
              </w:rPr>
              <w:t>,2</w:t>
            </w:r>
            <w:r w:rsidR="00833F61">
              <w:rPr>
                <w:rFonts w:eastAsia="Calibri"/>
                <w:szCs w:val="28"/>
                <w:lang w:eastAsia="en-US"/>
              </w:rPr>
              <w:t xml:space="preserve"> milj.</w:t>
            </w:r>
            <w:r w:rsidR="00FE3F3F">
              <w:rPr>
                <w:rFonts w:eastAsia="Calibri"/>
                <w:szCs w:val="28"/>
                <w:lang w:eastAsia="en-US"/>
              </w:rPr>
              <w:t xml:space="preserve"> </w:t>
            </w:r>
            <w:proofErr w:type="spellStart"/>
            <w:r w:rsidR="00833F61" w:rsidRPr="008B2F36">
              <w:rPr>
                <w:rFonts w:eastAsia="Calibri"/>
                <w:i/>
                <w:szCs w:val="28"/>
                <w:lang w:eastAsia="en-US"/>
              </w:rPr>
              <w:t>euro</w:t>
            </w:r>
            <w:proofErr w:type="spellEnd"/>
            <w:r w:rsidRPr="002D1333">
              <w:rPr>
                <w:rFonts w:eastAsia="Calibri"/>
                <w:szCs w:val="28"/>
                <w:lang w:eastAsia="en-US"/>
              </w:rPr>
              <w:t>;</w:t>
            </w:r>
          </w:p>
          <w:p w14:paraId="6E36E8F0" w14:textId="04752D66" w:rsidR="002D1333" w:rsidRPr="002D1333" w:rsidRDefault="002D1333" w:rsidP="002D1333">
            <w:pPr>
              <w:ind w:right="140"/>
              <w:jc w:val="both"/>
              <w:rPr>
                <w:rFonts w:eastAsia="Calibri"/>
                <w:szCs w:val="28"/>
                <w:lang w:eastAsia="en-US"/>
              </w:rPr>
            </w:pPr>
            <w:r w:rsidRPr="002D1333">
              <w:rPr>
                <w:rFonts w:eastAsia="Calibri"/>
                <w:szCs w:val="28"/>
                <w:lang w:eastAsia="en-US"/>
              </w:rPr>
              <w:t>•</w:t>
            </w:r>
            <w:r w:rsidRPr="002D1333">
              <w:rPr>
                <w:rFonts w:eastAsia="Calibri"/>
                <w:szCs w:val="28"/>
                <w:lang w:eastAsia="en-US"/>
              </w:rPr>
              <w:tab/>
            </w:r>
            <w:r w:rsidR="00FE3F3F">
              <w:rPr>
                <w:rFonts w:eastAsia="Calibri"/>
                <w:szCs w:val="28"/>
                <w:lang w:eastAsia="en-US"/>
              </w:rPr>
              <w:t>“</w:t>
            </w:r>
            <w:r w:rsidRPr="002D1333">
              <w:rPr>
                <w:rFonts w:eastAsia="Calibri"/>
                <w:szCs w:val="28"/>
                <w:lang w:eastAsia="en-US"/>
              </w:rPr>
              <w:t>Atbalsts ieguldījumiem pārstrādē”</w:t>
            </w:r>
            <w:r w:rsidR="00D344FC">
              <w:rPr>
                <w:rFonts w:eastAsia="Calibri"/>
                <w:szCs w:val="28"/>
                <w:lang w:eastAsia="en-US"/>
              </w:rPr>
              <w:t xml:space="preserve"> </w:t>
            </w:r>
            <w:r w:rsidR="00F60085">
              <w:rPr>
                <w:rFonts w:eastAsia="Calibri"/>
                <w:szCs w:val="28"/>
                <w:lang w:eastAsia="en-US"/>
              </w:rPr>
              <w:t>–</w:t>
            </w:r>
            <w:r w:rsidR="00D344FC">
              <w:rPr>
                <w:rFonts w:eastAsia="Calibri"/>
                <w:szCs w:val="28"/>
                <w:lang w:eastAsia="en-US"/>
              </w:rPr>
              <w:t xml:space="preserve"> </w:t>
            </w:r>
            <w:r w:rsidR="006246F9">
              <w:rPr>
                <w:rFonts w:eastAsia="Calibri"/>
                <w:szCs w:val="28"/>
                <w:lang w:eastAsia="en-US"/>
              </w:rPr>
              <w:t xml:space="preserve">23 </w:t>
            </w:r>
            <w:r w:rsidR="00F60085">
              <w:rPr>
                <w:rFonts w:eastAsia="Calibri"/>
                <w:szCs w:val="28"/>
                <w:lang w:eastAsia="en-US"/>
              </w:rPr>
              <w:t>mil</w:t>
            </w:r>
            <w:r w:rsidR="00067B90">
              <w:rPr>
                <w:rFonts w:eastAsia="Calibri"/>
                <w:szCs w:val="28"/>
                <w:lang w:eastAsia="en-US"/>
              </w:rPr>
              <w:t>j</w:t>
            </w:r>
            <w:r w:rsidR="00F60085">
              <w:rPr>
                <w:rFonts w:eastAsia="Calibri"/>
                <w:szCs w:val="28"/>
                <w:lang w:eastAsia="en-US"/>
              </w:rPr>
              <w:t>.</w:t>
            </w:r>
            <w:r w:rsidR="00FE3F3F">
              <w:rPr>
                <w:rFonts w:eastAsia="Calibri"/>
                <w:szCs w:val="28"/>
                <w:lang w:eastAsia="en-US"/>
              </w:rPr>
              <w:t xml:space="preserve"> </w:t>
            </w:r>
            <w:proofErr w:type="spellStart"/>
            <w:r w:rsidR="00F60085" w:rsidRPr="008B2F36">
              <w:rPr>
                <w:rFonts w:eastAsia="Calibri"/>
                <w:i/>
                <w:szCs w:val="28"/>
                <w:lang w:eastAsia="en-US"/>
              </w:rPr>
              <w:t>euro</w:t>
            </w:r>
            <w:proofErr w:type="spellEnd"/>
            <w:r w:rsidRPr="002D1333">
              <w:rPr>
                <w:rFonts w:eastAsia="Calibri"/>
                <w:szCs w:val="28"/>
                <w:lang w:eastAsia="en-US"/>
              </w:rPr>
              <w:t>;</w:t>
            </w:r>
          </w:p>
          <w:p w14:paraId="0A6AC09A" w14:textId="7A18EF0B" w:rsidR="00304546" w:rsidRPr="00BA1D5E" w:rsidRDefault="002D1333" w:rsidP="00ED113B">
            <w:pPr>
              <w:ind w:right="140"/>
              <w:jc w:val="both"/>
              <w:rPr>
                <w:rFonts w:eastAsia="Calibri"/>
                <w:szCs w:val="28"/>
                <w:lang w:eastAsia="en-US"/>
              </w:rPr>
            </w:pPr>
            <w:r w:rsidRPr="002D1333">
              <w:rPr>
                <w:rFonts w:eastAsia="Calibri"/>
                <w:szCs w:val="28"/>
                <w:lang w:eastAsia="en-US"/>
              </w:rPr>
              <w:t>•</w:t>
            </w:r>
            <w:r w:rsidRPr="002D1333">
              <w:rPr>
                <w:rFonts w:eastAsia="Calibri"/>
                <w:szCs w:val="28"/>
                <w:lang w:eastAsia="en-US"/>
              </w:rPr>
              <w:tab/>
            </w:r>
            <w:r w:rsidR="00FE3F3F">
              <w:rPr>
                <w:rFonts w:eastAsia="Calibri"/>
                <w:szCs w:val="28"/>
                <w:lang w:eastAsia="en-US"/>
              </w:rPr>
              <w:t>“</w:t>
            </w:r>
            <w:r w:rsidRPr="002D1333">
              <w:rPr>
                <w:rFonts w:eastAsia="Calibri"/>
                <w:szCs w:val="28"/>
                <w:lang w:eastAsia="en-US"/>
              </w:rPr>
              <w:t>Atbalsts ieguldījumiem lauksaimniecības un mežsaimniecības infrastruktūras attīstībā”</w:t>
            </w:r>
            <w:r w:rsidR="00067B90">
              <w:rPr>
                <w:rFonts w:eastAsia="Calibri"/>
                <w:szCs w:val="28"/>
                <w:lang w:eastAsia="en-US"/>
              </w:rPr>
              <w:t xml:space="preserve"> </w:t>
            </w:r>
            <w:r w:rsidR="00FE3F3F">
              <w:rPr>
                <w:rFonts w:eastAsia="Calibri"/>
                <w:szCs w:val="28"/>
                <w:lang w:eastAsia="en-US"/>
              </w:rPr>
              <w:t xml:space="preserve">– </w:t>
            </w:r>
            <w:r w:rsidR="00951F81">
              <w:rPr>
                <w:rFonts w:eastAsia="Calibri"/>
                <w:szCs w:val="28"/>
                <w:lang w:eastAsia="en-US"/>
              </w:rPr>
              <w:t>10</w:t>
            </w:r>
            <w:r w:rsidR="00067B90">
              <w:rPr>
                <w:rFonts w:eastAsia="Calibri"/>
                <w:szCs w:val="28"/>
                <w:lang w:eastAsia="en-US"/>
              </w:rPr>
              <w:t xml:space="preserve"> milj.</w:t>
            </w:r>
            <w:r w:rsidR="00FE3F3F">
              <w:rPr>
                <w:rFonts w:eastAsia="Calibri"/>
                <w:szCs w:val="28"/>
                <w:lang w:eastAsia="en-US"/>
              </w:rPr>
              <w:t xml:space="preserve"> </w:t>
            </w:r>
            <w:proofErr w:type="spellStart"/>
            <w:r w:rsidR="00067B90" w:rsidRPr="008B2F36">
              <w:rPr>
                <w:rFonts w:eastAsia="Calibri"/>
                <w:i/>
                <w:szCs w:val="28"/>
                <w:lang w:eastAsia="en-US"/>
              </w:rPr>
              <w:t>euro</w:t>
            </w:r>
            <w:proofErr w:type="spellEnd"/>
            <w:r w:rsidRPr="002D1333">
              <w:rPr>
                <w:rFonts w:eastAsia="Calibri"/>
                <w:szCs w:val="28"/>
                <w:lang w:eastAsia="en-US"/>
              </w:rPr>
              <w:t>.</w:t>
            </w:r>
          </w:p>
        </w:tc>
      </w:tr>
      <w:tr w:rsidR="008C0C54" w:rsidRPr="0003436C" w14:paraId="25AD1ADD"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1E6E68D" w14:textId="77777777" w:rsidR="00C839BE" w:rsidRPr="0003436C" w:rsidRDefault="00C839BE" w:rsidP="00085CFC">
            <w:pPr>
              <w:pStyle w:val="NormalWeb"/>
              <w:spacing w:before="0" w:beforeAutospacing="0" w:after="0" w:afterAutospacing="0"/>
            </w:pPr>
            <w:r w:rsidRPr="0003436C">
              <w:lastRenderedPageBreak/>
              <w:t>3.</w:t>
            </w:r>
          </w:p>
        </w:tc>
        <w:tc>
          <w:tcPr>
            <w:tcW w:w="849" w:type="pct"/>
            <w:tcBorders>
              <w:top w:val="outset" w:sz="6" w:space="0" w:color="auto"/>
              <w:left w:val="outset" w:sz="6" w:space="0" w:color="auto"/>
              <w:bottom w:val="outset" w:sz="6" w:space="0" w:color="auto"/>
              <w:right w:val="outset" w:sz="6" w:space="0" w:color="auto"/>
            </w:tcBorders>
          </w:tcPr>
          <w:p w14:paraId="12276732" w14:textId="77777777" w:rsidR="00C839BE" w:rsidRPr="0003436C" w:rsidRDefault="006837A4" w:rsidP="00085CFC">
            <w:pPr>
              <w:jc w:val="both"/>
              <w:rPr>
                <w:color w:val="000000"/>
              </w:rPr>
            </w:pPr>
            <w:r w:rsidRPr="0003436C">
              <w:rPr>
                <w:color w:val="000000"/>
              </w:rPr>
              <w:t>P</w:t>
            </w:r>
            <w:r w:rsidR="00FE5C96" w:rsidRPr="0003436C">
              <w:rPr>
                <w:color w:val="000000"/>
              </w:rPr>
              <w:t>rojekta izstrādē iesaistītās institūcijas</w:t>
            </w:r>
          </w:p>
        </w:tc>
        <w:tc>
          <w:tcPr>
            <w:tcW w:w="3541" w:type="pct"/>
            <w:gridSpan w:val="11"/>
            <w:tcBorders>
              <w:top w:val="outset" w:sz="6" w:space="0" w:color="auto"/>
              <w:left w:val="outset" w:sz="6" w:space="0" w:color="auto"/>
              <w:bottom w:val="outset" w:sz="6" w:space="0" w:color="auto"/>
              <w:right w:val="outset" w:sz="6" w:space="0" w:color="auto"/>
            </w:tcBorders>
            <w:shd w:val="clear" w:color="auto" w:fill="auto"/>
          </w:tcPr>
          <w:p w14:paraId="0CAEB6F2" w14:textId="77777777" w:rsidR="00C839BE" w:rsidRPr="0003436C" w:rsidRDefault="00FE5C96" w:rsidP="00085CFC">
            <w:pPr>
              <w:pStyle w:val="naisf"/>
              <w:spacing w:before="0" w:after="0"/>
              <w:ind w:firstLine="0"/>
              <w:rPr>
                <w:highlight w:val="yellow"/>
              </w:rPr>
            </w:pPr>
            <w:r w:rsidRPr="0003436C">
              <w:t>Latvijas Republikas Zemkopības ministrija un Lauku atbalsta dienests</w:t>
            </w:r>
          </w:p>
        </w:tc>
      </w:tr>
      <w:tr w:rsidR="008C0C54" w:rsidRPr="0003436C" w14:paraId="28A12B05"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7CEC458E" w14:textId="77777777" w:rsidR="00C839BE" w:rsidRPr="0003436C" w:rsidRDefault="00C839BE" w:rsidP="00085CFC">
            <w:pPr>
              <w:pStyle w:val="NormalWeb"/>
              <w:spacing w:before="0" w:beforeAutospacing="0" w:after="0" w:afterAutospacing="0"/>
            </w:pPr>
            <w:r w:rsidRPr="0003436C">
              <w:t>4.</w:t>
            </w:r>
          </w:p>
        </w:tc>
        <w:tc>
          <w:tcPr>
            <w:tcW w:w="849" w:type="pct"/>
            <w:tcBorders>
              <w:top w:val="outset" w:sz="6" w:space="0" w:color="auto"/>
              <w:left w:val="outset" w:sz="6" w:space="0" w:color="auto"/>
              <w:bottom w:val="outset" w:sz="6" w:space="0" w:color="auto"/>
              <w:right w:val="outset" w:sz="6" w:space="0" w:color="auto"/>
            </w:tcBorders>
          </w:tcPr>
          <w:p w14:paraId="0F355E69" w14:textId="77777777" w:rsidR="00C839BE" w:rsidRPr="0003436C" w:rsidRDefault="006837A4" w:rsidP="00085CFC">
            <w:pPr>
              <w:jc w:val="both"/>
              <w:rPr>
                <w:color w:val="000000"/>
              </w:rPr>
            </w:pPr>
            <w:r w:rsidRPr="0003436C">
              <w:rPr>
                <w:color w:val="000000"/>
              </w:rPr>
              <w:t>Cita informācija</w:t>
            </w:r>
          </w:p>
        </w:tc>
        <w:tc>
          <w:tcPr>
            <w:tcW w:w="3541" w:type="pct"/>
            <w:gridSpan w:val="11"/>
            <w:tcBorders>
              <w:top w:val="outset" w:sz="6" w:space="0" w:color="auto"/>
              <w:left w:val="outset" w:sz="6" w:space="0" w:color="auto"/>
              <w:bottom w:val="outset" w:sz="6" w:space="0" w:color="auto"/>
              <w:right w:val="outset" w:sz="6" w:space="0" w:color="auto"/>
            </w:tcBorders>
            <w:shd w:val="clear" w:color="auto" w:fill="auto"/>
          </w:tcPr>
          <w:p w14:paraId="0D73A582" w14:textId="708A72B1" w:rsidR="00765084" w:rsidRPr="0003436C" w:rsidRDefault="006837A4" w:rsidP="00AA72B6">
            <w:pPr>
              <w:pStyle w:val="Default"/>
              <w:jc w:val="both"/>
              <w:rPr>
                <w:bCs/>
                <w:highlight w:val="yellow"/>
              </w:rPr>
            </w:pPr>
            <w:r w:rsidRPr="0003436C">
              <w:rPr>
                <w:rFonts w:ascii="Times New Roman" w:hAnsi="Times New Roman" w:cs="Times New Roman"/>
              </w:rPr>
              <w:t>Nav</w:t>
            </w:r>
            <w:r w:rsidR="00FE3F3F">
              <w:rPr>
                <w:rFonts w:ascii="Times New Roman" w:hAnsi="Times New Roman" w:cs="Times New Roman"/>
              </w:rPr>
              <w:t>.</w:t>
            </w:r>
            <w:r w:rsidR="00577343">
              <w:rPr>
                <w:bCs/>
                <w:highlight w:val="yellow"/>
              </w:rPr>
              <w:t xml:space="preserve"> </w:t>
            </w:r>
          </w:p>
        </w:tc>
      </w:tr>
      <w:tr w:rsidR="008C0C54" w:rsidRPr="0003436C" w14:paraId="6792CAB1" w14:textId="77777777" w:rsidTr="001F0EEE">
        <w:tc>
          <w:tcPr>
            <w:tcW w:w="5000" w:type="pct"/>
            <w:gridSpan w:val="14"/>
            <w:tcBorders>
              <w:top w:val="outset" w:sz="6" w:space="0" w:color="auto"/>
              <w:left w:val="outset" w:sz="6" w:space="0" w:color="auto"/>
              <w:bottom w:val="outset" w:sz="6" w:space="0" w:color="auto"/>
              <w:right w:val="outset" w:sz="6" w:space="0" w:color="auto"/>
            </w:tcBorders>
            <w:shd w:val="clear" w:color="auto" w:fill="auto"/>
          </w:tcPr>
          <w:p w14:paraId="49FC1A89" w14:textId="77777777" w:rsidR="0097651E" w:rsidRPr="0003436C" w:rsidRDefault="0097651E" w:rsidP="0003436C">
            <w:pPr>
              <w:pStyle w:val="NoSpacing"/>
              <w:jc w:val="center"/>
              <w:rPr>
                <w:rFonts w:ascii="Times New Roman" w:hAnsi="Times New Roman"/>
                <w:b/>
                <w:sz w:val="24"/>
                <w:szCs w:val="24"/>
              </w:rPr>
            </w:pPr>
            <w:r w:rsidRPr="0003436C">
              <w:rPr>
                <w:rFonts w:ascii="Times New Roman" w:hAnsi="Times New Roman"/>
                <w:b/>
                <w:sz w:val="24"/>
                <w:szCs w:val="24"/>
              </w:rPr>
              <w:t>II. Tiesību akta projekta ietekme uz sabiedrību</w:t>
            </w:r>
            <w:r w:rsidR="001115E4" w:rsidRPr="0003436C">
              <w:rPr>
                <w:rFonts w:ascii="Times New Roman" w:hAnsi="Times New Roman"/>
                <w:b/>
                <w:sz w:val="24"/>
                <w:szCs w:val="24"/>
              </w:rPr>
              <w:t>, tautsaimniecības attīstību un administratīvo slogu</w:t>
            </w:r>
          </w:p>
        </w:tc>
      </w:tr>
      <w:tr w:rsidR="008C0C54" w:rsidRPr="0003436C" w14:paraId="0F12B826"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576C8BD" w14:textId="77777777" w:rsidR="0097651E" w:rsidRPr="0003436C" w:rsidRDefault="0097651E" w:rsidP="00085CFC">
            <w:pPr>
              <w:jc w:val="both"/>
              <w:rPr>
                <w:color w:val="000000"/>
              </w:rPr>
            </w:pPr>
            <w:r w:rsidRPr="0003436C">
              <w:rPr>
                <w:color w:val="000000"/>
              </w:rPr>
              <w:t>1.</w:t>
            </w:r>
          </w:p>
        </w:tc>
        <w:tc>
          <w:tcPr>
            <w:tcW w:w="849" w:type="pct"/>
            <w:tcBorders>
              <w:top w:val="outset" w:sz="6" w:space="0" w:color="auto"/>
              <w:left w:val="outset" w:sz="6" w:space="0" w:color="auto"/>
              <w:bottom w:val="outset" w:sz="6" w:space="0" w:color="auto"/>
              <w:right w:val="outset" w:sz="6" w:space="0" w:color="auto"/>
            </w:tcBorders>
            <w:shd w:val="clear" w:color="auto" w:fill="auto"/>
          </w:tcPr>
          <w:p w14:paraId="38FFA55F" w14:textId="77777777" w:rsidR="0097651E" w:rsidRPr="0003436C" w:rsidRDefault="0097651E" w:rsidP="00085CFC">
            <w:pPr>
              <w:jc w:val="both"/>
              <w:rPr>
                <w:color w:val="000000"/>
              </w:rPr>
            </w:pPr>
            <w:r w:rsidRPr="0003436C">
              <w:rPr>
                <w:color w:val="000000"/>
              </w:rPr>
              <w:t>Sabiedrības mērķgrupa</w:t>
            </w:r>
            <w:r w:rsidR="006837A4" w:rsidRPr="0003436C">
              <w:rPr>
                <w:color w:val="000000"/>
              </w:rPr>
              <w:t>s, kuras tiesiskais regulējums ietekmē vai varētu ietekmēt</w:t>
            </w:r>
          </w:p>
        </w:tc>
        <w:tc>
          <w:tcPr>
            <w:tcW w:w="3541" w:type="pct"/>
            <w:gridSpan w:val="11"/>
            <w:tcBorders>
              <w:top w:val="outset" w:sz="6" w:space="0" w:color="auto"/>
              <w:left w:val="outset" w:sz="6" w:space="0" w:color="auto"/>
              <w:bottom w:val="outset" w:sz="6" w:space="0" w:color="auto"/>
              <w:right w:val="outset" w:sz="6" w:space="0" w:color="auto"/>
            </w:tcBorders>
            <w:shd w:val="clear" w:color="auto" w:fill="auto"/>
          </w:tcPr>
          <w:p w14:paraId="4277F585" w14:textId="77777777" w:rsidR="0097651E" w:rsidRPr="0003436C" w:rsidRDefault="001A1290" w:rsidP="006F6F66">
            <w:pPr>
              <w:ind w:firstLine="720"/>
              <w:jc w:val="both"/>
            </w:pPr>
            <w:r w:rsidRPr="001A1290">
              <w:t>Noteikumu projektā ietvertais tiesiskais regulējums attieksies uz atbalsta pretendentiem, kas iesniegs projektu iesniegumus valsts un Eiropas Savienības atbalstam atklātu projektu iesniegumu konkursu un kompensāciju maksājumu veidā lauku un zivsaimniecības attīstībai.</w:t>
            </w:r>
          </w:p>
        </w:tc>
      </w:tr>
      <w:tr w:rsidR="008C0C54" w:rsidRPr="0003436C" w14:paraId="4BFC3B46"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5C2F528F" w14:textId="77777777" w:rsidR="0097651E" w:rsidRPr="0003436C" w:rsidRDefault="006837A4" w:rsidP="00085CFC">
            <w:pPr>
              <w:jc w:val="both"/>
              <w:rPr>
                <w:color w:val="000000"/>
              </w:rPr>
            </w:pPr>
            <w:r w:rsidRPr="0003436C">
              <w:rPr>
                <w:color w:val="000000"/>
              </w:rPr>
              <w:t>2</w:t>
            </w:r>
            <w:r w:rsidR="0097651E" w:rsidRPr="0003436C">
              <w:rPr>
                <w:color w:val="000000"/>
              </w:rPr>
              <w:t>.</w:t>
            </w:r>
          </w:p>
        </w:tc>
        <w:tc>
          <w:tcPr>
            <w:tcW w:w="849" w:type="pct"/>
            <w:tcBorders>
              <w:top w:val="outset" w:sz="6" w:space="0" w:color="auto"/>
              <w:left w:val="outset" w:sz="6" w:space="0" w:color="auto"/>
              <w:bottom w:val="outset" w:sz="6" w:space="0" w:color="auto"/>
              <w:right w:val="outset" w:sz="6" w:space="0" w:color="auto"/>
            </w:tcBorders>
          </w:tcPr>
          <w:p w14:paraId="1E7F201A" w14:textId="77777777" w:rsidR="0097651E" w:rsidRPr="0003436C" w:rsidRDefault="0097651E" w:rsidP="006837A4">
            <w:pPr>
              <w:jc w:val="both"/>
              <w:rPr>
                <w:color w:val="000000"/>
              </w:rPr>
            </w:pPr>
            <w:r w:rsidRPr="0003436C">
              <w:rPr>
                <w:color w:val="000000"/>
              </w:rPr>
              <w:t xml:space="preserve">Tiesiskā regulējuma </w:t>
            </w:r>
            <w:r w:rsidR="006837A4" w:rsidRPr="0003436C">
              <w:rPr>
                <w:color w:val="000000"/>
              </w:rPr>
              <w:t>ietekme uz tautsaimniecību un administratīvo slogu</w:t>
            </w:r>
          </w:p>
        </w:tc>
        <w:tc>
          <w:tcPr>
            <w:tcW w:w="3541" w:type="pct"/>
            <w:gridSpan w:val="11"/>
            <w:tcBorders>
              <w:top w:val="outset" w:sz="6" w:space="0" w:color="auto"/>
              <w:left w:val="outset" w:sz="6" w:space="0" w:color="auto"/>
              <w:bottom w:val="outset" w:sz="6" w:space="0" w:color="auto"/>
              <w:right w:val="outset" w:sz="6" w:space="0" w:color="auto"/>
            </w:tcBorders>
          </w:tcPr>
          <w:p w14:paraId="0DFF4B5B" w14:textId="77777777" w:rsidR="002A064E" w:rsidRPr="002A064E" w:rsidRDefault="002A064E" w:rsidP="002A064E">
            <w:pPr>
              <w:ind w:firstLine="720"/>
              <w:jc w:val="both"/>
              <w:rPr>
                <w:color w:val="000000"/>
              </w:rPr>
            </w:pPr>
            <w:r w:rsidRPr="002A064E">
              <w:rPr>
                <w:color w:val="000000"/>
              </w:rPr>
              <w:t>Noteikumu projekta pieņemšana dos iespēju piešķirt finansējumu pretendentiem, kas atbildīs atbalsta saņemšanas nosacījumiem.</w:t>
            </w:r>
          </w:p>
          <w:p w14:paraId="15FAA798" w14:textId="1234B883" w:rsidR="00AC0B80" w:rsidRPr="0003436C" w:rsidRDefault="00FE3F3F" w:rsidP="008F55A6">
            <w:pPr>
              <w:ind w:firstLine="720"/>
              <w:jc w:val="both"/>
            </w:pPr>
            <w:r>
              <w:rPr>
                <w:color w:val="000000"/>
              </w:rPr>
              <w:t>Iespējama</w:t>
            </w:r>
            <w:r w:rsidRPr="002A064E">
              <w:rPr>
                <w:color w:val="000000"/>
              </w:rPr>
              <w:t xml:space="preserve"> </w:t>
            </w:r>
            <w:r>
              <w:rPr>
                <w:color w:val="000000"/>
              </w:rPr>
              <w:t>a</w:t>
            </w:r>
            <w:r w:rsidR="002A064E" w:rsidRPr="002A064E">
              <w:rPr>
                <w:color w:val="000000"/>
              </w:rPr>
              <w:t>dministratīv</w:t>
            </w:r>
            <w:r w:rsidR="00787D05">
              <w:rPr>
                <w:color w:val="000000"/>
              </w:rPr>
              <w:t>ā</w:t>
            </w:r>
            <w:r w:rsidR="002A064E" w:rsidRPr="002A064E">
              <w:rPr>
                <w:color w:val="000000"/>
              </w:rPr>
              <w:t xml:space="preserve"> slog</w:t>
            </w:r>
            <w:r w:rsidR="00787D05">
              <w:rPr>
                <w:color w:val="000000"/>
              </w:rPr>
              <w:t>a</w:t>
            </w:r>
            <w:r w:rsidR="002A064E" w:rsidRPr="002A064E">
              <w:rPr>
                <w:color w:val="000000"/>
              </w:rPr>
              <w:t xml:space="preserve"> samazinā</w:t>
            </w:r>
            <w:r w:rsidR="00787D05">
              <w:rPr>
                <w:color w:val="000000"/>
              </w:rPr>
              <w:t>šan</w:t>
            </w:r>
            <w:r>
              <w:rPr>
                <w:color w:val="000000"/>
              </w:rPr>
              <w:t>ās</w:t>
            </w:r>
            <w:r w:rsidR="00787D05">
              <w:rPr>
                <w:color w:val="000000"/>
              </w:rPr>
              <w:t xml:space="preserve"> </w:t>
            </w:r>
            <w:r>
              <w:rPr>
                <w:color w:val="000000"/>
              </w:rPr>
              <w:t>pēc</w:t>
            </w:r>
            <w:r w:rsidR="00787D05">
              <w:rPr>
                <w:color w:val="000000"/>
              </w:rPr>
              <w:t xml:space="preserve"> vienkāršoto izmaksu piemērošanas</w:t>
            </w:r>
            <w:r>
              <w:rPr>
                <w:color w:val="000000"/>
              </w:rPr>
              <w:t>, kas</w:t>
            </w:r>
            <w:r w:rsidR="00787D05">
              <w:rPr>
                <w:color w:val="000000"/>
              </w:rPr>
              <w:t xml:space="preserve"> ir pamatota un </w:t>
            </w:r>
            <w:r>
              <w:rPr>
                <w:color w:val="000000"/>
              </w:rPr>
              <w:t xml:space="preserve">izklāstīta </w:t>
            </w:r>
            <w:r w:rsidR="00787D05" w:rsidRPr="00787D05">
              <w:rPr>
                <w:color w:val="000000"/>
              </w:rPr>
              <w:t xml:space="preserve">noteikumu projekta </w:t>
            </w:r>
            <w:r w:rsidR="00787D05">
              <w:rPr>
                <w:color w:val="000000"/>
              </w:rPr>
              <w:t>“</w:t>
            </w:r>
            <w:r w:rsidR="00787D05" w:rsidRPr="00787D05">
              <w:rPr>
                <w:color w:val="000000"/>
              </w:rPr>
              <w:t xml:space="preserve">Ministru kabineta noteikumu projekts “Grozījumi Ministru kabineta 2014. gada 30. septembra noteikumos Nr. 598 </w:t>
            </w:r>
            <w:r>
              <w:rPr>
                <w:color w:val="000000"/>
              </w:rPr>
              <w:t>“</w:t>
            </w:r>
            <w:r w:rsidR="00787D05" w:rsidRPr="00787D05">
              <w:rPr>
                <w:color w:val="000000"/>
              </w:rPr>
              <w:t>Noteikumi par valsts un Eiropas Savienības atbalsta piešķiršanu, administrēšanu un uzraudzību lauku un zivsaimniecības attīstībai 2014.–2020.gada plānošanas periodā”” sākotnējās ietekmes novērtējuma ziņojum</w:t>
            </w:r>
            <w:r w:rsidR="00787D05">
              <w:rPr>
                <w:color w:val="000000"/>
              </w:rPr>
              <w:t xml:space="preserve">ā (anotācijā). </w:t>
            </w:r>
          </w:p>
        </w:tc>
      </w:tr>
      <w:tr w:rsidR="008C0C54" w:rsidRPr="0003436C" w14:paraId="508BFD4A"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267ACA18" w14:textId="77777777" w:rsidR="0097651E" w:rsidRPr="0003436C" w:rsidRDefault="006837A4" w:rsidP="006837A4">
            <w:pPr>
              <w:jc w:val="both"/>
              <w:rPr>
                <w:color w:val="000000"/>
              </w:rPr>
            </w:pPr>
            <w:r w:rsidRPr="0003436C">
              <w:rPr>
                <w:color w:val="000000"/>
              </w:rPr>
              <w:t>3</w:t>
            </w:r>
            <w:r w:rsidR="0097651E" w:rsidRPr="0003436C">
              <w:rPr>
                <w:color w:val="000000"/>
              </w:rPr>
              <w:t>.</w:t>
            </w:r>
          </w:p>
        </w:tc>
        <w:tc>
          <w:tcPr>
            <w:tcW w:w="849" w:type="pct"/>
            <w:tcBorders>
              <w:top w:val="outset" w:sz="6" w:space="0" w:color="auto"/>
              <w:left w:val="outset" w:sz="6" w:space="0" w:color="auto"/>
              <w:bottom w:val="outset" w:sz="6" w:space="0" w:color="auto"/>
              <w:right w:val="outset" w:sz="6" w:space="0" w:color="auto"/>
            </w:tcBorders>
          </w:tcPr>
          <w:p w14:paraId="4FA7B024" w14:textId="77777777" w:rsidR="0097651E" w:rsidRPr="0003436C" w:rsidRDefault="00A46003" w:rsidP="00085CFC">
            <w:pPr>
              <w:jc w:val="both"/>
              <w:rPr>
                <w:color w:val="000000"/>
              </w:rPr>
            </w:pPr>
            <w:r w:rsidRPr="0003436C">
              <w:rPr>
                <w:color w:val="000000"/>
              </w:rPr>
              <w:t>Administratīvo izmaksu monetārs novērtējums</w:t>
            </w:r>
          </w:p>
        </w:tc>
        <w:tc>
          <w:tcPr>
            <w:tcW w:w="3541" w:type="pct"/>
            <w:gridSpan w:val="11"/>
            <w:tcBorders>
              <w:top w:val="outset" w:sz="6" w:space="0" w:color="auto"/>
              <w:left w:val="outset" w:sz="6" w:space="0" w:color="auto"/>
              <w:bottom w:val="outset" w:sz="6" w:space="0" w:color="auto"/>
              <w:right w:val="outset" w:sz="6" w:space="0" w:color="auto"/>
            </w:tcBorders>
          </w:tcPr>
          <w:p w14:paraId="6F1D4279" w14:textId="79E19009" w:rsidR="0097651E" w:rsidRPr="0003436C" w:rsidRDefault="00787D05" w:rsidP="008F55A6">
            <w:pPr>
              <w:jc w:val="both"/>
              <w:rPr>
                <w:color w:val="000000"/>
              </w:rPr>
            </w:pPr>
            <w:r w:rsidRPr="00787D05">
              <w:rPr>
                <w:color w:val="000000"/>
              </w:rPr>
              <w:t xml:space="preserve">Administratīvo izmaksu </w:t>
            </w:r>
            <w:r>
              <w:rPr>
                <w:color w:val="000000"/>
              </w:rPr>
              <w:t>samazinājuma (vienkāršoto izmaksu piemērošanas</w:t>
            </w:r>
            <w:r w:rsidR="00FE3F3F">
              <w:rPr>
                <w:color w:val="000000"/>
              </w:rPr>
              <w:t xml:space="preserve"> dēļ</w:t>
            </w:r>
            <w:r>
              <w:rPr>
                <w:color w:val="000000"/>
              </w:rPr>
              <w:t xml:space="preserve">) </w:t>
            </w:r>
            <w:r w:rsidRPr="00787D05">
              <w:rPr>
                <w:color w:val="000000"/>
              </w:rPr>
              <w:t xml:space="preserve">monetārs novērtējums </w:t>
            </w:r>
            <w:r>
              <w:rPr>
                <w:color w:val="000000"/>
              </w:rPr>
              <w:t xml:space="preserve">ir </w:t>
            </w:r>
            <w:r w:rsidR="00FE3F3F">
              <w:rPr>
                <w:color w:val="000000"/>
              </w:rPr>
              <w:t>sniegts</w:t>
            </w:r>
            <w:r>
              <w:rPr>
                <w:color w:val="000000"/>
              </w:rPr>
              <w:t xml:space="preserve"> </w:t>
            </w:r>
            <w:r w:rsidRPr="00787D05">
              <w:rPr>
                <w:color w:val="000000"/>
              </w:rPr>
              <w:t xml:space="preserve">noteikumu projekta </w:t>
            </w:r>
            <w:r>
              <w:rPr>
                <w:color w:val="000000"/>
              </w:rPr>
              <w:t>“</w:t>
            </w:r>
            <w:r w:rsidRPr="00787D05">
              <w:rPr>
                <w:color w:val="000000"/>
              </w:rPr>
              <w:t xml:space="preserve">Ministru kabineta noteikumu projekts “Grozījumi Ministru kabineta 2014. gada 30. septembra noteikumos Nr. 598 </w:t>
            </w:r>
            <w:r w:rsidR="00FE3F3F">
              <w:rPr>
                <w:color w:val="000000"/>
              </w:rPr>
              <w:t>“</w:t>
            </w:r>
            <w:r w:rsidRPr="00787D05">
              <w:rPr>
                <w:color w:val="000000"/>
              </w:rPr>
              <w:t xml:space="preserve">Noteikumi par valsts un Eiropas Savienības atbalsta piešķiršanu, administrēšanu un uzraudzību </w:t>
            </w:r>
            <w:r w:rsidRPr="00787D05">
              <w:rPr>
                <w:color w:val="000000"/>
              </w:rPr>
              <w:lastRenderedPageBreak/>
              <w:t>lauku un zivsaimniecības attīstībai 2014.–2020.</w:t>
            </w:r>
            <w:r w:rsidR="00FE3F3F">
              <w:rPr>
                <w:color w:val="000000"/>
              </w:rPr>
              <w:t> </w:t>
            </w:r>
            <w:r w:rsidRPr="00787D05">
              <w:rPr>
                <w:color w:val="000000"/>
              </w:rPr>
              <w:t>gada plānošanas periodā”” sākotnējās ietekmes novērtējuma ziņojum</w:t>
            </w:r>
            <w:r>
              <w:rPr>
                <w:color w:val="000000"/>
              </w:rPr>
              <w:t>ā (anotācijā).</w:t>
            </w:r>
          </w:p>
        </w:tc>
      </w:tr>
      <w:tr w:rsidR="008C0C54" w:rsidRPr="0003436C" w14:paraId="0C1D7F5A"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2580D7ED" w14:textId="77777777" w:rsidR="0097651E" w:rsidRPr="0003436C" w:rsidRDefault="00A46003" w:rsidP="00085CFC">
            <w:pPr>
              <w:jc w:val="both"/>
              <w:rPr>
                <w:color w:val="000000"/>
              </w:rPr>
            </w:pPr>
            <w:r w:rsidRPr="0003436C">
              <w:rPr>
                <w:color w:val="000000"/>
              </w:rPr>
              <w:lastRenderedPageBreak/>
              <w:t>4</w:t>
            </w:r>
            <w:r w:rsidR="0097651E" w:rsidRPr="0003436C">
              <w:rPr>
                <w:color w:val="000000"/>
              </w:rPr>
              <w:t>.</w:t>
            </w:r>
          </w:p>
        </w:tc>
        <w:tc>
          <w:tcPr>
            <w:tcW w:w="849" w:type="pct"/>
            <w:tcBorders>
              <w:top w:val="outset" w:sz="6" w:space="0" w:color="auto"/>
              <w:left w:val="outset" w:sz="6" w:space="0" w:color="auto"/>
              <w:bottom w:val="outset" w:sz="6" w:space="0" w:color="auto"/>
              <w:right w:val="outset" w:sz="6" w:space="0" w:color="auto"/>
            </w:tcBorders>
          </w:tcPr>
          <w:p w14:paraId="5AE862FB" w14:textId="77777777" w:rsidR="0097651E" w:rsidRPr="0003436C" w:rsidRDefault="00A46003" w:rsidP="00085CFC">
            <w:pPr>
              <w:jc w:val="both"/>
              <w:rPr>
                <w:color w:val="000000"/>
              </w:rPr>
            </w:pPr>
            <w:r w:rsidRPr="0003436C">
              <w:rPr>
                <w:color w:val="000000"/>
              </w:rPr>
              <w:t>Cita informācija</w:t>
            </w:r>
          </w:p>
        </w:tc>
        <w:tc>
          <w:tcPr>
            <w:tcW w:w="3541" w:type="pct"/>
            <w:gridSpan w:val="11"/>
            <w:tcBorders>
              <w:top w:val="outset" w:sz="6" w:space="0" w:color="auto"/>
              <w:left w:val="outset" w:sz="6" w:space="0" w:color="auto"/>
              <w:bottom w:val="outset" w:sz="6" w:space="0" w:color="auto"/>
              <w:right w:val="outset" w:sz="6" w:space="0" w:color="auto"/>
            </w:tcBorders>
          </w:tcPr>
          <w:p w14:paraId="202A26C1" w14:textId="77777777" w:rsidR="0097651E" w:rsidRPr="0003436C" w:rsidRDefault="002A064E" w:rsidP="00A46003">
            <w:pPr>
              <w:jc w:val="both"/>
              <w:rPr>
                <w:color w:val="000000"/>
                <w:highlight w:val="yellow"/>
              </w:rPr>
            </w:pPr>
            <w:r w:rsidRPr="003B4F98">
              <w:t>Projekts šo jomu neskar.</w:t>
            </w:r>
          </w:p>
        </w:tc>
      </w:tr>
      <w:tr w:rsidR="008C0C54" w:rsidRPr="0003436C" w14:paraId="0579979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14"/>
            <w:shd w:val="clear" w:color="auto" w:fill="auto"/>
          </w:tcPr>
          <w:p w14:paraId="62AB4CE0" w14:textId="77777777" w:rsidR="00F60922" w:rsidRDefault="00F60922" w:rsidP="00EC0240">
            <w:pPr>
              <w:pStyle w:val="NormalWeb"/>
              <w:spacing w:before="0" w:beforeAutospacing="0" w:after="0" w:afterAutospacing="0"/>
              <w:jc w:val="center"/>
              <w:rPr>
                <w:b/>
                <w:bCs/>
              </w:rPr>
            </w:pPr>
          </w:p>
          <w:p w14:paraId="60B11B85" w14:textId="77777777" w:rsidR="008876FB" w:rsidRPr="0003436C" w:rsidRDefault="008876FB" w:rsidP="00EC0240">
            <w:pPr>
              <w:pStyle w:val="NormalWeb"/>
              <w:spacing w:before="0" w:beforeAutospacing="0" w:after="0" w:afterAutospacing="0"/>
              <w:jc w:val="center"/>
            </w:pPr>
            <w:r w:rsidRPr="0003436C">
              <w:rPr>
                <w:b/>
                <w:bCs/>
              </w:rPr>
              <w:t>IV. Tiesību akta projekta ietekme uz spēkā esošo tiesību normu sistēmu</w:t>
            </w:r>
          </w:p>
        </w:tc>
      </w:tr>
      <w:tr w:rsidR="008C0C54" w:rsidRPr="0003436C" w14:paraId="652EDA91"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24B9EA6E" w14:textId="77777777" w:rsidR="008876FB" w:rsidRPr="0003436C" w:rsidRDefault="008876FB" w:rsidP="00EC0240">
            <w:pPr>
              <w:pStyle w:val="NormalWeb"/>
              <w:spacing w:before="0" w:beforeAutospacing="0" w:after="0" w:afterAutospacing="0"/>
            </w:pPr>
            <w:r w:rsidRPr="0003436C">
              <w:t>1.</w:t>
            </w:r>
          </w:p>
        </w:tc>
        <w:tc>
          <w:tcPr>
            <w:tcW w:w="1175" w:type="pct"/>
            <w:gridSpan w:val="6"/>
            <w:shd w:val="clear" w:color="auto" w:fill="auto"/>
          </w:tcPr>
          <w:p w14:paraId="0B633EA1" w14:textId="77777777" w:rsidR="008876FB" w:rsidRPr="0003436C" w:rsidRDefault="008876FB" w:rsidP="00EC0240">
            <w:pPr>
              <w:pStyle w:val="NormalWeb"/>
              <w:spacing w:before="0" w:beforeAutospacing="0" w:after="0" w:afterAutospacing="0"/>
            </w:pPr>
            <w:r w:rsidRPr="0003436C">
              <w:t>Nepieciešamie saistītie tiesību aktu projekti</w:t>
            </w:r>
          </w:p>
        </w:tc>
        <w:tc>
          <w:tcPr>
            <w:tcW w:w="3215" w:type="pct"/>
            <w:gridSpan w:val="6"/>
            <w:shd w:val="clear" w:color="auto" w:fill="auto"/>
          </w:tcPr>
          <w:p w14:paraId="79665098" w14:textId="443857CE" w:rsidR="00577343" w:rsidRPr="00A7122D" w:rsidRDefault="00377CAA" w:rsidP="008F55A6">
            <w:pPr>
              <w:jc w:val="both"/>
              <w:rPr>
                <w:sz w:val="20"/>
                <w:szCs w:val="20"/>
              </w:rPr>
            </w:pPr>
            <w:r w:rsidRPr="00377CAA">
              <w:t xml:space="preserve">Vienlaikus ar noteikumu projektu tiks </w:t>
            </w:r>
            <w:r w:rsidR="00FE3F3F">
              <w:t xml:space="preserve">pieņemts </w:t>
            </w:r>
            <w:r w:rsidRPr="00377CAA">
              <w:t>Ministru kabineta noteikumu projekts “Grozījumi Ministru kabineta 2014. gada 30.</w:t>
            </w:r>
            <w:r w:rsidR="00FE3F3F">
              <w:t> </w:t>
            </w:r>
            <w:r w:rsidRPr="00377CAA">
              <w:t xml:space="preserve">septembra noteikumos Nr. 598 “Noteikumi par valsts un Eiropas Savienības atbalsta piešķiršanu, administrēšanu un uzraudzību lauku un zivsaimniecības attīstībai 2014.–2020. gada plānošanas periodā”” (21-TA-380, VSS-431), saskaņots ar ministrijām, </w:t>
            </w:r>
            <w:r w:rsidR="00A130EC">
              <w:t>08.10.2021.</w:t>
            </w:r>
            <w:r w:rsidR="00A130EC" w:rsidRPr="00377CAA">
              <w:t xml:space="preserve"> </w:t>
            </w:r>
            <w:r w:rsidRPr="00377CAA">
              <w:t>iesniegts Ministru kabinetā.</w:t>
            </w:r>
          </w:p>
        </w:tc>
      </w:tr>
      <w:tr w:rsidR="008C0C54" w:rsidRPr="0003436C" w14:paraId="716E4791"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5183D68C" w14:textId="77777777" w:rsidR="008876FB" w:rsidRPr="0003436C" w:rsidRDefault="008876FB" w:rsidP="00EC0240">
            <w:pPr>
              <w:pStyle w:val="NormalWeb"/>
              <w:spacing w:before="0" w:beforeAutospacing="0" w:after="0" w:afterAutospacing="0"/>
            </w:pPr>
            <w:r w:rsidRPr="0003436C">
              <w:t>2.</w:t>
            </w:r>
          </w:p>
        </w:tc>
        <w:tc>
          <w:tcPr>
            <w:tcW w:w="1175" w:type="pct"/>
            <w:gridSpan w:val="6"/>
            <w:shd w:val="clear" w:color="auto" w:fill="auto"/>
          </w:tcPr>
          <w:p w14:paraId="49CAABF3" w14:textId="77777777" w:rsidR="008876FB" w:rsidRPr="0003436C" w:rsidRDefault="008876FB" w:rsidP="00EC0240">
            <w:pPr>
              <w:pStyle w:val="NormalWeb"/>
              <w:spacing w:before="0" w:beforeAutospacing="0" w:after="0" w:afterAutospacing="0"/>
            </w:pPr>
            <w:r w:rsidRPr="0003436C">
              <w:t>Atbildīgā institūcija</w:t>
            </w:r>
          </w:p>
        </w:tc>
        <w:tc>
          <w:tcPr>
            <w:tcW w:w="3215" w:type="pct"/>
            <w:gridSpan w:val="6"/>
            <w:shd w:val="clear" w:color="auto" w:fill="auto"/>
          </w:tcPr>
          <w:p w14:paraId="7F33631D" w14:textId="7AC31D48" w:rsidR="008876FB" w:rsidRPr="0003436C" w:rsidRDefault="00D666EB" w:rsidP="00EC0240">
            <w:pPr>
              <w:pStyle w:val="NormalWeb"/>
              <w:spacing w:before="0" w:beforeAutospacing="0" w:after="0" w:afterAutospacing="0"/>
            </w:pPr>
            <w:r w:rsidRPr="0003436C">
              <w:t>Nav</w:t>
            </w:r>
            <w:r w:rsidR="00FE3F3F">
              <w:t>.</w:t>
            </w:r>
          </w:p>
        </w:tc>
      </w:tr>
      <w:tr w:rsidR="008C0C54" w:rsidRPr="0003436C" w14:paraId="4DFBCA13"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2EBC8594" w14:textId="77777777" w:rsidR="008876FB" w:rsidRPr="0003436C" w:rsidRDefault="008876FB" w:rsidP="00EC0240">
            <w:pPr>
              <w:pStyle w:val="NormalWeb"/>
              <w:spacing w:before="0" w:beforeAutospacing="0" w:after="0" w:afterAutospacing="0"/>
            </w:pPr>
            <w:r w:rsidRPr="0003436C">
              <w:t>3.</w:t>
            </w:r>
          </w:p>
        </w:tc>
        <w:tc>
          <w:tcPr>
            <w:tcW w:w="1175" w:type="pct"/>
            <w:gridSpan w:val="6"/>
            <w:shd w:val="clear" w:color="auto" w:fill="auto"/>
          </w:tcPr>
          <w:p w14:paraId="115D5B01" w14:textId="77777777" w:rsidR="008876FB" w:rsidRPr="0003436C" w:rsidRDefault="008876FB" w:rsidP="00EC0240">
            <w:pPr>
              <w:pStyle w:val="NormalWeb"/>
              <w:spacing w:before="0" w:beforeAutospacing="0" w:after="0" w:afterAutospacing="0"/>
            </w:pPr>
            <w:r w:rsidRPr="0003436C">
              <w:t>Cita informācija</w:t>
            </w:r>
          </w:p>
        </w:tc>
        <w:tc>
          <w:tcPr>
            <w:tcW w:w="3215" w:type="pct"/>
            <w:gridSpan w:val="6"/>
            <w:shd w:val="clear" w:color="auto" w:fill="auto"/>
          </w:tcPr>
          <w:p w14:paraId="4578FFD8" w14:textId="2A474499" w:rsidR="008876FB" w:rsidRPr="0003436C" w:rsidRDefault="00533D40" w:rsidP="00EC0240">
            <w:pPr>
              <w:pStyle w:val="NormalWeb"/>
              <w:spacing w:before="0" w:beforeAutospacing="0" w:after="0" w:afterAutospacing="0"/>
            </w:pPr>
            <w:r w:rsidRPr="0003436C">
              <w:t>Nav</w:t>
            </w:r>
            <w:r w:rsidR="00FE3F3F">
              <w:t>.</w:t>
            </w:r>
          </w:p>
        </w:tc>
      </w:tr>
      <w:tr w:rsidR="008C0C54" w14:paraId="49C7EBC9"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14"/>
            <w:shd w:val="clear" w:color="auto" w:fill="auto"/>
          </w:tcPr>
          <w:p w14:paraId="4F84151E" w14:textId="77777777" w:rsidR="00F60922" w:rsidRDefault="00F60922" w:rsidP="00EC0240">
            <w:pPr>
              <w:pStyle w:val="NormalWeb"/>
              <w:spacing w:before="0" w:beforeAutospacing="0" w:after="0" w:afterAutospacing="0"/>
              <w:jc w:val="center"/>
              <w:rPr>
                <w:b/>
                <w:bCs/>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48"/>
              <w:gridCol w:w="992"/>
              <w:gridCol w:w="1276"/>
              <w:gridCol w:w="851"/>
              <w:gridCol w:w="1275"/>
              <w:gridCol w:w="993"/>
              <w:gridCol w:w="1275"/>
              <w:gridCol w:w="1276"/>
            </w:tblGrid>
            <w:tr w:rsidR="004523C3" w:rsidRPr="003B4F98" w14:paraId="1EFB2D82" w14:textId="77777777" w:rsidTr="00451E4A">
              <w:trPr>
                <w:cantSplit/>
              </w:trPr>
              <w:tc>
                <w:tcPr>
                  <w:tcW w:w="10386" w:type="dxa"/>
                  <w:gridSpan w:val="8"/>
                  <w:shd w:val="clear" w:color="auto" w:fill="auto"/>
                  <w:vAlign w:val="center"/>
                  <w:hideMark/>
                </w:tcPr>
                <w:p w14:paraId="192AEE0D" w14:textId="77777777" w:rsidR="004523C3" w:rsidRPr="0078218F" w:rsidRDefault="004523C3" w:rsidP="004523C3">
                  <w:pPr>
                    <w:ind w:right="140"/>
                    <w:rPr>
                      <w:b/>
                      <w:bCs/>
                      <w:highlight w:val="yellow"/>
                    </w:rPr>
                  </w:pPr>
                  <w:r w:rsidRPr="008D39CE">
                    <w:rPr>
                      <w:b/>
                      <w:bCs/>
                    </w:rPr>
                    <w:t>III. Tiesību akta projekta ietekme uz valsts budžetu un pašvaldību budžetiem</w:t>
                  </w:r>
                </w:p>
              </w:tc>
            </w:tr>
            <w:tr w:rsidR="004523C3" w:rsidRPr="003B4F98" w14:paraId="56B12F92" w14:textId="77777777" w:rsidTr="00CE23D1">
              <w:trPr>
                <w:cantSplit/>
              </w:trPr>
              <w:tc>
                <w:tcPr>
                  <w:tcW w:w="2448" w:type="dxa"/>
                  <w:vMerge w:val="restart"/>
                  <w:shd w:val="clear" w:color="auto" w:fill="FFFFFF"/>
                  <w:vAlign w:val="center"/>
                </w:tcPr>
                <w:p w14:paraId="250DA454" w14:textId="77777777" w:rsidR="004523C3" w:rsidRPr="003B4F98" w:rsidRDefault="004523C3" w:rsidP="004523C3">
                  <w:pPr>
                    <w:ind w:right="140"/>
                    <w:jc w:val="center"/>
                    <w:rPr>
                      <w:bCs/>
                    </w:rPr>
                  </w:pPr>
                  <w:r w:rsidRPr="003B4F98">
                    <w:rPr>
                      <w:bCs/>
                    </w:rPr>
                    <w:t>Rādītāji</w:t>
                  </w:r>
                </w:p>
              </w:tc>
              <w:tc>
                <w:tcPr>
                  <w:tcW w:w="2268" w:type="dxa"/>
                  <w:gridSpan w:val="2"/>
                  <w:vMerge w:val="restart"/>
                  <w:shd w:val="clear" w:color="auto" w:fill="FFFFFF"/>
                  <w:vAlign w:val="center"/>
                  <w:hideMark/>
                </w:tcPr>
                <w:p w14:paraId="1765E4AA" w14:textId="77777777" w:rsidR="004523C3" w:rsidRPr="003B4F98" w:rsidRDefault="004523C3" w:rsidP="004523C3">
                  <w:pPr>
                    <w:ind w:right="140"/>
                    <w:jc w:val="center"/>
                    <w:rPr>
                      <w:bCs/>
                    </w:rPr>
                  </w:pPr>
                  <w:r w:rsidRPr="003B4F98">
                    <w:rPr>
                      <w:bCs/>
                    </w:rPr>
                    <w:t>202</w:t>
                  </w:r>
                  <w:r>
                    <w:rPr>
                      <w:bCs/>
                    </w:rPr>
                    <w:t>1</w:t>
                  </w:r>
                  <w:r w:rsidRPr="003B4F98">
                    <w:rPr>
                      <w:bCs/>
                    </w:rPr>
                    <w:t>.gads</w:t>
                  </w:r>
                </w:p>
              </w:tc>
              <w:tc>
                <w:tcPr>
                  <w:tcW w:w="5670" w:type="dxa"/>
                  <w:gridSpan w:val="5"/>
                  <w:shd w:val="clear" w:color="auto" w:fill="FFFFFF"/>
                  <w:vAlign w:val="center"/>
                  <w:hideMark/>
                </w:tcPr>
                <w:p w14:paraId="3B01FF70" w14:textId="77777777" w:rsidR="004523C3" w:rsidRPr="003B4F98" w:rsidRDefault="004523C3" w:rsidP="004523C3">
                  <w:pPr>
                    <w:ind w:right="140"/>
                    <w:jc w:val="center"/>
                  </w:pPr>
                  <w:r w:rsidRPr="003B4F98">
                    <w:t>Turpmākie trīs gadi (</w:t>
                  </w:r>
                  <w:proofErr w:type="spellStart"/>
                  <w:r w:rsidRPr="003B4F98">
                    <w:rPr>
                      <w:i/>
                      <w:iCs/>
                    </w:rPr>
                    <w:t>euro</w:t>
                  </w:r>
                  <w:proofErr w:type="spellEnd"/>
                  <w:r w:rsidRPr="003B4F98">
                    <w:t>)</w:t>
                  </w:r>
                </w:p>
              </w:tc>
            </w:tr>
            <w:tr w:rsidR="004523C3" w:rsidRPr="003B4F98" w14:paraId="0003952D" w14:textId="77777777" w:rsidTr="00CE23D1">
              <w:trPr>
                <w:cantSplit/>
              </w:trPr>
              <w:tc>
                <w:tcPr>
                  <w:tcW w:w="2448" w:type="dxa"/>
                  <w:vMerge/>
                  <w:shd w:val="clear" w:color="auto" w:fill="auto"/>
                  <w:vAlign w:val="center"/>
                  <w:hideMark/>
                </w:tcPr>
                <w:p w14:paraId="667AE39B" w14:textId="77777777" w:rsidR="004523C3" w:rsidRPr="003B4F98" w:rsidRDefault="004523C3" w:rsidP="004523C3">
                  <w:pPr>
                    <w:ind w:right="140"/>
                    <w:jc w:val="center"/>
                    <w:rPr>
                      <w:bCs/>
                    </w:rPr>
                  </w:pPr>
                </w:p>
              </w:tc>
              <w:tc>
                <w:tcPr>
                  <w:tcW w:w="2268" w:type="dxa"/>
                  <w:gridSpan w:val="2"/>
                  <w:vMerge/>
                  <w:shd w:val="clear" w:color="auto" w:fill="auto"/>
                  <w:vAlign w:val="center"/>
                  <w:hideMark/>
                </w:tcPr>
                <w:p w14:paraId="137A9CE9" w14:textId="77777777" w:rsidR="004523C3" w:rsidRPr="003B4F98" w:rsidRDefault="004523C3" w:rsidP="004523C3">
                  <w:pPr>
                    <w:ind w:right="140"/>
                    <w:jc w:val="center"/>
                    <w:rPr>
                      <w:bCs/>
                    </w:rPr>
                  </w:pPr>
                </w:p>
              </w:tc>
              <w:tc>
                <w:tcPr>
                  <w:tcW w:w="2126" w:type="dxa"/>
                  <w:gridSpan w:val="2"/>
                  <w:shd w:val="clear" w:color="auto" w:fill="FFFFFF"/>
                  <w:vAlign w:val="center"/>
                  <w:hideMark/>
                </w:tcPr>
                <w:p w14:paraId="61E243D3" w14:textId="77777777" w:rsidR="004523C3" w:rsidRPr="003B4F98" w:rsidRDefault="004523C3" w:rsidP="004523C3">
                  <w:pPr>
                    <w:ind w:right="140"/>
                    <w:jc w:val="center"/>
                    <w:rPr>
                      <w:bCs/>
                    </w:rPr>
                  </w:pPr>
                  <w:r w:rsidRPr="003B4F98">
                    <w:rPr>
                      <w:bCs/>
                    </w:rPr>
                    <w:t>202</w:t>
                  </w:r>
                  <w:r>
                    <w:rPr>
                      <w:bCs/>
                    </w:rPr>
                    <w:t>2</w:t>
                  </w:r>
                </w:p>
              </w:tc>
              <w:tc>
                <w:tcPr>
                  <w:tcW w:w="2268" w:type="dxa"/>
                  <w:gridSpan w:val="2"/>
                  <w:shd w:val="clear" w:color="auto" w:fill="FFFFFF"/>
                  <w:vAlign w:val="center"/>
                  <w:hideMark/>
                </w:tcPr>
                <w:p w14:paraId="4050E3CC" w14:textId="77777777" w:rsidR="004523C3" w:rsidRPr="003B4F98" w:rsidRDefault="004523C3" w:rsidP="004523C3">
                  <w:pPr>
                    <w:ind w:right="140"/>
                    <w:jc w:val="center"/>
                    <w:rPr>
                      <w:bCs/>
                    </w:rPr>
                  </w:pPr>
                  <w:r w:rsidRPr="003B4F98">
                    <w:rPr>
                      <w:bCs/>
                    </w:rPr>
                    <w:t>202</w:t>
                  </w:r>
                  <w:r>
                    <w:rPr>
                      <w:bCs/>
                    </w:rPr>
                    <w:t>3</w:t>
                  </w:r>
                </w:p>
              </w:tc>
              <w:tc>
                <w:tcPr>
                  <w:tcW w:w="1276" w:type="dxa"/>
                  <w:shd w:val="clear" w:color="auto" w:fill="FFFFFF"/>
                  <w:vAlign w:val="center"/>
                  <w:hideMark/>
                </w:tcPr>
                <w:p w14:paraId="7A3FE365" w14:textId="77777777" w:rsidR="004523C3" w:rsidRPr="003B4F98" w:rsidRDefault="004523C3" w:rsidP="004523C3">
                  <w:pPr>
                    <w:ind w:right="140"/>
                    <w:jc w:val="center"/>
                    <w:rPr>
                      <w:bCs/>
                    </w:rPr>
                  </w:pPr>
                  <w:r w:rsidRPr="003B4F98">
                    <w:rPr>
                      <w:bCs/>
                    </w:rPr>
                    <w:t>202</w:t>
                  </w:r>
                  <w:r>
                    <w:rPr>
                      <w:bCs/>
                    </w:rPr>
                    <w:t>4</w:t>
                  </w:r>
                </w:p>
              </w:tc>
            </w:tr>
            <w:tr w:rsidR="00451E4A" w:rsidRPr="003B4F98" w14:paraId="2BCB719E" w14:textId="77777777" w:rsidTr="00CE23D1">
              <w:trPr>
                <w:cantSplit/>
              </w:trPr>
              <w:tc>
                <w:tcPr>
                  <w:tcW w:w="2448" w:type="dxa"/>
                  <w:vMerge/>
                  <w:shd w:val="clear" w:color="auto" w:fill="auto"/>
                  <w:vAlign w:val="center"/>
                  <w:hideMark/>
                </w:tcPr>
                <w:p w14:paraId="247EA003" w14:textId="77777777" w:rsidR="004523C3" w:rsidRPr="003B4F98" w:rsidRDefault="004523C3" w:rsidP="004523C3">
                  <w:pPr>
                    <w:ind w:right="140"/>
                    <w:jc w:val="center"/>
                    <w:rPr>
                      <w:b/>
                      <w:bCs/>
                    </w:rPr>
                  </w:pPr>
                </w:p>
              </w:tc>
              <w:tc>
                <w:tcPr>
                  <w:tcW w:w="992" w:type="dxa"/>
                  <w:shd w:val="clear" w:color="auto" w:fill="FFFFFF"/>
                  <w:vAlign w:val="center"/>
                  <w:hideMark/>
                </w:tcPr>
                <w:p w14:paraId="28CD6391" w14:textId="77777777" w:rsidR="004523C3" w:rsidRPr="002945AA" w:rsidRDefault="004523C3" w:rsidP="004523C3">
                  <w:pPr>
                    <w:ind w:right="140"/>
                    <w:jc w:val="center"/>
                    <w:rPr>
                      <w:sz w:val="22"/>
                      <w:szCs w:val="22"/>
                    </w:rPr>
                  </w:pPr>
                  <w:r w:rsidRPr="002945AA">
                    <w:rPr>
                      <w:sz w:val="22"/>
                      <w:szCs w:val="22"/>
                    </w:rPr>
                    <w:t>saskaņā ar valsts budžetu kārtējam gadam</w:t>
                  </w:r>
                </w:p>
              </w:tc>
              <w:tc>
                <w:tcPr>
                  <w:tcW w:w="1276" w:type="dxa"/>
                  <w:shd w:val="clear" w:color="auto" w:fill="FFFFFF"/>
                  <w:vAlign w:val="center"/>
                  <w:hideMark/>
                </w:tcPr>
                <w:p w14:paraId="6A71761F" w14:textId="77777777" w:rsidR="004523C3" w:rsidRPr="002945AA" w:rsidRDefault="004523C3" w:rsidP="004523C3">
                  <w:pPr>
                    <w:ind w:right="140"/>
                    <w:jc w:val="center"/>
                    <w:rPr>
                      <w:sz w:val="22"/>
                      <w:szCs w:val="22"/>
                    </w:rPr>
                  </w:pPr>
                  <w:r w:rsidRPr="002945AA">
                    <w:rPr>
                      <w:sz w:val="22"/>
                      <w:szCs w:val="22"/>
                    </w:rPr>
                    <w:t>izmaiņas kārtējā gadā, salīdzinot ar valsts budžetu kārtējam gadam</w:t>
                  </w:r>
                </w:p>
              </w:tc>
              <w:tc>
                <w:tcPr>
                  <w:tcW w:w="851" w:type="dxa"/>
                  <w:shd w:val="clear" w:color="auto" w:fill="FFFFFF"/>
                  <w:vAlign w:val="center"/>
                  <w:hideMark/>
                </w:tcPr>
                <w:p w14:paraId="1DCD6D8D" w14:textId="77777777" w:rsidR="004523C3" w:rsidRPr="002945AA" w:rsidRDefault="004523C3" w:rsidP="004523C3">
                  <w:pPr>
                    <w:ind w:right="140"/>
                    <w:jc w:val="center"/>
                    <w:rPr>
                      <w:sz w:val="22"/>
                      <w:szCs w:val="22"/>
                    </w:rPr>
                  </w:pPr>
                  <w:r w:rsidRPr="002945AA">
                    <w:rPr>
                      <w:sz w:val="22"/>
                      <w:szCs w:val="22"/>
                    </w:rPr>
                    <w:t>saskaņā ar vidēja termiņa budžeta ietvaru</w:t>
                  </w:r>
                </w:p>
              </w:tc>
              <w:tc>
                <w:tcPr>
                  <w:tcW w:w="1275" w:type="dxa"/>
                  <w:shd w:val="clear" w:color="auto" w:fill="FFFFFF"/>
                  <w:vAlign w:val="center"/>
                  <w:hideMark/>
                </w:tcPr>
                <w:p w14:paraId="6CF073C4" w14:textId="1668809A" w:rsidR="004523C3" w:rsidRPr="002945AA" w:rsidRDefault="004523C3" w:rsidP="004523C3">
                  <w:pPr>
                    <w:ind w:right="140"/>
                    <w:jc w:val="center"/>
                    <w:rPr>
                      <w:sz w:val="22"/>
                      <w:szCs w:val="22"/>
                    </w:rPr>
                  </w:pPr>
                  <w:r w:rsidRPr="002945AA">
                    <w:rPr>
                      <w:sz w:val="22"/>
                      <w:szCs w:val="22"/>
                    </w:rPr>
                    <w:t xml:space="preserve">izmaiņas, salīdzinot ar vidēja termiņa budžeta ietvaru </w:t>
                  </w:r>
                  <w:r w:rsidR="00B022D4" w:rsidRPr="002945AA">
                    <w:rPr>
                      <w:sz w:val="22"/>
                      <w:szCs w:val="22"/>
                    </w:rPr>
                    <w:t>202</w:t>
                  </w:r>
                  <w:r w:rsidR="00B022D4">
                    <w:rPr>
                      <w:sz w:val="22"/>
                      <w:szCs w:val="22"/>
                    </w:rPr>
                    <w:t>2</w:t>
                  </w:r>
                  <w:r w:rsidRPr="002945AA">
                    <w:rPr>
                      <w:sz w:val="22"/>
                      <w:szCs w:val="22"/>
                    </w:rPr>
                    <w:t>. gadam</w:t>
                  </w:r>
                </w:p>
              </w:tc>
              <w:tc>
                <w:tcPr>
                  <w:tcW w:w="993" w:type="dxa"/>
                  <w:shd w:val="clear" w:color="auto" w:fill="FFFFFF"/>
                  <w:vAlign w:val="center"/>
                  <w:hideMark/>
                </w:tcPr>
                <w:p w14:paraId="5F961339" w14:textId="77777777" w:rsidR="004523C3" w:rsidRPr="002945AA" w:rsidRDefault="004523C3" w:rsidP="004523C3">
                  <w:pPr>
                    <w:ind w:right="140"/>
                    <w:jc w:val="center"/>
                    <w:rPr>
                      <w:sz w:val="22"/>
                      <w:szCs w:val="22"/>
                    </w:rPr>
                  </w:pPr>
                  <w:r w:rsidRPr="002945AA">
                    <w:rPr>
                      <w:sz w:val="22"/>
                      <w:szCs w:val="22"/>
                    </w:rPr>
                    <w:t>saskaņā ar vidēja termiņa budžeta ietvaru</w:t>
                  </w:r>
                </w:p>
              </w:tc>
              <w:tc>
                <w:tcPr>
                  <w:tcW w:w="1275" w:type="dxa"/>
                  <w:shd w:val="clear" w:color="auto" w:fill="FFFFFF"/>
                  <w:vAlign w:val="center"/>
                  <w:hideMark/>
                </w:tcPr>
                <w:p w14:paraId="1B6C56A3" w14:textId="421A4A1E" w:rsidR="004523C3" w:rsidRPr="002945AA" w:rsidRDefault="004523C3" w:rsidP="004523C3">
                  <w:pPr>
                    <w:ind w:right="140"/>
                    <w:jc w:val="center"/>
                    <w:rPr>
                      <w:sz w:val="22"/>
                      <w:szCs w:val="22"/>
                    </w:rPr>
                  </w:pPr>
                  <w:r w:rsidRPr="002945AA">
                    <w:rPr>
                      <w:sz w:val="22"/>
                      <w:szCs w:val="22"/>
                    </w:rPr>
                    <w:t xml:space="preserve">izmaiņas, salīdzinot ar vidēja termiņa budžeta ietvaru </w:t>
                  </w:r>
                  <w:r w:rsidR="00D9566D" w:rsidRPr="002945AA">
                    <w:rPr>
                      <w:sz w:val="22"/>
                      <w:szCs w:val="22"/>
                    </w:rPr>
                    <w:t>202</w:t>
                  </w:r>
                  <w:r w:rsidR="00D9566D">
                    <w:rPr>
                      <w:sz w:val="22"/>
                      <w:szCs w:val="22"/>
                    </w:rPr>
                    <w:t>3</w:t>
                  </w:r>
                  <w:r w:rsidRPr="002945AA">
                    <w:rPr>
                      <w:sz w:val="22"/>
                      <w:szCs w:val="22"/>
                    </w:rPr>
                    <w:t>. gadam</w:t>
                  </w:r>
                </w:p>
              </w:tc>
              <w:tc>
                <w:tcPr>
                  <w:tcW w:w="1276" w:type="dxa"/>
                  <w:shd w:val="clear" w:color="auto" w:fill="FFFFFF"/>
                  <w:vAlign w:val="center"/>
                  <w:hideMark/>
                </w:tcPr>
                <w:p w14:paraId="26447865" w14:textId="431307A3" w:rsidR="004523C3" w:rsidRPr="002945AA" w:rsidRDefault="004523C3" w:rsidP="004523C3">
                  <w:pPr>
                    <w:ind w:right="140"/>
                    <w:jc w:val="center"/>
                    <w:rPr>
                      <w:sz w:val="22"/>
                      <w:szCs w:val="22"/>
                    </w:rPr>
                  </w:pPr>
                  <w:r w:rsidRPr="002945AA">
                    <w:rPr>
                      <w:sz w:val="22"/>
                      <w:szCs w:val="22"/>
                    </w:rPr>
                    <w:t xml:space="preserve">izmaiņas, salīdzinot ar vidēja termiņa budžeta ietvaru </w:t>
                  </w:r>
                  <w:r w:rsidRPr="002945AA">
                    <w:rPr>
                      <w:sz w:val="22"/>
                      <w:szCs w:val="22"/>
                    </w:rPr>
                    <w:br/>
                  </w:r>
                  <w:r w:rsidR="008E665C" w:rsidRPr="002945AA">
                    <w:rPr>
                      <w:sz w:val="22"/>
                      <w:szCs w:val="22"/>
                    </w:rPr>
                    <w:t>202</w:t>
                  </w:r>
                  <w:r w:rsidR="008E665C">
                    <w:rPr>
                      <w:sz w:val="22"/>
                      <w:szCs w:val="22"/>
                    </w:rPr>
                    <w:t>3</w:t>
                  </w:r>
                  <w:r w:rsidRPr="002945AA">
                    <w:rPr>
                      <w:sz w:val="22"/>
                      <w:szCs w:val="22"/>
                    </w:rPr>
                    <w:t>. gadam</w:t>
                  </w:r>
                </w:p>
              </w:tc>
            </w:tr>
            <w:tr w:rsidR="00451E4A" w:rsidRPr="003B4F98" w14:paraId="3A74658B" w14:textId="77777777" w:rsidTr="00CE23D1">
              <w:trPr>
                <w:cantSplit/>
              </w:trPr>
              <w:tc>
                <w:tcPr>
                  <w:tcW w:w="2448" w:type="dxa"/>
                  <w:shd w:val="clear" w:color="auto" w:fill="FFFFFF"/>
                  <w:vAlign w:val="center"/>
                  <w:hideMark/>
                </w:tcPr>
                <w:p w14:paraId="36D27358" w14:textId="77777777" w:rsidR="004523C3" w:rsidRPr="003B4F98" w:rsidRDefault="004523C3" w:rsidP="004523C3">
                  <w:pPr>
                    <w:ind w:right="140"/>
                    <w:jc w:val="center"/>
                  </w:pPr>
                  <w:r w:rsidRPr="003B4F98">
                    <w:t>1</w:t>
                  </w:r>
                </w:p>
              </w:tc>
              <w:tc>
                <w:tcPr>
                  <w:tcW w:w="992" w:type="dxa"/>
                  <w:shd w:val="clear" w:color="auto" w:fill="FFFFFF"/>
                  <w:vAlign w:val="center"/>
                  <w:hideMark/>
                </w:tcPr>
                <w:p w14:paraId="429FD29B" w14:textId="77777777" w:rsidR="004523C3" w:rsidRPr="003B4F98" w:rsidRDefault="004523C3" w:rsidP="004523C3">
                  <w:pPr>
                    <w:ind w:right="140"/>
                    <w:jc w:val="center"/>
                  </w:pPr>
                  <w:r w:rsidRPr="003B4F98">
                    <w:t>2</w:t>
                  </w:r>
                </w:p>
              </w:tc>
              <w:tc>
                <w:tcPr>
                  <w:tcW w:w="1276" w:type="dxa"/>
                  <w:shd w:val="clear" w:color="auto" w:fill="FFFFFF"/>
                  <w:vAlign w:val="center"/>
                  <w:hideMark/>
                </w:tcPr>
                <w:p w14:paraId="085F63C5" w14:textId="77777777" w:rsidR="004523C3" w:rsidRPr="003B4F98" w:rsidRDefault="004523C3" w:rsidP="004523C3">
                  <w:pPr>
                    <w:ind w:right="140"/>
                    <w:jc w:val="center"/>
                  </w:pPr>
                  <w:r w:rsidRPr="003B4F98">
                    <w:t>3</w:t>
                  </w:r>
                </w:p>
              </w:tc>
              <w:tc>
                <w:tcPr>
                  <w:tcW w:w="851" w:type="dxa"/>
                  <w:shd w:val="clear" w:color="auto" w:fill="FFFFFF"/>
                  <w:vAlign w:val="center"/>
                  <w:hideMark/>
                </w:tcPr>
                <w:p w14:paraId="4E833FC7" w14:textId="77777777" w:rsidR="004523C3" w:rsidRPr="003B4F98" w:rsidRDefault="004523C3" w:rsidP="004523C3">
                  <w:pPr>
                    <w:ind w:right="140"/>
                    <w:jc w:val="center"/>
                  </w:pPr>
                  <w:r w:rsidRPr="003B4F98">
                    <w:t>4</w:t>
                  </w:r>
                </w:p>
              </w:tc>
              <w:tc>
                <w:tcPr>
                  <w:tcW w:w="1275" w:type="dxa"/>
                  <w:shd w:val="clear" w:color="auto" w:fill="FFFFFF"/>
                  <w:vAlign w:val="center"/>
                  <w:hideMark/>
                </w:tcPr>
                <w:p w14:paraId="1C328C83" w14:textId="77777777" w:rsidR="004523C3" w:rsidRPr="003B4F98" w:rsidRDefault="004523C3" w:rsidP="004523C3">
                  <w:pPr>
                    <w:ind w:right="140"/>
                    <w:jc w:val="center"/>
                  </w:pPr>
                  <w:r w:rsidRPr="003B4F98">
                    <w:t>5</w:t>
                  </w:r>
                </w:p>
              </w:tc>
              <w:tc>
                <w:tcPr>
                  <w:tcW w:w="993" w:type="dxa"/>
                  <w:shd w:val="clear" w:color="auto" w:fill="FFFFFF"/>
                  <w:vAlign w:val="center"/>
                  <w:hideMark/>
                </w:tcPr>
                <w:p w14:paraId="5A45418C" w14:textId="77777777" w:rsidR="004523C3" w:rsidRPr="003B4F98" w:rsidRDefault="004523C3" w:rsidP="004523C3">
                  <w:pPr>
                    <w:ind w:right="140"/>
                    <w:jc w:val="center"/>
                  </w:pPr>
                  <w:r w:rsidRPr="003B4F98">
                    <w:t>6</w:t>
                  </w:r>
                </w:p>
              </w:tc>
              <w:tc>
                <w:tcPr>
                  <w:tcW w:w="1275" w:type="dxa"/>
                  <w:shd w:val="clear" w:color="auto" w:fill="FFFFFF"/>
                  <w:vAlign w:val="center"/>
                  <w:hideMark/>
                </w:tcPr>
                <w:p w14:paraId="2DF08E66" w14:textId="77777777" w:rsidR="004523C3" w:rsidRPr="003B4F98" w:rsidRDefault="004523C3" w:rsidP="004523C3">
                  <w:pPr>
                    <w:ind w:right="140"/>
                    <w:jc w:val="center"/>
                  </w:pPr>
                  <w:r w:rsidRPr="003B4F98">
                    <w:t>7</w:t>
                  </w:r>
                </w:p>
              </w:tc>
              <w:tc>
                <w:tcPr>
                  <w:tcW w:w="1276" w:type="dxa"/>
                  <w:shd w:val="clear" w:color="auto" w:fill="FFFFFF"/>
                  <w:vAlign w:val="center"/>
                  <w:hideMark/>
                </w:tcPr>
                <w:p w14:paraId="0093A02C" w14:textId="77777777" w:rsidR="004523C3" w:rsidRPr="003B4F98" w:rsidRDefault="004523C3" w:rsidP="004523C3">
                  <w:pPr>
                    <w:ind w:right="140"/>
                    <w:jc w:val="center"/>
                  </w:pPr>
                  <w:r w:rsidRPr="003B4F98">
                    <w:t>8</w:t>
                  </w:r>
                </w:p>
              </w:tc>
            </w:tr>
            <w:tr w:rsidR="00A32A67" w:rsidRPr="003B4F98" w14:paraId="20E11CF9" w14:textId="77777777" w:rsidTr="00CE23D1">
              <w:trPr>
                <w:cantSplit/>
              </w:trPr>
              <w:tc>
                <w:tcPr>
                  <w:tcW w:w="2448" w:type="dxa"/>
                  <w:shd w:val="clear" w:color="auto" w:fill="FFFFFF"/>
                  <w:hideMark/>
                </w:tcPr>
                <w:p w14:paraId="1E6849C2" w14:textId="77777777" w:rsidR="00A32A67" w:rsidRPr="003B4F98" w:rsidRDefault="00A32A67" w:rsidP="00A32A67">
                  <w:pPr>
                    <w:ind w:right="140"/>
                  </w:pPr>
                  <w:r w:rsidRPr="003B4F98">
                    <w:t>1. Budžeta ieņēmumi</w:t>
                  </w:r>
                </w:p>
              </w:tc>
              <w:tc>
                <w:tcPr>
                  <w:tcW w:w="992" w:type="dxa"/>
                  <w:shd w:val="clear" w:color="auto" w:fill="FFFFFF"/>
                  <w:vAlign w:val="center"/>
                  <w:hideMark/>
                </w:tcPr>
                <w:p w14:paraId="21E268A0" w14:textId="77777777" w:rsidR="00A32A67" w:rsidRPr="002945AA" w:rsidRDefault="00A32A67" w:rsidP="00A32A67">
                  <w:pPr>
                    <w:ind w:right="140"/>
                    <w:jc w:val="center"/>
                    <w:rPr>
                      <w:sz w:val="22"/>
                      <w:szCs w:val="22"/>
                    </w:rPr>
                  </w:pPr>
                  <w:r w:rsidRPr="002945AA">
                    <w:rPr>
                      <w:sz w:val="22"/>
                      <w:szCs w:val="22"/>
                    </w:rPr>
                    <w:t>0</w:t>
                  </w:r>
                </w:p>
              </w:tc>
              <w:tc>
                <w:tcPr>
                  <w:tcW w:w="1276" w:type="dxa"/>
                  <w:shd w:val="clear" w:color="auto" w:fill="FFFFFF"/>
                  <w:vAlign w:val="center"/>
                  <w:hideMark/>
                </w:tcPr>
                <w:p w14:paraId="05D4911A" w14:textId="77777777" w:rsidR="00A32A67" w:rsidRPr="002945AA" w:rsidRDefault="00A32A67" w:rsidP="00A32A67">
                  <w:pPr>
                    <w:ind w:right="140"/>
                    <w:jc w:val="center"/>
                    <w:rPr>
                      <w:sz w:val="22"/>
                      <w:szCs w:val="22"/>
                    </w:rPr>
                  </w:pPr>
                  <w:r w:rsidRPr="002945AA">
                    <w:rPr>
                      <w:sz w:val="22"/>
                      <w:szCs w:val="22"/>
                    </w:rPr>
                    <w:t>3 400 000</w:t>
                  </w:r>
                </w:p>
              </w:tc>
              <w:tc>
                <w:tcPr>
                  <w:tcW w:w="851" w:type="dxa"/>
                  <w:shd w:val="clear" w:color="auto" w:fill="FFFFFF"/>
                  <w:vAlign w:val="center"/>
                </w:tcPr>
                <w:p w14:paraId="46CF5728" w14:textId="77777777" w:rsidR="00A32A67" w:rsidRPr="002945AA" w:rsidRDefault="00A32A67" w:rsidP="00A32A67">
                  <w:pPr>
                    <w:ind w:right="140"/>
                    <w:jc w:val="center"/>
                    <w:rPr>
                      <w:color w:val="000000"/>
                      <w:sz w:val="22"/>
                      <w:szCs w:val="22"/>
                    </w:rPr>
                  </w:pPr>
                  <w:r w:rsidRPr="002945AA">
                    <w:rPr>
                      <w:color w:val="000000"/>
                      <w:sz w:val="22"/>
                      <w:szCs w:val="22"/>
                    </w:rPr>
                    <w:t>0</w:t>
                  </w:r>
                </w:p>
              </w:tc>
              <w:tc>
                <w:tcPr>
                  <w:tcW w:w="1275" w:type="dxa"/>
                  <w:shd w:val="clear" w:color="auto" w:fill="FFFFFF"/>
                  <w:vAlign w:val="center"/>
                  <w:hideMark/>
                </w:tcPr>
                <w:p w14:paraId="1B4F62AA" w14:textId="77777777" w:rsidR="00A32A67" w:rsidRPr="002945AA" w:rsidRDefault="00A32A67" w:rsidP="00A32A67">
                  <w:pPr>
                    <w:ind w:right="140"/>
                    <w:jc w:val="center"/>
                    <w:rPr>
                      <w:sz w:val="22"/>
                      <w:szCs w:val="22"/>
                    </w:rPr>
                  </w:pPr>
                  <w:r>
                    <w:rPr>
                      <w:sz w:val="22"/>
                      <w:szCs w:val="22"/>
                    </w:rPr>
                    <w:t>31 353 333</w:t>
                  </w:r>
                </w:p>
              </w:tc>
              <w:tc>
                <w:tcPr>
                  <w:tcW w:w="993" w:type="dxa"/>
                  <w:shd w:val="clear" w:color="auto" w:fill="FFFFFF"/>
                  <w:vAlign w:val="center"/>
                  <w:hideMark/>
                </w:tcPr>
                <w:p w14:paraId="4F88D206" w14:textId="77777777" w:rsidR="00A32A67" w:rsidRPr="002945AA" w:rsidRDefault="00A32A67" w:rsidP="00A32A67">
                  <w:pPr>
                    <w:ind w:right="140"/>
                    <w:jc w:val="center"/>
                    <w:rPr>
                      <w:sz w:val="22"/>
                      <w:szCs w:val="22"/>
                    </w:rPr>
                  </w:pPr>
                  <w:r w:rsidRPr="002945AA">
                    <w:rPr>
                      <w:sz w:val="22"/>
                      <w:szCs w:val="22"/>
                    </w:rPr>
                    <w:t>0</w:t>
                  </w:r>
                </w:p>
              </w:tc>
              <w:tc>
                <w:tcPr>
                  <w:tcW w:w="1275" w:type="dxa"/>
                  <w:shd w:val="clear" w:color="auto" w:fill="FFFFFF"/>
                  <w:vAlign w:val="center"/>
                  <w:hideMark/>
                </w:tcPr>
                <w:p w14:paraId="4EEE07D8" w14:textId="77777777" w:rsidR="00A32A67" w:rsidRPr="002945AA" w:rsidRDefault="00A32A67" w:rsidP="00A32A67">
                  <w:pPr>
                    <w:ind w:right="140"/>
                    <w:jc w:val="center"/>
                    <w:rPr>
                      <w:sz w:val="22"/>
                      <w:szCs w:val="22"/>
                    </w:rPr>
                  </w:pPr>
                  <w:r>
                    <w:rPr>
                      <w:sz w:val="22"/>
                      <w:szCs w:val="22"/>
                    </w:rPr>
                    <w:t>62 444 821</w:t>
                  </w:r>
                </w:p>
              </w:tc>
              <w:tc>
                <w:tcPr>
                  <w:tcW w:w="1276" w:type="dxa"/>
                  <w:shd w:val="clear" w:color="auto" w:fill="auto"/>
                  <w:vAlign w:val="center"/>
                  <w:hideMark/>
                </w:tcPr>
                <w:p w14:paraId="1CAFD73E" w14:textId="77777777" w:rsidR="00A32A67" w:rsidRPr="002945AA" w:rsidRDefault="00A32A67" w:rsidP="00A32A67">
                  <w:pPr>
                    <w:ind w:right="140"/>
                    <w:jc w:val="center"/>
                    <w:rPr>
                      <w:sz w:val="22"/>
                      <w:szCs w:val="22"/>
                    </w:rPr>
                  </w:pPr>
                  <w:r>
                    <w:rPr>
                      <w:sz w:val="22"/>
                      <w:szCs w:val="22"/>
                    </w:rPr>
                    <w:t>61 109 194</w:t>
                  </w:r>
                </w:p>
              </w:tc>
            </w:tr>
            <w:tr w:rsidR="00A32A67" w:rsidRPr="003B4F98" w14:paraId="188A5F2F" w14:textId="77777777" w:rsidTr="00CE23D1">
              <w:trPr>
                <w:cantSplit/>
              </w:trPr>
              <w:tc>
                <w:tcPr>
                  <w:tcW w:w="2448" w:type="dxa"/>
                  <w:shd w:val="clear" w:color="auto" w:fill="auto"/>
                  <w:hideMark/>
                </w:tcPr>
                <w:p w14:paraId="77213FD1" w14:textId="77777777" w:rsidR="00A32A67" w:rsidRPr="003B4F98" w:rsidRDefault="00A32A67" w:rsidP="00A32A67">
                  <w:pPr>
                    <w:ind w:right="140"/>
                  </w:pPr>
                  <w:r w:rsidRPr="003B4F98">
                    <w:t>1.1. valsts pamatbudžets, tai skaitā ieņēmumi no maksas pakalpojumiem un citi pašu ieņēmumi</w:t>
                  </w:r>
                </w:p>
              </w:tc>
              <w:tc>
                <w:tcPr>
                  <w:tcW w:w="992" w:type="dxa"/>
                  <w:shd w:val="clear" w:color="auto" w:fill="auto"/>
                  <w:vAlign w:val="center"/>
                  <w:hideMark/>
                </w:tcPr>
                <w:p w14:paraId="519A1A14" w14:textId="77777777" w:rsidR="00A32A67" w:rsidRPr="002945AA" w:rsidRDefault="00A32A67" w:rsidP="00A32A67">
                  <w:pPr>
                    <w:ind w:right="140"/>
                    <w:jc w:val="center"/>
                    <w:rPr>
                      <w:sz w:val="22"/>
                      <w:szCs w:val="22"/>
                    </w:rPr>
                  </w:pPr>
                  <w:r w:rsidRPr="002945AA">
                    <w:rPr>
                      <w:sz w:val="22"/>
                      <w:szCs w:val="22"/>
                    </w:rPr>
                    <w:t>0</w:t>
                  </w:r>
                </w:p>
              </w:tc>
              <w:tc>
                <w:tcPr>
                  <w:tcW w:w="1276" w:type="dxa"/>
                  <w:shd w:val="clear" w:color="auto" w:fill="auto"/>
                  <w:vAlign w:val="center"/>
                  <w:hideMark/>
                </w:tcPr>
                <w:p w14:paraId="1FE75380" w14:textId="77777777" w:rsidR="00A32A67" w:rsidRPr="002945AA" w:rsidRDefault="00A32A67" w:rsidP="00A32A67">
                  <w:pPr>
                    <w:ind w:right="140"/>
                    <w:jc w:val="center"/>
                    <w:rPr>
                      <w:sz w:val="22"/>
                      <w:szCs w:val="22"/>
                    </w:rPr>
                  </w:pPr>
                  <w:r w:rsidRPr="002945AA">
                    <w:rPr>
                      <w:sz w:val="22"/>
                      <w:szCs w:val="22"/>
                    </w:rPr>
                    <w:t>3 400 000</w:t>
                  </w:r>
                </w:p>
              </w:tc>
              <w:tc>
                <w:tcPr>
                  <w:tcW w:w="851" w:type="dxa"/>
                  <w:shd w:val="clear" w:color="auto" w:fill="auto"/>
                  <w:vAlign w:val="center"/>
                  <w:hideMark/>
                </w:tcPr>
                <w:p w14:paraId="087B0E00" w14:textId="77777777" w:rsidR="00A32A67" w:rsidRPr="002945AA" w:rsidRDefault="00A32A67" w:rsidP="00A32A67">
                  <w:pPr>
                    <w:ind w:right="140"/>
                    <w:jc w:val="center"/>
                    <w:rPr>
                      <w:sz w:val="22"/>
                      <w:szCs w:val="22"/>
                    </w:rPr>
                  </w:pPr>
                  <w:r w:rsidRPr="002945AA">
                    <w:rPr>
                      <w:sz w:val="22"/>
                      <w:szCs w:val="22"/>
                    </w:rPr>
                    <w:t>0</w:t>
                  </w:r>
                </w:p>
              </w:tc>
              <w:tc>
                <w:tcPr>
                  <w:tcW w:w="1275" w:type="dxa"/>
                  <w:shd w:val="clear" w:color="auto" w:fill="auto"/>
                  <w:vAlign w:val="center"/>
                  <w:hideMark/>
                </w:tcPr>
                <w:p w14:paraId="73D4C7D3" w14:textId="77777777" w:rsidR="00A32A67" w:rsidRPr="002945AA" w:rsidRDefault="00A32A67" w:rsidP="00A32A67">
                  <w:pPr>
                    <w:ind w:right="140"/>
                    <w:jc w:val="center"/>
                    <w:rPr>
                      <w:sz w:val="22"/>
                      <w:szCs w:val="22"/>
                    </w:rPr>
                  </w:pPr>
                  <w:r>
                    <w:rPr>
                      <w:sz w:val="22"/>
                      <w:szCs w:val="22"/>
                    </w:rPr>
                    <w:t>31 353 333</w:t>
                  </w:r>
                </w:p>
              </w:tc>
              <w:tc>
                <w:tcPr>
                  <w:tcW w:w="993" w:type="dxa"/>
                  <w:shd w:val="clear" w:color="auto" w:fill="auto"/>
                  <w:vAlign w:val="center"/>
                  <w:hideMark/>
                </w:tcPr>
                <w:p w14:paraId="4502E1D6" w14:textId="77777777" w:rsidR="00A32A67" w:rsidRPr="002945AA" w:rsidRDefault="00A32A67" w:rsidP="00A32A67">
                  <w:pPr>
                    <w:ind w:right="140"/>
                    <w:jc w:val="center"/>
                    <w:rPr>
                      <w:sz w:val="22"/>
                      <w:szCs w:val="22"/>
                    </w:rPr>
                  </w:pPr>
                  <w:r w:rsidRPr="002945AA">
                    <w:rPr>
                      <w:sz w:val="22"/>
                      <w:szCs w:val="22"/>
                    </w:rPr>
                    <w:t>0</w:t>
                  </w:r>
                </w:p>
              </w:tc>
              <w:tc>
                <w:tcPr>
                  <w:tcW w:w="1275" w:type="dxa"/>
                  <w:shd w:val="clear" w:color="auto" w:fill="auto"/>
                  <w:vAlign w:val="center"/>
                  <w:hideMark/>
                </w:tcPr>
                <w:p w14:paraId="1A9EB612" w14:textId="77777777" w:rsidR="00A32A67" w:rsidRPr="002945AA" w:rsidRDefault="00A32A67" w:rsidP="00A32A67">
                  <w:pPr>
                    <w:ind w:right="140"/>
                    <w:jc w:val="center"/>
                    <w:rPr>
                      <w:sz w:val="22"/>
                      <w:szCs w:val="22"/>
                    </w:rPr>
                  </w:pPr>
                  <w:r>
                    <w:rPr>
                      <w:sz w:val="22"/>
                      <w:szCs w:val="22"/>
                    </w:rPr>
                    <w:t>62 444 821</w:t>
                  </w:r>
                </w:p>
              </w:tc>
              <w:tc>
                <w:tcPr>
                  <w:tcW w:w="1276" w:type="dxa"/>
                  <w:shd w:val="clear" w:color="auto" w:fill="auto"/>
                  <w:vAlign w:val="center"/>
                </w:tcPr>
                <w:p w14:paraId="55BB9685" w14:textId="77777777" w:rsidR="00A32A67" w:rsidRPr="002945AA" w:rsidRDefault="00A32A67" w:rsidP="00A32A67">
                  <w:pPr>
                    <w:ind w:right="140"/>
                    <w:jc w:val="center"/>
                    <w:rPr>
                      <w:sz w:val="22"/>
                      <w:szCs w:val="22"/>
                    </w:rPr>
                  </w:pPr>
                  <w:r>
                    <w:rPr>
                      <w:sz w:val="22"/>
                      <w:szCs w:val="22"/>
                    </w:rPr>
                    <w:t>61 109 194</w:t>
                  </w:r>
                </w:p>
              </w:tc>
            </w:tr>
            <w:tr w:rsidR="00451E4A" w:rsidRPr="003B4F98" w14:paraId="040D870A" w14:textId="77777777" w:rsidTr="00CE23D1">
              <w:trPr>
                <w:cantSplit/>
              </w:trPr>
              <w:tc>
                <w:tcPr>
                  <w:tcW w:w="2448" w:type="dxa"/>
                  <w:shd w:val="clear" w:color="auto" w:fill="auto"/>
                  <w:hideMark/>
                </w:tcPr>
                <w:p w14:paraId="0F725303" w14:textId="77777777" w:rsidR="004523C3" w:rsidRPr="003B4F98" w:rsidRDefault="004523C3" w:rsidP="004523C3">
                  <w:pPr>
                    <w:ind w:right="140"/>
                  </w:pPr>
                  <w:r w:rsidRPr="003B4F98">
                    <w:t>1.2. valsts speciālais budžets</w:t>
                  </w:r>
                </w:p>
              </w:tc>
              <w:tc>
                <w:tcPr>
                  <w:tcW w:w="992" w:type="dxa"/>
                  <w:shd w:val="clear" w:color="auto" w:fill="auto"/>
                  <w:vAlign w:val="center"/>
                  <w:hideMark/>
                </w:tcPr>
                <w:p w14:paraId="2FE751C3"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58387E1B"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0A4AAA9A"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6D7F92C9"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522F15BD"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7361E313"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tcPr>
                <w:p w14:paraId="0D5153EE" w14:textId="77777777" w:rsidR="004523C3" w:rsidRPr="002945AA" w:rsidRDefault="004523C3" w:rsidP="004523C3">
                  <w:pPr>
                    <w:ind w:right="140"/>
                    <w:jc w:val="center"/>
                    <w:rPr>
                      <w:sz w:val="22"/>
                      <w:szCs w:val="22"/>
                    </w:rPr>
                  </w:pPr>
                </w:p>
              </w:tc>
            </w:tr>
            <w:tr w:rsidR="00451E4A" w:rsidRPr="003B4F98" w14:paraId="76011B3F" w14:textId="77777777" w:rsidTr="00CE23D1">
              <w:trPr>
                <w:cantSplit/>
              </w:trPr>
              <w:tc>
                <w:tcPr>
                  <w:tcW w:w="2448" w:type="dxa"/>
                  <w:shd w:val="clear" w:color="auto" w:fill="auto"/>
                  <w:hideMark/>
                </w:tcPr>
                <w:p w14:paraId="1602393E" w14:textId="77777777" w:rsidR="004523C3" w:rsidRPr="003B4F98" w:rsidRDefault="004523C3" w:rsidP="004523C3">
                  <w:pPr>
                    <w:ind w:right="140"/>
                  </w:pPr>
                  <w:r w:rsidRPr="003B4F98">
                    <w:t>1.3. pašvaldību budžets</w:t>
                  </w:r>
                </w:p>
              </w:tc>
              <w:tc>
                <w:tcPr>
                  <w:tcW w:w="992" w:type="dxa"/>
                  <w:shd w:val="clear" w:color="auto" w:fill="auto"/>
                  <w:vAlign w:val="center"/>
                  <w:hideMark/>
                </w:tcPr>
                <w:p w14:paraId="6E5AB23F"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287519F8"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2F71F4F8"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41CF9893"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541D0802"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78C90EF0"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544F01B3"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47777596" w14:textId="77777777" w:rsidTr="00CE23D1">
              <w:trPr>
                <w:cantSplit/>
              </w:trPr>
              <w:tc>
                <w:tcPr>
                  <w:tcW w:w="2448" w:type="dxa"/>
                  <w:shd w:val="clear" w:color="auto" w:fill="auto"/>
                  <w:hideMark/>
                </w:tcPr>
                <w:p w14:paraId="237F3D52" w14:textId="77777777" w:rsidR="004523C3" w:rsidRPr="003B4F98" w:rsidRDefault="004523C3" w:rsidP="004523C3">
                  <w:pPr>
                    <w:ind w:right="140"/>
                  </w:pPr>
                  <w:r w:rsidRPr="003B4F98">
                    <w:t>2. Budžeta izdevumi</w:t>
                  </w:r>
                </w:p>
              </w:tc>
              <w:tc>
                <w:tcPr>
                  <w:tcW w:w="992" w:type="dxa"/>
                  <w:shd w:val="clear" w:color="auto" w:fill="auto"/>
                  <w:vAlign w:val="center"/>
                </w:tcPr>
                <w:p w14:paraId="636028F6"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7B104BB7" w14:textId="77777777" w:rsidR="004523C3" w:rsidRPr="002945AA" w:rsidRDefault="002945AA" w:rsidP="004523C3">
                  <w:pPr>
                    <w:ind w:right="140"/>
                    <w:jc w:val="center"/>
                    <w:rPr>
                      <w:sz w:val="22"/>
                      <w:szCs w:val="22"/>
                    </w:rPr>
                  </w:pPr>
                  <w:r w:rsidRPr="002945AA">
                    <w:rPr>
                      <w:sz w:val="22"/>
                      <w:szCs w:val="22"/>
                    </w:rPr>
                    <w:t>5 000 000</w:t>
                  </w:r>
                </w:p>
              </w:tc>
              <w:tc>
                <w:tcPr>
                  <w:tcW w:w="851" w:type="dxa"/>
                  <w:shd w:val="clear" w:color="auto" w:fill="auto"/>
                  <w:vAlign w:val="center"/>
                </w:tcPr>
                <w:p w14:paraId="3B35B054"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15BA624E" w14:textId="77777777" w:rsidR="004523C3" w:rsidRPr="002945AA" w:rsidRDefault="002945AA" w:rsidP="004523C3">
                  <w:pPr>
                    <w:ind w:right="140"/>
                    <w:jc w:val="center"/>
                    <w:rPr>
                      <w:sz w:val="22"/>
                      <w:szCs w:val="22"/>
                    </w:rPr>
                  </w:pPr>
                  <w:r>
                    <w:rPr>
                      <w:sz w:val="22"/>
                      <w:szCs w:val="22"/>
                    </w:rPr>
                    <w:t>44 366 666</w:t>
                  </w:r>
                </w:p>
              </w:tc>
              <w:tc>
                <w:tcPr>
                  <w:tcW w:w="993" w:type="dxa"/>
                  <w:shd w:val="clear" w:color="auto" w:fill="auto"/>
                  <w:vAlign w:val="center"/>
                  <w:hideMark/>
                </w:tcPr>
                <w:p w14:paraId="2A5A115F"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5C59247B" w14:textId="77777777" w:rsidR="004523C3" w:rsidRPr="002945AA" w:rsidRDefault="002945AA" w:rsidP="004523C3">
                  <w:pPr>
                    <w:ind w:right="140"/>
                    <w:jc w:val="center"/>
                    <w:rPr>
                      <w:sz w:val="22"/>
                      <w:szCs w:val="22"/>
                    </w:rPr>
                  </w:pPr>
                  <w:r>
                    <w:rPr>
                      <w:sz w:val="22"/>
                      <w:szCs w:val="22"/>
                    </w:rPr>
                    <w:t>87 456 660</w:t>
                  </w:r>
                </w:p>
              </w:tc>
              <w:tc>
                <w:tcPr>
                  <w:tcW w:w="1276" w:type="dxa"/>
                  <w:shd w:val="clear" w:color="auto" w:fill="auto"/>
                  <w:vAlign w:val="center"/>
                  <w:hideMark/>
                </w:tcPr>
                <w:p w14:paraId="62D95AA6" w14:textId="77777777" w:rsidR="004523C3" w:rsidRPr="002945AA" w:rsidRDefault="00451E4A" w:rsidP="004523C3">
                  <w:pPr>
                    <w:ind w:right="140"/>
                    <w:jc w:val="center"/>
                    <w:rPr>
                      <w:sz w:val="22"/>
                      <w:szCs w:val="22"/>
                    </w:rPr>
                  </w:pPr>
                  <w:r>
                    <w:rPr>
                      <w:sz w:val="22"/>
                      <w:szCs w:val="22"/>
                    </w:rPr>
                    <w:t>85 492 504</w:t>
                  </w:r>
                </w:p>
              </w:tc>
            </w:tr>
            <w:tr w:rsidR="00451E4A" w:rsidRPr="003B4F98" w14:paraId="202F7E64" w14:textId="77777777" w:rsidTr="00CE23D1">
              <w:trPr>
                <w:cantSplit/>
              </w:trPr>
              <w:tc>
                <w:tcPr>
                  <w:tcW w:w="2448" w:type="dxa"/>
                  <w:shd w:val="clear" w:color="auto" w:fill="auto"/>
                  <w:hideMark/>
                </w:tcPr>
                <w:p w14:paraId="4CE6C8D1" w14:textId="77777777" w:rsidR="004523C3" w:rsidRPr="003B4F98" w:rsidRDefault="004523C3" w:rsidP="004523C3">
                  <w:pPr>
                    <w:ind w:right="140"/>
                  </w:pPr>
                  <w:r w:rsidRPr="003B4F98">
                    <w:t>2.1. valsts pamatbudžets</w:t>
                  </w:r>
                </w:p>
              </w:tc>
              <w:tc>
                <w:tcPr>
                  <w:tcW w:w="992" w:type="dxa"/>
                  <w:shd w:val="clear" w:color="auto" w:fill="auto"/>
                  <w:vAlign w:val="center"/>
                </w:tcPr>
                <w:p w14:paraId="4CB2E526"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060DB9E0" w14:textId="77777777" w:rsidR="004523C3" w:rsidRPr="002945AA" w:rsidRDefault="002945AA" w:rsidP="004523C3">
                  <w:pPr>
                    <w:ind w:right="140"/>
                    <w:jc w:val="center"/>
                    <w:rPr>
                      <w:sz w:val="22"/>
                      <w:szCs w:val="22"/>
                    </w:rPr>
                  </w:pPr>
                  <w:r w:rsidRPr="002945AA">
                    <w:rPr>
                      <w:sz w:val="22"/>
                      <w:szCs w:val="22"/>
                    </w:rPr>
                    <w:t>5 000 000</w:t>
                  </w:r>
                </w:p>
              </w:tc>
              <w:tc>
                <w:tcPr>
                  <w:tcW w:w="851" w:type="dxa"/>
                  <w:shd w:val="clear" w:color="auto" w:fill="auto"/>
                  <w:vAlign w:val="center"/>
                </w:tcPr>
                <w:p w14:paraId="57A07C66"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42D12D78" w14:textId="77777777" w:rsidR="004523C3" w:rsidRPr="002945AA" w:rsidRDefault="002945AA" w:rsidP="004523C3">
                  <w:pPr>
                    <w:ind w:right="140"/>
                    <w:jc w:val="center"/>
                    <w:rPr>
                      <w:sz w:val="22"/>
                      <w:szCs w:val="22"/>
                    </w:rPr>
                  </w:pPr>
                  <w:r>
                    <w:rPr>
                      <w:sz w:val="22"/>
                      <w:szCs w:val="22"/>
                    </w:rPr>
                    <w:t>44 366 666</w:t>
                  </w:r>
                </w:p>
              </w:tc>
              <w:tc>
                <w:tcPr>
                  <w:tcW w:w="993" w:type="dxa"/>
                  <w:shd w:val="clear" w:color="auto" w:fill="auto"/>
                  <w:vAlign w:val="center"/>
                  <w:hideMark/>
                </w:tcPr>
                <w:p w14:paraId="6DCA3B51"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025293C2" w14:textId="77777777" w:rsidR="004523C3" w:rsidRPr="002945AA" w:rsidRDefault="00451E4A" w:rsidP="004523C3">
                  <w:pPr>
                    <w:ind w:right="140"/>
                    <w:jc w:val="center"/>
                    <w:rPr>
                      <w:sz w:val="22"/>
                      <w:szCs w:val="22"/>
                    </w:rPr>
                  </w:pPr>
                  <w:r>
                    <w:rPr>
                      <w:sz w:val="22"/>
                      <w:szCs w:val="22"/>
                    </w:rPr>
                    <w:t>87 456 660</w:t>
                  </w:r>
                </w:p>
              </w:tc>
              <w:tc>
                <w:tcPr>
                  <w:tcW w:w="1276" w:type="dxa"/>
                  <w:shd w:val="clear" w:color="auto" w:fill="auto"/>
                  <w:vAlign w:val="center"/>
                  <w:hideMark/>
                </w:tcPr>
                <w:p w14:paraId="34FB1A5F" w14:textId="77777777" w:rsidR="004523C3" w:rsidRPr="002945AA" w:rsidRDefault="00451E4A" w:rsidP="004523C3">
                  <w:pPr>
                    <w:ind w:right="140"/>
                    <w:jc w:val="center"/>
                    <w:rPr>
                      <w:sz w:val="22"/>
                      <w:szCs w:val="22"/>
                    </w:rPr>
                  </w:pPr>
                  <w:r>
                    <w:rPr>
                      <w:sz w:val="22"/>
                      <w:szCs w:val="22"/>
                    </w:rPr>
                    <w:t>85 492 504</w:t>
                  </w:r>
                </w:p>
              </w:tc>
            </w:tr>
            <w:tr w:rsidR="00451E4A" w:rsidRPr="003B4F98" w14:paraId="4C241B37" w14:textId="77777777" w:rsidTr="00CE23D1">
              <w:trPr>
                <w:cantSplit/>
              </w:trPr>
              <w:tc>
                <w:tcPr>
                  <w:tcW w:w="2448" w:type="dxa"/>
                  <w:shd w:val="clear" w:color="auto" w:fill="auto"/>
                  <w:hideMark/>
                </w:tcPr>
                <w:p w14:paraId="59107E92" w14:textId="77777777" w:rsidR="004523C3" w:rsidRPr="003B4F98" w:rsidRDefault="004523C3" w:rsidP="004523C3">
                  <w:pPr>
                    <w:ind w:right="140"/>
                  </w:pPr>
                  <w:r w:rsidRPr="003B4F98">
                    <w:t>2.2. valsts speciālais budžets</w:t>
                  </w:r>
                </w:p>
              </w:tc>
              <w:tc>
                <w:tcPr>
                  <w:tcW w:w="992" w:type="dxa"/>
                  <w:shd w:val="clear" w:color="auto" w:fill="auto"/>
                  <w:vAlign w:val="center"/>
                  <w:hideMark/>
                </w:tcPr>
                <w:p w14:paraId="68D48260"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3B9A86D3"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32332059"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6E6CCC0C"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5EDCE0C5"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5AA7BB82"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6FD1512D"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52A5F68D" w14:textId="77777777" w:rsidTr="00CE23D1">
              <w:trPr>
                <w:cantSplit/>
              </w:trPr>
              <w:tc>
                <w:tcPr>
                  <w:tcW w:w="2448" w:type="dxa"/>
                  <w:shd w:val="clear" w:color="auto" w:fill="auto"/>
                  <w:hideMark/>
                </w:tcPr>
                <w:p w14:paraId="2034EE2A" w14:textId="77777777" w:rsidR="004523C3" w:rsidRPr="003B4F98" w:rsidRDefault="004523C3" w:rsidP="004523C3">
                  <w:pPr>
                    <w:ind w:right="140"/>
                  </w:pPr>
                  <w:r w:rsidRPr="003B4F98">
                    <w:t>2.3. pašvaldību budžets</w:t>
                  </w:r>
                </w:p>
              </w:tc>
              <w:tc>
                <w:tcPr>
                  <w:tcW w:w="992" w:type="dxa"/>
                  <w:shd w:val="clear" w:color="auto" w:fill="auto"/>
                  <w:vAlign w:val="center"/>
                  <w:hideMark/>
                </w:tcPr>
                <w:p w14:paraId="29A18B4A"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35695B0B"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25D68193"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3135B04E"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73B97A3F"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2D93C1E4"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18821D2D"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3AAE4FF7" w14:textId="77777777" w:rsidTr="00CE23D1">
              <w:trPr>
                <w:cantSplit/>
              </w:trPr>
              <w:tc>
                <w:tcPr>
                  <w:tcW w:w="2448" w:type="dxa"/>
                  <w:shd w:val="clear" w:color="auto" w:fill="auto"/>
                  <w:hideMark/>
                </w:tcPr>
                <w:p w14:paraId="43F069B2" w14:textId="77777777" w:rsidR="004523C3" w:rsidRPr="003B4F98" w:rsidRDefault="004523C3" w:rsidP="004523C3">
                  <w:pPr>
                    <w:ind w:right="140"/>
                  </w:pPr>
                  <w:r w:rsidRPr="003B4F98">
                    <w:t>3. Finansiālā ietekme</w:t>
                  </w:r>
                </w:p>
              </w:tc>
              <w:tc>
                <w:tcPr>
                  <w:tcW w:w="992" w:type="dxa"/>
                  <w:shd w:val="clear" w:color="auto" w:fill="auto"/>
                  <w:vAlign w:val="center"/>
                  <w:hideMark/>
                </w:tcPr>
                <w:p w14:paraId="7913AFC5"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tcPr>
                <w:p w14:paraId="034B1E2B" w14:textId="77777777" w:rsidR="004523C3" w:rsidRPr="002945AA" w:rsidRDefault="002945AA" w:rsidP="004523C3">
                  <w:pPr>
                    <w:ind w:right="140"/>
                    <w:jc w:val="center"/>
                    <w:rPr>
                      <w:sz w:val="22"/>
                      <w:szCs w:val="22"/>
                    </w:rPr>
                  </w:pPr>
                  <w:r w:rsidRPr="002945AA">
                    <w:rPr>
                      <w:sz w:val="22"/>
                      <w:szCs w:val="22"/>
                    </w:rPr>
                    <w:t>-1 600 000</w:t>
                  </w:r>
                </w:p>
              </w:tc>
              <w:tc>
                <w:tcPr>
                  <w:tcW w:w="851" w:type="dxa"/>
                  <w:shd w:val="clear" w:color="auto" w:fill="auto"/>
                  <w:vAlign w:val="center"/>
                  <w:hideMark/>
                </w:tcPr>
                <w:p w14:paraId="73D10600"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34E0188D" w14:textId="77777777" w:rsidR="004523C3" w:rsidRPr="002945AA" w:rsidRDefault="002945AA" w:rsidP="004523C3">
                  <w:pPr>
                    <w:ind w:right="140"/>
                    <w:jc w:val="center"/>
                    <w:rPr>
                      <w:sz w:val="22"/>
                      <w:szCs w:val="22"/>
                    </w:rPr>
                  </w:pPr>
                  <w:r>
                    <w:rPr>
                      <w:sz w:val="22"/>
                      <w:szCs w:val="22"/>
                    </w:rPr>
                    <w:t>-13 013 333</w:t>
                  </w:r>
                </w:p>
              </w:tc>
              <w:tc>
                <w:tcPr>
                  <w:tcW w:w="993" w:type="dxa"/>
                  <w:shd w:val="clear" w:color="auto" w:fill="auto"/>
                  <w:vAlign w:val="center"/>
                  <w:hideMark/>
                </w:tcPr>
                <w:p w14:paraId="141AAF05"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5EB90577" w14:textId="77777777" w:rsidR="004523C3" w:rsidRPr="002945AA" w:rsidRDefault="00451E4A" w:rsidP="004523C3">
                  <w:pPr>
                    <w:ind w:right="140"/>
                    <w:jc w:val="center"/>
                    <w:rPr>
                      <w:sz w:val="22"/>
                      <w:szCs w:val="22"/>
                    </w:rPr>
                  </w:pPr>
                  <w:r>
                    <w:rPr>
                      <w:sz w:val="22"/>
                      <w:szCs w:val="22"/>
                    </w:rPr>
                    <w:t>-25 011 839</w:t>
                  </w:r>
                </w:p>
              </w:tc>
              <w:tc>
                <w:tcPr>
                  <w:tcW w:w="1276" w:type="dxa"/>
                  <w:shd w:val="clear" w:color="auto" w:fill="auto"/>
                  <w:vAlign w:val="center"/>
                  <w:hideMark/>
                </w:tcPr>
                <w:p w14:paraId="7B139E56" w14:textId="77777777" w:rsidR="004523C3" w:rsidRPr="002945AA" w:rsidRDefault="00451E4A" w:rsidP="004523C3">
                  <w:pPr>
                    <w:ind w:right="140"/>
                    <w:jc w:val="center"/>
                    <w:rPr>
                      <w:sz w:val="22"/>
                      <w:szCs w:val="22"/>
                    </w:rPr>
                  </w:pPr>
                  <w:r>
                    <w:rPr>
                      <w:sz w:val="22"/>
                      <w:szCs w:val="22"/>
                    </w:rPr>
                    <w:t>-24 383 310</w:t>
                  </w:r>
                </w:p>
              </w:tc>
            </w:tr>
            <w:tr w:rsidR="00451E4A" w:rsidRPr="003B4F98" w14:paraId="0AE9B15C" w14:textId="77777777" w:rsidTr="00CE23D1">
              <w:trPr>
                <w:cantSplit/>
              </w:trPr>
              <w:tc>
                <w:tcPr>
                  <w:tcW w:w="2448" w:type="dxa"/>
                  <w:shd w:val="clear" w:color="auto" w:fill="auto"/>
                  <w:hideMark/>
                </w:tcPr>
                <w:p w14:paraId="4C3E80FC" w14:textId="77777777" w:rsidR="004523C3" w:rsidRPr="003B4F98" w:rsidRDefault="004523C3" w:rsidP="004523C3">
                  <w:pPr>
                    <w:ind w:right="140"/>
                  </w:pPr>
                  <w:r w:rsidRPr="003B4F98">
                    <w:lastRenderedPageBreak/>
                    <w:t>3.1. valsts pamatbudžets</w:t>
                  </w:r>
                </w:p>
              </w:tc>
              <w:tc>
                <w:tcPr>
                  <w:tcW w:w="992" w:type="dxa"/>
                  <w:shd w:val="clear" w:color="auto" w:fill="auto"/>
                  <w:vAlign w:val="center"/>
                  <w:hideMark/>
                </w:tcPr>
                <w:p w14:paraId="14E71D9D"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tcPr>
                <w:p w14:paraId="0167D041" w14:textId="77777777" w:rsidR="004523C3" w:rsidRPr="002945AA" w:rsidRDefault="002945AA" w:rsidP="004523C3">
                  <w:pPr>
                    <w:ind w:right="140"/>
                    <w:jc w:val="center"/>
                    <w:rPr>
                      <w:sz w:val="22"/>
                      <w:szCs w:val="22"/>
                    </w:rPr>
                  </w:pPr>
                  <w:r w:rsidRPr="002945AA">
                    <w:rPr>
                      <w:sz w:val="22"/>
                      <w:szCs w:val="22"/>
                    </w:rPr>
                    <w:t>-1 600 000</w:t>
                  </w:r>
                </w:p>
              </w:tc>
              <w:tc>
                <w:tcPr>
                  <w:tcW w:w="851" w:type="dxa"/>
                  <w:shd w:val="clear" w:color="auto" w:fill="auto"/>
                  <w:vAlign w:val="center"/>
                  <w:hideMark/>
                </w:tcPr>
                <w:p w14:paraId="06ACF448"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tcPr>
                <w:p w14:paraId="34241725" w14:textId="77777777" w:rsidR="004523C3" w:rsidRPr="002945AA" w:rsidRDefault="002945AA" w:rsidP="004523C3">
                  <w:pPr>
                    <w:ind w:right="140"/>
                    <w:jc w:val="center"/>
                    <w:rPr>
                      <w:sz w:val="22"/>
                      <w:szCs w:val="22"/>
                    </w:rPr>
                  </w:pPr>
                  <w:r>
                    <w:rPr>
                      <w:sz w:val="22"/>
                      <w:szCs w:val="22"/>
                    </w:rPr>
                    <w:t>-13 013 333</w:t>
                  </w:r>
                </w:p>
              </w:tc>
              <w:tc>
                <w:tcPr>
                  <w:tcW w:w="993" w:type="dxa"/>
                  <w:shd w:val="clear" w:color="auto" w:fill="auto"/>
                  <w:vAlign w:val="center"/>
                  <w:hideMark/>
                </w:tcPr>
                <w:p w14:paraId="6798B321"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681CE286" w14:textId="77777777" w:rsidR="004523C3" w:rsidRPr="002945AA" w:rsidRDefault="00451E4A" w:rsidP="004523C3">
                  <w:pPr>
                    <w:ind w:right="140"/>
                    <w:jc w:val="center"/>
                    <w:rPr>
                      <w:sz w:val="22"/>
                      <w:szCs w:val="22"/>
                    </w:rPr>
                  </w:pPr>
                  <w:r>
                    <w:rPr>
                      <w:sz w:val="22"/>
                      <w:szCs w:val="22"/>
                    </w:rPr>
                    <w:t>-25 011 839</w:t>
                  </w:r>
                </w:p>
              </w:tc>
              <w:tc>
                <w:tcPr>
                  <w:tcW w:w="1276" w:type="dxa"/>
                  <w:shd w:val="clear" w:color="auto" w:fill="auto"/>
                  <w:vAlign w:val="center"/>
                  <w:hideMark/>
                </w:tcPr>
                <w:p w14:paraId="372B15A2" w14:textId="77777777" w:rsidR="004523C3" w:rsidRPr="002945AA" w:rsidRDefault="00451E4A" w:rsidP="004523C3">
                  <w:pPr>
                    <w:ind w:right="140"/>
                    <w:jc w:val="center"/>
                    <w:rPr>
                      <w:sz w:val="22"/>
                      <w:szCs w:val="22"/>
                    </w:rPr>
                  </w:pPr>
                  <w:r>
                    <w:rPr>
                      <w:sz w:val="22"/>
                      <w:szCs w:val="22"/>
                    </w:rPr>
                    <w:t>-24 383 310</w:t>
                  </w:r>
                </w:p>
              </w:tc>
            </w:tr>
            <w:tr w:rsidR="00451E4A" w:rsidRPr="003B4F98" w14:paraId="4471E076" w14:textId="77777777" w:rsidTr="00CE23D1">
              <w:trPr>
                <w:cantSplit/>
              </w:trPr>
              <w:tc>
                <w:tcPr>
                  <w:tcW w:w="2448" w:type="dxa"/>
                  <w:shd w:val="clear" w:color="auto" w:fill="auto"/>
                  <w:hideMark/>
                </w:tcPr>
                <w:p w14:paraId="4245D12A" w14:textId="77777777" w:rsidR="004523C3" w:rsidRPr="003B4F98" w:rsidRDefault="004523C3" w:rsidP="004523C3">
                  <w:pPr>
                    <w:ind w:right="140"/>
                  </w:pPr>
                  <w:r w:rsidRPr="003B4F98">
                    <w:t>3.2. speciālais budžets</w:t>
                  </w:r>
                </w:p>
              </w:tc>
              <w:tc>
                <w:tcPr>
                  <w:tcW w:w="992" w:type="dxa"/>
                  <w:shd w:val="clear" w:color="auto" w:fill="auto"/>
                  <w:vAlign w:val="center"/>
                  <w:hideMark/>
                </w:tcPr>
                <w:p w14:paraId="0B7621AF"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4DF6FFDB"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17C240C3"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123B4844"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075020DD"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28096EB1"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0CE83CD1"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19AD8A6F" w14:textId="77777777" w:rsidTr="00CE23D1">
              <w:trPr>
                <w:cantSplit/>
              </w:trPr>
              <w:tc>
                <w:tcPr>
                  <w:tcW w:w="2448" w:type="dxa"/>
                  <w:shd w:val="clear" w:color="auto" w:fill="auto"/>
                  <w:hideMark/>
                </w:tcPr>
                <w:p w14:paraId="5FBCF418" w14:textId="77777777" w:rsidR="004523C3" w:rsidRPr="003B4F98" w:rsidRDefault="004523C3" w:rsidP="004523C3">
                  <w:pPr>
                    <w:ind w:right="140"/>
                  </w:pPr>
                  <w:r w:rsidRPr="003B4F98">
                    <w:t>3.3. pašvaldību budžets</w:t>
                  </w:r>
                </w:p>
              </w:tc>
              <w:tc>
                <w:tcPr>
                  <w:tcW w:w="992" w:type="dxa"/>
                  <w:shd w:val="clear" w:color="auto" w:fill="auto"/>
                  <w:vAlign w:val="center"/>
                  <w:hideMark/>
                </w:tcPr>
                <w:p w14:paraId="6EED25C4"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1ACEC35F"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0929CE09"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23D1DD6D"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4528743E"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3C00399A"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6FAEA2EE"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14878C4B" w14:textId="77777777" w:rsidTr="00CE23D1">
              <w:trPr>
                <w:cantSplit/>
              </w:trPr>
              <w:tc>
                <w:tcPr>
                  <w:tcW w:w="2448" w:type="dxa"/>
                  <w:shd w:val="clear" w:color="auto" w:fill="auto"/>
                  <w:hideMark/>
                </w:tcPr>
                <w:p w14:paraId="31A49579" w14:textId="77777777" w:rsidR="004523C3" w:rsidRPr="003B4F98" w:rsidRDefault="004523C3" w:rsidP="004523C3">
                  <w:pPr>
                    <w:ind w:right="140"/>
                  </w:pPr>
                  <w:r w:rsidRPr="003B4F98">
                    <w:t>4. Finanšu līdzekļi papildu izdevumu finansēšanai (kompensējošu izdevumu samazinājumu norāda ar "+" zīmi)</w:t>
                  </w:r>
                </w:p>
              </w:tc>
              <w:tc>
                <w:tcPr>
                  <w:tcW w:w="992" w:type="dxa"/>
                  <w:shd w:val="clear" w:color="auto" w:fill="auto"/>
                  <w:vAlign w:val="center"/>
                  <w:hideMark/>
                </w:tcPr>
                <w:p w14:paraId="120711EF" w14:textId="77777777" w:rsidR="004523C3" w:rsidRPr="002945AA" w:rsidRDefault="004523C3" w:rsidP="004523C3">
                  <w:pPr>
                    <w:ind w:right="140"/>
                    <w:jc w:val="center"/>
                    <w:rPr>
                      <w:sz w:val="22"/>
                      <w:szCs w:val="22"/>
                    </w:rPr>
                  </w:pPr>
                  <w:r w:rsidRPr="002945AA">
                    <w:rPr>
                      <w:sz w:val="22"/>
                      <w:szCs w:val="22"/>
                    </w:rPr>
                    <w:t>X</w:t>
                  </w:r>
                </w:p>
              </w:tc>
              <w:tc>
                <w:tcPr>
                  <w:tcW w:w="1276" w:type="dxa"/>
                  <w:shd w:val="clear" w:color="auto" w:fill="auto"/>
                  <w:vAlign w:val="center"/>
                  <w:hideMark/>
                </w:tcPr>
                <w:p w14:paraId="3447C289" w14:textId="77777777" w:rsidR="004523C3" w:rsidRPr="002945AA" w:rsidRDefault="004523C3" w:rsidP="004523C3">
                  <w:pPr>
                    <w:ind w:right="140"/>
                    <w:jc w:val="center"/>
                    <w:rPr>
                      <w:sz w:val="22"/>
                      <w:szCs w:val="22"/>
                    </w:rPr>
                  </w:pPr>
                  <w:r w:rsidRPr="002945AA">
                    <w:rPr>
                      <w:sz w:val="22"/>
                      <w:szCs w:val="22"/>
                    </w:rPr>
                    <w:t>0</w:t>
                  </w:r>
                </w:p>
              </w:tc>
              <w:tc>
                <w:tcPr>
                  <w:tcW w:w="851" w:type="dxa"/>
                  <w:shd w:val="clear" w:color="auto" w:fill="auto"/>
                  <w:vAlign w:val="center"/>
                  <w:hideMark/>
                </w:tcPr>
                <w:p w14:paraId="3FFECAE6"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2CBABE2F" w14:textId="77777777" w:rsidR="004523C3" w:rsidRPr="002945AA" w:rsidRDefault="004523C3" w:rsidP="004523C3">
                  <w:pPr>
                    <w:ind w:right="140"/>
                    <w:jc w:val="center"/>
                    <w:rPr>
                      <w:sz w:val="22"/>
                      <w:szCs w:val="22"/>
                    </w:rPr>
                  </w:pPr>
                  <w:r w:rsidRPr="002945AA">
                    <w:rPr>
                      <w:sz w:val="22"/>
                      <w:szCs w:val="22"/>
                    </w:rPr>
                    <w:t>0</w:t>
                  </w:r>
                </w:p>
              </w:tc>
              <w:tc>
                <w:tcPr>
                  <w:tcW w:w="993" w:type="dxa"/>
                  <w:shd w:val="clear" w:color="auto" w:fill="auto"/>
                  <w:vAlign w:val="center"/>
                  <w:hideMark/>
                </w:tcPr>
                <w:p w14:paraId="131EE8BE" w14:textId="77777777" w:rsidR="004523C3" w:rsidRPr="002945AA" w:rsidRDefault="004523C3" w:rsidP="004523C3">
                  <w:pPr>
                    <w:ind w:right="140"/>
                    <w:jc w:val="center"/>
                    <w:rPr>
                      <w:sz w:val="22"/>
                      <w:szCs w:val="22"/>
                    </w:rPr>
                  </w:pPr>
                  <w:r w:rsidRPr="002945AA">
                    <w:rPr>
                      <w:sz w:val="22"/>
                      <w:szCs w:val="22"/>
                    </w:rPr>
                    <w:t>0</w:t>
                  </w:r>
                </w:p>
              </w:tc>
              <w:tc>
                <w:tcPr>
                  <w:tcW w:w="1275" w:type="dxa"/>
                  <w:shd w:val="clear" w:color="auto" w:fill="auto"/>
                  <w:vAlign w:val="center"/>
                  <w:hideMark/>
                </w:tcPr>
                <w:p w14:paraId="23D3886F"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0525C1C6"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26A1283F" w14:textId="77777777" w:rsidTr="00CE23D1">
              <w:trPr>
                <w:cantSplit/>
              </w:trPr>
              <w:tc>
                <w:tcPr>
                  <w:tcW w:w="2448" w:type="dxa"/>
                  <w:shd w:val="clear" w:color="auto" w:fill="auto"/>
                  <w:hideMark/>
                </w:tcPr>
                <w:p w14:paraId="2F1DD80A" w14:textId="77777777" w:rsidR="004523C3" w:rsidRPr="003B4F98" w:rsidRDefault="004523C3" w:rsidP="004523C3">
                  <w:pPr>
                    <w:ind w:right="140"/>
                  </w:pPr>
                  <w:r w:rsidRPr="003B4F98">
                    <w:t>5. Precizēta finansiālā ietekme</w:t>
                  </w:r>
                </w:p>
              </w:tc>
              <w:tc>
                <w:tcPr>
                  <w:tcW w:w="992" w:type="dxa"/>
                  <w:vMerge w:val="restart"/>
                  <w:shd w:val="clear" w:color="auto" w:fill="auto"/>
                  <w:vAlign w:val="center"/>
                  <w:hideMark/>
                </w:tcPr>
                <w:p w14:paraId="26F5B35A" w14:textId="77777777" w:rsidR="004523C3" w:rsidRPr="002945AA" w:rsidRDefault="004523C3" w:rsidP="004523C3">
                  <w:pPr>
                    <w:ind w:right="140"/>
                    <w:jc w:val="center"/>
                    <w:rPr>
                      <w:color w:val="000000"/>
                      <w:sz w:val="22"/>
                      <w:szCs w:val="22"/>
                      <w:highlight w:val="green"/>
                    </w:rPr>
                  </w:pPr>
                  <w:r w:rsidRPr="002945AA">
                    <w:rPr>
                      <w:color w:val="000000"/>
                      <w:sz w:val="22"/>
                      <w:szCs w:val="22"/>
                    </w:rPr>
                    <w:t>X</w:t>
                  </w:r>
                </w:p>
              </w:tc>
              <w:tc>
                <w:tcPr>
                  <w:tcW w:w="1276" w:type="dxa"/>
                  <w:shd w:val="clear" w:color="auto" w:fill="auto"/>
                  <w:vAlign w:val="center"/>
                  <w:hideMark/>
                </w:tcPr>
                <w:p w14:paraId="3AEE549E" w14:textId="77777777" w:rsidR="004523C3" w:rsidRPr="002945AA" w:rsidRDefault="002945AA" w:rsidP="004523C3">
                  <w:pPr>
                    <w:ind w:right="140"/>
                    <w:jc w:val="center"/>
                    <w:rPr>
                      <w:sz w:val="22"/>
                      <w:szCs w:val="22"/>
                    </w:rPr>
                  </w:pPr>
                  <w:r w:rsidRPr="002945AA">
                    <w:rPr>
                      <w:sz w:val="22"/>
                      <w:szCs w:val="22"/>
                    </w:rPr>
                    <w:t>-1 600 000</w:t>
                  </w:r>
                </w:p>
              </w:tc>
              <w:tc>
                <w:tcPr>
                  <w:tcW w:w="851" w:type="dxa"/>
                  <w:vMerge w:val="restart"/>
                  <w:shd w:val="clear" w:color="auto" w:fill="auto"/>
                  <w:vAlign w:val="center"/>
                  <w:hideMark/>
                </w:tcPr>
                <w:p w14:paraId="643111D4"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4985E973" w14:textId="77777777" w:rsidR="004523C3" w:rsidRPr="002945AA" w:rsidRDefault="002945AA" w:rsidP="004523C3">
                  <w:pPr>
                    <w:ind w:right="140"/>
                    <w:jc w:val="center"/>
                    <w:rPr>
                      <w:sz w:val="22"/>
                      <w:szCs w:val="22"/>
                    </w:rPr>
                  </w:pPr>
                  <w:r>
                    <w:rPr>
                      <w:sz w:val="22"/>
                      <w:szCs w:val="22"/>
                    </w:rPr>
                    <w:t>-13 013 333</w:t>
                  </w:r>
                </w:p>
              </w:tc>
              <w:tc>
                <w:tcPr>
                  <w:tcW w:w="993" w:type="dxa"/>
                  <w:vMerge w:val="restart"/>
                  <w:shd w:val="clear" w:color="auto" w:fill="auto"/>
                  <w:vAlign w:val="center"/>
                  <w:hideMark/>
                </w:tcPr>
                <w:p w14:paraId="3159CF26"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5D6CADA2" w14:textId="77777777" w:rsidR="004523C3" w:rsidRPr="002945AA" w:rsidRDefault="00451E4A" w:rsidP="004523C3">
                  <w:pPr>
                    <w:ind w:right="140"/>
                    <w:jc w:val="center"/>
                    <w:rPr>
                      <w:sz w:val="22"/>
                      <w:szCs w:val="22"/>
                    </w:rPr>
                  </w:pPr>
                  <w:r>
                    <w:rPr>
                      <w:sz w:val="22"/>
                      <w:szCs w:val="22"/>
                    </w:rPr>
                    <w:t>-25 011 839</w:t>
                  </w:r>
                </w:p>
              </w:tc>
              <w:tc>
                <w:tcPr>
                  <w:tcW w:w="1276" w:type="dxa"/>
                  <w:shd w:val="clear" w:color="auto" w:fill="auto"/>
                  <w:vAlign w:val="center"/>
                  <w:hideMark/>
                </w:tcPr>
                <w:p w14:paraId="2D4E0EF9" w14:textId="77777777" w:rsidR="004523C3" w:rsidRPr="002945AA" w:rsidRDefault="00451E4A" w:rsidP="004523C3">
                  <w:pPr>
                    <w:ind w:right="140"/>
                    <w:jc w:val="center"/>
                    <w:rPr>
                      <w:sz w:val="22"/>
                      <w:szCs w:val="22"/>
                    </w:rPr>
                  </w:pPr>
                  <w:r>
                    <w:rPr>
                      <w:sz w:val="22"/>
                      <w:szCs w:val="22"/>
                    </w:rPr>
                    <w:t>-24 383 310</w:t>
                  </w:r>
                </w:p>
              </w:tc>
            </w:tr>
            <w:tr w:rsidR="00451E4A" w:rsidRPr="003B4F98" w14:paraId="47F223EB" w14:textId="77777777" w:rsidTr="00CE23D1">
              <w:trPr>
                <w:cantSplit/>
              </w:trPr>
              <w:tc>
                <w:tcPr>
                  <w:tcW w:w="2448" w:type="dxa"/>
                  <w:shd w:val="clear" w:color="auto" w:fill="auto"/>
                  <w:hideMark/>
                </w:tcPr>
                <w:p w14:paraId="0F91BECC" w14:textId="77777777" w:rsidR="004523C3" w:rsidRPr="003B4F98" w:rsidRDefault="004523C3" w:rsidP="004523C3">
                  <w:pPr>
                    <w:ind w:right="140"/>
                  </w:pPr>
                  <w:r w:rsidRPr="003B4F98">
                    <w:t>5.1. valsts pamatbudžets</w:t>
                  </w:r>
                </w:p>
              </w:tc>
              <w:tc>
                <w:tcPr>
                  <w:tcW w:w="992" w:type="dxa"/>
                  <w:vMerge/>
                  <w:shd w:val="clear" w:color="auto" w:fill="auto"/>
                  <w:vAlign w:val="center"/>
                  <w:hideMark/>
                </w:tcPr>
                <w:p w14:paraId="65515DA4" w14:textId="77777777" w:rsidR="004523C3" w:rsidRPr="002945AA" w:rsidRDefault="004523C3" w:rsidP="004523C3">
                  <w:pPr>
                    <w:ind w:right="140"/>
                    <w:jc w:val="center"/>
                    <w:rPr>
                      <w:color w:val="000000"/>
                      <w:sz w:val="22"/>
                      <w:szCs w:val="22"/>
                      <w:highlight w:val="green"/>
                    </w:rPr>
                  </w:pPr>
                </w:p>
              </w:tc>
              <w:tc>
                <w:tcPr>
                  <w:tcW w:w="1276" w:type="dxa"/>
                  <w:shd w:val="clear" w:color="auto" w:fill="auto"/>
                  <w:vAlign w:val="center"/>
                  <w:hideMark/>
                </w:tcPr>
                <w:p w14:paraId="7D824BFE" w14:textId="77777777" w:rsidR="004523C3" w:rsidRPr="002945AA" w:rsidRDefault="002945AA" w:rsidP="004523C3">
                  <w:pPr>
                    <w:ind w:right="140"/>
                    <w:jc w:val="center"/>
                    <w:rPr>
                      <w:sz w:val="22"/>
                      <w:szCs w:val="22"/>
                    </w:rPr>
                  </w:pPr>
                  <w:r w:rsidRPr="002945AA">
                    <w:rPr>
                      <w:sz w:val="22"/>
                      <w:szCs w:val="22"/>
                    </w:rPr>
                    <w:t>-1 600 000</w:t>
                  </w:r>
                </w:p>
              </w:tc>
              <w:tc>
                <w:tcPr>
                  <w:tcW w:w="851" w:type="dxa"/>
                  <w:vMerge/>
                  <w:shd w:val="clear" w:color="auto" w:fill="auto"/>
                  <w:vAlign w:val="center"/>
                  <w:hideMark/>
                </w:tcPr>
                <w:p w14:paraId="0AAA534D"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434A668C" w14:textId="77777777" w:rsidR="004523C3" w:rsidRPr="002945AA" w:rsidRDefault="002945AA" w:rsidP="004523C3">
                  <w:pPr>
                    <w:ind w:right="140"/>
                    <w:jc w:val="center"/>
                    <w:rPr>
                      <w:sz w:val="22"/>
                      <w:szCs w:val="22"/>
                    </w:rPr>
                  </w:pPr>
                  <w:r>
                    <w:rPr>
                      <w:sz w:val="22"/>
                      <w:szCs w:val="22"/>
                    </w:rPr>
                    <w:t>-13 013 333</w:t>
                  </w:r>
                </w:p>
              </w:tc>
              <w:tc>
                <w:tcPr>
                  <w:tcW w:w="993" w:type="dxa"/>
                  <w:vMerge/>
                  <w:shd w:val="clear" w:color="auto" w:fill="auto"/>
                  <w:vAlign w:val="center"/>
                  <w:hideMark/>
                </w:tcPr>
                <w:p w14:paraId="184CDDD5"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57E6E71B" w14:textId="77777777" w:rsidR="004523C3" w:rsidRPr="002945AA" w:rsidRDefault="00451E4A" w:rsidP="004523C3">
                  <w:pPr>
                    <w:ind w:right="140"/>
                    <w:jc w:val="center"/>
                    <w:rPr>
                      <w:sz w:val="22"/>
                      <w:szCs w:val="22"/>
                    </w:rPr>
                  </w:pPr>
                  <w:r>
                    <w:rPr>
                      <w:sz w:val="22"/>
                      <w:szCs w:val="22"/>
                    </w:rPr>
                    <w:t>-25 011 839</w:t>
                  </w:r>
                </w:p>
              </w:tc>
              <w:tc>
                <w:tcPr>
                  <w:tcW w:w="1276" w:type="dxa"/>
                  <w:shd w:val="clear" w:color="auto" w:fill="auto"/>
                  <w:vAlign w:val="center"/>
                  <w:hideMark/>
                </w:tcPr>
                <w:p w14:paraId="503CCF86" w14:textId="77777777" w:rsidR="004523C3" w:rsidRPr="002945AA" w:rsidRDefault="00451E4A" w:rsidP="004523C3">
                  <w:pPr>
                    <w:ind w:right="140"/>
                    <w:jc w:val="center"/>
                    <w:rPr>
                      <w:sz w:val="22"/>
                      <w:szCs w:val="22"/>
                    </w:rPr>
                  </w:pPr>
                  <w:r>
                    <w:rPr>
                      <w:sz w:val="22"/>
                      <w:szCs w:val="22"/>
                    </w:rPr>
                    <w:t>-24 383 310</w:t>
                  </w:r>
                </w:p>
              </w:tc>
            </w:tr>
            <w:tr w:rsidR="00451E4A" w:rsidRPr="003B4F98" w14:paraId="403039D5" w14:textId="77777777" w:rsidTr="00CE23D1">
              <w:trPr>
                <w:cantSplit/>
              </w:trPr>
              <w:tc>
                <w:tcPr>
                  <w:tcW w:w="2448" w:type="dxa"/>
                  <w:shd w:val="clear" w:color="auto" w:fill="auto"/>
                  <w:hideMark/>
                </w:tcPr>
                <w:p w14:paraId="2F58B8DA" w14:textId="77777777" w:rsidR="004523C3" w:rsidRPr="003B4F98" w:rsidRDefault="004523C3" w:rsidP="004523C3">
                  <w:pPr>
                    <w:ind w:right="140"/>
                  </w:pPr>
                  <w:r w:rsidRPr="003B4F98">
                    <w:t>5.2. speciālais budžets</w:t>
                  </w:r>
                </w:p>
              </w:tc>
              <w:tc>
                <w:tcPr>
                  <w:tcW w:w="992" w:type="dxa"/>
                  <w:vMerge/>
                  <w:shd w:val="clear" w:color="auto" w:fill="auto"/>
                  <w:vAlign w:val="center"/>
                  <w:hideMark/>
                </w:tcPr>
                <w:p w14:paraId="79B84BCC" w14:textId="77777777" w:rsidR="004523C3" w:rsidRPr="002945AA" w:rsidRDefault="004523C3" w:rsidP="004523C3">
                  <w:pPr>
                    <w:ind w:right="140"/>
                    <w:jc w:val="center"/>
                    <w:rPr>
                      <w:color w:val="000000"/>
                      <w:sz w:val="22"/>
                      <w:szCs w:val="22"/>
                      <w:highlight w:val="green"/>
                    </w:rPr>
                  </w:pPr>
                </w:p>
              </w:tc>
              <w:tc>
                <w:tcPr>
                  <w:tcW w:w="1276" w:type="dxa"/>
                  <w:shd w:val="clear" w:color="auto" w:fill="auto"/>
                  <w:vAlign w:val="center"/>
                  <w:hideMark/>
                </w:tcPr>
                <w:p w14:paraId="2E40D1B0" w14:textId="77777777" w:rsidR="004523C3" w:rsidRPr="002945AA" w:rsidRDefault="004523C3" w:rsidP="004523C3">
                  <w:pPr>
                    <w:ind w:right="140"/>
                    <w:jc w:val="center"/>
                    <w:rPr>
                      <w:sz w:val="22"/>
                      <w:szCs w:val="22"/>
                    </w:rPr>
                  </w:pPr>
                  <w:r w:rsidRPr="002945AA">
                    <w:rPr>
                      <w:sz w:val="22"/>
                      <w:szCs w:val="22"/>
                    </w:rPr>
                    <w:t>0</w:t>
                  </w:r>
                </w:p>
              </w:tc>
              <w:tc>
                <w:tcPr>
                  <w:tcW w:w="851" w:type="dxa"/>
                  <w:vMerge/>
                  <w:shd w:val="clear" w:color="auto" w:fill="auto"/>
                  <w:vAlign w:val="center"/>
                  <w:hideMark/>
                </w:tcPr>
                <w:p w14:paraId="07B91B17"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63510623" w14:textId="77777777" w:rsidR="004523C3" w:rsidRPr="002945AA" w:rsidRDefault="004523C3" w:rsidP="004523C3">
                  <w:pPr>
                    <w:ind w:right="140"/>
                    <w:jc w:val="center"/>
                    <w:rPr>
                      <w:sz w:val="22"/>
                      <w:szCs w:val="22"/>
                    </w:rPr>
                  </w:pPr>
                  <w:r w:rsidRPr="002945AA">
                    <w:rPr>
                      <w:sz w:val="22"/>
                      <w:szCs w:val="22"/>
                    </w:rPr>
                    <w:t>0</w:t>
                  </w:r>
                </w:p>
              </w:tc>
              <w:tc>
                <w:tcPr>
                  <w:tcW w:w="993" w:type="dxa"/>
                  <w:vMerge/>
                  <w:shd w:val="clear" w:color="auto" w:fill="auto"/>
                  <w:vAlign w:val="center"/>
                  <w:hideMark/>
                </w:tcPr>
                <w:p w14:paraId="3665632D"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6A9A95DA"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4773CA99" w14:textId="77777777" w:rsidR="004523C3" w:rsidRPr="002945AA" w:rsidRDefault="004523C3" w:rsidP="004523C3">
                  <w:pPr>
                    <w:ind w:right="140"/>
                    <w:jc w:val="center"/>
                    <w:rPr>
                      <w:sz w:val="22"/>
                      <w:szCs w:val="22"/>
                    </w:rPr>
                  </w:pPr>
                  <w:r w:rsidRPr="002945AA">
                    <w:rPr>
                      <w:sz w:val="22"/>
                      <w:szCs w:val="22"/>
                    </w:rPr>
                    <w:t>0</w:t>
                  </w:r>
                </w:p>
              </w:tc>
            </w:tr>
            <w:tr w:rsidR="00451E4A" w:rsidRPr="003B4F98" w14:paraId="2FE97A66" w14:textId="77777777" w:rsidTr="00CE23D1">
              <w:trPr>
                <w:cantSplit/>
              </w:trPr>
              <w:tc>
                <w:tcPr>
                  <w:tcW w:w="2448" w:type="dxa"/>
                  <w:shd w:val="clear" w:color="auto" w:fill="auto"/>
                  <w:hideMark/>
                </w:tcPr>
                <w:p w14:paraId="15276996" w14:textId="77777777" w:rsidR="004523C3" w:rsidRPr="003B4F98" w:rsidRDefault="004523C3" w:rsidP="004523C3">
                  <w:pPr>
                    <w:ind w:right="140"/>
                  </w:pPr>
                  <w:r w:rsidRPr="003B4F98">
                    <w:t>5.3. pašvaldību budžets</w:t>
                  </w:r>
                </w:p>
              </w:tc>
              <w:tc>
                <w:tcPr>
                  <w:tcW w:w="992" w:type="dxa"/>
                  <w:vMerge/>
                  <w:shd w:val="clear" w:color="auto" w:fill="auto"/>
                  <w:vAlign w:val="center"/>
                  <w:hideMark/>
                </w:tcPr>
                <w:p w14:paraId="240A64BA" w14:textId="77777777" w:rsidR="004523C3" w:rsidRPr="002945AA" w:rsidRDefault="004523C3" w:rsidP="004523C3">
                  <w:pPr>
                    <w:ind w:right="140"/>
                    <w:jc w:val="center"/>
                    <w:rPr>
                      <w:color w:val="000000"/>
                      <w:sz w:val="22"/>
                      <w:szCs w:val="22"/>
                      <w:highlight w:val="green"/>
                    </w:rPr>
                  </w:pPr>
                </w:p>
              </w:tc>
              <w:tc>
                <w:tcPr>
                  <w:tcW w:w="1276" w:type="dxa"/>
                  <w:shd w:val="clear" w:color="auto" w:fill="auto"/>
                  <w:vAlign w:val="center"/>
                  <w:hideMark/>
                </w:tcPr>
                <w:p w14:paraId="3DC7071E" w14:textId="77777777" w:rsidR="004523C3" w:rsidRPr="002945AA" w:rsidRDefault="004523C3" w:rsidP="004523C3">
                  <w:pPr>
                    <w:ind w:right="140"/>
                    <w:jc w:val="center"/>
                    <w:rPr>
                      <w:sz w:val="22"/>
                      <w:szCs w:val="22"/>
                    </w:rPr>
                  </w:pPr>
                  <w:r w:rsidRPr="002945AA">
                    <w:rPr>
                      <w:sz w:val="22"/>
                      <w:szCs w:val="22"/>
                    </w:rPr>
                    <w:t>0</w:t>
                  </w:r>
                </w:p>
              </w:tc>
              <w:tc>
                <w:tcPr>
                  <w:tcW w:w="851" w:type="dxa"/>
                  <w:vMerge/>
                  <w:shd w:val="clear" w:color="auto" w:fill="auto"/>
                  <w:vAlign w:val="center"/>
                  <w:hideMark/>
                </w:tcPr>
                <w:p w14:paraId="1768D1AF"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2B40DA80" w14:textId="77777777" w:rsidR="004523C3" w:rsidRPr="002945AA" w:rsidRDefault="004523C3" w:rsidP="004523C3">
                  <w:pPr>
                    <w:ind w:right="140"/>
                    <w:jc w:val="center"/>
                    <w:rPr>
                      <w:sz w:val="22"/>
                      <w:szCs w:val="22"/>
                    </w:rPr>
                  </w:pPr>
                  <w:r w:rsidRPr="002945AA">
                    <w:rPr>
                      <w:sz w:val="22"/>
                      <w:szCs w:val="22"/>
                    </w:rPr>
                    <w:t>0</w:t>
                  </w:r>
                </w:p>
              </w:tc>
              <w:tc>
                <w:tcPr>
                  <w:tcW w:w="993" w:type="dxa"/>
                  <w:vMerge/>
                  <w:shd w:val="clear" w:color="auto" w:fill="auto"/>
                  <w:vAlign w:val="center"/>
                  <w:hideMark/>
                </w:tcPr>
                <w:p w14:paraId="720B359E" w14:textId="77777777" w:rsidR="004523C3" w:rsidRPr="002945AA" w:rsidRDefault="004523C3" w:rsidP="004523C3">
                  <w:pPr>
                    <w:ind w:right="140"/>
                    <w:jc w:val="center"/>
                    <w:rPr>
                      <w:sz w:val="22"/>
                      <w:szCs w:val="22"/>
                    </w:rPr>
                  </w:pPr>
                </w:p>
              </w:tc>
              <w:tc>
                <w:tcPr>
                  <w:tcW w:w="1275" w:type="dxa"/>
                  <w:shd w:val="clear" w:color="auto" w:fill="auto"/>
                  <w:vAlign w:val="center"/>
                  <w:hideMark/>
                </w:tcPr>
                <w:p w14:paraId="3314D56D" w14:textId="77777777" w:rsidR="004523C3" w:rsidRPr="002945AA" w:rsidRDefault="004523C3" w:rsidP="004523C3">
                  <w:pPr>
                    <w:ind w:right="140"/>
                    <w:jc w:val="center"/>
                    <w:rPr>
                      <w:sz w:val="22"/>
                      <w:szCs w:val="22"/>
                    </w:rPr>
                  </w:pPr>
                  <w:r w:rsidRPr="002945AA">
                    <w:rPr>
                      <w:sz w:val="22"/>
                      <w:szCs w:val="22"/>
                    </w:rPr>
                    <w:t>0</w:t>
                  </w:r>
                </w:p>
              </w:tc>
              <w:tc>
                <w:tcPr>
                  <w:tcW w:w="1276" w:type="dxa"/>
                  <w:shd w:val="clear" w:color="auto" w:fill="auto"/>
                  <w:vAlign w:val="center"/>
                  <w:hideMark/>
                </w:tcPr>
                <w:p w14:paraId="414C8725" w14:textId="77777777" w:rsidR="004523C3" w:rsidRPr="002945AA" w:rsidRDefault="004523C3" w:rsidP="004523C3">
                  <w:pPr>
                    <w:ind w:right="140"/>
                    <w:jc w:val="center"/>
                    <w:rPr>
                      <w:sz w:val="22"/>
                      <w:szCs w:val="22"/>
                    </w:rPr>
                  </w:pPr>
                  <w:r w:rsidRPr="002945AA">
                    <w:rPr>
                      <w:sz w:val="22"/>
                      <w:szCs w:val="22"/>
                    </w:rPr>
                    <w:t>0</w:t>
                  </w:r>
                </w:p>
              </w:tc>
            </w:tr>
            <w:tr w:rsidR="004523C3" w:rsidRPr="003B4F98" w14:paraId="67CAA032" w14:textId="77777777" w:rsidTr="00CE23D1">
              <w:trPr>
                <w:cantSplit/>
              </w:trPr>
              <w:tc>
                <w:tcPr>
                  <w:tcW w:w="2448" w:type="dxa"/>
                  <w:shd w:val="clear" w:color="auto" w:fill="auto"/>
                  <w:hideMark/>
                </w:tcPr>
                <w:p w14:paraId="2B095A5F" w14:textId="77777777" w:rsidR="004523C3" w:rsidRPr="004E5524" w:rsidRDefault="004523C3" w:rsidP="004523C3">
                  <w:pPr>
                    <w:ind w:right="140"/>
                  </w:pPr>
                  <w:r w:rsidRPr="004E5524">
                    <w:t>6. Detalizēts ieņēmumu un izdevumu aprēķins (ja nepieciešams, detalizētu ieņēmumu un izdevumu aprēķinu var pievienot anotācijas pielikumā)</w:t>
                  </w:r>
                </w:p>
              </w:tc>
              <w:tc>
                <w:tcPr>
                  <w:tcW w:w="7938" w:type="dxa"/>
                  <w:gridSpan w:val="7"/>
                  <w:vMerge w:val="restart"/>
                  <w:hideMark/>
                </w:tcPr>
                <w:p w14:paraId="20DCB4A6" w14:textId="47419C63" w:rsidR="00CE23D1" w:rsidRPr="00ED6D87" w:rsidRDefault="00CE23D1" w:rsidP="00CE23D1">
                  <w:pPr>
                    <w:jc w:val="both"/>
                  </w:pPr>
                  <w:r w:rsidRPr="00ED6D87">
                    <w:t>Lauku attīstības programmas pasākuma</w:t>
                  </w:r>
                  <w:r>
                    <w:t xml:space="preserve"> </w:t>
                  </w:r>
                  <w:r w:rsidRPr="00ED6D87">
                    <w:t>“</w:t>
                  </w:r>
                  <w:r>
                    <w:t>Ieguldījumi materiālajos aktīvos</w:t>
                  </w:r>
                  <w:r w:rsidRPr="00ED6D87">
                    <w:t>”</w:t>
                  </w:r>
                  <w:r>
                    <w:t xml:space="preserve"> </w:t>
                  </w:r>
                  <w:r w:rsidRPr="00ED6D87">
                    <w:t xml:space="preserve">pārejas periodā ir apstiprināts </w:t>
                  </w:r>
                  <w:r>
                    <w:t xml:space="preserve">pārejas perioda </w:t>
                  </w:r>
                  <w:r w:rsidRPr="00ED6D87">
                    <w:t xml:space="preserve">finansējums </w:t>
                  </w:r>
                  <w:r>
                    <w:t>241 521 839</w:t>
                  </w:r>
                  <w:r w:rsidRPr="00ED6D87">
                    <w:t xml:space="preserve"> </w:t>
                  </w:r>
                  <w:proofErr w:type="spellStart"/>
                  <w:r w:rsidR="00FE3F3F" w:rsidRPr="00D85248">
                    <w:rPr>
                      <w:i/>
                    </w:rPr>
                    <w:t>euro</w:t>
                  </w:r>
                  <w:proofErr w:type="spellEnd"/>
                  <w:r w:rsidR="001204AC">
                    <w:t xml:space="preserve"> ar ES līdzfinansējumu 68%</w:t>
                  </w:r>
                  <w:r w:rsidR="004D57A6">
                    <w:t xml:space="preserve"> </w:t>
                  </w:r>
                  <w:r w:rsidRPr="00ED6D87">
                    <w:t>apmērā</w:t>
                  </w:r>
                  <w:r w:rsidR="001204AC">
                    <w:t xml:space="preserve"> un valsts līdzfinansējumu 32% apmērā</w:t>
                  </w:r>
                  <w:r>
                    <w:t xml:space="preserve">, kā arī </w:t>
                  </w:r>
                  <w:r w:rsidR="001204AC" w:rsidRPr="001204AC">
                    <w:t>Eiropas Atveseļošanās instrumenta</w:t>
                  </w:r>
                  <w:r w:rsidR="00D85248">
                    <w:t xml:space="preserve"> (turpmāk  - ESAI</w:t>
                  </w:r>
                  <w:r w:rsidR="00D85248" w:rsidRPr="00D85248">
                    <w:t>)</w:t>
                  </w:r>
                  <w:r w:rsidR="001204AC" w:rsidRPr="001204AC">
                    <w:t xml:space="preserve"> finansējums</w:t>
                  </w:r>
                  <w:r w:rsidR="001204AC">
                    <w:t xml:space="preserve"> 27 883 984 </w:t>
                  </w:r>
                  <w:proofErr w:type="spellStart"/>
                  <w:r w:rsidR="00FE3F3F" w:rsidRPr="00D85248">
                    <w:rPr>
                      <w:i/>
                    </w:rPr>
                    <w:t>euro</w:t>
                  </w:r>
                  <w:proofErr w:type="spellEnd"/>
                  <w:r w:rsidR="001204AC">
                    <w:t xml:space="preserve"> ar ES līdzfinansējumu 100% apmērā.</w:t>
                  </w:r>
                </w:p>
                <w:p w14:paraId="4E0AF861" w14:textId="28C06703" w:rsidR="00CE23D1" w:rsidRDefault="00CE23D1" w:rsidP="00CE23D1">
                  <w:pPr>
                    <w:jc w:val="both"/>
                  </w:pPr>
                  <w:r w:rsidRPr="00ED6D87">
                    <w:t xml:space="preserve">Lauku attīstības programmas grozījumi par papildu publisko finansējumu pasākumā tika saskaņoti 2021. gada 11. februāra Lauku attīstības programmas uzraudzības komitejas sēdē, un 2021. gada 19.martā tie tika iesniegti Eiropas Komisijā ar elektroniskās datu apmaiņas sistēmas </w:t>
                  </w:r>
                  <w:r w:rsidRPr="00ED6D87">
                    <w:rPr>
                      <w:i/>
                    </w:rPr>
                    <w:t>SFC 2014</w:t>
                  </w:r>
                  <w:r w:rsidRPr="00ED6D87">
                    <w:t xml:space="preserve"> starpniecību.</w:t>
                  </w:r>
                </w:p>
                <w:p w14:paraId="783C9802" w14:textId="3D78D39D" w:rsidR="00C30556" w:rsidRDefault="00C30556" w:rsidP="00CE23D1">
                  <w:pPr>
                    <w:jc w:val="both"/>
                  </w:pPr>
                  <w:r w:rsidRPr="00C30556">
                    <w:t>Ministru kabineta 2020.</w:t>
                  </w:r>
                  <w:r w:rsidR="00FE3F3F">
                    <w:t xml:space="preserve"> </w:t>
                  </w:r>
                  <w:r w:rsidRPr="00C30556">
                    <w:t>gada 4.</w:t>
                  </w:r>
                  <w:r w:rsidR="00FE3F3F">
                    <w:t xml:space="preserve"> </w:t>
                  </w:r>
                  <w:r w:rsidRPr="00C30556">
                    <w:t>februāra sēdē izskatītajā ziņojumā “Par Latvijas Lauku attīstības programmas 2014.</w:t>
                  </w:r>
                  <w:r w:rsidR="00FE3F3F">
                    <w:t>–</w:t>
                  </w:r>
                  <w:r w:rsidRPr="00C30556">
                    <w:t>2020.gadam pārejas periodu” norādīts indikatīv</w:t>
                  </w:r>
                  <w:r w:rsidR="00FE3F3F">
                    <w:t>ai</w:t>
                  </w:r>
                  <w:r w:rsidRPr="00C30556">
                    <w:t>s pasākumam novirzītais finansējums</w:t>
                  </w:r>
                  <w:r w:rsidR="00FE3F3F">
                    <w:t>:</w:t>
                  </w:r>
                  <w:r w:rsidRPr="00C30556">
                    <w:t xml:space="preserve"> attiecīgi 4 000 000 </w:t>
                  </w:r>
                  <w:proofErr w:type="spellStart"/>
                  <w:r w:rsidRPr="00D564AC">
                    <w:rPr>
                      <w:i/>
                    </w:rPr>
                    <w:t>euro</w:t>
                  </w:r>
                  <w:proofErr w:type="spellEnd"/>
                  <w:r w:rsidRPr="00C30556">
                    <w:t xml:space="preserve"> pārdalīti no pasākuma “Ieguldījumi meža platību paplašināšanā un mežu dzīvotspējas uzlabošanā” uz pasākumu “Ieguldījumi materiālajos aktīvos”, nepārsniedzot maksimālo Latvijas Lauku attīstības programmas pārejas periodam paredzēto finansējumu</w:t>
                  </w:r>
                  <w:r w:rsidR="000A7FC1">
                    <w:t>.</w:t>
                  </w:r>
                </w:p>
                <w:p w14:paraId="7DE6E918" w14:textId="77777777" w:rsidR="000A7FC1" w:rsidRDefault="000A7FC1" w:rsidP="00CE23D1">
                  <w:pPr>
                    <w:jc w:val="both"/>
                  </w:pPr>
                </w:p>
                <w:p w14:paraId="15E7844C" w14:textId="16465C22" w:rsidR="00CE23D1" w:rsidRDefault="00FE3F3F" w:rsidP="00CE23D1">
                  <w:pPr>
                    <w:jc w:val="both"/>
                  </w:pPr>
                  <w:r>
                    <w:t>Tādējādi</w:t>
                  </w:r>
                  <w:r w:rsidR="00CE23D1">
                    <w:t xml:space="preserve"> valsts budžetā </w:t>
                  </w:r>
                  <w:r w:rsidR="00CE23D1" w:rsidRPr="00ED6D87">
                    <w:t>pasākum</w:t>
                  </w:r>
                  <w:r>
                    <w:t>am</w:t>
                  </w:r>
                  <w:r w:rsidR="00CE23D1" w:rsidRPr="00ED6D87">
                    <w:t xml:space="preserve"> “</w:t>
                  </w:r>
                  <w:r w:rsidR="004D57A6" w:rsidRPr="004D57A6">
                    <w:t>Ieguldījumi materiālajos aktīvos</w:t>
                  </w:r>
                  <w:r w:rsidR="00CE23D1" w:rsidRPr="00ED6D87">
                    <w:t xml:space="preserve">” </w:t>
                  </w:r>
                  <w:r w:rsidR="00CE23D1">
                    <w:t xml:space="preserve">papildus nepieciešami </w:t>
                  </w:r>
                  <w:r>
                    <w:t xml:space="preserve">šādi </w:t>
                  </w:r>
                  <w:r w:rsidR="00020C59">
                    <w:t xml:space="preserve">pārejas perioda </w:t>
                  </w:r>
                  <w:r w:rsidR="00CE23D1">
                    <w:t>finanšu līdzekļi:</w:t>
                  </w:r>
                </w:p>
                <w:p w14:paraId="6DCB1007" w14:textId="2998FE8D" w:rsidR="00CE23D1" w:rsidRDefault="00CE23D1" w:rsidP="00CE23D1">
                  <w:pPr>
                    <w:jc w:val="both"/>
                  </w:pPr>
                  <w:r>
                    <w:t>2021.</w:t>
                  </w:r>
                  <w:r w:rsidR="00FE3F3F">
                    <w:t xml:space="preserve"> </w:t>
                  </w:r>
                  <w:r>
                    <w:t xml:space="preserve">gadā – </w:t>
                  </w:r>
                  <w:r w:rsidR="004D57A6">
                    <w:t>5 0</w:t>
                  </w:r>
                  <w:r>
                    <w:t xml:space="preserve">00 000 </w:t>
                  </w:r>
                  <w:proofErr w:type="spellStart"/>
                  <w:r w:rsidR="00FE3F3F" w:rsidRPr="002316F3">
                    <w:rPr>
                      <w:i/>
                    </w:rPr>
                    <w:t>euro</w:t>
                  </w:r>
                  <w:proofErr w:type="spellEnd"/>
                  <w:r w:rsidR="00FE3F3F" w:rsidRPr="00C30556">
                    <w:t xml:space="preserve"> </w:t>
                  </w:r>
                  <w:r w:rsidR="004D57A6">
                    <w:t>pārejas perioda finansējums;</w:t>
                  </w:r>
                </w:p>
                <w:p w14:paraId="2232D421" w14:textId="58033293" w:rsidR="00CE23D1" w:rsidRDefault="00CE23D1" w:rsidP="00CE23D1">
                  <w:pPr>
                    <w:jc w:val="both"/>
                  </w:pPr>
                  <w:r>
                    <w:t>2022.</w:t>
                  </w:r>
                  <w:r w:rsidR="00FE3F3F">
                    <w:t xml:space="preserve"> </w:t>
                  </w:r>
                  <w:r>
                    <w:t xml:space="preserve">gadā – </w:t>
                  </w:r>
                  <w:r w:rsidR="004D57A6">
                    <w:t xml:space="preserve">44 366 666 </w:t>
                  </w:r>
                  <w:proofErr w:type="spellStart"/>
                  <w:r w:rsidR="00FE3F3F" w:rsidRPr="002316F3">
                    <w:rPr>
                      <w:i/>
                    </w:rPr>
                    <w:t>euro</w:t>
                  </w:r>
                  <w:proofErr w:type="spellEnd"/>
                  <w:r w:rsidR="004D57A6">
                    <w:t>, tai skaitā</w:t>
                  </w:r>
                  <w:r w:rsidR="009E3A40">
                    <w:t xml:space="preserve"> </w:t>
                  </w:r>
                  <w:r w:rsidR="004D57A6">
                    <w:t>ESAI</w:t>
                  </w:r>
                  <w:r w:rsidR="00D564AC">
                    <w:rPr>
                      <w:lang w:val="en-GB"/>
                    </w:rPr>
                    <w:t xml:space="preserve"> </w:t>
                  </w:r>
                  <w:r w:rsidR="004D57A6">
                    <w:t xml:space="preserve">finansējums 3 700 000 </w:t>
                  </w:r>
                  <w:proofErr w:type="spellStart"/>
                  <w:r w:rsidR="00FE3F3F" w:rsidRPr="002316F3">
                    <w:rPr>
                      <w:i/>
                    </w:rPr>
                    <w:t>euro</w:t>
                  </w:r>
                  <w:proofErr w:type="spellEnd"/>
                  <w:r w:rsidR="004D57A6">
                    <w:t>;</w:t>
                  </w:r>
                </w:p>
                <w:p w14:paraId="1300CBEF" w14:textId="4D78D2CF" w:rsidR="00CE23D1" w:rsidRDefault="00CE23D1" w:rsidP="00CE23D1">
                  <w:pPr>
                    <w:jc w:val="both"/>
                  </w:pPr>
                  <w:r>
                    <w:t>2023.</w:t>
                  </w:r>
                  <w:r w:rsidR="00FE3F3F">
                    <w:t xml:space="preserve"> </w:t>
                  </w:r>
                  <w:r>
                    <w:t xml:space="preserve">gadā – </w:t>
                  </w:r>
                  <w:r w:rsidR="004D57A6">
                    <w:t>87 456 660</w:t>
                  </w:r>
                  <w:r>
                    <w:t xml:space="preserve"> </w:t>
                  </w:r>
                  <w:proofErr w:type="spellStart"/>
                  <w:r w:rsidR="00FE3F3F" w:rsidRPr="002316F3">
                    <w:rPr>
                      <w:i/>
                    </w:rPr>
                    <w:t>euro</w:t>
                  </w:r>
                  <w:proofErr w:type="spellEnd"/>
                  <w:r w:rsidR="004D57A6">
                    <w:t xml:space="preserve">, tai skaitā ESAI finansējums 9 294 662 </w:t>
                  </w:r>
                  <w:proofErr w:type="spellStart"/>
                  <w:r w:rsidR="00FE3F3F" w:rsidRPr="002316F3">
                    <w:rPr>
                      <w:i/>
                    </w:rPr>
                    <w:t>euro</w:t>
                  </w:r>
                  <w:proofErr w:type="spellEnd"/>
                  <w:r w:rsidR="004D57A6">
                    <w:t>;</w:t>
                  </w:r>
                </w:p>
                <w:p w14:paraId="209C506A" w14:textId="4F022589" w:rsidR="00CE23D1" w:rsidRDefault="00CE23D1" w:rsidP="00CE23D1">
                  <w:pPr>
                    <w:jc w:val="both"/>
                  </w:pPr>
                  <w:r>
                    <w:t>2024.</w:t>
                  </w:r>
                  <w:r w:rsidR="00FE3F3F">
                    <w:t xml:space="preserve"> </w:t>
                  </w:r>
                  <w:r>
                    <w:t>gadā –</w:t>
                  </w:r>
                  <w:r w:rsidR="004D57A6">
                    <w:t xml:space="preserve"> 85 492 504 </w:t>
                  </w:r>
                  <w:proofErr w:type="spellStart"/>
                  <w:r w:rsidR="00FE3F3F" w:rsidRPr="002316F3">
                    <w:rPr>
                      <w:i/>
                    </w:rPr>
                    <w:t>euro</w:t>
                  </w:r>
                  <w:proofErr w:type="spellEnd"/>
                  <w:r w:rsidR="004D57A6">
                    <w:t xml:space="preserve">, tai skaitā ESAI finansējums 9 294 661 </w:t>
                  </w:r>
                  <w:proofErr w:type="spellStart"/>
                  <w:r w:rsidR="00FE3F3F" w:rsidRPr="002316F3">
                    <w:rPr>
                      <w:i/>
                    </w:rPr>
                    <w:t>euro</w:t>
                  </w:r>
                  <w:proofErr w:type="spellEnd"/>
                  <w:r w:rsidR="004D57A6">
                    <w:t>;</w:t>
                  </w:r>
                </w:p>
                <w:p w14:paraId="27C5BC04" w14:textId="2664FCEB" w:rsidR="004523C3" w:rsidRPr="004523C3" w:rsidRDefault="00CE23D1" w:rsidP="00CE23D1">
                  <w:pPr>
                    <w:ind w:right="140"/>
                    <w:jc w:val="both"/>
                    <w:rPr>
                      <w:color w:val="000000"/>
                      <w:highlight w:val="yellow"/>
                    </w:rPr>
                  </w:pPr>
                  <w:r>
                    <w:t>2025.</w:t>
                  </w:r>
                  <w:r w:rsidR="00FE3F3F">
                    <w:t xml:space="preserve"> </w:t>
                  </w:r>
                  <w:r>
                    <w:t xml:space="preserve">gadā – </w:t>
                  </w:r>
                  <w:r w:rsidR="004D57A6">
                    <w:t>47 089 993</w:t>
                  </w:r>
                  <w:r>
                    <w:t xml:space="preserve"> </w:t>
                  </w:r>
                  <w:proofErr w:type="spellStart"/>
                  <w:r w:rsidR="00FE3F3F" w:rsidRPr="002316F3">
                    <w:rPr>
                      <w:i/>
                    </w:rPr>
                    <w:t>euro</w:t>
                  </w:r>
                  <w:proofErr w:type="spellEnd"/>
                  <w:r w:rsidR="004D57A6">
                    <w:t xml:space="preserve">, tai skaitā ESAI finansējums 5 594 661 </w:t>
                  </w:r>
                  <w:proofErr w:type="spellStart"/>
                  <w:r w:rsidR="00FE3F3F" w:rsidRPr="002316F3">
                    <w:rPr>
                      <w:i/>
                    </w:rPr>
                    <w:t>euro</w:t>
                  </w:r>
                  <w:proofErr w:type="spellEnd"/>
                  <w:r w:rsidR="004D57A6">
                    <w:t>.</w:t>
                  </w:r>
                </w:p>
              </w:tc>
            </w:tr>
            <w:tr w:rsidR="004523C3" w:rsidRPr="003B4F98" w14:paraId="18B08BEB" w14:textId="77777777" w:rsidTr="00CE23D1">
              <w:trPr>
                <w:cantSplit/>
              </w:trPr>
              <w:tc>
                <w:tcPr>
                  <w:tcW w:w="2448" w:type="dxa"/>
                  <w:shd w:val="clear" w:color="auto" w:fill="auto"/>
                  <w:hideMark/>
                </w:tcPr>
                <w:p w14:paraId="63708796" w14:textId="77777777" w:rsidR="004523C3" w:rsidRPr="003B4F98" w:rsidRDefault="004523C3" w:rsidP="004523C3">
                  <w:pPr>
                    <w:ind w:right="140"/>
                  </w:pPr>
                  <w:r w:rsidRPr="003B4F98">
                    <w:t>6.1. detalizēts ieņēmumu aprēķins</w:t>
                  </w:r>
                </w:p>
              </w:tc>
              <w:tc>
                <w:tcPr>
                  <w:tcW w:w="7938" w:type="dxa"/>
                  <w:gridSpan w:val="7"/>
                  <w:vMerge/>
                  <w:vAlign w:val="center"/>
                  <w:hideMark/>
                </w:tcPr>
                <w:p w14:paraId="6F0E7522" w14:textId="77777777" w:rsidR="004523C3" w:rsidRPr="0046246E" w:rsidRDefault="004523C3" w:rsidP="004523C3">
                  <w:pPr>
                    <w:ind w:right="140"/>
                    <w:rPr>
                      <w:highlight w:val="yellow"/>
                    </w:rPr>
                  </w:pPr>
                </w:p>
              </w:tc>
            </w:tr>
            <w:tr w:rsidR="004523C3" w:rsidRPr="003B4F98" w14:paraId="17A6905D" w14:textId="77777777" w:rsidTr="00CE23D1">
              <w:trPr>
                <w:cantSplit/>
              </w:trPr>
              <w:tc>
                <w:tcPr>
                  <w:tcW w:w="2448" w:type="dxa"/>
                  <w:shd w:val="clear" w:color="auto" w:fill="auto"/>
                  <w:hideMark/>
                </w:tcPr>
                <w:p w14:paraId="47F485DF" w14:textId="77777777" w:rsidR="004523C3" w:rsidRPr="003B4F98" w:rsidRDefault="004523C3" w:rsidP="004523C3">
                  <w:pPr>
                    <w:ind w:right="140"/>
                  </w:pPr>
                  <w:r w:rsidRPr="003B4F98">
                    <w:t>6.2. detalizēts izdevumu aprēķins</w:t>
                  </w:r>
                </w:p>
              </w:tc>
              <w:tc>
                <w:tcPr>
                  <w:tcW w:w="7938" w:type="dxa"/>
                  <w:gridSpan w:val="7"/>
                  <w:vMerge/>
                  <w:vAlign w:val="center"/>
                  <w:hideMark/>
                </w:tcPr>
                <w:p w14:paraId="0AC08B24" w14:textId="77777777" w:rsidR="004523C3" w:rsidRPr="0046246E" w:rsidRDefault="004523C3" w:rsidP="004523C3">
                  <w:pPr>
                    <w:ind w:right="140"/>
                    <w:rPr>
                      <w:highlight w:val="yellow"/>
                    </w:rPr>
                  </w:pPr>
                </w:p>
              </w:tc>
            </w:tr>
            <w:tr w:rsidR="004523C3" w:rsidRPr="003B4F98" w14:paraId="48410DFC" w14:textId="77777777" w:rsidTr="00CE23D1">
              <w:trPr>
                <w:cantSplit/>
              </w:trPr>
              <w:tc>
                <w:tcPr>
                  <w:tcW w:w="2448" w:type="dxa"/>
                  <w:shd w:val="clear" w:color="auto" w:fill="auto"/>
                  <w:hideMark/>
                </w:tcPr>
                <w:p w14:paraId="6BFD00AC" w14:textId="77777777" w:rsidR="004523C3" w:rsidRPr="003B4F98" w:rsidRDefault="004523C3" w:rsidP="004523C3">
                  <w:pPr>
                    <w:ind w:right="140"/>
                  </w:pPr>
                  <w:r w:rsidRPr="003B4F98">
                    <w:t>7. Amata vietu skaita izmaiņas</w:t>
                  </w:r>
                </w:p>
              </w:tc>
              <w:tc>
                <w:tcPr>
                  <w:tcW w:w="7938" w:type="dxa"/>
                  <w:gridSpan w:val="7"/>
                  <w:vAlign w:val="center"/>
                  <w:hideMark/>
                </w:tcPr>
                <w:p w14:paraId="640FABDC" w14:textId="77777777" w:rsidR="004523C3" w:rsidRPr="004D57A6" w:rsidRDefault="004523C3" w:rsidP="004523C3">
                  <w:pPr>
                    <w:pStyle w:val="naisf"/>
                    <w:spacing w:before="0" w:after="0"/>
                    <w:ind w:right="140"/>
                    <w:rPr>
                      <w:b/>
                      <w:sz w:val="22"/>
                      <w:szCs w:val="22"/>
                    </w:rPr>
                  </w:pPr>
                  <w:r w:rsidRPr="004D57A6">
                    <w:rPr>
                      <w:sz w:val="22"/>
                      <w:szCs w:val="22"/>
                    </w:rPr>
                    <w:t>Projekts šo jomu neskar.</w:t>
                  </w:r>
                </w:p>
              </w:tc>
            </w:tr>
            <w:tr w:rsidR="004523C3" w:rsidRPr="004E5524" w14:paraId="69135336" w14:textId="77777777" w:rsidTr="00CE23D1">
              <w:trPr>
                <w:cantSplit/>
              </w:trPr>
              <w:tc>
                <w:tcPr>
                  <w:tcW w:w="2448" w:type="dxa"/>
                  <w:shd w:val="clear" w:color="auto" w:fill="auto"/>
                  <w:hideMark/>
                </w:tcPr>
                <w:p w14:paraId="02C24814" w14:textId="77777777" w:rsidR="004523C3" w:rsidRPr="003B4F98" w:rsidRDefault="004523C3" w:rsidP="004523C3">
                  <w:pPr>
                    <w:ind w:right="140"/>
                  </w:pPr>
                  <w:r w:rsidRPr="003B4F98">
                    <w:lastRenderedPageBreak/>
                    <w:t>8. Cita informācija</w:t>
                  </w:r>
                </w:p>
              </w:tc>
              <w:tc>
                <w:tcPr>
                  <w:tcW w:w="7938" w:type="dxa"/>
                  <w:gridSpan w:val="7"/>
                  <w:hideMark/>
                </w:tcPr>
                <w:p w14:paraId="7253DE56" w14:textId="20687431" w:rsidR="004D57A6" w:rsidRDefault="004D57A6" w:rsidP="004D57A6">
                  <w:pPr>
                    <w:ind w:right="140"/>
                    <w:jc w:val="both"/>
                  </w:pPr>
                  <w:r>
                    <w:t xml:space="preserve">Ir mainījies pasākuma īstenošanai pieejamais publiskais finansējums, jo ir izdarīti grozījumi Lauku attīstības programmā par pārejas perioda publiskā finansējuma piešķiršanu un </w:t>
                  </w:r>
                  <w:r w:rsidRPr="001204AC">
                    <w:t>Eiropas Atveseļošanās instrumenta finansējum</w:t>
                  </w:r>
                  <w:r>
                    <w:t>u. Publiskā finansējuma nodrošināšanai pasākumam valsts budžetā ir nepieciešami papildu finanšu līdzekļi.</w:t>
                  </w:r>
                </w:p>
                <w:p w14:paraId="1685767E" w14:textId="77777777" w:rsidR="004D57A6" w:rsidRDefault="004D57A6" w:rsidP="004D57A6">
                  <w:pPr>
                    <w:ind w:right="140"/>
                    <w:jc w:val="both"/>
                  </w:pPr>
                  <w:r>
                    <w:t>Nepieciešamo papildu finansējumu pasākuma īstenošanai 2021. gadā un turpmākajos gados Zemkopības ministrija pieprasīs normatīvajos aktos noteiktajā kārtībā.</w:t>
                  </w:r>
                </w:p>
                <w:p w14:paraId="191F83E3" w14:textId="77777777" w:rsidR="004523C3" w:rsidRPr="0046246E" w:rsidRDefault="004D57A6" w:rsidP="004D57A6">
                  <w:pPr>
                    <w:ind w:right="140"/>
                    <w:jc w:val="both"/>
                    <w:rPr>
                      <w:highlight w:val="yellow"/>
                    </w:rPr>
                  </w:pPr>
                  <w:r>
                    <w:t>Zemkopības ministrija atbalstu pasākuma īstenošanai izmaksās no budžeta apakšprogrammas 65.08.00. “Maksājumu iestādes izdevumi Eiropas Lauksaimniecības fonda lauku attīstībai (ELFLA) projektu un pasākumu īstenošanai (2014–2020)”.</w:t>
                  </w:r>
                </w:p>
              </w:tc>
            </w:tr>
          </w:tbl>
          <w:p w14:paraId="256C1DDA" w14:textId="77777777" w:rsidR="004523C3" w:rsidRDefault="004523C3" w:rsidP="00EC0240">
            <w:pPr>
              <w:pStyle w:val="NormalWeb"/>
              <w:spacing w:before="0" w:beforeAutospacing="0" w:after="0" w:afterAutospacing="0"/>
              <w:jc w:val="center"/>
              <w:rPr>
                <w:b/>
                <w:bCs/>
              </w:rPr>
            </w:pPr>
          </w:p>
          <w:p w14:paraId="3FC208DD" w14:textId="77777777" w:rsidR="004523C3" w:rsidRDefault="004523C3" w:rsidP="00EC0240">
            <w:pPr>
              <w:pStyle w:val="NormalWeb"/>
              <w:spacing w:before="0" w:beforeAutospacing="0" w:after="0" w:afterAutospacing="0"/>
              <w:jc w:val="center"/>
              <w:rPr>
                <w:b/>
                <w:bCs/>
              </w:rPr>
            </w:pPr>
          </w:p>
          <w:p w14:paraId="11DAE9DE" w14:textId="77777777" w:rsidR="00F60922" w:rsidRDefault="00F60922" w:rsidP="00EC0240">
            <w:pPr>
              <w:pStyle w:val="NormalWeb"/>
              <w:spacing w:before="0" w:beforeAutospacing="0" w:after="0" w:afterAutospacing="0"/>
              <w:jc w:val="center"/>
              <w:rPr>
                <w:b/>
                <w:bCs/>
              </w:rPr>
            </w:pPr>
          </w:p>
          <w:p w14:paraId="164AAC7D" w14:textId="77777777" w:rsidR="009824BC" w:rsidRPr="009824BC" w:rsidRDefault="009824BC" w:rsidP="00EC0240">
            <w:pPr>
              <w:pStyle w:val="NormalWeb"/>
              <w:spacing w:before="0" w:beforeAutospacing="0" w:after="0" w:afterAutospacing="0"/>
              <w:jc w:val="center"/>
            </w:pPr>
            <w:r w:rsidRPr="00EC0240">
              <w:rPr>
                <w:b/>
                <w:bCs/>
              </w:rPr>
              <w:t>V. Tiesību akta projekta atbilstība Latvijas Republikas starptautiskajām saistībām</w:t>
            </w:r>
          </w:p>
        </w:tc>
      </w:tr>
      <w:tr w:rsidR="008C0C54" w14:paraId="31767F74"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15AD5696" w14:textId="77777777" w:rsidR="009824BC" w:rsidRDefault="00BB1CAD" w:rsidP="00EC0240">
            <w:pPr>
              <w:pStyle w:val="NormalWeb"/>
              <w:spacing w:before="0" w:beforeAutospacing="0" w:after="0" w:afterAutospacing="0"/>
            </w:pPr>
            <w:r>
              <w:lastRenderedPageBreak/>
              <w:t>1.</w:t>
            </w:r>
          </w:p>
        </w:tc>
        <w:tc>
          <w:tcPr>
            <w:tcW w:w="1218" w:type="pct"/>
            <w:gridSpan w:val="7"/>
            <w:shd w:val="clear" w:color="auto" w:fill="auto"/>
          </w:tcPr>
          <w:p w14:paraId="35DF86CB" w14:textId="77777777" w:rsidR="009824BC" w:rsidRDefault="00BB1CAD" w:rsidP="00EC0240">
            <w:pPr>
              <w:pStyle w:val="NormalWeb"/>
              <w:spacing w:before="0" w:beforeAutospacing="0" w:after="0" w:afterAutospacing="0"/>
            </w:pPr>
            <w:r>
              <w:t>Saistība pret Eiropas Savienību</w:t>
            </w:r>
          </w:p>
        </w:tc>
        <w:tc>
          <w:tcPr>
            <w:tcW w:w="3173" w:type="pct"/>
            <w:gridSpan w:val="5"/>
            <w:shd w:val="clear" w:color="auto" w:fill="auto"/>
          </w:tcPr>
          <w:p w14:paraId="5B42EC77" w14:textId="46ABF7C7" w:rsidR="00BB3DB9" w:rsidRDefault="0008775D" w:rsidP="008F55A6">
            <w:pPr>
              <w:jc w:val="both"/>
            </w:pPr>
            <w:r w:rsidRPr="0052548A">
              <w:t>Regula</w:t>
            </w:r>
            <w:r w:rsidR="003B28B1">
              <w:t xml:space="preserve"> </w:t>
            </w:r>
            <w:r w:rsidRPr="0052548A">
              <w:t>Nr.</w:t>
            </w:r>
            <w:r w:rsidR="00FE3F3F">
              <w:t xml:space="preserve"> </w:t>
            </w:r>
            <w:r w:rsidRPr="0052548A">
              <w:t>1305/2013</w:t>
            </w:r>
            <w:r w:rsidR="00FE3F3F">
              <w:t>,</w:t>
            </w:r>
            <w:r w:rsidR="00F927E4" w:rsidRPr="00044BDA">
              <w:t xml:space="preserve"> Regula Nr.</w:t>
            </w:r>
            <w:r w:rsidR="00FE3F3F">
              <w:t> </w:t>
            </w:r>
            <w:hyperlink r:id="rId12" w:tgtFrame="_blank" w:history="1">
              <w:r w:rsidR="00FE3F3F">
                <w:t>1303</w:t>
              </w:r>
              <w:r w:rsidR="00FE3F3F" w:rsidRPr="0052548A">
                <w:t>/2</w:t>
              </w:r>
              <w:r w:rsidR="00FE3F3F">
                <w:t>013 un</w:t>
              </w:r>
            </w:hyperlink>
            <w:r w:rsidR="00FE3F3F">
              <w:t xml:space="preserve"> </w:t>
            </w:r>
            <w:r w:rsidR="00485834">
              <w:t>Regula Nr.</w:t>
            </w:r>
            <w:r w:rsidR="00FE3F3F">
              <w:t> </w:t>
            </w:r>
            <w:r w:rsidR="00485834">
              <w:t>702/2014</w:t>
            </w:r>
          </w:p>
        </w:tc>
      </w:tr>
      <w:tr w:rsidR="008C0C54" w14:paraId="4D3ACAC3"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2A044009" w14:textId="77777777" w:rsidR="009824BC" w:rsidRDefault="00BB1CAD" w:rsidP="00EC0240">
            <w:pPr>
              <w:pStyle w:val="NormalWeb"/>
              <w:spacing w:before="0" w:beforeAutospacing="0" w:after="0" w:afterAutospacing="0"/>
            </w:pPr>
            <w:r>
              <w:t>2.</w:t>
            </w:r>
          </w:p>
        </w:tc>
        <w:tc>
          <w:tcPr>
            <w:tcW w:w="1218" w:type="pct"/>
            <w:gridSpan w:val="7"/>
            <w:shd w:val="clear" w:color="auto" w:fill="auto"/>
          </w:tcPr>
          <w:p w14:paraId="00196A45" w14:textId="77777777" w:rsidR="009824BC" w:rsidRDefault="00BB1CAD" w:rsidP="00EC0240">
            <w:pPr>
              <w:pStyle w:val="NormalWeb"/>
              <w:spacing w:before="0" w:beforeAutospacing="0" w:after="0" w:afterAutospacing="0"/>
            </w:pPr>
            <w:r>
              <w:t>Citas starptautiskās saistības</w:t>
            </w:r>
          </w:p>
        </w:tc>
        <w:tc>
          <w:tcPr>
            <w:tcW w:w="3173" w:type="pct"/>
            <w:gridSpan w:val="5"/>
            <w:shd w:val="clear" w:color="auto" w:fill="auto"/>
          </w:tcPr>
          <w:p w14:paraId="6A0E9A1A" w14:textId="0F6BFEDB" w:rsidR="009824BC" w:rsidRDefault="00B13BDD" w:rsidP="00EC0240">
            <w:pPr>
              <w:pStyle w:val="NormalWeb"/>
              <w:spacing w:before="0" w:beforeAutospacing="0" w:after="0" w:afterAutospacing="0"/>
            </w:pPr>
            <w:r>
              <w:t>Nav</w:t>
            </w:r>
            <w:r w:rsidR="00FE3F3F">
              <w:t>.</w:t>
            </w:r>
          </w:p>
        </w:tc>
      </w:tr>
      <w:tr w:rsidR="008C0C54" w14:paraId="161278CF"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610" w:type="pct"/>
            <w:gridSpan w:val="2"/>
            <w:shd w:val="clear" w:color="auto" w:fill="auto"/>
          </w:tcPr>
          <w:p w14:paraId="638170DB" w14:textId="77777777" w:rsidR="009824BC" w:rsidRDefault="00BB1CAD" w:rsidP="00EC0240">
            <w:pPr>
              <w:pStyle w:val="NormalWeb"/>
              <w:spacing w:before="0" w:beforeAutospacing="0" w:after="0" w:afterAutospacing="0"/>
            </w:pPr>
            <w:r>
              <w:t>3.</w:t>
            </w:r>
          </w:p>
        </w:tc>
        <w:tc>
          <w:tcPr>
            <w:tcW w:w="1218" w:type="pct"/>
            <w:gridSpan w:val="7"/>
            <w:shd w:val="clear" w:color="auto" w:fill="auto"/>
          </w:tcPr>
          <w:p w14:paraId="77D36F7A" w14:textId="77777777" w:rsidR="009824BC" w:rsidRDefault="00BB1CAD" w:rsidP="00EC0240">
            <w:pPr>
              <w:pStyle w:val="NormalWeb"/>
              <w:spacing w:before="0" w:beforeAutospacing="0" w:after="0" w:afterAutospacing="0"/>
            </w:pPr>
            <w:r>
              <w:t>Cita informācija</w:t>
            </w:r>
          </w:p>
        </w:tc>
        <w:tc>
          <w:tcPr>
            <w:tcW w:w="3173" w:type="pct"/>
            <w:gridSpan w:val="5"/>
            <w:shd w:val="clear" w:color="auto" w:fill="auto"/>
          </w:tcPr>
          <w:p w14:paraId="05688712" w14:textId="3D1CDC6B" w:rsidR="009824BC" w:rsidRDefault="00B21001" w:rsidP="00B21001">
            <w:pPr>
              <w:jc w:val="both"/>
            </w:pPr>
            <w:r>
              <w:t>Nav</w:t>
            </w:r>
            <w:r w:rsidR="00FE3F3F">
              <w:t>.</w:t>
            </w:r>
          </w:p>
        </w:tc>
      </w:tr>
      <w:tr w:rsidR="008C0C54" w:rsidRPr="00D7142C" w14:paraId="5A2125C4"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14"/>
            <w:shd w:val="clear" w:color="auto" w:fill="auto"/>
          </w:tcPr>
          <w:p w14:paraId="5DB16AAC" w14:textId="77777777" w:rsidR="00807502" w:rsidRPr="00EC0240" w:rsidRDefault="00807502" w:rsidP="00EC0240">
            <w:pPr>
              <w:autoSpaceDE w:val="0"/>
              <w:autoSpaceDN w:val="0"/>
              <w:adjustRightInd w:val="0"/>
              <w:jc w:val="center"/>
              <w:rPr>
                <w:b/>
                <w:bCs/>
              </w:rPr>
            </w:pPr>
            <w:r w:rsidRPr="00EC0240">
              <w:rPr>
                <w:b/>
                <w:bCs/>
              </w:rPr>
              <w:t>1.tabula</w:t>
            </w:r>
          </w:p>
          <w:p w14:paraId="7A5641A4" w14:textId="77777777" w:rsidR="00807502" w:rsidRPr="00D7142C" w:rsidRDefault="00807502" w:rsidP="00EC0240">
            <w:pPr>
              <w:pStyle w:val="NormalWeb"/>
              <w:spacing w:before="0" w:beforeAutospacing="0" w:after="0" w:afterAutospacing="0"/>
              <w:jc w:val="center"/>
            </w:pPr>
            <w:r w:rsidRPr="00EC0240">
              <w:rPr>
                <w:b/>
                <w:bCs/>
              </w:rPr>
              <w:t>Tiesību akta projekta atbilstība ES tiesību aktiem</w:t>
            </w:r>
          </w:p>
        </w:tc>
      </w:tr>
      <w:tr w:rsidR="008C0C54" w:rsidRPr="00D7142C" w14:paraId="4EB979F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44B2AD57" w14:textId="77777777" w:rsidR="00807502" w:rsidRPr="00D7142C" w:rsidRDefault="000B7431" w:rsidP="00EC0240">
            <w:pPr>
              <w:pStyle w:val="NormalWeb"/>
              <w:spacing w:before="0" w:beforeAutospacing="0" w:after="0" w:afterAutospacing="0"/>
            </w:pPr>
            <w:r>
              <w:t>Attiecīgā ES tiesību akta datums, numurs un nosaukums</w:t>
            </w:r>
          </w:p>
        </w:tc>
        <w:tc>
          <w:tcPr>
            <w:tcW w:w="3519" w:type="pct"/>
            <w:gridSpan w:val="10"/>
            <w:shd w:val="clear" w:color="auto" w:fill="auto"/>
          </w:tcPr>
          <w:p w14:paraId="36F561B3" w14:textId="46214016" w:rsidR="006F1A59" w:rsidRDefault="001E4A84" w:rsidP="003B28B1">
            <w:pPr>
              <w:jc w:val="both"/>
            </w:pPr>
            <w:r w:rsidRPr="006F1A59">
              <w:t xml:space="preserve">Eiropas Parlamenta un </w:t>
            </w:r>
            <w:r w:rsidR="003B28B1" w:rsidRPr="0052548A">
              <w:t>Padomes 2013.</w:t>
            </w:r>
            <w:r w:rsidR="00FE3F3F">
              <w:t xml:space="preserve"> </w:t>
            </w:r>
            <w:r w:rsidR="003B28B1" w:rsidRPr="0052548A">
              <w:t>gada 17.</w:t>
            </w:r>
            <w:r w:rsidR="00FE3F3F">
              <w:t xml:space="preserve"> </w:t>
            </w:r>
            <w:r w:rsidR="003B28B1" w:rsidRPr="0052548A">
              <w:t>decembra Regula (EK) Nr.</w:t>
            </w:r>
            <w:r w:rsidR="00FE3F3F">
              <w:t xml:space="preserve"> </w:t>
            </w:r>
            <w:r w:rsidR="003B28B1" w:rsidRPr="0052548A">
              <w:t>1305/2013 par atbalstu lauku attīstībai no Eiropas Lauksaimniecības fonda lauku attīstībai (ELFLA) un</w:t>
            </w:r>
            <w:r w:rsidR="003B28B1" w:rsidRPr="00C74933">
              <w:t xml:space="preserve"> ar ko atceļ Padomes regulu (EK) Nr.</w:t>
            </w:r>
            <w:r w:rsidR="00FE3F3F">
              <w:t> </w:t>
            </w:r>
            <w:r w:rsidR="003B28B1" w:rsidRPr="00C74933">
              <w:t>1698/2005</w:t>
            </w:r>
            <w:r w:rsidR="003B28B1" w:rsidRPr="007668F8">
              <w:t>;</w:t>
            </w:r>
          </w:p>
          <w:p w14:paraId="0B2092EB" w14:textId="04A46037" w:rsidR="00B7633C" w:rsidRDefault="006F1A59" w:rsidP="003B28B1">
            <w:pPr>
              <w:jc w:val="both"/>
            </w:pPr>
            <w:r w:rsidRPr="006F1A59">
              <w:t>Eiropas Parlamenta un Padomes 2013. gada 17. decembra Regula (ES) Nr. 1303/2013</w:t>
            </w:r>
            <w:r>
              <w:t>,</w:t>
            </w:r>
            <w:r w:rsidRPr="006F1A59">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FE3F3F">
              <w:t> </w:t>
            </w:r>
            <w:r w:rsidRPr="006F1A59">
              <w:t>1083/2006</w:t>
            </w:r>
            <w:r w:rsidR="00FE3F3F">
              <w:t>;</w:t>
            </w:r>
          </w:p>
          <w:p w14:paraId="7BB0F525" w14:textId="4732BE76" w:rsidR="00BE35FA" w:rsidRPr="00B21001" w:rsidRDefault="001E4A84" w:rsidP="003B28B1">
            <w:pPr>
              <w:jc w:val="both"/>
              <w:rPr>
                <w:bCs/>
                <w:highlight w:val="yellow"/>
                <w:lang w:eastAsia="en-US"/>
              </w:rPr>
            </w:pPr>
            <w:r w:rsidRPr="001E4A84">
              <w:t>Eiropas Parlamenta un Padomes 201</w:t>
            </w:r>
            <w:r>
              <w:t>4</w:t>
            </w:r>
            <w:r w:rsidRPr="001E4A84">
              <w:t xml:space="preserve">. gada </w:t>
            </w:r>
            <w:r>
              <w:t>25</w:t>
            </w:r>
            <w:r w:rsidRPr="001E4A84">
              <w:t xml:space="preserve">. </w:t>
            </w:r>
            <w:r>
              <w:t>jūnija</w:t>
            </w:r>
            <w:r w:rsidRPr="001E4A84">
              <w:t xml:space="preserve"> Regula </w:t>
            </w:r>
            <w:r w:rsidR="002C588F">
              <w:t>(ES) Nr.</w:t>
            </w:r>
            <w:r w:rsidR="00FE3F3F">
              <w:t> </w:t>
            </w:r>
            <w:r w:rsidR="002C588F">
              <w:t>702/2014</w:t>
            </w:r>
            <w:r>
              <w:t xml:space="preserve">, </w:t>
            </w:r>
            <w:r w:rsidR="002C588F">
              <w:t>ar kuru konkrētas atbalsta kategorijas lauksaimniecības un mežsaimniecības nozarē un lauku apvidos atzīst par saderīgām ar iekšējo tirgu, piemērojot Līguma par Eiropas Savienības darbību 107. un 108.</w:t>
            </w:r>
            <w:r w:rsidR="00FE3F3F">
              <w:t> </w:t>
            </w:r>
            <w:r w:rsidR="002C588F">
              <w:t>pantu</w:t>
            </w:r>
          </w:p>
        </w:tc>
      </w:tr>
      <w:tr w:rsidR="008C0C54" w:rsidRPr="00D7142C" w14:paraId="215CF0C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3C89A7F7" w14:textId="77777777" w:rsidR="00807502" w:rsidRPr="00D7142C" w:rsidRDefault="00807502" w:rsidP="00EC0240">
            <w:pPr>
              <w:pStyle w:val="NormalWeb"/>
              <w:spacing w:before="0" w:beforeAutospacing="0" w:after="0" w:afterAutospacing="0"/>
            </w:pPr>
            <w:r w:rsidRPr="00D7142C">
              <w:t>A</w:t>
            </w:r>
          </w:p>
        </w:tc>
        <w:tc>
          <w:tcPr>
            <w:tcW w:w="1064" w:type="pct"/>
            <w:gridSpan w:val="7"/>
            <w:shd w:val="clear" w:color="auto" w:fill="auto"/>
          </w:tcPr>
          <w:p w14:paraId="07FD8C65" w14:textId="77777777" w:rsidR="00807502" w:rsidRPr="00D7142C" w:rsidRDefault="00807502" w:rsidP="00EC0240">
            <w:pPr>
              <w:pStyle w:val="NormalWeb"/>
              <w:spacing w:before="0" w:beforeAutospacing="0" w:after="0" w:afterAutospacing="0"/>
            </w:pPr>
            <w:r w:rsidRPr="00D7142C">
              <w:t>B</w:t>
            </w:r>
          </w:p>
        </w:tc>
        <w:tc>
          <w:tcPr>
            <w:tcW w:w="1031" w:type="pct"/>
            <w:gridSpan w:val="2"/>
            <w:shd w:val="clear" w:color="auto" w:fill="auto"/>
          </w:tcPr>
          <w:p w14:paraId="24FFB41E" w14:textId="77777777" w:rsidR="00807502" w:rsidRPr="00D7142C" w:rsidRDefault="00807502" w:rsidP="00EC0240">
            <w:pPr>
              <w:pStyle w:val="NormalWeb"/>
              <w:spacing w:before="0" w:beforeAutospacing="0" w:after="0" w:afterAutospacing="0"/>
            </w:pPr>
            <w:r w:rsidRPr="00D7142C">
              <w:t>C</w:t>
            </w:r>
          </w:p>
        </w:tc>
        <w:tc>
          <w:tcPr>
            <w:tcW w:w="1424" w:type="pct"/>
            <w:shd w:val="clear" w:color="auto" w:fill="auto"/>
          </w:tcPr>
          <w:p w14:paraId="00ADA9EF" w14:textId="77777777" w:rsidR="00807502" w:rsidRPr="00D7142C" w:rsidRDefault="00807502" w:rsidP="00EC0240">
            <w:pPr>
              <w:pStyle w:val="NormalWeb"/>
              <w:spacing w:before="0" w:beforeAutospacing="0" w:after="0" w:afterAutospacing="0"/>
            </w:pPr>
            <w:r w:rsidRPr="00D7142C">
              <w:t>D</w:t>
            </w:r>
          </w:p>
        </w:tc>
      </w:tr>
      <w:tr w:rsidR="008C0C54" w:rsidRPr="00D7142C" w14:paraId="52DE5E7B"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058E73B8" w14:textId="77777777" w:rsidR="00EA445B" w:rsidRDefault="009004DF" w:rsidP="00EA445B">
            <w:pPr>
              <w:pStyle w:val="NormalWeb"/>
              <w:spacing w:before="0" w:beforeAutospacing="0" w:after="0" w:afterAutospacing="0"/>
            </w:pPr>
            <w:r>
              <w:t>Regulas Nr.</w:t>
            </w:r>
            <w:r w:rsidR="00EA445B" w:rsidRPr="00B13BDD">
              <w:t>1305/2013</w:t>
            </w:r>
          </w:p>
          <w:p w14:paraId="44F9FBE6" w14:textId="0D34D59A" w:rsidR="000B7431" w:rsidRPr="00FE4B2E" w:rsidRDefault="00EA445B" w:rsidP="00EA445B">
            <w:pPr>
              <w:pStyle w:val="NormalWeb"/>
              <w:spacing w:before="0" w:beforeAutospacing="0" w:after="0" w:afterAutospacing="0"/>
            </w:pPr>
            <w:r w:rsidRPr="00FE4B2E">
              <w:t xml:space="preserve">17.panta 1.punkta </w:t>
            </w:r>
            <w:r w:rsidR="00FE3F3F">
              <w:t>“a”</w:t>
            </w:r>
            <w:r w:rsidRPr="00FE4B2E">
              <w:t xml:space="preserve"> apakšpunkts</w:t>
            </w:r>
          </w:p>
        </w:tc>
        <w:tc>
          <w:tcPr>
            <w:tcW w:w="1064" w:type="pct"/>
            <w:gridSpan w:val="7"/>
            <w:shd w:val="clear" w:color="auto" w:fill="auto"/>
          </w:tcPr>
          <w:p w14:paraId="45418287" w14:textId="6444A4DE" w:rsidR="002821AD" w:rsidRPr="00B97615" w:rsidRDefault="00975B08" w:rsidP="003B516E">
            <w:pPr>
              <w:pStyle w:val="NormalWeb"/>
              <w:spacing w:before="0" w:beforeAutospacing="0" w:after="0" w:afterAutospacing="0"/>
            </w:pPr>
            <w:r>
              <w:rPr>
                <w:lang w:eastAsia="en-US"/>
              </w:rPr>
              <w:t>4</w:t>
            </w:r>
            <w:r w:rsidR="002821AD" w:rsidRPr="00B97615">
              <w:rPr>
                <w:lang w:eastAsia="en-US"/>
              </w:rPr>
              <w:t>.1. apakšpunkt</w:t>
            </w:r>
            <w:r w:rsidR="003B516E" w:rsidRPr="00B97615">
              <w:rPr>
                <w:lang w:eastAsia="en-US"/>
              </w:rPr>
              <w:t>s</w:t>
            </w:r>
          </w:p>
        </w:tc>
        <w:tc>
          <w:tcPr>
            <w:tcW w:w="1031" w:type="pct"/>
            <w:gridSpan w:val="2"/>
            <w:shd w:val="clear" w:color="auto" w:fill="auto"/>
          </w:tcPr>
          <w:p w14:paraId="7D3960A3" w14:textId="77777777" w:rsidR="000B7431" w:rsidRPr="00FE4B2E" w:rsidRDefault="00EA445B" w:rsidP="000B7431">
            <w:pPr>
              <w:pStyle w:val="NormalWeb"/>
              <w:spacing w:before="0" w:beforeAutospacing="0" w:after="0" w:afterAutospacing="0"/>
            </w:pPr>
            <w:r w:rsidRPr="00FE4B2E">
              <w:rPr>
                <w:lang w:eastAsia="en-US"/>
              </w:rPr>
              <w:t>Ieviests pilnībā</w:t>
            </w:r>
          </w:p>
        </w:tc>
        <w:tc>
          <w:tcPr>
            <w:tcW w:w="1424" w:type="pct"/>
            <w:shd w:val="clear" w:color="auto" w:fill="auto"/>
          </w:tcPr>
          <w:p w14:paraId="1D3D4720" w14:textId="77777777" w:rsidR="000B7431" w:rsidRPr="00FE4B2E" w:rsidRDefault="00EA445B" w:rsidP="000B7431">
            <w:pPr>
              <w:pStyle w:val="NormalWeb"/>
              <w:spacing w:before="0" w:beforeAutospacing="0" w:after="0" w:afterAutospacing="0"/>
            </w:pPr>
            <w:r w:rsidRPr="00FE4B2E">
              <w:rPr>
                <w:lang w:eastAsia="en-US"/>
              </w:rPr>
              <w:t>Neparedz stingrākas prasības kā ES tiesību normas</w:t>
            </w:r>
          </w:p>
        </w:tc>
      </w:tr>
      <w:tr w:rsidR="008C0C54" w:rsidRPr="00D7142C" w14:paraId="37E4BDB4"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37DB75F1" w14:textId="21F09E20" w:rsidR="00BC0A46" w:rsidRDefault="00BC0A46" w:rsidP="009004DF">
            <w:pPr>
              <w:pStyle w:val="NormalWeb"/>
              <w:spacing w:before="0" w:beforeAutospacing="0" w:after="0" w:afterAutospacing="0"/>
            </w:pPr>
            <w:r>
              <w:t>Regulas Nr.</w:t>
            </w:r>
            <w:r w:rsidRPr="00B13BDD">
              <w:t>1305/2013</w:t>
            </w:r>
            <w:r w:rsidRPr="00FE4B2E">
              <w:t xml:space="preserve"> 17.panta 1.punkta </w:t>
            </w:r>
            <w:r w:rsidR="00FE3F3F">
              <w:t>“b”</w:t>
            </w:r>
            <w:r w:rsidR="00FE3F3F" w:rsidRPr="00FE4B2E">
              <w:t xml:space="preserve"> </w:t>
            </w:r>
            <w:r w:rsidRPr="00FE4B2E">
              <w:t>apakšpunkts</w:t>
            </w:r>
          </w:p>
        </w:tc>
        <w:tc>
          <w:tcPr>
            <w:tcW w:w="1064" w:type="pct"/>
            <w:gridSpan w:val="7"/>
            <w:shd w:val="clear" w:color="auto" w:fill="auto"/>
          </w:tcPr>
          <w:p w14:paraId="79486F8C" w14:textId="3875C033" w:rsidR="00BC0A46" w:rsidRPr="00B97615" w:rsidRDefault="00975B08" w:rsidP="003B516E">
            <w:pPr>
              <w:pStyle w:val="NormalWeb"/>
              <w:spacing w:before="0" w:beforeAutospacing="0" w:after="0" w:afterAutospacing="0"/>
              <w:rPr>
                <w:lang w:eastAsia="en-US"/>
              </w:rPr>
            </w:pPr>
            <w:r>
              <w:rPr>
                <w:lang w:eastAsia="en-US"/>
              </w:rPr>
              <w:t>4</w:t>
            </w:r>
            <w:r w:rsidR="003B516E" w:rsidRPr="00B97615">
              <w:rPr>
                <w:lang w:eastAsia="en-US"/>
              </w:rPr>
              <w:t>.2. apakšpunkts</w:t>
            </w:r>
          </w:p>
        </w:tc>
        <w:tc>
          <w:tcPr>
            <w:tcW w:w="1031" w:type="pct"/>
            <w:gridSpan w:val="2"/>
            <w:shd w:val="clear" w:color="auto" w:fill="auto"/>
          </w:tcPr>
          <w:p w14:paraId="6AEC3542" w14:textId="77777777" w:rsidR="00BC0A46" w:rsidRPr="00FE4B2E" w:rsidRDefault="00BC0A46" w:rsidP="000B7431">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02C4184C" w14:textId="77777777" w:rsidR="00BC0A46" w:rsidRPr="00FE4B2E" w:rsidRDefault="00BC0A46" w:rsidP="000B7431">
            <w:pPr>
              <w:pStyle w:val="NormalWeb"/>
              <w:spacing w:before="0" w:beforeAutospacing="0" w:after="0" w:afterAutospacing="0"/>
              <w:rPr>
                <w:lang w:eastAsia="en-US"/>
              </w:rPr>
            </w:pPr>
            <w:r w:rsidRPr="00FE4B2E">
              <w:rPr>
                <w:lang w:eastAsia="en-US"/>
              </w:rPr>
              <w:t>Neparedz stingrākas prasības kā ES tiesību normas</w:t>
            </w:r>
          </w:p>
        </w:tc>
      </w:tr>
      <w:tr w:rsidR="008C0C54" w:rsidRPr="00D7142C" w14:paraId="530F607A"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5D4E6EAB" w14:textId="6BFE4582" w:rsidR="002821AD" w:rsidRDefault="009004DF" w:rsidP="009004DF">
            <w:pPr>
              <w:pStyle w:val="NormalWeb"/>
              <w:spacing w:before="0" w:beforeAutospacing="0" w:after="0" w:afterAutospacing="0"/>
            </w:pPr>
            <w:r>
              <w:t>Regulas Nr.</w:t>
            </w:r>
            <w:r w:rsidR="002821AD" w:rsidRPr="00B13BDD">
              <w:t>1305/2013</w:t>
            </w:r>
            <w:r w:rsidR="002821AD" w:rsidRPr="00FE4B2E">
              <w:t xml:space="preserve"> 17.panta 1.punkta </w:t>
            </w:r>
            <w:r w:rsidR="00FE3F3F">
              <w:t>“c”</w:t>
            </w:r>
            <w:r w:rsidR="00FE3F3F" w:rsidRPr="00FE4B2E">
              <w:t xml:space="preserve"> </w:t>
            </w:r>
            <w:r w:rsidR="002821AD" w:rsidRPr="00FE4B2E">
              <w:t>apakšpunkts</w:t>
            </w:r>
          </w:p>
        </w:tc>
        <w:tc>
          <w:tcPr>
            <w:tcW w:w="1064" w:type="pct"/>
            <w:gridSpan w:val="7"/>
            <w:shd w:val="clear" w:color="auto" w:fill="auto"/>
          </w:tcPr>
          <w:p w14:paraId="24F88385" w14:textId="185B3F6B" w:rsidR="002821AD" w:rsidRPr="00B97615" w:rsidRDefault="00975B08" w:rsidP="002821AD">
            <w:pPr>
              <w:pStyle w:val="NormalWeb"/>
              <w:spacing w:before="0" w:beforeAutospacing="0" w:after="0" w:afterAutospacing="0"/>
              <w:rPr>
                <w:lang w:eastAsia="en-US"/>
              </w:rPr>
            </w:pPr>
            <w:r>
              <w:rPr>
                <w:lang w:eastAsia="en-US"/>
              </w:rPr>
              <w:t>4</w:t>
            </w:r>
            <w:r w:rsidR="003B516E" w:rsidRPr="00B97615">
              <w:rPr>
                <w:lang w:eastAsia="en-US"/>
              </w:rPr>
              <w:t>.3. apakšpunkts</w:t>
            </w:r>
          </w:p>
        </w:tc>
        <w:tc>
          <w:tcPr>
            <w:tcW w:w="1031" w:type="pct"/>
            <w:gridSpan w:val="2"/>
            <w:shd w:val="clear" w:color="auto" w:fill="auto"/>
          </w:tcPr>
          <w:p w14:paraId="6CDA4048" w14:textId="77777777" w:rsidR="002821AD" w:rsidRPr="00FE4B2E" w:rsidRDefault="002821AD" w:rsidP="002821AD">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0BE1087D" w14:textId="77777777" w:rsidR="002821AD" w:rsidRPr="00FE4B2E" w:rsidRDefault="002821AD" w:rsidP="002821AD">
            <w:pPr>
              <w:pStyle w:val="NormalWeb"/>
              <w:spacing w:before="0" w:beforeAutospacing="0" w:after="0" w:afterAutospacing="0"/>
              <w:rPr>
                <w:lang w:eastAsia="en-US"/>
              </w:rPr>
            </w:pPr>
            <w:r w:rsidRPr="00FE4B2E">
              <w:rPr>
                <w:lang w:eastAsia="en-US"/>
              </w:rPr>
              <w:t>Neparedz stingrākas prasības kā ES tiesību normas</w:t>
            </w:r>
          </w:p>
        </w:tc>
      </w:tr>
      <w:tr w:rsidR="001B15F7" w:rsidRPr="00D7142C" w14:paraId="513A0830"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45974E1C" w14:textId="14BD71AF" w:rsidR="001B15F7" w:rsidRPr="0099594E" w:rsidRDefault="004E2F4F" w:rsidP="00D47A1F">
            <w:pPr>
              <w:pStyle w:val="NormalWeb"/>
              <w:spacing w:before="0" w:beforeAutospacing="0" w:after="0" w:afterAutospacing="0"/>
            </w:pPr>
            <w:r w:rsidRPr="004E2F4F">
              <w:lastRenderedPageBreak/>
              <w:t>Regulas Nr.1305/2013 II pielikum</w:t>
            </w:r>
            <w:r>
              <w:t>s</w:t>
            </w:r>
            <w:r w:rsidRPr="004E2F4F">
              <w:t xml:space="preserve"> </w:t>
            </w:r>
          </w:p>
        </w:tc>
        <w:tc>
          <w:tcPr>
            <w:tcW w:w="1064" w:type="pct"/>
            <w:gridSpan w:val="7"/>
            <w:shd w:val="clear" w:color="auto" w:fill="auto"/>
          </w:tcPr>
          <w:p w14:paraId="589C5FFD" w14:textId="3D16554D" w:rsidR="001B15F7" w:rsidRPr="0099594E" w:rsidRDefault="004E2F4F" w:rsidP="00D47A1F">
            <w:pPr>
              <w:pStyle w:val="NormalWeb"/>
              <w:spacing w:before="0" w:beforeAutospacing="0" w:after="0" w:afterAutospacing="0"/>
              <w:rPr>
                <w:lang w:eastAsia="en-US"/>
              </w:rPr>
            </w:pPr>
            <w:r>
              <w:rPr>
                <w:lang w:eastAsia="en-US"/>
              </w:rPr>
              <w:t>24.punkts</w:t>
            </w:r>
          </w:p>
        </w:tc>
        <w:tc>
          <w:tcPr>
            <w:tcW w:w="1031" w:type="pct"/>
            <w:gridSpan w:val="2"/>
            <w:shd w:val="clear" w:color="auto" w:fill="auto"/>
          </w:tcPr>
          <w:p w14:paraId="021B4242" w14:textId="75BC800C" w:rsidR="001B15F7" w:rsidRPr="00FE4B2E" w:rsidRDefault="001B15F7" w:rsidP="00D47A1F">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6AC98D2E" w14:textId="6AA5CD29" w:rsidR="001B15F7" w:rsidRPr="00FE4B2E" w:rsidRDefault="001B15F7" w:rsidP="00D47A1F">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30560DA1" w14:textId="77777777" w:rsidTr="00CB6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2443F7FD" w14:textId="77ED4C56" w:rsidR="00CB638B" w:rsidRPr="00D04EE2" w:rsidDel="001B4F07" w:rsidRDefault="00CB638B" w:rsidP="00CB638B">
            <w:pPr>
              <w:pStyle w:val="NormalWeb"/>
              <w:spacing w:before="0" w:beforeAutospacing="0" w:after="0" w:afterAutospacing="0"/>
            </w:pPr>
            <w:r>
              <w:t>Regulas Nr.702</w:t>
            </w:r>
            <w:r w:rsidRPr="00B13BDD">
              <w:t>/201</w:t>
            </w:r>
            <w:r>
              <w:t>4</w:t>
            </w:r>
            <w:r w:rsidRPr="00FE4B2E">
              <w:t xml:space="preserve"> </w:t>
            </w:r>
            <w:r w:rsidR="00F56F35">
              <w:t>40</w:t>
            </w:r>
            <w:r w:rsidRPr="00FE4B2E">
              <w:t>.panta 1.punkt</w:t>
            </w:r>
            <w:r w:rsidR="00524659">
              <w:t>s</w:t>
            </w:r>
            <w:r w:rsidR="00A13DB9">
              <w:t>, 5.</w:t>
            </w:r>
            <w:r w:rsidR="00524659">
              <w:t>punkts</w:t>
            </w:r>
          </w:p>
        </w:tc>
        <w:tc>
          <w:tcPr>
            <w:tcW w:w="1064" w:type="pct"/>
            <w:gridSpan w:val="7"/>
            <w:shd w:val="clear" w:color="auto" w:fill="auto"/>
          </w:tcPr>
          <w:p w14:paraId="5E8D75FB" w14:textId="6BDC2FB7" w:rsidR="00CB638B" w:rsidDel="001B4F07" w:rsidRDefault="00CB638B" w:rsidP="00CB638B">
            <w:pPr>
              <w:pStyle w:val="NormalWeb"/>
              <w:spacing w:before="0" w:beforeAutospacing="0" w:after="0" w:afterAutospacing="0"/>
              <w:rPr>
                <w:lang w:eastAsia="en-US"/>
              </w:rPr>
            </w:pPr>
            <w:r>
              <w:rPr>
                <w:lang w:eastAsia="en-US"/>
              </w:rPr>
              <w:t>44.punkts</w:t>
            </w:r>
          </w:p>
        </w:tc>
        <w:tc>
          <w:tcPr>
            <w:tcW w:w="1031" w:type="pct"/>
            <w:gridSpan w:val="2"/>
            <w:shd w:val="clear" w:color="auto" w:fill="auto"/>
          </w:tcPr>
          <w:p w14:paraId="73F40C8D" w14:textId="48227A49"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74926C6A" w14:textId="6DBA0FB1"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6C3AD9FF"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3A58E830" w14:textId="77777777" w:rsidR="00CB638B" w:rsidRPr="00D04EE2" w:rsidRDefault="00CB638B" w:rsidP="00CB638B">
            <w:pPr>
              <w:pStyle w:val="NormalWeb"/>
              <w:spacing w:before="0" w:beforeAutospacing="0" w:after="0" w:afterAutospacing="0"/>
            </w:pPr>
            <w:r w:rsidRPr="001B15F7">
              <w:rPr>
                <w:szCs w:val="28"/>
              </w:rPr>
              <w:t>Regulas Nr.1305/2013 II pielikums</w:t>
            </w:r>
          </w:p>
        </w:tc>
        <w:tc>
          <w:tcPr>
            <w:tcW w:w="1064" w:type="pct"/>
            <w:gridSpan w:val="7"/>
            <w:shd w:val="clear" w:color="auto" w:fill="auto"/>
          </w:tcPr>
          <w:p w14:paraId="7FD04F9A" w14:textId="3E1E302F" w:rsidR="00CB638B" w:rsidRPr="0099594E" w:rsidRDefault="00CB638B" w:rsidP="00CB638B">
            <w:pPr>
              <w:pStyle w:val="NormalWeb"/>
              <w:spacing w:before="0" w:beforeAutospacing="0" w:after="0" w:afterAutospacing="0"/>
              <w:rPr>
                <w:lang w:eastAsia="en-US"/>
              </w:rPr>
            </w:pPr>
            <w:r>
              <w:rPr>
                <w:lang w:eastAsia="en-US"/>
              </w:rPr>
              <w:t>52.punkts</w:t>
            </w:r>
          </w:p>
        </w:tc>
        <w:tc>
          <w:tcPr>
            <w:tcW w:w="1031" w:type="pct"/>
            <w:gridSpan w:val="2"/>
            <w:shd w:val="clear" w:color="auto" w:fill="auto"/>
          </w:tcPr>
          <w:p w14:paraId="758AC2CD"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6760160D"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3CB5130B"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28C9ED58" w14:textId="0E225E50" w:rsidR="00CB638B" w:rsidRDefault="00CB638B" w:rsidP="00CB638B">
            <w:pPr>
              <w:pStyle w:val="NormalWeb"/>
              <w:spacing w:before="0" w:beforeAutospacing="0" w:after="0" w:afterAutospacing="0"/>
            </w:pPr>
            <w:r>
              <w:t>Regulas Nr.</w:t>
            </w:r>
            <w:r w:rsidRPr="00B13BDD">
              <w:t>1305/2013</w:t>
            </w:r>
            <w:r w:rsidRPr="00FE4B2E">
              <w:t xml:space="preserve"> 17.panta 2.</w:t>
            </w:r>
            <w:r>
              <w:t>punkts</w:t>
            </w:r>
          </w:p>
        </w:tc>
        <w:tc>
          <w:tcPr>
            <w:tcW w:w="1064" w:type="pct"/>
            <w:gridSpan w:val="7"/>
            <w:shd w:val="clear" w:color="auto" w:fill="auto"/>
          </w:tcPr>
          <w:p w14:paraId="65A31D69" w14:textId="272B58A9" w:rsidR="00CB638B" w:rsidRPr="0099594E" w:rsidRDefault="00CB638B" w:rsidP="00CB638B">
            <w:pPr>
              <w:pStyle w:val="NormalWeb"/>
              <w:spacing w:before="0" w:beforeAutospacing="0" w:after="0" w:afterAutospacing="0"/>
              <w:rPr>
                <w:lang w:eastAsia="en-US"/>
              </w:rPr>
            </w:pPr>
            <w:r>
              <w:rPr>
                <w:lang w:eastAsia="en-US"/>
              </w:rPr>
              <w:t>52.punkts</w:t>
            </w:r>
          </w:p>
        </w:tc>
        <w:tc>
          <w:tcPr>
            <w:tcW w:w="1031" w:type="pct"/>
            <w:gridSpan w:val="2"/>
            <w:shd w:val="clear" w:color="auto" w:fill="auto"/>
          </w:tcPr>
          <w:p w14:paraId="3DAC3A2F"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1340EC47"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46C4B998"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09A87021" w14:textId="77777777" w:rsidR="00CB638B" w:rsidRDefault="00CB638B" w:rsidP="00CB638B">
            <w:pPr>
              <w:pStyle w:val="NormalWeb"/>
              <w:spacing w:before="0" w:beforeAutospacing="0" w:after="0" w:afterAutospacing="0"/>
            </w:pPr>
            <w:r>
              <w:t>Regulas Nr.</w:t>
            </w:r>
            <w:r w:rsidRPr="00B13BDD">
              <w:t>1305/2013</w:t>
            </w:r>
          </w:p>
          <w:p w14:paraId="1DE26161" w14:textId="77777777" w:rsidR="00CB638B" w:rsidRDefault="00CB638B" w:rsidP="00CB638B">
            <w:pPr>
              <w:pStyle w:val="NormalWeb"/>
              <w:spacing w:before="0" w:beforeAutospacing="0" w:after="0" w:afterAutospacing="0"/>
            </w:pPr>
            <w:r w:rsidRPr="00FE4B2E">
              <w:t>17.panta 3.punkts</w:t>
            </w:r>
          </w:p>
        </w:tc>
        <w:tc>
          <w:tcPr>
            <w:tcW w:w="1064" w:type="pct"/>
            <w:gridSpan w:val="7"/>
            <w:shd w:val="clear" w:color="auto" w:fill="auto"/>
          </w:tcPr>
          <w:p w14:paraId="10BE9358" w14:textId="44F52037" w:rsidR="00CB638B" w:rsidRPr="0099594E" w:rsidRDefault="00CB638B" w:rsidP="00CB638B">
            <w:pPr>
              <w:pStyle w:val="NormalWeb"/>
              <w:spacing w:before="0" w:beforeAutospacing="0" w:after="0" w:afterAutospacing="0"/>
              <w:rPr>
                <w:lang w:eastAsia="en-US"/>
              </w:rPr>
            </w:pPr>
            <w:r>
              <w:rPr>
                <w:lang w:eastAsia="en-US"/>
              </w:rPr>
              <w:t>52.punkts</w:t>
            </w:r>
          </w:p>
        </w:tc>
        <w:tc>
          <w:tcPr>
            <w:tcW w:w="1031" w:type="pct"/>
            <w:gridSpan w:val="2"/>
            <w:shd w:val="clear" w:color="auto" w:fill="auto"/>
          </w:tcPr>
          <w:p w14:paraId="7A2746EB"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4FD8AF2A"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193955EE"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0410E62C" w14:textId="77777777" w:rsidR="00CB638B" w:rsidRDefault="00CB638B" w:rsidP="00CB638B">
            <w:pPr>
              <w:pStyle w:val="NormalWeb"/>
              <w:spacing w:before="0" w:beforeAutospacing="0" w:after="0" w:afterAutospacing="0"/>
            </w:pPr>
            <w:r>
              <w:t>Regulas Nr.</w:t>
            </w:r>
            <w:r w:rsidRPr="00B13BDD">
              <w:t>1305/2013</w:t>
            </w:r>
          </w:p>
          <w:p w14:paraId="175AD352" w14:textId="77777777" w:rsidR="00CB638B" w:rsidRDefault="00CB638B" w:rsidP="00CB638B">
            <w:pPr>
              <w:pStyle w:val="NormalWeb"/>
              <w:spacing w:before="0" w:beforeAutospacing="0" w:after="0" w:afterAutospacing="0"/>
            </w:pPr>
            <w:r w:rsidRPr="00FE4B2E">
              <w:t>17.panta 4.punkts</w:t>
            </w:r>
          </w:p>
        </w:tc>
        <w:tc>
          <w:tcPr>
            <w:tcW w:w="1064" w:type="pct"/>
            <w:gridSpan w:val="7"/>
            <w:shd w:val="clear" w:color="auto" w:fill="auto"/>
          </w:tcPr>
          <w:p w14:paraId="1269A026" w14:textId="0AE1A923" w:rsidR="00CB638B" w:rsidRPr="0099594E" w:rsidRDefault="00CB638B" w:rsidP="00CB638B">
            <w:pPr>
              <w:pStyle w:val="NormalWeb"/>
              <w:spacing w:before="0" w:beforeAutospacing="0" w:after="0" w:afterAutospacing="0"/>
              <w:rPr>
                <w:lang w:eastAsia="en-US"/>
              </w:rPr>
            </w:pPr>
            <w:r>
              <w:rPr>
                <w:lang w:eastAsia="en-US"/>
              </w:rPr>
              <w:t>52.punkts</w:t>
            </w:r>
          </w:p>
        </w:tc>
        <w:tc>
          <w:tcPr>
            <w:tcW w:w="1031" w:type="pct"/>
            <w:gridSpan w:val="2"/>
            <w:shd w:val="clear" w:color="auto" w:fill="auto"/>
          </w:tcPr>
          <w:p w14:paraId="79317D7C"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7AA7FA46"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557EBF05"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47A240BC" w14:textId="77777777" w:rsidR="00CB638B" w:rsidRDefault="00CB638B" w:rsidP="00CB638B">
            <w:pPr>
              <w:pStyle w:val="NormalWeb"/>
              <w:spacing w:before="0" w:beforeAutospacing="0" w:after="0" w:afterAutospacing="0"/>
            </w:pPr>
            <w:r>
              <w:t>Regulas Nr.</w:t>
            </w:r>
            <w:r w:rsidRPr="00B13BDD">
              <w:t>1305/2013</w:t>
            </w:r>
          </w:p>
          <w:p w14:paraId="369A4BC2" w14:textId="77777777" w:rsidR="00CB638B" w:rsidRDefault="00CB638B" w:rsidP="00CB638B">
            <w:pPr>
              <w:pStyle w:val="NormalWeb"/>
              <w:spacing w:before="0" w:beforeAutospacing="0" w:after="0" w:afterAutospacing="0"/>
            </w:pPr>
            <w:r>
              <w:t>45</w:t>
            </w:r>
            <w:r w:rsidRPr="00FE4B2E">
              <w:t xml:space="preserve">.panta </w:t>
            </w:r>
            <w:r>
              <w:t>2</w:t>
            </w:r>
            <w:r w:rsidRPr="00FE4B2E">
              <w:t>.punkts</w:t>
            </w:r>
          </w:p>
        </w:tc>
        <w:tc>
          <w:tcPr>
            <w:tcW w:w="1064" w:type="pct"/>
            <w:gridSpan w:val="7"/>
            <w:shd w:val="clear" w:color="auto" w:fill="auto"/>
          </w:tcPr>
          <w:p w14:paraId="585914B0" w14:textId="7902D4A4" w:rsidR="00CB638B" w:rsidRDefault="00CB638B" w:rsidP="00CB638B">
            <w:pPr>
              <w:pStyle w:val="NormalWeb"/>
              <w:spacing w:before="0" w:beforeAutospacing="0" w:after="0" w:afterAutospacing="0"/>
            </w:pPr>
            <w:r>
              <w:t>56.punkts</w:t>
            </w:r>
          </w:p>
        </w:tc>
        <w:tc>
          <w:tcPr>
            <w:tcW w:w="1031" w:type="pct"/>
            <w:gridSpan w:val="2"/>
            <w:shd w:val="clear" w:color="auto" w:fill="auto"/>
          </w:tcPr>
          <w:p w14:paraId="6C7B7B27"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5830717D"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11E9F039"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7A731142" w14:textId="77777777" w:rsidR="00CB638B" w:rsidRDefault="00CB638B" w:rsidP="00CB638B">
            <w:pPr>
              <w:pStyle w:val="NormalWeb"/>
              <w:spacing w:before="0" w:beforeAutospacing="0" w:after="0" w:afterAutospacing="0"/>
            </w:pPr>
            <w:r>
              <w:t>Regulas</w:t>
            </w:r>
            <w:r w:rsidRPr="0074086C">
              <w:t xml:space="preserve"> Nr. 1303/2013 67. panta 1. punkta “d” apakšpunkt</w:t>
            </w:r>
            <w:r>
              <w:t>s</w:t>
            </w:r>
            <w:r w:rsidRPr="0074086C">
              <w:t xml:space="preserve"> un 5. punkta “a” apakšpunkt</w:t>
            </w:r>
            <w:r>
              <w:t>s</w:t>
            </w:r>
          </w:p>
        </w:tc>
        <w:tc>
          <w:tcPr>
            <w:tcW w:w="1064" w:type="pct"/>
            <w:gridSpan w:val="7"/>
            <w:shd w:val="clear" w:color="auto" w:fill="auto"/>
          </w:tcPr>
          <w:p w14:paraId="2B6A0724" w14:textId="7B78404B" w:rsidR="00CB638B" w:rsidDel="00ED4F36" w:rsidRDefault="00CB638B" w:rsidP="00CB638B">
            <w:pPr>
              <w:pStyle w:val="NormalWeb"/>
              <w:spacing w:before="0" w:beforeAutospacing="0" w:after="0" w:afterAutospacing="0"/>
            </w:pPr>
            <w:r>
              <w:t>56.punkts</w:t>
            </w:r>
          </w:p>
        </w:tc>
        <w:tc>
          <w:tcPr>
            <w:tcW w:w="1031" w:type="pct"/>
            <w:gridSpan w:val="2"/>
            <w:shd w:val="clear" w:color="auto" w:fill="auto"/>
          </w:tcPr>
          <w:p w14:paraId="1DA0B4CA"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39447283"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0BE5E63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56B16C02" w14:textId="77777777" w:rsidR="00CB638B" w:rsidRDefault="00CB638B" w:rsidP="00CB638B">
            <w:pPr>
              <w:pStyle w:val="NormalWeb"/>
              <w:spacing w:before="0" w:beforeAutospacing="0" w:after="0" w:afterAutospacing="0"/>
            </w:pPr>
            <w:r>
              <w:t>Regulas Nr.</w:t>
            </w:r>
            <w:r w:rsidRPr="00B13BDD">
              <w:t>1305/2013</w:t>
            </w:r>
          </w:p>
          <w:p w14:paraId="6F89767E" w14:textId="77777777" w:rsidR="00CB638B" w:rsidRDefault="00CB638B" w:rsidP="00CB638B">
            <w:pPr>
              <w:pStyle w:val="NormalWeb"/>
              <w:spacing w:before="0" w:beforeAutospacing="0" w:after="0" w:afterAutospacing="0"/>
            </w:pPr>
            <w:r>
              <w:t>45</w:t>
            </w:r>
            <w:r w:rsidRPr="00FE4B2E">
              <w:t xml:space="preserve">.panta </w:t>
            </w:r>
            <w:r>
              <w:t>2</w:t>
            </w:r>
            <w:r w:rsidRPr="00FE4B2E">
              <w:t>.punkts</w:t>
            </w:r>
          </w:p>
        </w:tc>
        <w:tc>
          <w:tcPr>
            <w:tcW w:w="1064" w:type="pct"/>
            <w:gridSpan w:val="7"/>
            <w:shd w:val="clear" w:color="auto" w:fill="auto"/>
          </w:tcPr>
          <w:p w14:paraId="0793C3F3" w14:textId="38371311" w:rsidR="00CB638B" w:rsidRDefault="00CB638B" w:rsidP="00CB638B">
            <w:pPr>
              <w:pStyle w:val="NormalWeb"/>
              <w:spacing w:before="0" w:beforeAutospacing="0" w:after="0" w:afterAutospacing="0"/>
            </w:pPr>
            <w:r>
              <w:t>66.punkts</w:t>
            </w:r>
          </w:p>
        </w:tc>
        <w:tc>
          <w:tcPr>
            <w:tcW w:w="1031" w:type="pct"/>
            <w:gridSpan w:val="2"/>
            <w:shd w:val="clear" w:color="auto" w:fill="auto"/>
          </w:tcPr>
          <w:p w14:paraId="4AD104A3"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4FABC65E"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6CFED6F1"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0DBE365C" w14:textId="77777777" w:rsidR="00CB638B" w:rsidRDefault="00CB638B" w:rsidP="00CB638B">
            <w:pPr>
              <w:pStyle w:val="NormalWeb"/>
              <w:spacing w:before="0" w:beforeAutospacing="0" w:after="0" w:afterAutospacing="0"/>
            </w:pPr>
            <w:r>
              <w:t>Regulas Nr.</w:t>
            </w:r>
            <w:r w:rsidRPr="00B13BDD">
              <w:t>1305/2013</w:t>
            </w:r>
          </w:p>
          <w:p w14:paraId="5538217E" w14:textId="77777777" w:rsidR="00CB638B" w:rsidRDefault="00CB638B" w:rsidP="00CB638B">
            <w:pPr>
              <w:pStyle w:val="NormalWeb"/>
              <w:spacing w:before="0" w:beforeAutospacing="0" w:after="0" w:afterAutospacing="0"/>
            </w:pPr>
            <w:r>
              <w:t>45</w:t>
            </w:r>
            <w:r w:rsidRPr="00FE4B2E">
              <w:t xml:space="preserve">.panta </w:t>
            </w:r>
            <w:r>
              <w:t>2</w:t>
            </w:r>
            <w:r w:rsidRPr="00FE4B2E">
              <w:t>.punkts</w:t>
            </w:r>
          </w:p>
        </w:tc>
        <w:tc>
          <w:tcPr>
            <w:tcW w:w="1064" w:type="pct"/>
            <w:gridSpan w:val="7"/>
            <w:shd w:val="clear" w:color="auto" w:fill="auto"/>
          </w:tcPr>
          <w:p w14:paraId="6569AFD8" w14:textId="0C068959" w:rsidR="00CB638B" w:rsidRDefault="00CB638B" w:rsidP="00CB638B">
            <w:pPr>
              <w:pStyle w:val="NormalWeb"/>
              <w:spacing w:before="0" w:beforeAutospacing="0" w:after="0" w:afterAutospacing="0"/>
            </w:pPr>
            <w:r>
              <w:t>69.punkts</w:t>
            </w:r>
          </w:p>
        </w:tc>
        <w:tc>
          <w:tcPr>
            <w:tcW w:w="1031" w:type="pct"/>
            <w:gridSpan w:val="2"/>
            <w:shd w:val="clear" w:color="auto" w:fill="auto"/>
          </w:tcPr>
          <w:p w14:paraId="228BDFD7"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6B1703EF"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3D6C57FD"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0788C3C8" w14:textId="77777777" w:rsidR="00CB638B" w:rsidRDefault="00CB638B" w:rsidP="00CB638B">
            <w:pPr>
              <w:pStyle w:val="NormalWeb"/>
              <w:spacing w:before="0" w:beforeAutospacing="0" w:after="0" w:afterAutospacing="0"/>
            </w:pPr>
            <w:r>
              <w:t>Regulas Nr.</w:t>
            </w:r>
            <w:r w:rsidRPr="00B13BDD">
              <w:t>1305/2013</w:t>
            </w:r>
          </w:p>
          <w:p w14:paraId="24CB763F" w14:textId="77777777" w:rsidR="00CB638B" w:rsidRDefault="00CB638B" w:rsidP="00CB638B">
            <w:pPr>
              <w:pStyle w:val="NormalWeb"/>
              <w:spacing w:before="0" w:beforeAutospacing="0" w:after="0" w:afterAutospacing="0"/>
            </w:pPr>
            <w:r>
              <w:t>45</w:t>
            </w:r>
            <w:r w:rsidRPr="00FE4B2E">
              <w:t xml:space="preserve">.panta </w:t>
            </w:r>
            <w:r>
              <w:t>2</w:t>
            </w:r>
            <w:r w:rsidRPr="00FE4B2E">
              <w:t>.punkts</w:t>
            </w:r>
          </w:p>
        </w:tc>
        <w:tc>
          <w:tcPr>
            <w:tcW w:w="1064" w:type="pct"/>
            <w:gridSpan w:val="7"/>
            <w:shd w:val="clear" w:color="auto" w:fill="auto"/>
          </w:tcPr>
          <w:p w14:paraId="2C841745" w14:textId="3790354E" w:rsidR="00CB638B" w:rsidRDefault="00CB638B" w:rsidP="00CB638B">
            <w:pPr>
              <w:pStyle w:val="NormalWeb"/>
              <w:spacing w:before="0" w:beforeAutospacing="0" w:after="0" w:afterAutospacing="0"/>
            </w:pPr>
            <w:r>
              <w:t>70.punkts</w:t>
            </w:r>
          </w:p>
        </w:tc>
        <w:tc>
          <w:tcPr>
            <w:tcW w:w="1031" w:type="pct"/>
            <w:gridSpan w:val="2"/>
            <w:shd w:val="clear" w:color="auto" w:fill="auto"/>
          </w:tcPr>
          <w:p w14:paraId="627D7760"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02597864"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11C493DB"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5DF5A926" w14:textId="77777777" w:rsidR="00CB638B" w:rsidRDefault="00CB638B" w:rsidP="00CB638B">
            <w:pPr>
              <w:pStyle w:val="NormalWeb"/>
              <w:spacing w:before="0" w:beforeAutospacing="0" w:after="0" w:afterAutospacing="0"/>
            </w:pPr>
            <w:r>
              <w:t>Regulas Nr.</w:t>
            </w:r>
            <w:r w:rsidRPr="00B13BDD">
              <w:t>1305/2013</w:t>
            </w:r>
          </w:p>
          <w:p w14:paraId="34670BC5" w14:textId="77777777" w:rsidR="00CB638B" w:rsidRDefault="00CB638B" w:rsidP="00CB638B">
            <w:pPr>
              <w:pStyle w:val="NormalWeb"/>
              <w:spacing w:before="0" w:beforeAutospacing="0" w:after="0" w:afterAutospacing="0"/>
            </w:pPr>
            <w:r>
              <w:t>45</w:t>
            </w:r>
            <w:r w:rsidRPr="00FE4B2E">
              <w:t xml:space="preserve">.panta </w:t>
            </w:r>
            <w:r>
              <w:t>1</w:t>
            </w:r>
            <w:r w:rsidRPr="00FE4B2E">
              <w:t>.punkts</w:t>
            </w:r>
          </w:p>
        </w:tc>
        <w:tc>
          <w:tcPr>
            <w:tcW w:w="1064" w:type="pct"/>
            <w:gridSpan w:val="7"/>
            <w:shd w:val="clear" w:color="auto" w:fill="auto"/>
          </w:tcPr>
          <w:p w14:paraId="703B4CCB" w14:textId="0BD823EA" w:rsidR="00CB638B" w:rsidRPr="00FE4B2E" w:rsidRDefault="00CB638B" w:rsidP="00CB638B">
            <w:pPr>
              <w:pStyle w:val="NormalWeb"/>
              <w:spacing w:before="0" w:beforeAutospacing="0" w:after="0" w:afterAutospacing="0"/>
            </w:pPr>
            <w:r>
              <w:t>74.9.2.</w:t>
            </w:r>
            <w:r w:rsidR="008F55A6">
              <w:t> </w:t>
            </w:r>
            <w:r>
              <w:t>apakšpunkts</w:t>
            </w:r>
          </w:p>
        </w:tc>
        <w:tc>
          <w:tcPr>
            <w:tcW w:w="1031" w:type="pct"/>
            <w:gridSpan w:val="2"/>
            <w:shd w:val="clear" w:color="auto" w:fill="auto"/>
          </w:tcPr>
          <w:p w14:paraId="2DFE0BD9"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0619404E"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0E32908D"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3D68EFC8" w14:textId="77777777" w:rsidR="00CB638B" w:rsidRDefault="00CB638B" w:rsidP="00CB638B">
            <w:pPr>
              <w:pStyle w:val="NormalWeb"/>
              <w:spacing w:before="0" w:beforeAutospacing="0" w:after="0" w:afterAutospacing="0"/>
            </w:pPr>
            <w:r>
              <w:t>Regulas Nr.</w:t>
            </w:r>
            <w:r w:rsidRPr="00B13BDD">
              <w:t>1305/2013</w:t>
            </w:r>
          </w:p>
          <w:p w14:paraId="7DC3A079" w14:textId="77777777" w:rsidR="00CB638B" w:rsidRDefault="00CB638B" w:rsidP="00CB638B">
            <w:pPr>
              <w:pStyle w:val="NormalWeb"/>
              <w:spacing w:before="0" w:beforeAutospacing="0" w:after="0" w:afterAutospacing="0"/>
            </w:pPr>
            <w:r>
              <w:t>45</w:t>
            </w:r>
            <w:r w:rsidRPr="00FE4B2E">
              <w:t xml:space="preserve">.panta </w:t>
            </w:r>
            <w:r>
              <w:t>1</w:t>
            </w:r>
            <w:r w:rsidRPr="00FE4B2E">
              <w:t>.punkts</w:t>
            </w:r>
          </w:p>
        </w:tc>
        <w:tc>
          <w:tcPr>
            <w:tcW w:w="1064" w:type="pct"/>
            <w:gridSpan w:val="7"/>
            <w:shd w:val="clear" w:color="auto" w:fill="auto"/>
          </w:tcPr>
          <w:p w14:paraId="54F03379" w14:textId="5ACF02A6" w:rsidR="00CB638B" w:rsidRPr="00FE4B2E" w:rsidRDefault="00CB638B" w:rsidP="00CB638B">
            <w:pPr>
              <w:pStyle w:val="NormalWeb"/>
              <w:spacing w:before="0" w:beforeAutospacing="0" w:after="0" w:afterAutospacing="0"/>
            </w:pPr>
            <w:r>
              <w:t>74.12.1. apakšpunkts</w:t>
            </w:r>
          </w:p>
        </w:tc>
        <w:tc>
          <w:tcPr>
            <w:tcW w:w="1031" w:type="pct"/>
            <w:gridSpan w:val="2"/>
            <w:shd w:val="clear" w:color="auto" w:fill="auto"/>
          </w:tcPr>
          <w:p w14:paraId="1DF389FE"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2301915E"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0A4E5351"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44E03D0D" w14:textId="77777777" w:rsidR="00CB638B" w:rsidRDefault="00CB638B" w:rsidP="00CB638B">
            <w:pPr>
              <w:pStyle w:val="NormalWeb"/>
              <w:spacing w:before="0" w:beforeAutospacing="0" w:after="0" w:afterAutospacing="0"/>
            </w:pPr>
            <w:r>
              <w:t>Regulas Nr.</w:t>
            </w:r>
            <w:r w:rsidRPr="00B13BDD">
              <w:t>1305/2013</w:t>
            </w:r>
          </w:p>
          <w:p w14:paraId="6992EEAB" w14:textId="77777777" w:rsidR="00CB638B" w:rsidRDefault="00CB638B" w:rsidP="00CB638B">
            <w:pPr>
              <w:pStyle w:val="NormalWeb"/>
              <w:spacing w:before="0" w:beforeAutospacing="0" w:after="0" w:afterAutospacing="0"/>
            </w:pPr>
            <w:r>
              <w:t>45</w:t>
            </w:r>
            <w:r w:rsidRPr="00FE4B2E">
              <w:t xml:space="preserve">.panta </w:t>
            </w:r>
            <w:r>
              <w:t>1</w:t>
            </w:r>
            <w:r w:rsidRPr="00FE4B2E">
              <w:t>.punkts</w:t>
            </w:r>
          </w:p>
        </w:tc>
        <w:tc>
          <w:tcPr>
            <w:tcW w:w="1064" w:type="pct"/>
            <w:gridSpan w:val="7"/>
            <w:shd w:val="clear" w:color="auto" w:fill="auto"/>
          </w:tcPr>
          <w:p w14:paraId="44DAF2E2" w14:textId="64871D84" w:rsidR="00CB638B" w:rsidRPr="00FE4B2E" w:rsidRDefault="00CB638B" w:rsidP="00CB638B">
            <w:pPr>
              <w:pStyle w:val="NormalWeb"/>
              <w:spacing w:before="0" w:beforeAutospacing="0" w:after="0" w:afterAutospacing="0"/>
            </w:pPr>
            <w:r>
              <w:t>74.8.3. apakšpunkts</w:t>
            </w:r>
          </w:p>
        </w:tc>
        <w:tc>
          <w:tcPr>
            <w:tcW w:w="1031" w:type="pct"/>
            <w:gridSpan w:val="2"/>
            <w:shd w:val="clear" w:color="auto" w:fill="auto"/>
          </w:tcPr>
          <w:p w14:paraId="1EA49CFF"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2C27B4C2"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41A0706D"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79DEFFEC" w14:textId="77777777" w:rsidR="00CB638B" w:rsidRDefault="00CB638B" w:rsidP="00CB638B">
            <w:pPr>
              <w:pStyle w:val="NormalWeb"/>
              <w:spacing w:before="0" w:beforeAutospacing="0" w:after="0" w:afterAutospacing="0"/>
            </w:pPr>
            <w:r>
              <w:t>Regulas Nr.</w:t>
            </w:r>
            <w:r w:rsidRPr="00B13BDD">
              <w:t>1305/2013</w:t>
            </w:r>
          </w:p>
          <w:p w14:paraId="7B0CF518" w14:textId="77777777" w:rsidR="00CB638B" w:rsidRPr="0099594E" w:rsidRDefault="00CB638B" w:rsidP="00CB638B">
            <w:pPr>
              <w:pStyle w:val="NormalWeb"/>
              <w:spacing w:before="0" w:beforeAutospacing="0" w:after="0" w:afterAutospacing="0"/>
            </w:pPr>
            <w:r>
              <w:t>49</w:t>
            </w:r>
            <w:r w:rsidRPr="00FE4B2E">
              <w:t>.pants</w:t>
            </w:r>
          </w:p>
        </w:tc>
        <w:tc>
          <w:tcPr>
            <w:tcW w:w="1064" w:type="pct"/>
            <w:gridSpan w:val="7"/>
            <w:shd w:val="clear" w:color="auto" w:fill="auto"/>
          </w:tcPr>
          <w:p w14:paraId="3B239D5E" w14:textId="4E6ACDB4" w:rsidR="00CB638B" w:rsidRPr="0099594E" w:rsidRDefault="00CB638B" w:rsidP="00CB638B">
            <w:pPr>
              <w:pStyle w:val="NormalWeb"/>
              <w:spacing w:before="0" w:beforeAutospacing="0" w:after="0" w:afterAutospacing="0"/>
              <w:rPr>
                <w:lang w:eastAsia="en-US"/>
              </w:rPr>
            </w:pPr>
            <w:r>
              <w:rPr>
                <w:lang w:eastAsia="en-US"/>
              </w:rPr>
              <w:t>75.punkts</w:t>
            </w:r>
          </w:p>
        </w:tc>
        <w:tc>
          <w:tcPr>
            <w:tcW w:w="1031" w:type="pct"/>
            <w:gridSpan w:val="2"/>
            <w:shd w:val="clear" w:color="auto" w:fill="auto"/>
          </w:tcPr>
          <w:p w14:paraId="6058FE88" w14:textId="77777777" w:rsidR="00CB638B" w:rsidRPr="00FE4B2E" w:rsidRDefault="00CB638B" w:rsidP="00CB638B">
            <w:pPr>
              <w:pStyle w:val="NormalWeb"/>
              <w:spacing w:before="0" w:beforeAutospacing="0" w:after="0" w:afterAutospacing="0"/>
              <w:rPr>
                <w:lang w:eastAsia="en-US"/>
              </w:rPr>
            </w:pPr>
            <w:r w:rsidRPr="00FE4B2E">
              <w:rPr>
                <w:lang w:eastAsia="en-US"/>
              </w:rPr>
              <w:t>Ieviests pilnībā</w:t>
            </w:r>
          </w:p>
        </w:tc>
        <w:tc>
          <w:tcPr>
            <w:tcW w:w="1424" w:type="pct"/>
            <w:shd w:val="clear" w:color="auto" w:fill="auto"/>
          </w:tcPr>
          <w:p w14:paraId="51298A03" w14:textId="77777777" w:rsidR="00CB638B" w:rsidRPr="00FE4B2E" w:rsidRDefault="00CB638B" w:rsidP="00CB638B">
            <w:pPr>
              <w:pStyle w:val="NormalWeb"/>
              <w:spacing w:before="0" w:beforeAutospacing="0" w:after="0" w:afterAutospacing="0"/>
              <w:rPr>
                <w:lang w:eastAsia="en-US"/>
              </w:rPr>
            </w:pPr>
            <w:r w:rsidRPr="00FE4B2E">
              <w:rPr>
                <w:lang w:eastAsia="en-US"/>
              </w:rPr>
              <w:t>Neparedz stingrākas prasības kā ES tiesību normas</w:t>
            </w:r>
          </w:p>
        </w:tc>
      </w:tr>
      <w:tr w:rsidR="00CB638B" w:rsidRPr="00D7142C" w14:paraId="4D199A4E"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4305EF8C" w14:textId="77777777" w:rsidR="00CB638B" w:rsidRPr="004C23AA" w:rsidRDefault="00CB638B" w:rsidP="00CB638B">
            <w:pPr>
              <w:pStyle w:val="NormalWeb"/>
              <w:spacing w:before="0" w:beforeAutospacing="0" w:after="0" w:afterAutospacing="0"/>
            </w:pPr>
            <w:r>
              <w:t xml:space="preserve">Kā ir izmantota ES tiesību aktā paredzētā rīcības brīvība dalībvalstij pārņemt vai ieviest noteiktas ES </w:t>
            </w:r>
            <w:r>
              <w:lastRenderedPageBreak/>
              <w:t>tiesību akta normas?</w:t>
            </w:r>
            <w:r>
              <w:br/>
              <w:t>Kādēļ?</w:t>
            </w:r>
          </w:p>
        </w:tc>
        <w:tc>
          <w:tcPr>
            <w:tcW w:w="3519" w:type="pct"/>
            <w:gridSpan w:val="10"/>
            <w:shd w:val="clear" w:color="auto" w:fill="auto"/>
          </w:tcPr>
          <w:p w14:paraId="55C3A18E" w14:textId="2F9977F7" w:rsidR="00CB638B" w:rsidRPr="00B21001" w:rsidRDefault="00CB638B" w:rsidP="008F55A6">
            <w:pPr>
              <w:pStyle w:val="NormalWeb"/>
              <w:spacing w:before="0" w:beforeAutospacing="0" w:after="0" w:afterAutospacing="0"/>
              <w:jc w:val="both"/>
              <w:rPr>
                <w:highlight w:val="yellow"/>
              </w:rPr>
            </w:pPr>
            <w:r w:rsidRPr="007E4F0F">
              <w:lastRenderedPageBreak/>
              <w:t>Regula Nr.</w:t>
            </w:r>
            <w:r w:rsidR="008F55A6">
              <w:t xml:space="preserve"> </w:t>
            </w:r>
            <w:r w:rsidRPr="007E4F0F">
              <w:t xml:space="preserve">1305/2013 dalībvalstīm </w:t>
            </w:r>
            <w:r w:rsidR="008F55A6">
              <w:t>dod</w:t>
            </w:r>
            <w:r w:rsidRPr="007E4F0F">
              <w:t xml:space="preserve"> rīcības brīvību, ieviešot regulu</w:t>
            </w:r>
            <w:r>
              <w:t>, tomēr izvēlētajiem nosacījumiem ir jābūt aprakstītiem LAP (2014</w:t>
            </w:r>
            <w:r w:rsidR="008F55A6">
              <w:t>–</w:t>
            </w:r>
            <w:r>
              <w:t xml:space="preserve">2020) un pārejas periodā un </w:t>
            </w:r>
            <w:r w:rsidR="008F55A6">
              <w:t>pamatotiem ar</w:t>
            </w:r>
            <w:r>
              <w:t xml:space="preserve"> visaptveroš</w:t>
            </w:r>
            <w:r w:rsidR="008F55A6">
              <w:t>u</w:t>
            </w:r>
            <w:r>
              <w:t xml:space="preserve"> SVID analīz</w:t>
            </w:r>
            <w:r w:rsidR="008F55A6">
              <w:t>i</w:t>
            </w:r>
            <w:r w:rsidRPr="007E4F0F">
              <w:t>.</w:t>
            </w:r>
          </w:p>
        </w:tc>
      </w:tr>
      <w:tr w:rsidR="00CB638B" w:rsidRPr="00D7142C" w14:paraId="55E44093"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6A417461" w14:textId="77777777" w:rsidR="00CB638B" w:rsidRDefault="00CB638B" w:rsidP="00CB638B">
            <w:pPr>
              <w:pStyle w:val="NormalWeb"/>
              <w:spacing w:before="0" w:beforeAutospacing="0" w:after="0" w:afterAutospacing="0"/>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19" w:type="pct"/>
            <w:gridSpan w:val="10"/>
            <w:shd w:val="clear" w:color="auto" w:fill="auto"/>
          </w:tcPr>
          <w:p w14:paraId="6C1AA978" w14:textId="1C8AE182" w:rsidR="00CB638B" w:rsidRDefault="00CB638B" w:rsidP="00CB638B">
            <w:pPr>
              <w:pStyle w:val="NormalWeb"/>
              <w:spacing w:before="0" w:beforeAutospacing="0" w:after="0" w:afterAutospacing="0"/>
            </w:pPr>
            <w:r>
              <w:t>Projekts šo jomu neskar</w:t>
            </w:r>
            <w:r w:rsidR="008F55A6">
              <w:t>.</w:t>
            </w:r>
          </w:p>
        </w:tc>
      </w:tr>
      <w:tr w:rsidR="00CB638B" w:rsidRPr="00D7142C" w14:paraId="2B7E324A"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481" w:type="pct"/>
            <w:gridSpan w:val="4"/>
            <w:shd w:val="clear" w:color="auto" w:fill="auto"/>
          </w:tcPr>
          <w:p w14:paraId="308E3B78" w14:textId="77777777" w:rsidR="00CB638B" w:rsidRDefault="00CB638B" w:rsidP="00CB638B">
            <w:pPr>
              <w:pStyle w:val="NormalWeb"/>
              <w:spacing w:before="0" w:beforeAutospacing="0" w:after="0" w:afterAutospacing="0"/>
            </w:pPr>
            <w:r>
              <w:t>Cita informācija</w:t>
            </w:r>
          </w:p>
        </w:tc>
        <w:tc>
          <w:tcPr>
            <w:tcW w:w="3519" w:type="pct"/>
            <w:gridSpan w:val="10"/>
            <w:shd w:val="clear" w:color="auto" w:fill="auto"/>
          </w:tcPr>
          <w:p w14:paraId="5B8C2BEE" w14:textId="16F9FC1D" w:rsidR="00CB638B" w:rsidRDefault="00CB638B" w:rsidP="00CB638B">
            <w:pPr>
              <w:pStyle w:val="NormalWeb"/>
              <w:spacing w:before="0" w:beforeAutospacing="0" w:after="0" w:afterAutospacing="0"/>
            </w:pPr>
            <w:r>
              <w:t>Nav</w:t>
            </w:r>
            <w:r w:rsidR="008F55A6">
              <w:t>.</w:t>
            </w:r>
          </w:p>
        </w:tc>
      </w:tr>
      <w:tr w:rsidR="00CB638B" w:rsidRPr="00D7142C" w14:paraId="584B5D5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14"/>
            <w:shd w:val="clear" w:color="auto" w:fill="auto"/>
          </w:tcPr>
          <w:p w14:paraId="235BF8C8" w14:textId="77777777" w:rsidR="00CB638B" w:rsidRPr="00EC0240" w:rsidRDefault="00CB638B" w:rsidP="00CB638B">
            <w:pPr>
              <w:autoSpaceDE w:val="0"/>
              <w:autoSpaceDN w:val="0"/>
              <w:adjustRightInd w:val="0"/>
              <w:jc w:val="center"/>
              <w:rPr>
                <w:b/>
                <w:bCs/>
              </w:rPr>
            </w:pPr>
            <w:r w:rsidRPr="00EC0240">
              <w:rPr>
                <w:b/>
                <w:bCs/>
              </w:rPr>
              <w:t>2.tabula</w:t>
            </w:r>
          </w:p>
          <w:p w14:paraId="1A63D777" w14:textId="77777777" w:rsidR="00CB638B" w:rsidRPr="00EC0240" w:rsidRDefault="00CB638B" w:rsidP="00CB638B">
            <w:pPr>
              <w:autoSpaceDE w:val="0"/>
              <w:autoSpaceDN w:val="0"/>
              <w:adjustRightInd w:val="0"/>
              <w:jc w:val="center"/>
              <w:rPr>
                <w:b/>
                <w:bCs/>
              </w:rPr>
            </w:pPr>
            <w:r w:rsidRPr="00EC0240">
              <w:rPr>
                <w:b/>
                <w:bCs/>
              </w:rPr>
              <w:t>Ar tiesību akta projektu izpildītās vai uzņemtās saistības, kas izriet no starptautiskajiem tiesību aktiem vai starptautiskas institūcijas vai organizācijas dokumentiem.</w:t>
            </w:r>
          </w:p>
          <w:p w14:paraId="034DBCA9" w14:textId="77777777" w:rsidR="00CB638B" w:rsidRPr="00D7142C" w:rsidRDefault="00CB638B" w:rsidP="00CB638B">
            <w:pPr>
              <w:pStyle w:val="NormalWeb"/>
              <w:spacing w:before="0" w:beforeAutospacing="0" w:after="0" w:afterAutospacing="0"/>
              <w:jc w:val="center"/>
            </w:pPr>
            <w:r w:rsidRPr="00EC0240">
              <w:rPr>
                <w:b/>
                <w:bCs/>
              </w:rPr>
              <w:t>Pasākumi šo saistību izpildei</w:t>
            </w:r>
          </w:p>
        </w:tc>
      </w:tr>
      <w:tr w:rsidR="00CB638B" w:rsidRPr="00D7142C" w14:paraId="7B5F66A3"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5E497494" w14:textId="77777777" w:rsidR="00CB638B" w:rsidRPr="00396E0D" w:rsidRDefault="00CB638B" w:rsidP="00CB638B">
            <w:pPr>
              <w:pStyle w:val="NormalWeb"/>
              <w:spacing w:before="0" w:beforeAutospacing="0" w:after="0" w:afterAutospacing="0"/>
              <w:rPr>
                <w:b/>
              </w:rPr>
            </w:pPr>
            <w:r>
              <w:t>Attiecīgā starptautiskā tiesību akta vai starptautiskas institūcijas vai organizācijas dokumenta (turpmāk – starptautiskais dokuments) datums, numurs un nosaukums</w:t>
            </w:r>
          </w:p>
        </w:tc>
        <w:tc>
          <w:tcPr>
            <w:tcW w:w="3244" w:type="pct"/>
            <w:gridSpan w:val="7"/>
            <w:shd w:val="clear" w:color="auto" w:fill="auto"/>
          </w:tcPr>
          <w:p w14:paraId="430A40A9" w14:textId="0F49ADBE" w:rsidR="00CB638B" w:rsidRPr="00D7142C" w:rsidRDefault="00CB638B" w:rsidP="00CB638B">
            <w:pPr>
              <w:pStyle w:val="NormalWeb"/>
              <w:spacing w:before="0" w:beforeAutospacing="0" w:after="0" w:afterAutospacing="0"/>
            </w:pPr>
            <w:r>
              <w:t>Projekts šo jomu neskar</w:t>
            </w:r>
            <w:r w:rsidR="008F55A6">
              <w:t>.</w:t>
            </w:r>
          </w:p>
        </w:tc>
      </w:tr>
      <w:tr w:rsidR="00CB638B" w:rsidRPr="00D7142C" w14:paraId="38F26C24"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15F173DA" w14:textId="77777777" w:rsidR="00CB638B" w:rsidRPr="00D7142C" w:rsidRDefault="00CB638B" w:rsidP="00CB638B">
            <w:pPr>
              <w:pStyle w:val="NormalWeb"/>
              <w:spacing w:before="0" w:beforeAutospacing="0" w:after="0" w:afterAutospacing="0"/>
            </w:pPr>
            <w:r w:rsidRPr="00D7142C">
              <w:t>A</w:t>
            </w:r>
          </w:p>
        </w:tc>
        <w:tc>
          <w:tcPr>
            <w:tcW w:w="1474" w:type="pct"/>
            <w:gridSpan w:val="5"/>
            <w:shd w:val="clear" w:color="auto" w:fill="auto"/>
          </w:tcPr>
          <w:p w14:paraId="6AF636C1" w14:textId="77777777" w:rsidR="00CB638B" w:rsidRPr="00D7142C" w:rsidRDefault="00CB638B" w:rsidP="00CB638B">
            <w:pPr>
              <w:pStyle w:val="NormalWeb"/>
              <w:spacing w:before="0" w:beforeAutospacing="0" w:after="0" w:afterAutospacing="0"/>
            </w:pPr>
            <w:r w:rsidRPr="00D7142C">
              <w:t>B</w:t>
            </w:r>
          </w:p>
        </w:tc>
        <w:tc>
          <w:tcPr>
            <w:tcW w:w="1770" w:type="pct"/>
            <w:gridSpan w:val="2"/>
            <w:shd w:val="clear" w:color="auto" w:fill="auto"/>
          </w:tcPr>
          <w:p w14:paraId="029F6BAD" w14:textId="77777777" w:rsidR="00CB638B" w:rsidRPr="00D7142C" w:rsidRDefault="00CB638B" w:rsidP="00CB638B">
            <w:pPr>
              <w:pStyle w:val="NormalWeb"/>
              <w:spacing w:before="0" w:beforeAutospacing="0" w:after="0" w:afterAutospacing="0"/>
            </w:pPr>
            <w:r w:rsidRPr="00D7142C">
              <w:t>C</w:t>
            </w:r>
          </w:p>
        </w:tc>
      </w:tr>
      <w:tr w:rsidR="00CB638B" w:rsidRPr="00D7142C" w14:paraId="04274646"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472B85EF" w14:textId="77777777" w:rsidR="00CB638B" w:rsidRPr="003B53FE" w:rsidRDefault="00CB638B" w:rsidP="00CB638B">
            <w:r w:rsidRPr="003B53FE">
              <w:t xml:space="preserve">Starptautiskās saistības (pēc būtības), kas izriet no norādītā starptautiskā dokumenta. </w:t>
            </w:r>
          </w:p>
          <w:p w14:paraId="6BBDFF08" w14:textId="77777777" w:rsidR="00CB638B" w:rsidRPr="00D7142C" w:rsidRDefault="00CB638B" w:rsidP="00CB638B">
            <w:pPr>
              <w:pStyle w:val="NormalWeb"/>
              <w:spacing w:before="0" w:beforeAutospacing="0" w:after="0" w:afterAutospacing="0"/>
            </w:pPr>
            <w:r w:rsidRPr="003B53FE">
              <w:t>Konkrēti veicamie pasākumi vai uzdevumi, kas nepieciešami šo starptautisko saistību izpildei</w:t>
            </w:r>
          </w:p>
        </w:tc>
        <w:tc>
          <w:tcPr>
            <w:tcW w:w="1474" w:type="pct"/>
            <w:gridSpan w:val="5"/>
            <w:shd w:val="clear" w:color="auto" w:fill="auto"/>
          </w:tcPr>
          <w:p w14:paraId="72EDD49B" w14:textId="77777777" w:rsidR="00CB638B" w:rsidRPr="00D7142C" w:rsidRDefault="00CB638B" w:rsidP="00CB638B">
            <w:pPr>
              <w:pStyle w:val="NormalWeb"/>
              <w:spacing w:before="0" w:beforeAutospacing="0" w:after="0" w:afterAutospacing="0"/>
            </w:pPr>
            <w:r w:rsidRPr="003B53FE">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70" w:type="pct"/>
            <w:gridSpan w:val="2"/>
            <w:shd w:val="clear" w:color="auto" w:fill="auto"/>
          </w:tcPr>
          <w:p w14:paraId="29024482" w14:textId="77777777" w:rsidR="00CB638B" w:rsidRDefault="00CB638B" w:rsidP="00CB638B">
            <w:r w:rsidRPr="003B53FE">
              <w:t xml:space="preserve">Informācija par to, vai starptautiskās saistības, kas minētas šīs tabulas A ailē, tiek izpildītas pilnībā vai daļēji. </w:t>
            </w:r>
          </w:p>
          <w:p w14:paraId="570AEEFD" w14:textId="77777777" w:rsidR="00CB638B" w:rsidRPr="003B53FE" w:rsidRDefault="00CB638B" w:rsidP="00CB638B">
            <w:r w:rsidRPr="003B53FE">
              <w:t>Ja attiecīgās starptautiskās saistības tiek izpildītas daļēji, sniedz skaidrojumu, kā arī precīzi norāda, kad un kādā veidā starptautiskās saistības tiks izpildītas pilnībā.</w:t>
            </w:r>
          </w:p>
          <w:p w14:paraId="597F4FDA" w14:textId="77777777" w:rsidR="00CB638B" w:rsidRPr="00D7142C" w:rsidRDefault="00CB638B" w:rsidP="00CB638B">
            <w:pPr>
              <w:pStyle w:val="NormalWeb"/>
              <w:spacing w:before="0" w:beforeAutospacing="0" w:after="0" w:afterAutospacing="0"/>
            </w:pPr>
            <w:r w:rsidRPr="003B53FE">
              <w:t>Norāda institūciju, kas ir atbildīga par šo saistību izpildi pilnībā</w:t>
            </w:r>
          </w:p>
        </w:tc>
      </w:tr>
      <w:tr w:rsidR="00CB638B" w:rsidRPr="00D7142C" w14:paraId="14E76507"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71BFAA5E" w14:textId="77777777" w:rsidR="00CB638B" w:rsidRPr="00D7142C" w:rsidRDefault="00CB638B" w:rsidP="00CB638B">
            <w:pPr>
              <w:pStyle w:val="NormalWeb"/>
              <w:spacing w:before="0" w:beforeAutospacing="0" w:after="0" w:afterAutospacing="0"/>
            </w:pPr>
            <w:r>
              <w:t>Projekts šo jomu neskar</w:t>
            </w:r>
          </w:p>
        </w:tc>
        <w:tc>
          <w:tcPr>
            <w:tcW w:w="1474" w:type="pct"/>
            <w:gridSpan w:val="5"/>
            <w:shd w:val="clear" w:color="auto" w:fill="auto"/>
          </w:tcPr>
          <w:p w14:paraId="60F7C82A" w14:textId="189B1743" w:rsidR="00CB638B" w:rsidRPr="00D7142C" w:rsidRDefault="00CB638B" w:rsidP="00CB638B">
            <w:pPr>
              <w:pStyle w:val="NormalWeb"/>
              <w:spacing w:before="0" w:beforeAutospacing="0" w:after="0" w:afterAutospacing="0"/>
            </w:pPr>
            <w:r>
              <w:t>Projekts šo jomu neskar</w:t>
            </w:r>
            <w:r w:rsidR="008F55A6">
              <w:t>.</w:t>
            </w:r>
          </w:p>
        </w:tc>
        <w:tc>
          <w:tcPr>
            <w:tcW w:w="1770" w:type="pct"/>
            <w:gridSpan w:val="2"/>
            <w:shd w:val="clear" w:color="auto" w:fill="auto"/>
          </w:tcPr>
          <w:p w14:paraId="1CC6E261" w14:textId="4C4B6676" w:rsidR="00CB638B" w:rsidRPr="00D7142C" w:rsidRDefault="00CB638B" w:rsidP="00CB638B">
            <w:pPr>
              <w:pStyle w:val="NormalWeb"/>
              <w:spacing w:before="0" w:beforeAutospacing="0" w:after="0" w:afterAutospacing="0"/>
            </w:pPr>
            <w:r>
              <w:t>Projekts šo jomu neskar</w:t>
            </w:r>
            <w:r w:rsidR="008F55A6">
              <w:t>.</w:t>
            </w:r>
          </w:p>
        </w:tc>
      </w:tr>
      <w:tr w:rsidR="00CB638B" w:rsidRPr="00D7142C" w14:paraId="7D35BBE6"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0C1B8374" w14:textId="77777777" w:rsidR="00CB638B" w:rsidRPr="00D7142C" w:rsidRDefault="00CB638B" w:rsidP="00CB638B">
            <w:pPr>
              <w:pStyle w:val="NormalWeb"/>
              <w:spacing w:before="0" w:beforeAutospacing="0" w:after="0" w:afterAutospacing="0"/>
            </w:pPr>
            <w:r>
              <w:t>Vai starptautiskajā dokumentā paredzētās saistības nav pretrunā ar jau esošajām Latvijas Republikas starptautiskajām saistībām</w:t>
            </w:r>
          </w:p>
        </w:tc>
        <w:tc>
          <w:tcPr>
            <w:tcW w:w="3244" w:type="pct"/>
            <w:gridSpan w:val="7"/>
            <w:shd w:val="clear" w:color="auto" w:fill="auto"/>
          </w:tcPr>
          <w:p w14:paraId="168EBEAD" w14:textId="10D81286" w:rsidR="00CB638B" w:rsidRPr="00D7142C" w:rsidRDefault="00CB638B" w:rsidP="00CB638B">
            <w:pPr>
              <w:pStyle w:val="NormalWeb"/>
              <w:spacing w:before="0" w:beforeAutospacing="0" w:after="0" w:afterAutospacing="0"/>
            </w:pPr>
            <w:r>
              <w:t>Projekts šo jomu neskar</w:t>
            </w:r>
            <w:r w:rsidR="008F55A6">
              <w:t>.</w:t>
            </w:r>
          </w:p>
        </w:tc>
      </w:tr>
      <w:tr w:rsidR="00CB638B" w:rsidRPr="00D7142C" w14:paraId="62734D5C"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756" w:type="pct"/>
            <w:gridSpan w:val="7"/>
            <w:shd w:val="clear" w:color="auto" w:fill="auto"/>
          </w:tcPr>
          <w:p w14:paraId="11766A95" w14:textId="77777777" w:rsidR="00CB638B" w:rsidRPr="00D7142C" w:rsidRDefault="00CB638B" w:rsidP="00CB638B">
            <w:pPr>
              <w:pStyle w:val="NormalWeb"/>
              <w:spacing w:before="0" w:beforeAutospacing="0" w:after="0" w:afterAutospacing="0"/>
            </w:pPr>
            <w:r>
              <w:t>Cita informācija</w:t>
            </w:r>
          </w:p>
        </w:tc>
        <w:tc>
          <w:tcPr>
            <w:tcW w:w="3244" w:type="pct"/>
            <w:gridSpan w:val="7"/>
            <w:shd w:val="clear" w:color="auto" w:fill="auto"/>
          </w:tcPr>
          <w:p w14:paraId="06E38BB5" w14:textId="03A69729" w:rsidR="00CB638B" w:rsidRPr="00D7142C" w:rsidRDefault="00CB638B" w:rsidP="00CB638B">
            <w:pPr>
              <w:pStyle w:val="NormalWeb"/>
              <w:spacing w:before="0" w:beforeAutospacing="0" w:after="0" w:afterAutospacing="0"/>
            </w:pPr>
            <w:r>
              <w:t>Nav</w:t>
            </w:r>
            <w:r w:rsidR="008F55A6">
              <w:t>.</w:t>
            </w:r>
          </w:p>
        </w:tc>
      </w:tr>
      <w:tr w:rsidR="00CB638B" w:rsidRPr="00D7142C" w14:paraId="4739C94E" w14:textId="77777777" w:rsidTr="001F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14"/>
            <w:shd w:val="clear" w:color="auto" w:fill="auto"/>
          </w:tcPr>
          <w:p w14:paraId="7C6B9B82" w14:textId="77777777" w:rsidR="00CB638B" w:rsidRPr="008C0C54" w:rsidRDefault="00CB638B" w:rsidP="00CB638B">
            <w:pPr>
              <w:pStyle w:val="NormalWeb"/>
              <w:tabs>
                <w:tab w:val="left" w:pos="1494"/>
                <w:tab w:val="center" w:pos="4357"/>
              </w:tabs>
              <w:spacing w:before="0" w:beforeAutospacing="0" w:after="0" w:afterAutospacing="0"/>
              <w:rPr>
                <w:b/>
              </w:rPr>
            </w:pPr>
            <w:r>
              <w:rPr>
                <w:b/>
              </w:rPr>
              <w:tab/>
              <w:t>V</w:t>
            </w:r>
            <w:r>
              <w:rPr>
                <w:b/>
              </w:rPr>
              <w:tab/>
            </w:r>
            <w:r w:rsidRPr="008C0C54">
              <w:rPr>
                <w:b/>
              </w:rPr>
              <w:t>I. Sabiedrības līdzdalība un komunikācijas aktivitātes</w:t>
            </w:r>
          </w:p>
        </w:tc>
      </w:tr>
      <w:tr w:rsidR="00CB638B" w:rsidRPr="001910B3" w14:paraId="784835F7" w14:textId="77777777" w:rsidTr="001F0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132"/>
          <w:jc w:val="center"/>
        </w:trPr>
        <w:tc>
          <w:tcPr>
            <w:tcW w:w="537" w:type="pct"/>
          </w:tcPr>
          <w:p w14:paraId="0EEC9193" w14:textId="77777777" w:rsidR="00CB638B" w:rsidRPr="001910B3" w:rsidRDefault="00CB638B" w:rsidP="00CB638B">
            <w:pPr>
              <w:pStyle w:val="naiskr"/>
              <w:spacing w:before="0" w:after="0"/>
              <w:ind w:left="57" w:right="57"/>
              <w:rPr>
                <w:bCs/>
              </w:rPr>
            </w:pPr>
            <w:r w:rsidRPr="001910B3">
              <w:rPr>
                <w:bCs/>
              </w:rPr>
              <w:t>1.</w:t>
            </w:r>
          </w:p>
        </w:tc>
        <w:tc>
          <w:tcPr>
            <w:tcW w:w="1150" w:type="pct"/>
            <w:gridSpan w:val="5"/>
          </w:tcPr>
          <w:p w14:paraId="24997EE2" w14:textId="77777777" w:rsidR="00CB638B" w:rsidRPr="001910B3" w:rsidRDefault="00CB638B" w:rsidP="00CB638B">
            <w:pPr>
              <w:pStyle w:val="naiskr"/>
              <w:tabs>
                <w:tab w:val="left" w:pos="170"/>
              </w:tabs>
              <w:spacing w:before="0" w:after="0"/>
              <w:ind w:left="57" w:right="57"/>
            </w:pPr>
            <w:r>
              <w:t>Plānotās sabiedrības līdzdalības un komunikācijas aktivitātes saistībā ar projektu</w:t>
            </w:r>
          </w:p>
        </w:tc>
        <w:tc>
          <w:tcPr>
            <w:tcW w:w="3312" w:type="pct"/>
            <w:gridSpan w:val="8"/>
            <w:shd w:val="clear" w:color="auto" w:fill="auto"/>
          </w:tcPr>
          <w:p w14:paraId="4C5D6DC4" w14:textId="77777777" w:rsidR="00CB638B" w:rsidRDefault="00CB638B" w:rsidP="00CB638B">
            <w:pPr>
              <w:ind w:firstLine="720"/>
              <w:jc w:val="both"/>
            </w:pPr>
            <w:r w:rsidRPr="003B4F98">
              <w:t xml:space="preserve">Informācija par noteikumu projektu ievietota tīmekļvietnē </w:t>
            </w:r>
            <w:hyperlink r:id="rId13" w:history="1">
              <w:r w:rsidRPr="00111139">
                <w:rPr>
                  <w:rStyle w:val="Hyperlink"/>
                </w:rPr>
                <w:t>www.zm.gov.lv</w:t>
              </w:r>
            </w:hyperlink>
            <w:r w:rsidRPr="003B4F98">
              <w:t xml:space="preserve">. </w:t>
            </w:r>
          </w:p>
          <w:p w14:paraId="0274D8BB" w14:textId="77777777" w:rsidR="00CB638B" w:rsidRDefault="00CB638B" w:rsidP="00CB638B">
            <w:pPr>
              <w:ind w:firstLine="720"/>
              <w:jc w:val="both"/>
            </w:pPr>
          </w:p>
          <w:p w14:paraId="2FA56CB5" w14:textId="0544822C" w:rsidR="00CB638B" w:rsidRPr="00214B92" w:rsidRDefault="00CB638B" w:rsidP="006D3F96">
            <w:pPr>
              <w:pStyle w:val="naiskr"/>
              <w:spacing w:before="0" w:after="0"/>
              <w:ind w:left="57" w:right="57"/>
              <w:jc w:val="both"/>
            </w:pPr>
            <w:r>
              <w:t>Sabiedrisk</w:t>
            </w:r>
            <w:r w:rsidR="008F55A6">
              <w:t>aj</w:t>
            </w:r>
            <w:r>
              <w:t>ā apspriešanā nebija saņemti iebildumi par noteikuma projektu.</w:t>
            </w:r>
          </w:p>
        </w:tc>
      </w:tr>
      <w:tr w:rsidR="00CB638B" w:rsidRPr="001910B3" w14:paraId="2F42D687" w14:textId="77777777" w:rsidTr="001F0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39"/>
          <w:jc w:val="center"/>
        </w:trPr>
        <w:tc>
          <w:tcPr>
            <w:tcW w:w="537" w:type="pct"/>
          </w:tcPr>
          <w:p w14:paraId="054B393F" w14:textId="77777777" w:rsidR="00CB638B" w:rsidRPr="001910B3" w:rsidRDefault="00CB638B" w:rsidP="00CB638B">
            <w:pPr>
              <w:pStyle w:val="naiskr"/>
              <w:spacing w:before="0" w:after="0"/>
              <w:ind w:left="57" w:right="57"/>
              <w:rPr>
                <w:bCs/>
              </w:rPr>
            </w:pPr>
            <w:r w:rsidRPr="001910B3">
              <w:rPr>
                <w:bCs/>
              </w:rPr>
              <w:t>2.</w:t>
            </w:r>
          </w:p>
        </w:tc>
        <w:tc>
          <w:tcPr>
            <w:tcW w:w="1150" w:type="pct"/>
            <w:gridSpan w:val="5"/>
          </w:tcPr>
          <w:p w14:paraId="31DFEABF" w14:textId="77777777" w:rsidR="00CB638B" w:rsidRPr="001910B3" w:rsidRDefault="00CB638B" w:rsidP="00CB638B">
            <w:pPr>
              <w:pStyle w:val="naiskr"/>
              <w:spacing w:before="0" w:after="0"/>
              <w:ind w:left="57" w:right="57"/>
            </w:pPr>
            <w:r w:rsidRPr="001910B3">
              <w:t xml:space="preserve">Sabiedrības līdzdalība projekta izstrādē </w:t>
            </w:r>
          </w:p>
        </w:tc>
        <w:tc>
          <w:tcPr>
            <w:tcW w:w="3312" w:type="pct"/>
            <w:gridSpan w:val="8"/>
            <w:shd w:val="clear" w:color="auto" w:fill="auto"/>
          </w:tcPr>
          <w:p w14:paraId="0399B8CA" w14:textId="00BC6BED" w:rsidR="00CB638B" w:rsidRDefault="00CB638B" w:rsidP="00CB638B">
            <w:pPr>
              <w:pStyle w:val="naiskr"/>
              <w:spacing w:before="0" w:after="0"/>
              <w:ind w:left="57" w:right="57"/>
              <w:jc w:val="both"/>
            </w:pPr>
            <w:r>
              <w:t>N</w:t>
            </w:r>
            <w:r w:rsidRPr="003009ED">
              <w:t>ormatīvā akta projekta sagatavošanas gaitā konsultācijas notikušas ar Lauksaimnieku organizāciju sadarbības padomi</w:t>
            </w:r>
            <w:r>
              <w:t xml:space="preserve"> un </w:t>
            </w:r>
            <w:r w:rsidR="008F55A6">
              <w:t xml:space="preserve">tās </w:t>
            </w:r>
            <w:r>
              <w:t xml:space="preserve">biedriem. </w:t>
            </w:r>
          </w:p>
          <w:p w14:paraId="763D7873" w14:textId="29DAB3E7" w:rsidR="00CB638B" w:rsidRPr="00214B92" w:rsidRDefault="00CB638B" w:rsidP="008F55A6">
            <w:pPr>
              <w:pStyle w:val="naiskr"/>
              <w:spacing w:before="0" w:after="0"/>
              <w:ind w:left="57" w:right="57"/>
              <w:jc w:val="both"/>
            </w:pPr>
            <w:r>
              <w:lastRenderedPageBreak/>
              <w:t>Kopumā tika saņemti 18 lauksaimnieku organizāciju apkopoti priekšlikumi un iebildumi, t</w:t>
            </w:r>
            <w:r w:rsidR="008F55A6">
              <w:t>ostarp no</w:t>
            </w:r>
            <w:r>
              <w:t xml:space="preserve"> </w:t>
            </w:r>
            <w:r w:rsidRPr="006F7AAC">
              <w:t>Lauksaimnieku Organizāciju Sadarbības Padome</w:t>
            </w:r>
            <w:r>
              <w:t xml:space="preserve">s, </w:t>
            </w:r>
            <w:r w:rsidRPr="00A67080">
              <w:t>Zemnieku saeim</w:t>
            </w:r>
            <w:r>
              <w:t>as,</w:t>
            </w:r>
            <w:r w:rsidRPr="007B3577">
              <w:t xml:space="preserve"> Latvijas Pārtikas uzņēmumu federācijas</w:t>
            </w:r>
            <w:r>
              <w:t xml:space="preserve">, </w:t>
            </w:r>
            <w:r w:rsidR="008F55A6">
              <w:t>b</w:t>
            </w:r>
            <w:r w:rsidRPr="00E77FE0">
              <w:t>iedrība</w:t>
            </w:r>
            <w:r>
              <w:t>s</w:t>
            </w:r>
            <w:r w:rsidRPr="00E77FE0">
              <w:t xml:space="preserve"> </w:t>
            </w:r>
            <w:r w:rsidR="008F55A6">
              <w:t>“</w:t>
            </w:r>
            <w:r w:rsidRPr="00E77FE0">
              <w:t>Latvijas Zemnieku federācija</w:t>
            </w:r>
            <w:r w:rsidR="008F55A6">
              <w:t>”</w:t>
            </w:r>
            <w:r>
              <w:t xml:space="preserve">, </w:t>
            </w:r>
            <w:r w:rsidR="008F55A6">
              <w:t>b</w:t>
            </w:r>
            <w:r w:rsidRPr="007A05D6">
              <w:t xml:space="preserve">iedrības </w:t>
            </w:r>
            <w:r w:rsidR="008F55A6">
              <w:t>“</w:t>
            </w:r>
            <w:r w:rsidRPr="007A05D6">
              <w:t>Latvijas Bioloģiskās lauksaimniecības asociācija”</w:t>
            </w:r>
            <w:r>
              <w:t xml:space="preserve">, Latvijas Augļkopju asociācijas, </w:t>
            </w:r>
            <w:r w:rsidRPr="00A22DA5">
              <w:t>Latvijas Biodegvielu un bioenerģijas asociācijas</w:t>
            </w:r>
            <w:r>
              <w:t>,</w:t>
            </w:r>
            <w:r w:rsidRPr="00E77FE0">
              <w:t xml:space="preserve"> </w:t>
            </w:r>
            <w:r w:rsidRPr="000C60F2">
              <w:t>Latvijas Cūku audzētāju asociācij</w:t>
            </w:r>
            <w:r>
              <w:t>as,</w:t>
            </w:r>
            <w:r w:rsidRPr="00A67080">
              <w:t xml:space="preserve"> Latvijas lauksaimniecības kooperatīv</w:t>
            </w:r>
            <w:r>
              <w:t>as</w:t>
            </w:r>
            <w:r w:rsidRPr="00A67080">
              <w:t xml:space="preserve"> asociācij</w:t>
            </w:r>
            <w:r>
              <w:t xml:space="preserve">as, </w:t>
            </w:r>
            <w:r w:rsidRPr="00B25CB3">
              <w:t>Latvijas Jauno Zemnieku kluba</w:t>
            </w:r>
            <w:r>
              <w:t xml:space="preserve">, </w:t>
            </w:r>
            <w:r w:rsidR="008F55A6">
              <w:t>k</w:t>
            </w:r>
            <w:r w:rsidRPr="00133283">
              <w:t>ooperatīvā</w:t>
            </w:r>
            <w:r>
              <w:t>s</w:t>
            </w:r>
            <w:r w:rsidRPr="00133283">
              <w:t xml:space="preserve"> sabiedrība</w:t>
            </w:r>
            <w:r>
              <w:t>s</w:t>
            </w:r>
            <w:r w:rsidRPr="00133283">
              <w:t xml:space="preserve"> “Latvijas Piensaimnieku Centrālā Savienība”</w:t>
            </w:r>
            <w:r>
              <w:t xml:space="preserve"> un cit</w:t>
            </w:r>
            <w:r w:rsidR="008F55A6">
              <w:t>ām</w:t>
            </w:r>
            <w:r>
              <w:t xml:space="preserve"> organizācij</w:t>
            </w:r>
            <w:r w:rsidR="008F55A6">
              <w:t>ām</w:t>
            </w:r>
            <w:r w:rsidRPr="003009ED">
              <w:t xml:space="preserve">. </w:t>
            </w:r>
            <w:r>
              <w:t xml:space="preserve">Atbilstoši </w:t>
            </w:r>
            <w:r w:rsidRPr="003009ED">
              <w:rPr>
                <w:bCs/>
              </w:rPr>
              <w:t>Lauksaimniecības un lauku attīstības likuma 12.</w:t>
            </w:r>
            <w:r w:rsidR="008F55A6">
              <w:rPr>
                <w:bCs/>
              </w:rPr>
              <w:t xml:space="preserve"> </w:t>
            </w:r>
            <w:r w:rsidRPr="003009ED">
              <w:rPr>
                <w:bCs/>
              </w:rPr>
              <w:t>panta 1.</w:t>
            </w:r>
            <w:r w:rsidR="008F55A6">
              <w:rPr>
                <w:bCs/>
              </w:rPr>
              <w:t xml:space="preserve"> </w:t>
            </w:r>
            <w:r w:rsidRPr="003009ED">
              <w:rPr>
                <w:bCs/>
              </w:rPr>
              <w:t>punkt</w:t>
            </w:r>
            <w:r>
              <w:rPr>
                <w:bCs/>
              </w:rPr>
              <w:t>am</w:t>
            </w:r>
            <w:r w:rsidRPr="003009ED">
              <w:rPr>
                <w:bCs/>
              </w:rPr>
              <w:t xml:space="preserve"> </w:t>
            </w:r>
            <w:r w:rsidRPr="003009ED">
              <w:t>Zemkopības ministrija, izstrādājot un īstenojot lauksaimniecības un lauku attīstības politiku, konsultējas ar Lauksaimniecības organizāciju sadarbības padomi</w:t>
            </w:r>
            <w:r>
              <w:t>, kā arī tika nodrošinātas diskusijas ar pārējām nozīmīgākajām lauksaimnieku nevalstiskajām organizācijām</w:t>
            </w:r>
            <w:r w:rsidR="008F55A6">
              <w:t xml:space="preserve"> un</w:t>
            </w:r>
            <w:r>
              <w:t xml:space="preserve"> pārtikas pārst</w:t>
            </w:r>
            <w:r w:rsidR="008F55A6">
              <w:t>r</w:t>
            </w:r>
            <w:r>
              <w:t>ādes uzņēmumu pārstāvošo nevalstisko organizāciju.</w:t>
            </w:r>
            <w:r w:rsidRPr="003009ED">
              <w:t xml:space="preserve"> Minētajās organizācijās ietilpst lielākā daļa nelielo lauksaimnieku biedrību un nodibinājumu, kas pārstāv visu lauksaimniecības nozaru intereses</w:t>
            </w:r>
            <w:r>
              <w:t>.</w:t>
            </w:r>
          </w:p>
        </w:tc>
      </w:tr>
      <w:tr w:rsidR="00CB638B" w:rsidRPr="005C25B8" w14:paraId="02B64672" w14:textId="77777777" w:rsidTr="001F0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75"/>
          <w:jc w:val="center"/>
        </w:trPr>
        <w:tc>
          <w:tcPr>
            <w:tcW w:w="537" w:type="pct"/>
          </w:tcPr>
          <w:p w14:paraId="322CD189" w14:textId="77777777" w:rsidR="00CB638B" w:rsidRPr="005C25B8" w:rsidRDefault="00CB638B" w:rsidP="00CB638B">
            <w:pPr>
              <w:pStyle w:val="naiskr"/>
              <w:spacing w:before="0" w:after="0"/>
              <w:ind w:left="57" w:right="57"/>
              <w:rPr>
                <w:bCs/>
              </w:rPr>
            </w:pPr>
            <w:r w:rsidRPr="005C25B8">
              <w:rPr>
                <w:bCs/>
              </w:rPr>
              <w:lastRenderedPageBreak/>
              <w:t>3.</w:t>
            </w:r>
          </w:p>
        </w:tc>
        <w:tc>
          <w:tcPr>
            <w:tcW w:w="1150" w:type="pct"/>
            <w:gridSpan w:val="5"/>
          </w:tcPr>
          <w:p w14:paraId="7C6F3C19" w14:textId="77777777" w:rsidR="00CB638B" w:rsidRPr="005C25B8" w:rsidRDefault="00CB638B" w:rsidP="00CB638B">
            <w:pPr>
              <w:pStyle w:val="naiskr"/>
              <w:spacing w:before="0" w:after="0"/>
              <w:ind w:left="57" w:right="57"/>
            </w:pPr>
            <w:r w:rsidRPr="005C25B8">
              <w:t xml:space="preserve">Sabiedrības līdzdalības rezultāti </w:t>
            </w:r>
          </w:p>
        </w:tc>
        <w:tc>
          <w:tcPr>
            <w:tcW w:w="3312" w:type="pct"/>
            <w:gridSpan w:val="8"/>
            <w:shd w:val="clear" w:color="auto" w:fill="auto"/>
          </w:tcPr>
          <w:p w14:paraId="52618849" w14:textId="07B8031D" w:rsidR="00CB638B" w:rsidRPr="005C25B8" w:rsidRDefault="00CB638B" w:rsidP="006D3F96">
            <w:pPr>
              <w:pStyle w:val="naiskr"/>
              <w:spacing w:before="0" w:after="0"/>
              <w:ind w:left="57" w:right="57"/>
              <w:jc w:val="both"/>
            </w:pPr>
            <w:r>
              <w:t>Turklāt lauksaimnieku nevalstisko organizāciju b</w:t>
            </w:r>
            <w:r w:rsidRPr="005C25B8">
              <w:t>i</w:t>
            </w:r>
            <w:r>
              <w:t>edrības un nodibinājumi piedal</w:t>
            </w:r>
            <w:r w:rsidRPr="005C25B8">
              <w:t xml:space="preserve">ās </w:t>
            </w:r>
            <w:r>
              <w:t>LAP (2014</w:t>
            </w:r>
            <w:r w:rsidR="008F55A6">
              <w:t>–</w:t>
            </w:r>
            <w:r>
              <w:t xml:space="preserve">2022) </w:t>
            </w:r>
            <w:r w:rsidRPr="005C25B8">
              <w:t>Uzraudzības komitejas</w:t>
            </w:r>
            <w:r>
              <w:t xml:space="preserve"> </w:t>
            </w:r>
            <w:r w:rsidRPr="005C25B8">
              <w:t>sanāksmēs, kurās tika diskutēts par pasākuma atbalsta saņemšanas nosacījumi</w:t>
            </w:r>
            <w:r>
              <w:t>em</w:t>
            </w:r>
            <w:r w:rsidRPr="005C25B8">
              <w:t>.</w:t>
            </w:r>
            <w:r>
              <w:t xml:space="preserve"> Tāpat pasākumu atbalsta saņemšanas pamatprincipi skatīti Zemkopības ministrijas </w:t>
            </w:r>
            <w:r w:rsidR="008F55A6">
              <w:t>l</w:t>
            </w:r>
            <w:r>
              <w:t>auksaimnieku nevalstisko organizāciju konsultatīv</w:t>
            </w:r>
            <w:r w:rsidR="008F55A6">
              <w:t>aj</w:t>
            </w:r>
            <w:r>
              <w:t>ās sanāksmēs.</w:t>
            </w:r>
            <w:r w:rsidRPr="005C25B8">
              <w:t xml:space="preserve"> </w:t>
            </w:r>
            <w:r w:rsidR="008F55A6">
              <w:t>Ievērojot</w:t>
            </w:r>
            <w:r>
              <w:t xml:space="preserve"> </w:t>
            </w:r>
            <w:r w:rsidR="008F55A6">
              <w:t xml:space="preserve">organizāciju </w:t>
            </w:r>
            <w:r>
              <w:t>dažādos viedokļus</w:t>
            </w:r>
            <w:r w:rsidR="008F55A6">
              <w:t>,</w:t>
            </w:r>
            <w:r>
              <w:t xml:space="preserve"> sanāksmes tika organizētas vairākkārt, izskatot </w:t>
            </w:r>
            <w:r w:rsidR="008F55A6">
              <w:t xml:space="preserve">visus lauksaimnieku nevalstisko organizāciju iesniegtos iebildumus un priekšlikumus </w:t>
            </w:r>
            <w:r>
              <w:t>un diskutējot par</w:t>
            </w:r>
            <w:r w:rsidR="008F55A6">
              <w:t xml:space="preserve"> tiem</w:t>
            </w:r>
            <w:r>
              <w:t xml:space="preserve">. Daudzi iebildumi un priekšlikumi bija </w:t>
            </w:r>
            <w:r w:rsidR="008F55A6">
              <w:t>pilnīgi</w:t>
            </w:r>
            <w:r>
              <w:t xml:space="preserve"> pretēji. Sarunu laikā un diskusij</w:t>
            </w:r>
            <w:r w:rsidR="008F55A6">
              <w:t xml:space="preserve">ās </w:t>
            </w:r>
            <w:r>
              <w:t>tika panākta savstarpēj</w:t>
            </w:r>
            <w:r w:rsidR="008F55A6">
              <w:t>a</w:t>
            </w:r>
            <w:r>
              <w:t xml:space="preserve"> vienošanās par vērā ņemamiem iebildumiem un priekšlikumiem. </w:t>
            </w:r>
            <w:r w:rsidR="003A5451">
              <w:t>D</w:t>
            </w:r>
            <w:r>
              <w:t>audzi lauksaimnieku organizāciju priekšlikumi, t</w:t>
            </w:r>
            <w:r w:rsidR="008F55A6">
              <w:t>ostarp no biedrības</w:t>
            </w:r>
            <w:r>
              <w:t xml:space="preserve"> </w:t>
            </w:r>
            <w:r w:rsidR="008F55A6">
              <w:t>“</w:t>
            </w:r>
            <w:r>
              <w:t>Zemnieku Saeima</w:t>
            </w:r>
            <w:r w:rsidR="008F55A6">
              <w:t>”</w:t>
            </w:r>
            <w:r>
              <w:t>, tika ņemti vērā</w:t>
            </w:r>
            <w:r w:rsidR="003A5451">
              <w:t>. Lai gan</w:t>
            </w:r>
            <w:r>
              <w:t xml:space="preserve">  </w:t>
            </w:r>
            <w:r w:rsidR="008F55A6">
              <w:t>biedrība</w:t>
            </w:r>
            <w:r w:rsidR="003A5451">
              <w:t xml:space="preserve"> </w:t>
            </w:r>
            <w:r w:rsidR="003A5451" w:rsidRPr="003A5451">
              <w:t>“Zemnieku Saeima”</w:t>
            </w:r>
            <w:r>
              <w:t xml:space="preserve"> </w:t>
            </w:r>
            <w:r w:rsidR="003A5451">
              <w:t xml:space="preserve">sākotnēji </w:t>
            </w:r>
            <w:r>
              <w:t>iebil</w:t>
            </w:r>
            <w:r w:rsidR="000C26E3">
              <w:t>da</w:t>
            </w:r>
            <w:r>
              <w:t xml:space="preserve"> pret noteikuma projekta redakciju un neatbalst</w:t>
            </w:r>
            <w:r w:rsidR="000C26E3">
              <w:t>īja</w:t>
            </w:r>
            <w:r>
              <w:t xml:space="preserve"> noteikuma projekta tālāko virzību</w:t>
            </w:r>
            <w:r w:rsidR="00847C50">
              <w:t>, tomēr tika panākta vienošanās</w:t>
            </w:r>
            <w:r w:rsidR="00D12406">
              <w:t xml:space="preserve"> un biedrība neiebilda pret noteikuma </w:t>
            </w:r>
            <w:r w:rsidR="005A0CD1">
              <w:t>projekta tālāko virzību</w:t>
            </w:r>
            <w:r>
              <w:t xml:space="preserve">. </w:t>
            </w:r>
          </w:p>
        </w:tc>
      </w:tr>
      <w:tr w:rsidR="00CB638B" w:rsidRPr="005C25B8" w14:paraId="32AA5EFF" w14:textId="77777777" w:rsidTr="001F0EE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476"/>
          <w:jc w:val="center"/>
        </w:trPr>
        <w:tc>
          <w:tcPr>
            <w:tcW w:w="537" w:type="pct"/>
          </w:tcPr>
          <w:p w14:paraId="25B92270" w14:textId="77777777" w:rsidR="00CB638B" w:rsidRPr="005C25B8" w:rsidRDefault="00CB638B" w:rsidP="00CB638B">
            <w:pPr>
              <w:pStyle w:val="naiskr"/>
              <w:spacing w:before="0" w:after="0"/>
              <w:ind w:left="57" w:right="57"/>
              <w:rPr>
                <w:bCs/>
              </w:rPr>
            </w:pPr>
            <w:r w:rsidRPr="005C25B8">
              <w:rPr>
                <w:bCs/>
              </w:rPr>
              <w:t>4.</w:t>
            </w:r>
          </w:p>
        </w:tc>
        <w:tc>
          <w:tcPr>
            <w:tcW w:w="1150" w:type="pct"/>
            <w:gridSpan w:val="5"/>
          </w:tcPr>
          <w:p w14:paraId="4A6ADDCF" w14:textId="77777777" w:rsidR="00CB638B" w:rsidRPr="005C25B8" w:rsidRDefault="00CB638B" w:rsidP="00CB638B">
            <w:pPr>
              <w:pStyle w:val="naiskr"/>
              <w:spacing w:before="0" w:after="0"/>
              <w:ind w:left="57" w:right="57"/>
            </w:pPr>
            <w:r w:rsidRPr="005C25B8">
              <w:t>Cita informācija</w:t>
            </w:r>
          </w:p>
        </w:tc>
        <w:tc>
          <w:tcPr>
            <w:tcW w:w="3312" w:type="pct"/>
            <w:gridSpan w:val="8"/>
            <w:shd w:val="clear" w:color="auto" w:fill="auto"/>
          </w:tcPr>
          <w:p w14:paraId="00CC24BF" w14:textId="77777777" w:rsidR="00CB638B" w:rsidRPr="005C25B8" w:rsidRDefault="00CB638B" w:rsidP="00CB638B">
            <w:pPr>
              <w:pStyle w:val="naiskr"/>
              <w:spacing w:before="0" w:after="0"/>
              <w:ind w:left="57" w:right="57"/>
              <w:jc w:val="both"/>
            </w:pPr>
            <w:r w:rsidRPr="005C25B8">
              <w:t>Nav.</w:t>
            </w:r>
          </w:p>
        </w:tc>
      </w:tr>
      <w:tr w:rsidR="00CB638B" w:rsidRPr="005C25B8" w14:paraId="40921660" w14:textId="77777777" w:rsidTr="001F0EEE">
        <w:tc>
          <w:tcPr>
            <w:tcW w:w="5000" w:type="pct"/>
            <w:gridSpan w:val="14"/>
            <w:tcBorders>
              <w:top w:val="outset" w:sz="6" w:space="0" w:color="auto"/>
              <w:left w:val="outset" w:sz="6" w:space="0" w:color="auto"/>
              <w:bottom w:val="outset" w:sz="6" w:space="0" w:color="auto"/>
              <w:right w:val="outset" w:sz="6" w:space="0" w:color="auto"/>
            </w:tcBorders>
          </w:tcPr>
          <w:p w14:paraId="4D0B2B89" w14:textId="77777777" w:rsidR="00CB638B" w:rsidRPr="005C25B8" w:rsidRDefault="00CB638B" w:rsidP="00CB638B">
            <w:pPr>
              <w:pStyle w:val="naisc"/>
              <w:spacing w:before="0" w:after="0"/>
              <w:rPr>
                <w:b/>
                <w:bCs/>
              </w:rPr>
            </w:pPr>
            <w:r w:rsidRPr="005C25B8">
              <w:rPr>
                <w:b/>
                <w:bCs/>
              </w:rPr>
              <w:t>VII. Tiesību akta projekta izpildes nodrošināšana un tās ietekme uz institūcijām</w:t>
            </w:r>
          </w:p>
        </w:tc>
      </w:tr>
      <w:tr w:rsidR="00CB638B" w:rsidRPr="005C25B8" w14:paraId="5B23CEA6"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3F713CBD" w14:textId="77777777" w:rsidR="00CB638B" w:rsidRPr="005C25B8" w:rsidRDefault="00CB638B" w:rsidP="00CB638B">
            <w:pPr>
              <w:pStyle w:val="NormalWeb"/>
              <w:spacing w:before="0" w:beforeAutospacing="0" w:after="0" w:afterAutospacing="0"/>
            </w:pPr>
            <w:r w:rsidRPr="005C25B8">
              <w:t>1.</w:t>
            </w:r>
          </w:p>
        </w:tc>
        <w:tc>
          <w:tcPr>
            <w:tcW w:w="1505" w:type="pct"/>
            <w:gridSpan w:val="8"/>
            <w:tcBorders>
              <w:top w:val="outset" w:sz="6" w:space="0" w:color="auto"/>
              <w:left w:val="outset" w:sz="6" w:space="0" w:color="auto"/>
              <w:bottom w:val="outset" w:sz="6" w:space="0" w:color="auto"/>
              <w:right w:val="outset" w:sz="6" w:space="0" w:color="auto"/>
            </w:tcBorders>
          </w:tcPr>
          <w:p w14:paraId="7633ECA8" w14:textId="77777777" w:rsidR="00CB638B" w:rsidRPr="005C25B8" w:rsidRDefault="00CB638B" w:rsidP="00CB638B">
            <w:pPr>
              <w:rPr>
                <w:color w:val="000000"/>
              </w:rPr>
            </w:pPr>
            <w:r w:rsidRPr="005C25B8">
              <w:rPr>
                <w:color w:val="000000"/>
              </w:rPr>
              <w:t>Projekta izpildē iesaistītās institūcijas</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410AEC9B" w14:textId="005D86D6" w:rsidR="00CB638B" w:rsidRPr="005C25B8" w:rsidRDefault="00CB638B" w:rsidP="00CB638B">
            <w:pPr>
              <w:jc w:val="both"/>
              <w:rPr>
                <w:highlight w:val="yellow"/>
              </w:rPr>
            </w:pPr>
            <w:r w:rsidRPr="005C25B8">
              <w:rPr>
                <w:bCs/>
                <w:color w:val="000000"/>
              </w:rPr>
              <w:t>Zemkopības ministrija un Lauku atbalsta dienests</w:t>
            </w:r>
          </w:p>
        </w:tc>
      </w:tr>
      <w:tr w:rsidR="00CB638B" w:rsidRPr="001910B3" w14:paraId="147FB458"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7BB9611" w14:textId="77777777" w:rsidR="00CB638B" w:rsidRPr="001910B3" w:rsidRDefault="00CB638B" w:rsidP="00CB638B">
            <w:pPr>
              <w:pStyle w:val="NormalWeb"/>
              <w:spacing w:before="0" w:beforeAutospacing="0" w:after="0" w:afterAutospacing="0"/>
            </w:pPr>
            <w:r w:rsidRPr="001910B3">
              <w:t>2.</w:t>
            </w:r>
          </w:p>
        </w:tc>
        <w:tc>
          <w:tcPr>
            <w:tcW w:w="1505" w:type="pct"/>
            <w:gridSpan w:val="8"/>
            <w:tcBorders>
              <w:top w:val="outset" w:sz="6" w:space="0" w:color="auto"/>
              <w:left w:val="outset" w:sz="6" w:space="0" w:color="auto"/>
              <w:bottom w:val="outset" w:sz="6" w:space="0" w:color="auto"/>
              <w:right w:val="outset" w:sz="6" w:space="0" w:color="auto"/>
            </w:tcBorders>
          </w:tcPr>
          <w:p w14:paraId="4278C2E6" w14:textId="77777777" w:rsidR="00CB638B" w:rsidRPr="001910B3" w:rsidRDefault="00CB638B" w:rsidP="00CB638B">
            <w:pPr>
              <w:rPr>
                <w:color w:val="000000"/>
              </w:rPr>
            </w:pPr>
            <w:r w:rsidRPr="001910B3">
              <w:rPr>
                <w:color w:val="000000"/>
              </w:rPr>
              <w:t>Projekta izpildes ietekme uz pārvaldes funkcijām</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2DD9B84A" w14:textId="6C3A8816" w:rsidR="00CB638B" w:rsidRPr="001910B3" w:rsidRDefault="00CB638B" w:rsidP="00CB638B">
            <w:pPr>
              <w:jc w:val="both"/>
              <w:rPr>
                <w:bCs/>
                <w:color w:val="000000"/>
              </w:rPr>
            </w:pPr>
            <w:r w:rsidRPr="0098565D">
              <w:t>Noteikumu projekta izpildi nodrošinās</w:t>
            </w:r>
            <w:r>
              <w:t xml:space="preserve"> </w:t>
            </w:r>
            <w:r w:rsidR="008F55A6" w:rsidRPr="005C25B8">
              <w:rPr>
                <w:bCs/>
                <w:color w:val="000000"/>
              </w:rPr>
              <w:t>Zemkopības ministrija un Lauku atbalsta dienests</w:t>
            </w:r>
            <w:r>
              <w:t>.</w:t>
            </w:r>
          </w:p>
        </w:tc>
      </w:tr>
      <w:tr w:rsidR="00CB638B" w:rsidRPr="001910B3" w14:paraId="2C9CE5E4"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0236560F" w14:textId="77777777" w:rsidR="00CB638B" w:rsidRPr="001910B3" w:rsidRDefault="00CB638B" w:rsidP="00CB638B">
            <w:pPr>
              <w:pStyle w:val="NormalWeb"/>
              <w:spacing w:before="0" w:beforeAutospacing="0" w:after="0" w:afterAutospacing="0"/>
            </w:pPr>
            <w:r w:rsidRPr="001910B3">
              <w:t>3.</w:t>
            </w:r>
          </w:p>
        </w:tc>
        <w:tc>
          <w:tcPr>
            <w:tcW w:w="1505" w:type="pct"/>
            <w:gridSpan w:val="8"/>
            <w:tcBorders>
              <w:top w:val="outset" w:sz="6" w:space="0" w:color="auto"/>
              <w:left w:val="outset" w:sz="6" w:space="0" w:color="auto"/>
              <w:bottom w:val="outset" w:sz="6" w:space="0" w:color="auto"/>
              <w:right w:val="outset" w:sz="6" w:space="0" w:color="auto"/>
            </w:tcBorders>
          </w:tcPr>
          <w:p w14:paraId="799038DD" w14:textId="77777777" w:rsidR="00CB638B" w:rsidRDefault="00CB638B" w:rsidP="00CB638B">
            <w:pPr>
              <w:rPr>
                <w:color w:val="000000"/>
              </w:rPr>
            </w:pPr>
            <w:r w:rsidRPr="001910B3">
              <w:rPr>
                <w:color w:val="000000"/>
              </w:rPr>
              <w:t>Projekta izpildes ietekme uz pārvaldes institucionālo struktūru.</w:t>
            </w:r>
            <w:r>
              <w:rPr>
                <w:color w:val="000000"/>
              </w:rPr>
              <w:t xml:space="preserve"> </w:t>
            </w:r>
          </w:p>
          <w:p w14:paraId="2CE27811" w14:textId="77777777" w:rsidR="00CB638B" w:rsidRPr="001910B3" w:rsidRDefault="00CB638B" w:rsidP="00CB638B">
            <w:pPr>
              <w:rPr>
                <w:color w:val="000000"/>
              </w:rPr>
            </w:pPr>
            <w:r w:rsidRPr="001910B3">
              <w:rPr>
                <w:color w:val="000000"/>
              </w:rPr>
              <w:t>Jaunu institūciju izveide</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0724DF73" w14:textId="77777777" w:rsidR="00CB638B" w:rsidRPr="001910B3" w:rsidRDefault="00CB638B" w:rsidP="00CB638B">
            <w:pPr>
              <w:jc w:val="both"/>
              <w:rPr>
                <w:highlight w:val="yellow"/>
              </w:rPr>
            </w:pPr>
            <w:r w:rsidRPr="001910B3">
              <w:t>Nav attiecināms.</w:t>
            </w:r>
          </w:p>
        </w:tc>
      </w:tr>
      <w:tr w:rsidR="00CB638B" w:rsidRPr="001910B3" w14:paraId="6BD4D79E"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1A2C2EA0" w14:textId="77777777" w:rsidR="00CB638B" w:rsidRPr="001910B3" w:rsidRDefault="00CB638B" w:rsidP="00CB638B">
            <w:pPr>
              <w:pStyle w:val="NormalWeb"/>
              <w:spacing w:before="0" w:beforeAutospacing="0" w:after="0" w:afterAutospacing="0"/>
            </w:pPr>
            <w:r w:rsidRPr="001910B3">
              <w:lastRenderedPageBreak/>
              <w:t>4.</w:t>
            </w:r>
          </w:p>
        </w:tc>
        <w:tc>
          <w:tcPr>
            <w:tcW w:w="1505" w:type="pct"/>
            <w:gridSpan w:val="8"/>
            <w:tcBorders>
              <w:top w:val="outset" w:sz="6" w:space="0" w:color="auto"/>
              <w:left w:val="outset" w:sz="6" w:space="0" w:color="auto"/>
              <w:bottom w:val="outset" w:sz="6" w:space="0" w:color="auto"/>
              <w:right w:val="outset" w:sz="6" w:space="0" w:color="auto"/>
            </w:tcBorders>
          </w:tcPr>
          <w:p w14:paraId="2C057EF3" w14:textId="77777777" w:rsidR="00CB638B" w:rsidRDefault="00CB638B" w:rsidP="00CB638B">
            <w:pPr>
              <w:rPr>
                <w:color w:val="000000"/>
              </w:rPr>
            </w:pPr>
            <w:r w:rsidRPr="001910B3">
              <w:rPr>
                <w:color w:val="000000"/>
              </w:rPr>
              <w:t>Projekta izpildes ietekme uz pārvaldes institucionālo struktūru.</w:t>
            </w:r>
            <w:r>
              <w:rPr>
                <w:color w:val="000000"/>
              </w:rPr>
              <w:t xml:space="preserve"> </w:t>
            </w:r>
          </w:p>
          <w:p w14:paraId="69E40D69" w14:textId="77777777" w:rsidR="00CB638B" w:rsidRPr="001910B3" w:rsidRDefault="00CB638B" w:rsidP="00CB638B">
            <w:pPr>
              <w:rPr>
                <w:color w:val="000000"/>
              </w:rPr>
            </w:pPr>
            <w:r w:rsidRPr="001910B3">
              <w:rPr>
                <w:color w:val="000000"/>
              </w:rPr>
              <w:t>Esošu institūciju likvidācija</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6CE36CE1" w14:textId="77777777" w:rsidR="00CB638B" w:rsidRPr="001910B3" w:rsidRDefault="00CB638B" w:rsidP="00CB638B">
            <w:pPr>
              <w:jc w:val="both"/>
            </w:pPr>
            <w:r w:rsidRPr="001910B3">
              <w:t>Nav attiecināms.</w:t>
            </w:r>
          </w:p>
        </w:tc>
      </w:tr>
      <w:tr w:rsidR="00CB638B" w:rsidRPr="001910B3" w14:paraId="3663240E"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5F60A72E" w14:textId="77777777" w:rsidR="00CB638B" w:rsidRPr="001910B3" w:rsidRDefault="00CB638B" w:rsidP="00CB638B">
            <w:pPr>
              <w:pStyle w:val="NormalWeb"/>
              <w:spacing w:before="0" w:beforeAutospacing="0" w:after="0" w:afterAutospacing="0"/>
            </w:pPr>
            <w:r w:rsidRPr="001910B3">
              <w:t>5.</w:t>
            </w:r>
          </w:p>
        </w:tc>
        <w:tc>
          <w:tcPr>
            <w:tcW w:w="1505" w:type="pct"/>
            <w:gridSpan w:val="8"/>
            <w:tcBorders>
              <w:top w:val="outset" w:sz="6" w:space="0" w:color="auto"/>
              <w:left w:val="outset" w:sz="6" w:space="0" w:color="auto"/>
              <w:bottom w:val="outset" w:sz="6" w:space="0" w:color="auto"/>
              <w:right w:val="outset" w:sz="6" w:space="0" w:color="auto"/>
            </w:tcBorders>
          </w:tcPr>
          <w:p w14:paraId="19FA8760" w14:textId="77777777" w:rsidR="00CB638B" w:rsidRDefault="00CB638B" w:rsidP="00CB638B">
            <w:pPr>
              <w:rPr>
                <w:color w:val="000000"/>
              </w:rPr>
            </w:pPr>
            <w:r w:rsidRPr="001910B3">
              <w:rPr>
                <w:color w:val="000000"/>
              </w:rPr>
              <w:t>Projekta izpildes ietekme uz pārvaldes institucionālo struktūru.</w:t>
            </w:r>
            <w:r>
              <w:rPr>
                <w:color w:val="000000"/>
              </w:rPr>
              <w:t xml:space="preserve"> </w:t>
            </w:r>
          </w:p>
          <w:p w14:paraId="3B28246C" w14:textId="77777777" w:rsidR="00CB638B" w:rsidRPr="001910B3" w:rsidRDefault="00CB638B" w:rsidP="00CB638B">
            <w:pPr>
              <w:rPr>
                <w:color w:val="000000"/>
              </w:rPr>
            </w:pPr>
            <w:r w:rsidRPr="001910B3">
              <w:rPr>
                <w:color w:val="000000"/>
              </w:rPr>
              <w:t>Esošu institūciju reorganizācija</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0E0A2611" w14:textId="77777777" w:rsidR="00CB638B" w:rsidRPr="001910B3" w:rsidRDefault="00CB638B" w:rsidP="00CB638B">
            <w:pPr>
              <w:jc w:val="both"/>
            </w:pPr>
            <w:r w:rsidRPr="001910B3">
              <w:t>Nav attiecināms.</w:t>
            </w:r>
          </w:p>
        </w:tc>
      </w:tr>
      <w:tr w:rsidR="00CB638B" w:rsidRPr="001910B3" w14:paraId="4FEC305E" w14:textId="77777777" w:rsidTr="001F0EEE">
        <w:tc>
          <w:tcPr>
            <w:tcW w:w="610" w:type="pct"/>
            <w:gridSpan w:val="2"/>
            <w:tcBorders>
              <w:top w:val="outset" w:sz="6" w:space="0" w:color="auto"/>
              <w:left w:val="outset" w:sz="6" w:space="0" w:color="auto"/>
              <w:bottom w:val="outset" w:sz="6" w:space="0" w:color="auto"/>
              <w:right w:val="outset" w:sz="6" w:space="0" w:color="auto"/>
            </w:tcBorders>
          </w:tcPr>
          <w:p w14:paraId="146B0AAD" w14:textId="77777777" w:rsidR="00CB638B" w:rsidRPr="001910B3" w:rsidRDefault="00CB638B" w:rsidP="00CB638B">
            <w:pPr>
              <w:pStyle w:val="NormalWeb"/>
              <w:spacing w:before="0" w:beforeAutospacing="0" w:after="0" w:afterAutospacing="0"/>
            </w:pPr>
            <w:r w:rsidRPr="001910B3">
              <w:t>6.</w:t>
            </w:r>
          </w:p>
        </w:tc>
        <w:tc>
          <w:tcPr>
            <w:tcW w:w="1505" w:type="pct"/>
            <w:gridSpan w:val="8"/>
            <w:tcBorders>
              <w:top w:val="outset" w:sz="6" w:space="0" w:color="auto"/>
              <w:left w:val="outset" w:sz="6" w:space="0" w:color="auto"/>
              <w:bottom w:val="outset" w:sz="6" w:space="0" w:color="auto"/>
              <w:right w:val="outset" w:sz="6" w:space="0" w:color="auto"/>
            </w:tcBorders>
          </w:tcPr>
          <w:p w14:paraId="69853D4D" w14:textId="77777777" w:rsidR="00CB638B" w:rsidRPr="001910B3" w:rsidRDefault="00CB638B" w:rsidP="00CB638B">
            <w:pPr>
              <w:pStyle w:val="NormalWeb"/>
              <w:spacing w:before="0" w:beforeAutospacing="0" w:after="0" w:afterAutospacing="0"/>
            </w:pPr>
            <w:r w:rsidRPr="001910B3">
              <w:t>Cita informācija</w:t>
            </w:r>
          </w:p>
        </w:tc>
        <w:tc>
          <w:tcPr>
            <w:tcW w:w="2885" w:type="pct"/>
            <w:gridSpan w:val="4"/>
            <w:tcBorders>
              <w:top w:val="outset" w:sz="6" w:space="0" w:color="auto"/>
              <w:left w:val="outset" w:sz="6" w:space="0" w:color="auto"/>
              <w:bottom w:val="outset" w:sz="6" w:space="0" w:color="auto"/>
              <w:right w:val="outset" w:sz="6" w:space="0" w:color="auto"/>
            </w:tcBorders>
            <w:shd w:val="clear" w:color="auto" w:fill="auto"/>
          </w:tcPr>
          <w:p w14:paraId="378DA47D" w14:textId="663E69BE" w:rsidR="00CB638B" w:rsidRPr="001910B3" w:rsidRDefault="00CB638B" w:rsidP="00CB638B">
            <w:r w:rsidRPr="001910B3">
              <w:t>Nav</w:t>
            </w:r>
            <w:r w:rsidR="008F55A6">
              <w:t>.</w:t>
            </w:r>
          </w:p>
        </w:tc>
      </w:tr>
    </w:tbl>
    <w:p w14:paraId="330861A3" w14:textId="77777777" w:rsidR="004A2A80" w:rsidRDefault="004A2A80" w:rsidP="00085CFC">
      <w:pPr>
        <w:ind w:firstLine="720"/>
        <w:jc w:val="both"/>
      </w:pPr>
    </w:p>
    <w:p w14:paraId="63967BBC" w14:textId="77777777" w:rsidR="004A2A80" w:rsidRDefault="004A2A80" w:rsidP="00085CFC">
      <w:pPr>
        <w:ind w:firstLine="720"/>
        <w:jc w:val="both"/>
      </w:pPr>
    </w:p>
    <w:p w14:paraId="1F15CD1E" w14:textId="77777777" w:rsidR="006A5C94" w:rsidRPr="001910B3" w:rsidRDefault="006A5C94" w:rsidP="00085CFC">
      <w:pPr>
        <w:ind w:firstLine="720"/>
        <w:jc w:val="both"/>
      </w:pPr>
    </w:p>
    <w:p w14:paraId="226AA801" w14:textId="77777777" w:rsidR="00536495" w:rsidRPr="003B4F98" w:rsidRDefault="004A2A80" w:rsidP="00536495">
      <w:pPr>
        <w:ind w:right="140"/>
        <w:jc w:val="center"/>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36495" w:rsidRPr="003B4F98">
        <w:rPr>
          <w:sz w:val="28"/>
          <w:szCs w:val="28"/>
        </w:rPr>
        <w:t>K</w:t>
      </w:r>
      <w:r w:rsidR="00536495">
        <w:rPr>
          <w:sz w:val="28"/>
          <w:szCs w:val="28"/>
        </w:rPr>
        <w:t>.</w:t>
      </w:r>
      <w:r w:rsidR="00536495" w:rsidRPr="003B4F98">
        <w:rPr>
          <w:sz w:val="28"/>
          <w:szCs w:val="28"/>
        </w:rPr>
        <w:t xml:space="preserve"> Gerhards</w:t>
      </w:r>
    </w:p>
    <w:p w14:paraId="70BBF95D" w14:textId="77777777" w:rsidR="00536495" w:rsidRDefault="00536495" w:rsidP="00536495">
      <w:pPr>
        <w:ind w:right="140"/>
        <w:rPr>
          <w:sz w:val="20"/>
          <w:szCs w:val="20"/>
        </w:rPr>
      </w:pPr>
    </w:p>
    <w:p w14:paraId="765A5E2A" w14:textId="77777777" w:rsidR="00536495" w:rsidRDefault="00536495" w:rsidP="00536495">
      <w:pPr>
        <w:ind w:right="140"/>
      </w:pPr>
    </w:p>
    <w:p w14:paraId="1617FC8C" w14:textId="77777777" w:rsidR="00536495" w:rsidRDefault="00536495" w:rsidP="00536495">
      <w:pPr>
        <w:ind w:right="140"/>
      </w:pPr>
    </w:p>
    <w:p w14:paraId="314039F6" w14:textId="77777777" w:rsidR="00536495" w:rsidRDefault="00536495" w:rsidP="00536495">
      <w:pPr>
        <w:ind w:right="140"/>
      </w:pPr>
    </w:p>
    <w:p w14:paraId="07FC6790" w14:textId="77777777" w:rsidR="00536495" w:rsidRPr="00E34DC6" w:rsidRDefault="00536495" w:rsidP="00536495">
      <w:pPr>
        <w:ind w:right="140"/>
      </w:pPr>
      <w:r>
        <w:t>Baranovska</w:t>
      </w:r>
      <w:r w:rsidRPr="00E34DC6">
        <w:t xml:space="preserve"> </w:t>
      </w:r>
      <w:r w:rsidRPr="00871880">
        <w:t>67878726</w:t>
      </w:r>
    </w:p>
    <w:p w14:paraId="791DC6F1" w14:textId="77777777" w:rsidR="00536495" w:rsidRPr="000179E0" w:rsidRDefault="00AE3AE1" w:rsidP="00536495">
      <w:pPr>
        <w:ind w:right="140"/>
      </w:pPr>
      <w:hyperlink r:id="rId14" w:history="1">
        <w:r w:rsidR="00536495" w:rsidRPr="00D31778">
          <w:rPr>
            <w:rStyle w:val="Hyperlink"/>
          </w:rPr>
          <w:t>Karina.Baranovska@zm.gov.lv</w:t>
        </w:r>
      </w:hyperlink>
      <w:r w:rsidR="00536495">
        <w:t xml:space="preserve"> </w:t>
      </w:r>
    </w:p>
    <w:p w14:paraId="0665FE45" w14:textId="77777777" w:rsidR="00E90F8F" w:rsidRDefault="00E90F8F" w:rsidP="00536495">
      <w:pPr>
        <w:ind w:firstLine="720"/>
        <w:rPr>
          <w:sz w:val="28"/>
          <w:szCs w:val="28"/>
        </w:rPr>
      </w:pPr>
    </w:p>
    <w:sectPr w:rsidR="00E90F8F" w:rsidSect="00A70D61">
      <w:headerReference w:type="even" r:id="rId15"/>
      <w:headerReference w:type="default" r:id="rId16"/>
      <w:footerReference w:type="even"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7CC1" w14:textId="77777777" w:rsidR="00A026F5" w:rsidRDefault="00A026F5">
      <w:r>
        <w:separator/>
      </w:r>
    </w:p>
  </w:endnote>
  <w:endnote w:type="continuationSeparator" w:id="0">
    <w:p w14:paraId="6889BA1A" w14:textId="77777777" w:rsidR="00A026F5" w:rsidRDefault="00A026F5">
      <w:r>
        <w:continuationSeparator/>
      </w:r>
    </w:p>
  </w:endnote>
  <w:endnote w:type="continuationNotice" w:id="1">
    <w:p w14:paraId="771E569E" w14:textId="77777777" w:rsidR="00A026F5" w:rsidRDefault="00A0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150" w14:textId="77777777" w:rsidR="00944C62" w:rsidRDefault="00944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DCD21" w14:textId="77777777" w:rsidR="00944C62" w:rsidRDefault="00944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E12D" w14:textId="77777777" w:rsidR="00944C62" w:rsidRPr="00536495" w:rsidRDefault="00944C62" w:rsidP="00536495">
    <w:pPr>
      <w:pStyle w:val="Footer"/>
    </w:pPr>
    <w:r w:rsidRPr="00B97615">
      <w:rPr>
        <w:sz w:val="20"/>
        <w:szCs w:val="20"/>
      </w:rPr>
      <w:t>Z</w:t>
    </w:r>
    <w:r>
      <w:rPr>
        <w:sz w:val="20"/>
        <w:szCs w:val="20"/>
      </w:rPr>
      <w:t>MAnot_060521_IMA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70FD" w14:textId="77777777" w:rsidR="00944C62" w:rsidRPr="001910B3" w:rsidRDefault="00944C62" w:rsidP="001910B3">
    <w:pPr>
      <w:pStyle w:val="Footer"/>
    </w:pPr>
    <w:r w:rsidRPr="00B97615">
      <w:rPr>
        <w:sz w:val="20"/>
        <w:szCs w:val="20"/>
      </w:rPr>
      <w:t>Z</w:t>
    </w:r>
    <w:r>
      <w:rPr>
        <w:sz w:val="20"/>
        <w:szCs w:val="20"/>
      </w:rPr>
      <w:t>MAnot_060521_IMA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1E1B" w14:textId="77777777" w:rsidR="00A026F5" w:rsidRDefault="00A026F5">
      <w:r>
        <w:separator/>
      </w:r>
    </w:p>
  </w:footnote>
  <w:footnote w:type="continuationSeparator" w:id="0">
    <w:p w14:paraId="7BC25C39" w14:textId="77777777" w:rsidR="00A026F5" w:rsidRDefault="00A026F5">
      <w:r>
        <w:continuationSeparator/>
      </w:r>
    </w:p>
  </w:footnote>
  <w:footnote w:type="continuationNotice" w:id="1">
    <w:p w14:paraId="73F0A459" w14:textId="77777777" w:rsidR="00A026F5" w:rsidRDefault="00A02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230C" w14:textId="77777777" w:rsidR="00944C62" w:rsidRDefault="00944C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65ABA" w14:textId="77777777" w:rsidR="00944C62" w:rsidRDefault="00944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BA87" w14:textId="77777777" w:rsidR="00944C62" w:rsidRDefault="00944C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5A6">
      <w:rPr>
        <w:rStyle w:val="PageNumber"/>
        <w:noProof/>
      </w:rPr>
      <w:t>16</w:t>
    </w:r>
    <w:r>
      <w:rPr>
        <w:rStyle w:val="PageNumber"/>
      </w:rPr>
      <w:fldChar w:fldCharType="end"/>
    </w:r>
  </w:p>
  <w:p w14:paraId="242F8EE8" w14:textId="77777777" w:rsidR="00944C62" w:rsidRDefault="00944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114"/>
    <w:multiLevelType w:val="hybridMultilevel"/>
    <w:tmpl w:val="0DFCF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955AE"/>
    <w:multiLevelType w:val="hybridMultilevel"/>
    <w:tmpl w:val="8A0C5B5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15:restartNumberingAfterBreak="0">
    <w:nsid w:val="1D463896"/>
    <w:multiLevelType w:val="hybridMultilevel"/>
    <w:tmpl w:val="7EC4C91C"/>
    <w:lvl w:ilvl="0" w:tplc="A58C8114">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1D3FDB"/>
    <w:multiLevelType w:val="hybridMultilevel"/>
    <w:tmpl w:val="EB00F166"/>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2A830C05"/>
    <w:multiLevelType w:val="hybridMultilevel"/>
    <w:tmpl w:val="E24E7BF6"/>
    <w:lvl w:ilvl="0" w:tplc="6DAA9BDC">
      <w:start w:val="1"/>
      <w:numFmt w:val="decimal"/>
      <w:lvlText w:val="%1."/>
      <w:lvlJc w:val="left"/>
      <w:pPr>
        <w:ind w:left="720" w:hanging="360"/>
      </w:pPr>
      <w:rPr>
        <w:rFonts w:ascii="ArialMT" w:hAnsi="ArialMT" w:cs="ArialMT" w:hint="default"/>
        <w:sz w:val="1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7F175D"/>
    <w:multiLevelType w:val="hybridMultilevel"/>
    <w:tmpl w:val="E444C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90558C"/>
    <w:multiLevelType w:val="hybridMultilevel"/>
    <w:tmpl w:val="56B49348"/>
    <w:lvl w:ilvl="0" w:tplc="04260001">
      <w:start w:val="1"/>
      <w:numFmt w:val="bullet"/>
      <w:lvlText w:val=""/>
      <w:lvlJc w:val="left"/>
      <w:pPr>
        <w:ind w:left="761" w:hanging="360"/>
      </w:pPr>
      <w:rPr>
        <w:rFonts w:ascii="Symbol" w:hAnsi="Symbol"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7" w15:restartNumberingAfterBreak="0">
    <w:nsid w:val="3D1C1E5A"/>
    <w:multiLevelType w:val="hybridMultilevel"/>
    <w:tmpl w:val="2B20D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166743"/>
    <w:multiLevelType w:val="hybridMultilevel"/>
    <w:tmpl w:val="E64ECEF8"/>
    <w:lvl w:ilvl="0" w:tplc="7C6E0A5C">
      <w:start w:val="1"/>
      <w:numFmt w:val="decimal"/>
      <w:lvlText w:val="%1."/>
      <w:lvlJc w:val="left"/>
      <w:pPr>
        <w:tabs>
          <w:tab w:val="num" w:pos="824"/>
        </w:tabs>
        <w:ind w:left="824" w:hanging="284"/>
      </w:pPr>
      <w:rPr>
        <w:rFonts w:ascii="Times New Roman" w:hAnsi="Times New Roman" w:hint="default"/>
        <w:b w:val="0"/>
        <w:i w:val="0"/>
        <w:strike w:val="0"/>
        <w:sz w:val="20"/>
        <w:szCs w:val="20"/>
      </w:rPr>
    </w:lvl>
    <w:lvl w:ilvl="1" w:tplc="04260019">
      <w:start w:val="1"/>
      <w:numFmt w:val="lowerLetter"/>
      <w:lvlText w:val="%2."/>
      <w:lvlJc w:val="left"/>
      <w:pPr>
        <w:tabs>
          <w:tab w:val="num" w:pos="1440"/>
        </w:tabs>
        <w:ind w:left="1440" w:hanging="360"/>
      </w:pPr>
      <w:rPr>
        <w:rFonts w:hint="default"/>
        <w:sz w:val="20"/>
        <w:szCs w:val="20"/>
      </w:rPr>
    </w:lvl>
    <w:lvl w:ilvl="2" w:tplc="635294C6">
      <w:start w:val="10"/>
      <w:numFmt w:val="decimal"/>
      <w:lvlText w:val="%3"/>
      <w:lvlJc w:val="left"/>
      <w:pPr>
        <w:tabs>
          <w:tab w:val="num" w:pos="2340"/>
        </w:tabs>
        <w:ind w:left="2340" w:hanging="360"/>
      </w:pPr>
      <w:rPr>
        <w:rFonts w:hint="default"/>
      </w:rPr>
    </w:lvl>
    <w:lvl w:ilvl="3" w:tplc="0426000F">
      <w:start w:val="3"/>
      <w:numFmt w:val="decimal"/>
      <w:lvlText w:val="%4)"/>
      <w:lvlJc w:val="left"/>
      <w:pPr>
        <w:tabs>
          <w:tab w:val="num" w:pos="2880"/>
        </w:tabs>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D004B51"/>
    <w:multiLevelType w:val="hybridMultilevel"/>
    <w:tmpl w:val="6BFE76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DC6125"/>
    <w:multiLevelType w:val="hybridMultilevel"/>
    <w:tmpl w:val="217E6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9C27E9"/>
    <w:multiLevelType w:val="hybridMultilevel"/>
    <w:tmpl w:val="95568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7F0C49"/>
    <w:multiLevelType w:val="hybridMultilevel"/>
    <w:tmpl w:val="D6EA8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9868F8"/>
    <w:multiLevelType w:val="hybridMultilevel"/>
    <w:tmpl w:val="76E0F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9C36DA"/>
    <w:multiLevelType w:val="hybridMultilevel"/>
    <w:tmpl w:val="C87E3160"/>
    <w:lvl w:ilvl="0" w:tplc="537E8F5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D2018F2"/>
    <w:multiLevelType w:val="hybridMultilevel"/>
    <w:tmpl w:val="61FA212C"/>
    <w:lvl w:ilvl="0" w:tplc="F60E35EA">
      <w:start w:val="1"/>
      <w:numFmt w:val="decimal"/>
      <w:lvlText w:val="%1."/>
      <w:lvlJc w:val="left"/>
      <w:pPr>
        <w:ind w:left="644" w:hanging="360"/>
      </w:pPr>
      <w:rPr>
        <w:rFonts w:ascii="Times New Roman" w:hAnsi="Times New Roman" w:cs="Times New Roman" w:hint="default"/>
        <w:b w:val="0"/>
        <w:i w:val="0"/>
        <w:strike w:val="0"/>
        <w:color w:val="auto"/>
        <w:sz w:val="20"/>
        <w:szCs w:val="20"/>
        <w:vertAlign w:val="subscript"/>
      </w:rPr>
    </w:lvl>
    <w:lvl w:ilvl="1" w:tplc="DD94016A">
      <w:start w:val="1"/>
      <w:numFmt w:val="decimal"/>
      <w:lvlText w:val="%2)"/>
      <w:lvlJc w:val="left"/>
      <w:pPr>
        <w:ind w:left="1155" w:hanging="360"/>
      </w:pPr>
      <w:rPr>
        <w:rFonts w:ascii="Times New Roman" w:eastAsia="Calibri" w:hAnsi="Times New Roman" w:cs="Times New Roman"/>
      </w:rPr>
    </w:lvl>
    <w:lvl w:ilvl="2" w:tplc="DA4C29A8">
      <w:start w:val="1"/>
      <w:numFmt w:val="lowerLetter"/>
      <w:lvlText w:val="%3)"/>
      <w:lvlJc w:val="right"/>
      <w:pPr>
        <w:ind w:left="1875" w:hanging="180"/>
      </w:pPr>
      <w:rPr>
        <w:rFonts w:ascii="Times New Roman" w:eastAsia="Calibri" w:hAnsi="Times New Roman" w:cs="Times New Roman"/>
      </w:rPr>
    </w:lvl>
    <w:lvl w:ilvl="3" w:tplc="AF3AE4B0">
      <w:start w:val="1"/>
      <w:numFmt w:val="lowerLetter"/>
      <w:lvlText w:val="%4)"/>
      <w:lvlJc w:val="left"/>
      <w:pPr>
        <w:ind w:left="2595" w:hanging="360"/>
      </w:pPr>
      <w:rPr>
        <w:rFonts w:ascii="Times New Roman" w:eastAsia="Calibri" w:hAnsi="Times New Roman" w:cs="Times New Roman"/>
      </w:r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8"/>
  </w:num>
  <w:num w:numId="2">
    <w:abstractNumId w:val="10"/>
  </w:num>
  <w:num w:numId="3">
    <w:abstractNumId w:val="6"/>
  </w:num>
  <w:num w:numId="4">
    <w:abstractNumId w:val="11"/>
  </w:num>
  <w:num w:numId="5">
    <w:abstractNumId w:val="7"/>
  </w:num>
  <w:num w:numId="6">
    <w:abstractNumId w:val="0"/>
  </w:num>
  <w:num w:numId="7">
    <w:abstractNumId w:val="4"/>
  </w:num>
  <w:num w:numId="8">
    <w:abstractNumId w:val="13"/>
  </w:num>
  <w:num w:numId="9">
    <w:abstractNumId w:val="15"/>
  </w:num>
  <w:num w:numId="10">
    <w:abstractNumId w:val="14"/>
  </w:num>
  <w:num w:numId="11">
    <w:abstractNumId w:val="12"/>
  </w:num>
  <w:num w:numId="12">
    <w:abstractNumId w:val="3"/>
  </w:num>
  <w:num w:numId="13">
    <w:abstractNumId w:val="1"/>
  </w:num>
  <w:num w:numId="14">
    <w:abstractNumId w:val="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27"/>
    <w:rsid w:val="000045AC"/>
    <w:rsid w:val="0000669B"/>
    <w:rsid w:val="0002087A"/>
    <w:rsid w:val="00020C59"/>
    <w:rsid w:val="00026BFE"/>
    <w:rsid w:val="0003436C"/>
    <w:rsid w:val="00041DD0"/>
    <w:rsid w:val="00042A83"/>
    <w:rsid w:val="00044BDA"/>
    <w:rsid w:val="0004578E"/>
    <w:rsid w:val="00045FD1"/>
    <w:rsid w:val="000462C8"/>
    <w:rsid w:val="00050F30"/>
    <w:rsid w:val="00051B2B"/>
    <w:rsid w:val="00056F8E"/>
    <w:rsid w:val="00057452"/>
    <w:rsid w:val="000577F1"/>
    <w:rsid w:val="00067B90"/>
    <w:rsid w:val="000719F5"/>
    <w:rsid w:val="00072835"/>
    <w:rsid w:val="00074349"/>
    <w:rsid w:val="00085CFC"/>
    <w:rsid w:val="0008775D"/>
    <w:rsid w:val="00093D64"/>
    <w:rsid w:val="000A0313"/>
    <w:rsid w:val="000A15E2"/>
    <w:rsid w:val="000A62C9"/>
    <w:rsid w:val="000A7FC1"/>
    <w:rsid w:val="000B62ED"/>
    <w:rsid w:val="000B7431"/>
    <w:rsid w:val="000B78EB"/>
    <w:rsid w:val="000C26E3"/>
    <w:rsid w:val="000C60F2"/>
    <w:rsid w:val="000D23F2"/>
    <w:rsid w:val="000D7AC1"/>
    <w:rsid w:val="000F3150"/>
    <w:rsid w:val="000F5FC9"/>
    <w:rsid w:val="00101237"/>
    <w:rsid w:val="001038AF"/>
    <w:rsid w:val="0010534E"/>
    <w:rsid w:val="00107FEC"/>
    <w:rsid w:val="001115E4"/>
    <w:rsid w:val="0011180E"/>
    <w:rsid w:val="00111884"/>
    <w:rsid w:val="00111BD5"/>
    <w:rsid w:val="00114540"/>
    <w:rsid w:val="001204AC"/>
    <w:rsid w:val="001227C4"/>
    <w:rsid w:val="0012327D"/>
    <w:rsid w:val="00123A09"/>
    <w:rsid w:val="001258D8"/>
    <w:rsid w:val="00131A6C"/>
    <w:rsid w:val="00133283"/>
    <w:rsid w:val="00133B41"/>
    <w:rsid w:val="00137122"/>
    <w:rsid w:val="00137AB0"/>
    <w:rsid w:val="001642CB"/>
    <w:rsid w:val="001655FE"/>
    <w:rsid w:val="00166561"/>
    <w:rsid w:val="0017273F"/>
    <w:rsid w:val="00172843"/>
    <w:rsid w:val="001737B5"/>
    <w:rsid w:val="001749C3"/>
    <w:rsid w:val="00175DDB"/>
    <w:rsid w:val="001807D4"/>
    <w:rsid w:val="00182279"/>
    <w:rsid w:val="00184985"/>
    <w:rsid w:val="001872B1"/>
    <w:rsid w:val="00190BAD"/>
    <w:rsid w:val="00190FB8"/>
    <w:rsid w:val="001910B3"/>
    <w:rsid w:val="001935DF"/>
    <w:rsid w:val="001943D1"/>
    <w:rsid w:val="001A0CBC"/>
    <w:rsid w:val="001A1290"/>
    <w:rsid w:val="001A2C6F"/>
    <w:rsid w:val="001B15F7"/>
    <w:rsid w:val="001B1DC4"/>
    <w:rsid w:val="001B2A54"/>
    <w:rsid w:val="001B41A0"/>
    <w:rsid w:val="001B4F07"/>
    <w:rsid w:val="001B591D"/>
    <w:rsid w:val="001C29F0"/>
    <w:rsid w:val="001D4C94"/>
    <w:rsid w:val="001D4F13"/>
    <w:rsid w:val="001D5AAF"/>
    <w:rsid w:val="001E14F1"/>
    <w:rsid w:val="001E4A84"/>
    <w:rsid w:val="001E4C74"/>
    <w:rsid w:val="001E6BC4"/>
    <w:rsid w:val="001F0EEE"/>
    <w:rsid w:val="00210554"/>
    <w:rsid w:val="0021336C"/>
    <w:rsid w:val="00214B92"/>
    <w:rsid w:val="002163B8"/>
    <w:rsid w:val="00217582"/>
    <w:rsid w:val="00221213"/>
    <w:rsid w:val="00223861"/>
    <w:rsid w:val="0022489C"/>
    <w:rsid w:val="00227013"/>
    <w:rsid w:val="002307A8"/>
    <w:rsid w:val="00232FCC"/>
    <w:rsid w:val="00233802"/>
    <w:rsid w:val="00235A2C"/>
    <w:rsid w:val="0024390A"/>
    <w:rsid w:val="00246590"/>
    <w:rsid w:val="00252FE2"/>
    <w:rsid w:val="00253F9E"/>
    <w:rsid w:val="002561B0"/>
    <w:rsid w:val="00260BCA"/>
    <w:rsid w:val="002635AF"/>
    <w:rsid w:val="002669AA"/>
    <w:rsid w:val="002819C3"/>
    <w:rsid w:val="002821AD"/>
    <w:rsid w:val="00287A01"/>
    <w:rsid w:val="00287EA1"/>
    <w:rsid w:val="002922CB"/>
    <w:rsid w:val="002945AA"/>
    <w:rsid w:val="0029558B"/>
    <w:rsid w:val="002A064E"/>
    <w:rsid w:val="002A21C8"/>
    <w:rsid w:val="002A5673"/>
    <w:rsid w:val="002C0551"/>
    <w:rsid w:val="002C1955"/>
    <w:rsid w:val="002C1D1D"/>
    <w:rsid w:val="002C23BE"/>
    <w:rsid w:val="002C588F"/>
    <w:rsid w:val="002C7677"/>
    <w:rsid w:val="002D1333"/>
    <w:rsid w:val="002D6ABF"/>
    <w:rsid w:val="002D7560"/>
    <w:rsid w:val="002E1B99"/>
    <w:rsid w:val="002E31B5"/>
    <w:rsid w:val="002E49CC"/>
    <w:rsid w:val="002E6C04"/>
    <w:rsid w:val="002F28DD"/>
    <w:rsid w:val="00302FA1"/>
    <w:rsid w:val="00303D86"/>
    <w:rsid w:val="00303EF8"/>
    <w:rsid w:val="00304546"/>
    <w:rsid w:val="0030551E"/>
    <w:rsid w:val="00311B8A"/>
    <w:rsid w:val="00312369"/>
    <w:rsid w:val="00314329"/>
    <w:rsid w:val="00322ABF"/>
    <w:rsid w:val="0032698A"/>
    <w:rsid w:val="003341EF"/>
    <w:rsid w:val="003409B8"/>
    <w:rsid w:val="00345798"/>
    <w:rsid w:val="0034717D"/>
    <w:rsid w:val="00347AF2"/>
    <w:rsid w:val="00353E05"/>
    <w:rsid w:val="0035488E"/>
    <w:rsid w:val="00361702"/>
    <w:rsid w:val="0036329E"/>
    <w:rsid w:val="0036421F"/>
    <w:rsid w:val="00364E48"/>
    <w:rsid w:val="003665FF"/>
    <w:rsid w:val="00372000"/>
    <w:rsid w:val="0037209E"/>
    <w:rsid w:val="0037373B"/>
    <w:rsid w:val="003768E9"/>
    <w:rsid w:val="00377CAA"/>
    <w:rsid w:val="00377D5B"/>
    <w:rsid w:val="003814EE"/>
    <w:rsid w:val="003816DD"/>
    <w:rsid w:val="00381E9A"/>
    <w:rsid w:val="0039090E"/>
    <w:rsid w:val="00396E0D"/>
    <w:rsid w:val="003A19DE"/>
    <w:rsid w:val="003A5451"/>
    <w:rsid w:val="003B28B1"/>
    <w:rsid w:val="003B34EF"/>
    <w:rsid w:val="003B3B1E"/>
    <w:rsid w:val="003B516E"/>
    <w:rsid w:val="003B5285"/>
    <w:rsid w:val="003B67AA"/>
    <w:rsid w:val="003C1BCE"/>
    <w:rsid w:val="003C63A0"/>
    <w:rsid w:val="003D1AA2"/>
    <w:rsid w:val="003D1C60"/>
    <w:rsid w:val="003D2662"/>
    <w:rsid w:val="003D2CA6"/>
    <w:rsid w:val="003D351E"/>
    <w:rsid w:val="003D3A24"/>
    <w:rsid w:val="003E01D7"/>
    <w:rsid w:val="003E0C77"/>
    <w:rsid w:val="003E3BE0"/>
    <w:rsid w:val="003E4AF1"/>
    <w:rsid w:val="003E5040"/>
    <w:rsid w:val="003E7758"/>
    <w:rsid w:val="003F58A1"/>
    <w:rsid w:val="0040511A"/>
    <w:rsid w:val="00414C5D"/>
    <w:rsid w:val="004165FB"/>
    <w:rsid w:val="00421F49"/>
    <w:rsid w:val="00430C02"/>
    <w:rsid w:val="00435B95"/>
    <w:rsid w:val="004412E6"/>
    <w:rsid w:val="00442052"/>
    <w:rsid w:val="004420F9"/>
    <w:rsid w:val="00451E4A"/>
    <w:rsid w:val="004523C3"/>
    <w:rsid w:val="0045718B"/>
    <w:rsid w:val="00461272"/>
    <w:rsid w:val="00467562"/>
    <w:rsid w:val="0047381B"/>
    <w:rsid w:val="00473D21"/>
    <w:rsid w:val="00475FAA"/>
    <w:rsid w:val="004805EE"/>
    <w:rsid w:val="00485834"/>
    <w:rsid w:val="004861C8"/>
    <w:rsid w:val="004907ED"/>
    <w:rsid w:val="00495670"/>
    <w:rsid w:val="004A2A80"/>
    <w:rsid w:val="004B091B"/>
    <w:rsid w:val="004B2EEB"/>
    <w:rsid w:val="004B3E14"/>
    <w:rsid w:val="004B4642"/>
    <w:rsid w:val="004B5E65"/>
    <w:rsid w:val="004C28BA"/>
    <w:rsid w:val="004C4B27"/>
    <w:rsid w:val="004C6D63"/>
    <w:rsid w:val="004D57A6"/>
    <w:rsid w:val="004D5BC6"/>
    <w:rsid w:val="004D7830"/>
    <w:rsid w:val="004E261A"/>
    <w:rsid w:val="004E2F4F"/>
    <w:rsid w:val="004F1C68"/>
    <w:rsid w:val="004F3257"/>
    <w:rsid w:val="004F4327"/>
    <w:rsid w:val="004F7562"/>
    <w:rsid w:val="00504396"/>
    <w:rsid w:val="00524659"/>
    <w:rsid w:val="0052548A"/>
    <w:rsid w:val="00525DCD"/>
    <w:rsid w:val="00526520"/>
    <w:rsid w:val="00530D16"/>
    <w:rsid w:val="00530E13"/>
    <w:rsid w:val="00533D40"/>
    <w:rsid w:val="00534352"/>
    <w:rsid w:val="00535461"/>
    <w:rsid w:val="00535939"/>
    <w:rsid w:val="00536495"/>
    <w:rsid w:val="00540BAC"/>
    <w:rsid w:val="00542FEE"/>
    <w:rsid w:val="00543C23"/>
    <w:rsid w:val="005448AC"/>
    <w:rsid w:val="00547D6C"/>
    <w:rsid w:val="005514ED"/>
    <w:rsid w:val="00566472"/>
    <w:rsid w:val="00566D4F"/>
    <w:rsid w:val="00567363"/>
    <w:rsid w:val="00577343"/>
    <w:rsid w:val="00577A44"/>
    <w:rsid w:val="00577FC2"/>
    <w:rsid w:val="00584A45"/>
    <w:rsid w:val="00586643"/>
    <w:rsid w:val="00591F0B"/>
    <w:rsid w:val="00595F7C"/>
    <w:rsid w:val="00596721"/>
    <w:rsid w:val="005A0CD1"/>
    <w:rsid w:val="005A12F1"/>
    <w:rsid w:val="005A603C"/>
    <w:rsid w:val="005B19EC"/>
    <w:rsid w:val="005B2F82"/>
    <w:rsid w:val="005B4514"/>
    <w:rsid w:val="005B6E1A"/>
    <w:rsid w:val="005B7D81"/>
    <w:rsid w:val="005C081E"/>
    <w:rsid w:val="005C0D06"/>
    <w:rsid w:val="005C25B8"/>
    <w:rsid w:val="005C4D91"/>
    <w:rsid w:val="005C62C1"/>
    <w:rsid w:val="005D71A8"/>
    <w:rsid w:val="005E2CE1"/>
    <w:rsid w:val="005E71D0"/>
    <w:rsid w:val="005F319C"/>
    <w:rsid w:val="005F4D61"/>
    <w:rsid w:val="005F680B"/>
    <w:rsid w:val="005F796C"/>
    <w:rsid w:val="00604942"/>
    <w:rsid w:val="00607920"/>
    <w:rsid w:val="00607F42"/>
    <w:rsid w:val="00612533"/>
    <w:rsid w:val="00616780"/>
    <w:rsid w:val="00624532"/>
    <w:rsid w:val="006246F9"/>
    <w:rsid w:val="0062475A"/>
    <w:rsid w:val="00631B03"/>
    <w:rsid w:val="0063283F"/>
    <w:rsid w:val="00632F7C"/>
    <w:rsid w:val="0063482C"/>
    <w:rsid w:val="00634F6D"/>
    <w:rsid w:val="00643883"/>
    <w:rsid w:val="0064450E"/>
    <w:rsid w:val="006451A7"/>
    <w:rsid w:val="006468CE"/>
    <w:rsid w:val="006522E0"/>
    <w:rsid w:val="006529C7"/>
    <w:rsid w:val="00652E54"/>
    <w:rsid w:val="00654BE4"/>
    <w:rsid w:val="00655A81"/>
    <w:rsid w:val="00656069"/>
    <w:rsid w:val="00656A8C"/>
    <w:rsid w:val="006579DE"/>
    <w:rsid w:val="006645E7"/>
    <w:rsid w:val="006704CF"/>
    <w:rsid w:val="0067187D"/>
    <w:rsid w:val="00674DAD"/>
    <w:rsid w:val="00675D3D"/>
    <w:rsid w:val="006774C8"/>
    <w:rsid w:val="00677B92"/>
    <w:rsid w:val="006837A4"/>
    <w:rsid w:val="006837FE"/>
    <w:rsid w:val="0068603C"/>
    <w:rsid w:val="00686D42"/>
    <w:rsid w:val="00687297"/>
    <w:rsid w:val="00687E4A"/>
    <w:rsid w:val="006959C5"/>
    <w:rsid w:val="00696DEF"/>
    <w:rsid w:val="006978CF"/>
    <w:rsid w:val="00697E5E"/>
    <w:rsid w:val="006A5C94"/>
    <w:rsid w:val="006B27AC"/>
    <w:rsid w:val="006B788A"/>
    <w:rsid w:val="006C00AA"/>
    <w:rsid w:val="006C02EB"/>
    <w:rsid w:val="006D34D4"/>
    <w:rsid w:val="006D3F96"/>
    <w:rsid w:val="006D6294"/>
    <w:rsid w:val="006E047E"/>
    <w:rsid w:val="006E0C03"/>
    <w:rsid w:val="006E1013"/>
    <w:rsid w:val="006E1179"/>
    <w:rsid w:val="006E24B0"/>
    <w:rsid w:val="006E2739"/>
    <w:rsid w:val="006E7BE4"/>
    <w:rsid w:val="006F1A59"/>
    <w:rsid w:val="006F20E2"/>
    <w:rsid w:val="006F232D"/>
    <w:rsid w:val="006F5672"/>
    <w:rsid w:val="006F5E37"/>
    <w:rsid w:val="006F6F66"/>
    <w:rsid w:val="006F7425"/>
    <w:rsid w:val="006F7AAC"/>
    <w:rsid w:val="00702817"/>
    <w:rsid w:val="007071F9"/>
    <w:rsid w:val="0071218D"/>
    <w:rsid w:val="007159E7"/>
    <w:rsid w:val="00721531"/>
    <w:rsid w:val="0073318E"/>
    <w:rsid w:val="00735C5A"/>
    <w:rsid w:val="007367C0"/>
    <w:rsid w:val="0074086C"/>
    <w:rsid w:val="0074537C"/>
    <w:rsid w:val="00746AB9"/>
    <w:rsid w:val="00755098"/>
    <w:rsid w:val="007601EF"/>
    <w:rsid w:val="007631AE"/>
    <w:rsid w:val="00763DF7"/>
    <w:rsid w:val="00764B96"/>
    <w:rsid w:val="00765084"/>
    <w:rsid w:val="00765EA7"/>
    <w:rsid w:val="007668F8"/>
    <w:rsid w:val="00772E5B"/>
    <w:rsid w:val="00774EAC"/>
    <w:rsid w:val="00777F44"/>
    <w:rsid w:val="0078557D"/>
    <w:rsid w:val="00787D05"/>
    <w:rsid w:val="00791BF9"/>
    <w:rsid w:val="007926BD"/>
    <w:rsid w:val="007943E4"/>
    <w:rsid w:val="00794C3E"/>
    <w:rsid w:val="007964EA"/>
    <w:rsid w:val="007A05D6"/>
    <w:rsid w:val="007A1929"/>
    <w:rsid w:val="007A2857"/>
    <w:rsid w:val="007A4B47"/>
    <w:rsid w:val="007A4E59"/>
    <w:rsid w:val="007B3577"/>
    <w:rsid w:val="007C0713"/>
    <w:rsid w:val="007C3341"/>
    <w:rsid w:val="007C388F"/>
    <w:rsid w:val="007C6A59"/>
    <w:rsid w:val="007D0A94"/>
    <w:rsid w:val="007D4CAA"/>
    <w:rsid w:val="007D5CEE"/>
    <w:rsid w:val="007D7DEC"/>
    <w:rsid w:val="007E0E0D"/>
    <w:rsid w:val="007E4132"/>
    <w:rsid w:val="007E4344"/>
    <w:rsid w:val="007E5534"/>
    <w:rsid w:val="007F0A3A"/>
    <w:rsid w:val="007F139C"/>
    <w:rsid w:val="00801486"/>
    <w:rsid w:val="00802AC5"/>
    <w:rsid w:val="0080447B"/>
    <w:rsid w:val="00807502"/>
    <w:rsid w:val="00815179"/>
    <w:rsid w:val="00816246"/>
    <w:rsid w:val="00820091"/>
    <w:rsid w:val="00820965"/>
    <w:rsid w:val="00821462"/>
    <w:rsid w:val="008251AF"/>
    <w:rsid w:val="00825F49"/>
    <w:rsid w:val="008303CD"/>
    <w:rsid w:val="008316A7"/>
    <w:rsid w:val="00833F61"/>
    <w:rsid w:val="00836064"/>
    <w:rsid w:val="0084083D"/>
    <w:rsid w:val="00841315"/>
    <w:rsid w:val="00844A46"/>
    <w:rsid w:val="00845C13"/>
    <w:rsid w:val="0084772E"/>
    <w:rsid w:val="00847C50"/>
    <w:rsid w:val="00874FA7"/>
    <w:rsid w:val="0087526E"/>
    <w:rsid w:val="00880462"/>
    <w:rsid w:val="008820CA"/>
    <w:rsid w:val="008821E1"/>
    <w:rsid w:val="00885066"/>
    <w:rsid w:val="0088509F"/>
    <w:rsid w:val="008855E6"/>
    <w:rsid w:val="00886285"/>
    <w:rsid w:val="008876FB"/>
    <w:rsid w:val="00892AEA"/>
    <w:rsid w:val="00893CC3"/>
    <w:rsid w:val="008A4D40"/>
    <w:rsid w:val="008A4DC7"/>
    <w:rsid w:val="008A7ABC"/>
    <w:rsid w:val="008B086A"/>
    <w:rsid w:val="008B2F36"/>
    <w:rsid w:val="008B4438"/>
    <w:rsid w:val="008B5105"/>
    <w:rsid w:val="008B626D"/>
    <w:rsid w:val="008C0C54"/>
    <w:rsid w:val="008C2CA0"/>
    <w:rsid w:val="008C4A9F"/>
    <w:rsid w:val="008C67DC"/>
    <w:rsid w:val="008C680E"/>
    <w:rsid w:val="008D1C62"/>
    <w:rsid w:val="008D3157"/>
    <w:rsid w:val="008D375C"/>
    <w:rsid w:val="008D39CE"/>
    <w:rsid w:val="008E103B"/>
    <w:rsid w:val="008E198B"/>
    <w:rsid w:val="008E5D14"/>
    <w:rsid w:val="008E665C"/>
    <w:rsid w:val="008F0DBF"/>
    <w:rsid w:val="008F2037"/>
    <w:rsid w:val="008F2B64"/>
    <w:rsid w:val="008F55A6"/>
    <w:rsid w:val="008F654C"/>
    <w:rsid w:val="009004DF"/>
    <w:rsid w:val="009032F7"/>
    <w:rsid w:val="009044A3"/>
    <w:rsid w:val="00904FC2"/>
    <w:rsid w:val="0091258D"/>
    <w:rsid w:val="0091561C"/>
    <w:rsid w:val="009175F9"/>
    <w:rsid w:val="009267D6"/>
    <w:rsid w:val="00930CCF"/>
    <w:rsid w:val="00941C1C"/>
    <w:rsid w:val="00943540"/>
    <w:rsid w:val="00944B18"/>
    <w:rsid w:val="00944C62"/>
    <w:rsid w:val="00946240"/>
    <w:rsid w:val="00947DF7"/>
    <w:rsid w:val="00950216"/>
    <w:rsid w:val="00951ED2"/>
    <w:rsid w:val="00951F81"/>
    <w:rsid w:val="00956465"/>
    <w:rsid w:val="00967B0A"/>
    <w:rsid w:val="009708F7"/>
    <w:rsid w:val="00973BAD"/>
    <w:rsid w:val="00975B08"/>
    <w:rsid w:val="0097651E"/>
    <w:rsid w:val="009824BC"/>
    <w:rsid w:val="0098565D"/>
    <w:rsid w:val="0099594E"/>
    <w:rsid w:val="009964CD"/>
    <w:rsid w:val="00997845"/>
    <w:rsid w:val="009A62AB"/>
    <w:rsid w:val="009A656D"/>
    <w:rsid w:val="009A6CB6"/>
    <w:rsid w:val="009A723B"/>
    <w:rsid w:val="009B119A"/>
    <w:rsid w:val="009B292A"/>
    <w:rsid w:val="009B2989"/>
    <w:rsid w:val="009B3191"/>
    <w:rsid w:val="009B497A"/>
    <w:rsid w:val="009B6F2F"/>
    <w:rsid w:val="009C3311"/>
    <w:rsid w:val="009C74A4"/>
    <w:rsid w:val="009E3A40"/>
    <w:rsid w:val="009E5583"/>
    <w:rsid w:val="009E614F"/>
    <w:rsid w:val="009E71B8"/>
    <w:rsid w:val="009F1D4A"/>
    <w:rsid w:val="009F2700"/>
    <w:rsid w:val="009F7E04"/>
    <w:rsid w:val="00A01440"/>
    <w:rsid w:val="00A026F5"/>
    <w:rsid w:val="00A130EC"/>
    <w:rsid w:val="00A1326A"/>
    <w:rsid w:val="00A13DB9"/>
    <w:rsid w:val="00A1693A"/>
    <w:rsid w:val="00A177AC"/>
    <w:rsid w:val="00A201EC"/>
    <w:rsid w:val="00A20FC5"/>
    <w:rsid w:val="00A21B61"/>
    <w:rsid w:val="00A22DA5"/>
    <w:rsid w:val="00A252C5"/>
    <w:rsid w:val="00A32A67"/>
    <w:rsid w:val="00A32DFA"/>
    <w:rsid w:val="00A33FF4"/>
    <w:rsid w:val="00A34EF3"/>
    <w:rsid w:val="00A46003"/>
    <w:rsid w:val="00A46B16"/>
    <w:rsid w:val="00A5080F"/>
    <w:rsid w:val="00A57BAC"/>
    <w:rsid w:val="00A60D96"/>
    <w:rsid w:val="00A6460F"/>
    <w:rsid w:val="00A654B0"/>
    <w:rsid w:val="00A67080"/>
    <w:rsid w:val="00A70D61"/>
    <w:rsid w:val="00A7122D"/>
    <w:rsid w:val="00A7159A"/>
    <w:rsid w:val="00A72E4D"/>
    <w:rsid w:val="00A73DE7"/>
    <w:rsid w:val="00A87C07"/>
    <w:rsid w:val="00AA72B6"/>
    <w:rsid w:val="00AA7669"/>
    <w:rsid w:val="00AA7C88"/>
    <w:rsid w:val="00AB2852"/>
    <w:rsid w:val="00AB41E8"/>
    <w:rsid w:val="00AB50D9"/>
    <w:rsid w:val="00AC0675"/>
    <w:rsid w:val="00AC0879"/>
    <w:rsid w:val="00AC0B80"/>
    <w:rsid w:val="00AC3CCD"/>
    <w:rsid w:val="00AD256A"/>
    <w:rsid w:val="00AD3DF0"/>
    <w:rsid w:val="00AE0A9F"/>
    <w:rsid w:val="00AE0BF0"/>
    <w:rsid w:val="00AE16EA"/>
    <w:rsid w:val="00AE3AE1"/>
    <w:rsid w:val="00AE6611"/>
    <w:rsid w:val="00AF2B15"/>
    <w:rsid w:val="00AF58C5"/>
    <w:rsid w:val="00AF5AE5"/>
    <w:rsid w:val="00B00DF9"/>
    <w:rsid w:val="00B022D4"/>
    <w:rsid w:val="00B06794"/>
    <w:rsid w:val="00B06FDE"/>
    <w:rsid w:val="00B10B9A"/>
    <w:rsid w:val="00B1118D"/>
    <w:rsid w:val="00B13BDD"/>
    <w:rsid w:val="00B14CD0"/>
    <w:rsid w:val="00B21001"/>
    <w:rsid w:val="00B21377"/>
    <w:rsid w:val="00B23A6C"/>
    <w:rsid w:val="00B25B61"/>
    <w:rsid w:val="00B25CB3"/>
    <w:rsid w:val="00B26E02"/>
    <w:rsid w:val="00B342CA"/>
    <w:rsid w:val="00B3467D"/>
    <w:rsid w:val="00B35EB9"/>
    <w:rsid w:val="00B37041"/>
    <w:rsid w:val="00B41A47"/>
    <w:rsid w:val="00B459B7"/>
    <w:rsid w:val="00B54F13"/>
    <w:rsid w:val="00B56C3C"/>
    <w:rsid w:val="00B60F12"/>
    <w:rsid w:val="00B63E2C"/>
    <w:rsid w:val="00B658CD"/>
    <w:rsid w:val="00B7633C"/>
    <w:rsid w:val="00B76449"/>
    <w:rsid w:val="00B80F47"/>
    <w:rsid w:val="00B86ED5"/>
    <w:rsid w:val="00B87664"/>
    <w:rsid w:val="00B909E5"/>
    <w:rsid w:val="00B91D06"/>
    <w:rsid w:val="00B967CC"/>
    <w:rsid w:val="00B97615"/>
    <w:rsid w:val="00B9779D"/>
    <w:rsid w:val="00BA0F20"/>
    <w:rsid w:val="00BA1D5E"/>
    <w:rsid w:val="00BA318E"/>
    <w:rsid w:val="00BB1CAD"/>
    <w:rsid w:val="00BB3DB9"/>
    <w:rsid w:val="00BB4A62"/>
    <w:rsid w:val="00BB772E"/>
    <w:rsid w:val="00BC0A45"/>
    <w:rsid w:val="00BC0A46"/>
    <w:rsid w:val="00BC2276"/>
    <w:rsid w:val="00BD3495"/>
    <w:rsid w:val="00BD4A1B"/>
    <w:rsid w:val="00BE35FA"/>
    <w:rsid w:val="00BE3A0D"/>
    <w:rsid w:val="00BE40A4"/>
    <w:rsid w:val="00BE618F"/>
    <w:rsid w:val="00BF4048"/>
    <w:rsid w:val="00BF4CD5"/>
    <w:rsid w:val="00BF6ABD"/>
    <w:rsid w:val="00BF75FC"/>
    <w:rsid w:val="00C00749"/>
    <w:rsid w:val="00C0369B"/>
    <w:rsid w:val="00C11CD3"/>
    <w:rsid w:val="00C11E0D"/>
    <w:rsid w:val="00C125D7"/>
    <w:rsid w:val="00C20187"/>
    <w:rsid w:val="00C219B5"/>
    <w:rsid w:val="00C22524"/>
    <w:rsid w:val="00C22C7D"/>
    <w:rsid w:val="00C30556"/>
    <w:rsid w:val="00C325CE"/>
    <w:rsid w:val="00C34BAF"/>
    <w:rsid w:val="00C359E3"/>
    <w:rsid w:val="00C36AAD"/>
    <w:rsid w:val="00C45CA4"/>
    <w:rsid w:val="00C4736C"/>
    <w:rsid w:val="00C50633"/>
    <w:rsid w:val="00C5420C"/>
    <w:rsid w:val="00C6032A"/>
    <w:rsid w:val="00C6704E"/>
    <w:rsid w:val="00C7006C"/>
    <w:rsid w:val="00C71942"/>
    <w:rsid w:val="00C72260"/>
    <w:rsid w:val="00C72650"/>
    <w:rsid w:val="00C72AE4"/>
    <w:rsid w:val="00C733E5"/>
    <w:rsid w:val="00C742AE"/>
    <w:rsid w:val="00C74933"/>
    <w:rsid w:val="00C76759"/>
    <w:rsid w:val="00C77EE9"/>
    <w:rsid w:val="00C819F4"/>
    <w:rsid w:val="00C839BE"/>
    <w:rsid w:val="00C85A72"/>
    <w:rsid w:val="00C910A5"/>
    <w:rsid w:val="00C92A00"/>
    <w:rsid w:val="00C96BE8"/>
    <w:rsid w:val="00CA0965"/>
    <w:rsid w:val="00CA502F"/>
    <w:rsid w:val="00CA6723"/>
    <w:rsid w:val="00CA6FFA"/>
    <w:rsid w:val="00CB3C5E"/>
    <w:rsid w:val="00CB438F"/>
    <w:rsid w:val="00CB638B"/>
    <w:rsid w:val="00CB6535"/>
    <w:rsid w:val="00CB6CC3"/>
    <w:rsid w:val="00CC09C2"/>
    <w:rsid w:val="00CC335A"/>
    <w:rsid w:val="00CC6185"/>
    <w:rsid w:val="00CD13FD"/>
    <w:rsid w:val="00CD2249"/>
    <w:rsid w:val="00CD28F1"/>
    <w:rsid w:val="00CD6591"/>
    <w:rsid w:val="00CD6A23"/>
    <w:rsid w:val="00CD7AB4"/>
    <w:rsid w:val="00CE09E2"/>
    <w:rsid w:val="00CE0D39"/>
    <w:rsid w:val="00CE23D1"/>
    <w:rsid w:val="00CE3217"/>
    <w:rsid w:val="00CF047C"/>
    <w:rsid w:val="00CF153D"/>
    <w:rsid w:val="00CF2327"/>
    <w:rsid w:val="00CF28C2"/>
    <w:rsid w:val="00CF76FE"/>
    <w:rsid w:val="00CF7ADD"/>
    <w:rsid w:val="00D04602"/>
    <w:rsid w:val="00D04EE2"/>
    <w:rsid w:val="00D07151"/>
    <w:rsid w:val="00D1064C"/>
    <w:rsid w:val="00D12406"/>
    <w:rsid w:val="00D22D0F"/>
    <w:rsid w:val="00D27A38"/>
    <w:rsid w:val="00D323C4"/>
    <w:rsid w:val="00D344FC"/>
    <w:rsid w:val="00D43A4C"/>
    <w:rsid w:val="00D47176"/>
    <w:rsid w:val="00D47A1F"/>
    <w:rsid w:val="00D47D92"/>
    <w:rsid w:val="00D50217"/>
    <w:rsid w:val="00D52301"/>
    <w:rsid w:val="00D5643B"/>
    <w:rsid w:val="00D564AC"/>
    <w:rsid w:val="00D666EB"/>
    <w:rsid w:val="00D700FA"/>
    <w:rsid w:val="00D7142C"/>
    <w:rsid w:val="00D741A2"/>
    <w:rsid w:val="00D8016C"/>
    <w:rsid w:val="00D8202C"/>
    <w:rsid w:val="00D85248"/>
    <w:rsid w:val="00D85D77"/>
    <w:rsid w:val="00D9425A"/>
    <w:rsid w:val="00D9566D"/>
    <w:rsid w:val="00D966CD"/>
    <w:rsid w:val="00D97E06"/>
    <w:rsid w:val="00DA463C"/>
    <w:rsid w:val="00DA57B3"/>
    <w:rsid w:val="00DA5871"/>
    <w:rsid w:val="00DA62AC"/>
    <w:rsid w:val="00DB1405"/>
    <w:rsid w:val="00DB6305"/>
    <w:rsid w:val="00DC18B7"/>
    <w:rsid w:val="00DC1AA2"/>
    <w:rsid w:val="00DC1D66"/>
    <w:rsid w:val="00DC1F5C"/>
    <w:rsid w:val="00DC6941"/>
    <w:rsid w:val="00DD1824"/>
    <w:rsid w:val="00DE39FC"/>
    <w:rsid w:val="00DE4E4F"/>
    <w:rsid w:val="00DE54D2"/>
    <w:rsid w:val="00DE7BC6"/>
    <w:rsid w:val="00DF0C11"/>
    <w:rsid w:val="00DF768B"/>
    <w:rsid w:val="00E02A5F"/>
    <w:rsid w:val="00E07B34"/>
    <w:rsid w:val="00E2091F"/>
    <w:rsid w:val="00E2239E"/>
    <w:rsid w:val="00E2348D"/>
    <w:rsid w:val="00E25A94"/>
    <w:rsid w:val="00E30935"/>
    <w:rsid w:val="00E30FCB"/>
    <w:rsid w:val="00E334ED"/>
    <w:rsid w:val="00E36347"/>
    <w:rsid w:val="00E44943"/>
    <w:rsid w:val="00E46410"/>
    <w:rsid w:val="00E50A40"/>
    <w:rsid w:val="00E51601"/>
    <w:rsid w:val="00E56728"/>
    <w:rsid w:val="00E600AC"/>
    <w:rsid w:val="00E60D17"/>
    <w:rsid w:val="00E60E8E"/>
    <w:rsid w:val="00E64B5A"/>
    <w:rsid w:val="00E66306"/>
    <w:rsid w:val="00E70A83"/>
    <w:rsid w:val="00E75432"/>
    <w:rsid w:val="00E77524"/>
    <w:rsid w:val="00E77FE0"/>
    <w:rsid w:val="00E87FE2"/>
    <w:rsid w:val="00E9080D"/>
    <w:rsid w:val="00E90F8F"/>
    <w:rsid w:val="00E96562"/>
    <w:rsid w:val="00E96DF4"/>
    <w:rsid w:val="00EA1197"/>
    <w:rsid w:val="00EA32D3"/>
    <w:rsid w:val="00EA445B"/>
    <w:rsid w:val="00EA7AF2"/>
    <w:rsid w:val="00EB6E56"/>
    <w:rsid w:val="00EC0240"/>
    <w:rsid w:val="00EC394A"/>
    <w:rsid w:val="00EC6B0F"/>
    <w:rsid w:val="00EC6BB4"/>
    <w:rsid w:val="00EC6E4E"/>
    <w:rsid w:val="00ED0315"/>
    <w:rsid w:val="00ED106E"/>
    <w:rsid w:val="00ED113B"/>
    <w:rsid w:val="00ED168A"/>
    <w:rsid w:val="00ED4F36"/>
    <w:rsid w:val="00ED6CEE"/>
    <w:rsid w:val="00EE00D3"/>
    <w:rsid w:val="00EE03F8"/>
    <w:rsid w:val="00EE2098"/>
    <w:rsid w:val="00EE6A0F"/>
    <w:rsid w:val="00EF22A2"/>
    <w:rsid w:val="00EF4837"/>
    <w:rsid w:val="00F0048B"/>
    <w:rsid w:val="00F2002E"/>
    <w:rsid w:val="00F224F4"/>
    <w:rsid w:val="00F2473D"/>
    <w:rsid w:val="00F255B9"/>
    <w:rsid w:val="00F26426"/>
    <w:rsid w:val="00F31C45"/>
    <w:rsid w:val="00F35484"/>
    <w:rsid w:val="00F37AA2"/>
    <w:rsid w:val="00F4401E"/>
    <w:rsid w:val="00F525E1"/>
    <w:rsid w:val="00F53F7F"/>
    <w:rsid w:val="00F56F35"/>
    <w:rsid w:val="00F6005C"/>
    <w:rsid w:val="00F60085"/>
    <w:rsid w:val="00F60922"/>
    <w:rsid w:val="00F6187E"/>
    <w:rsid w:val="00F620C3"/>
    <w:rsid w:val="00F65E77"/>
    <w:rsid w:val="00F725F7"/>
    <w:rsid w:val="00F85ABE"/>
    <w:rsid w:val="00F9258A"/>
    <w:rsid w:val="00F927E4"/>
    <w:rsid w:val="00F96275"/>
    <w:rsid w:val="00F978A0"/>
    <w:rsid w:val="00FA4DA3"/>
    <w:rsid w:val="00FA5E0F"/>
    <w:rsid w:val="00FA5F18"/>
    <w:rsid w:val="00FB2B9F"/>
    <w:rsid w:val="00FB328B"/>
    <w:rsid w:val="00FB6C80"/>
    <w:rsid w:val="00FC471B"/>
    <w:rsid w:val="00FC75FC"/>
    <w:rsid w:val="00FD2C57"/>
    <w:rsid w:val="00FD3D7B"/>
    <w:rsid w:val="00FD79BB"/>
    <w:rsid w:val="00FD7D94"/>
    <w:rsid w:val="00FE0452"/>
    <w:rsid w:val="00FE3F3F"/>
    <w:rsid w:val="00FE4B2E"/>
    <w:rsid w:val="00FE5C96"/>
    <w:rsid w:val="00FF153D"/>
    <w:rsid w:val="00FF3233"/>
    <w:rsid w:val="00FF3B33"/>
    <w:rsid w:val="00FF47F2"/>
    <w:rsid w:val="00FF4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636361E8"/>
  <w15:chartTrackingRefBased/>
  <w15:docId w15:val="{C4D38AB9-0DD4-4302-96E4-C7A7F46C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7006C"/>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uiPriority w:val="22"/>
    <w:qFormat/>
    <w:rPr>
      <w:b/>
      <w:bCs/>
    </w:rPr>
  </w:style>
  <w:style w:type="paragraph" w:styleId="BodyText">
    <w:name w:val="Body Text"/>
    <w:basedOn w:val="Normal"/>
    <w:pPr>
      <w:jc w:val="right"/>
    </w:pPr>
    <w:rPr>
      <w:b/>
      <w:sz w:val="28"/>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lang w:val="en-GB" w:eastAsia="en-US"/>
    </w:rPr>
  </w:style>
  <w:style w:type="paragraph" w:styleId="BalloonText">
    <w:name w:val="Balloon Text"/>
    <w:basedOn w:val="Normal"/>
    <w:semiHidden/>
    <w:rPr>
      <w:rFonts w:ascii="Tahoma" w:hAnsi="Tahoma" w:cs="Tahoma"/>
      <w:sz w:val="16"/>
      <w:szCs w:val="16"/>
    </w:rPr>
  </w:style>
  <w:style w:type="paragraph" w:customStyle="1" w:styleId="RakstzRakstzRakstzRakstzRakstzRakstzRakstzRakstzRakstzRakstz">
    <w:name w:val="Rakstz. Rakstz. Rakstz. Rakstz. Rakstz. Rakstz. Rakstz. Rakstz. Rakstz. Rakstz."/>
    <w:aliases w:val="Rakstz. Rakstz. Rakstz. Rakstz. Rakstz. Rakstz. Rakstz.1"/>
    <w:basedOn w:val="Normal"/>
    <w:autoRedefine/>
    <w:pPr>
      <w:spacing w:before="40"/>
    </w:pPr>
    <w:rPr>
      <w:lang w:val="pl-PL" w:eastAsia="pl-PL"/>
    </w:rPr>
  </w:style>
  <w:style w:type="paragraph" w:customStyle="1" w:styleId="Stils2">
    <w:name w:val="Stils2"/>
    <w:basedOn w:val="Normal"/>
    <w:link w:val="Stils2RakstzRakstz"/>
    <w:autoRedefine/>
    <w:rsid w:val="001A0CBC"/>
    <w:pPr>
      <w:spacing w:after="120"/>
      <w:ind w:left="37"/>
      <w:jc w:val="both"/>
    </w:pPr>
    <w:rPr>
      <w:bCs/>
      <w:snapToGrid w:val="0"/>
      <w:lang w:val="x-none" w:eastAsia="en-US"/>
    </w:rPr>
  </w:style>
  <w:style w:type="character" w:customStyle="1" w:styleId="Stils2RakstzRakstz">
    <w:name w:val="Stils2 Rakstz. Rakstz."/>
    <w:link w:val="Stils2"/>
    <w:rsid w:val="001A0CBC"/>
    <w:rPr>
      <w:bCs/>
      <w:snapToGrid w:val="0"/>
      <w:sz w:val="24"/>
      <w:szCs w:val="24"/>
      <w:lang w:eastAsia="en-US"/>
    </w:rPr>
  </w:style>
  <w:style w:type="character" w:styleId="Emphasis">
    <w:name w:val="Emphasis"/>
    <w:qFormat/>
    <w:rPr>
      <w:i/>
      <w:iCs/>
    </w:rPr>
  </w:style>
  <w:style w:type="paragraph" w:styleId="Header">
    <w:name w:val="header"/>
    <w:basedOn w:val="Normal"/>
    <w:pPr>
      <w:tabs>
        <w:tab w:val="center" w:pos="4153"/>
        <w:tab w:val="right" w:pos="8306"/>
      </w:tabs>
    </w:pPr>
  </w:style>
  <w:style w:type="paragraph" w:customStyle="1" w:styleId="Rakstz">
    <w:name w:val="Rakstz."/>
    <w:basedOn w:val="Normal"/>
    <w:rPr>
      <w:lang w:val="pl-PL" w:eastAsia="pl-PL"/>
    </w:rPr>
  </w:style>
  <w:style w:type="paragraph" w:customStyle="1" w:styleId="Rakstz1">
    <w:name w:val="Rakstz.1"/>
    <w:basedOn w:val="Normal"/>
    <w:rPr>
      <w:lang w:val="pl-PL" w:eastAsia="pl-PL"/>
    </w:rPr>
  </w:style>
  <w:style w:type="paragraph" w:styleId="CommentSubject">
    <w:name w:val="annotation subject"/>
    <w:basedOn w:val="CommentText"/>
    <w:next w:val="CommentText"/>
    <w:semiHidden/>
    <w:rPr>
      <w:b/>
      <w:bCs/>
      <w:lang w:val="lv-LV" w:eastAsia="lv-LV"/>
    </w:rPr>
  </w:style>
  <w:style w:type="paragraph" w:customStyle="1" w:styleId="Rakstz1RakstzRakstzCharChar">
    <w:name w:val="Rakstz.1 Rakstz. Rakstz. Char Char"/>
    <w:basedOn w:val="Normal"/>
    <w:rPr>
      <w:lang w:val="pl-PL" w:eastAsia="pl-PL"/>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Title">
    <w:name w:val="Title"/>
    <w:basedOn w:val="Normal"/>
    <w:qFormat/>
    <w:pPr>
      <w:ind w:left="720" w:firstLine="720"/>
      <w:jc w:val="center"/>
    </w:pPr>
    <w:rPr>
      <w:b/>
      <w:sz w:val="28"/>
      <w:szCs w:val="20"/>
      <w:lang w:eastAsia="en-US"/>
    </w:rPr>
  </w:style>
  <w:style w:type="paragraph" w:customStyle="1" w:styleId="CharChar">
    <w:name w:val="Char Char"/>
    <w:basedOn w:val="Normal"/>
    <w:pPr>
      <w:spacing w:before="40"/>
    </w:pPr>
    <w:rPr>
      <w:lang w:val="pl-PL" w:eastAsia="pl-PL"/>
    </w:rPr>
  </w:style>
  <w:style w:type="paragraph" w:styleId="NormalWeb">
    <w:name w:val="Normal (Web)"/>
    <w:basedOn w:val="Normal"/>
    <w:uiPriority w:val="99"/>
    <w:rsid w:val="00C839BE"/>
    <w:pPr>
      <w:spacing w:before="100" w:beforeAutospacing="1" w:after="100" w:afterAutospacing="1"/>
    </w:pPr>
  </w:style>
  <w:style w:type="character" w:customStyle="1" w:styleId="CommentTextChar">
    <w:name w:val="Comment Text Char"/>
    <w:link w:val="CommentText"/>
    <w:uiPriority w:val="99"/>
    <w:semiHidden/>
    <w:locked/>
    <w:rsid w:val="0080447B"/>
    <w:rPr>
      <w:lang w:val="en-GB" w:eastAsia="en-US"/>
    </w:rPr>
  </w:style>
  <w:style w:type="paragraph" w:customStyle="1" w:styleId="Default">
    <w:name w:val="Default"/>
    <w:rsid w:val="0037209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7209E"/>
    <w:rPr>
      <w:rFonts w:cs="Times New Roman"/>
      <w:color w:val="auto"/>
    </w:rPr>
  </w:style>
  <w:style w:type="paragraph" w:customStyle="1" w:styleId="CM3">
    <w:name w:val="CM3"/>
    <w:basedOn w:val="Default"/>
    <w:next w:val="Default"/>
    <w:uiPriority w:val="99"/>
    <w:rsid w:val="0037209E"/>
    <w:rPr>
      <w:rFonts w:cs="Times New Roman"/>
      <w:color w:val="auto"/>
    </w:rPr>
  </w:style>
  <w:style w:type="paragraph" w:customStyle="1" w:styleId="CM4">
    <w:name w:val="CM4"/>
    <w:basedOn w:val="Default"/>
    <w:next w:val="Default"/>
    <w:uiPriority w:val="99"/>
    <w:rsid w:val="0037209E"/>
    <w:rPr>
      <w:rFonts w:cs="Times New Roman"/>
      <w:color w:val="auto"/>
    </w:rPr>
  </w:style>
  <w:style w:type="paragraph" w:styleId="NoSpacing">
    <w:name w:val="No Spacing"/>
    <w:uiPriority w:val="1"/>
    <w:qFormat/>
    <w:rsid w:val="00586643"/>
    <w:rPr>
      <w:rFonts w:ascii="Calibri" w:eastAsia="Calibri" w:hAnsi="Calibri"/>
      <w:sz w:val="22"/>
      <w:szCs w:val="22"/>
      <w:lang w:eastAsia="en-US"/>
    </w:rPr>
  </w:style>
  <w:style w:type="character" w:customStyle="1" w:styleId="Heading1Char">
    <w:name w:val="Heading 1 Char"/>
    <w:link w:val="Heading1"/>
    <w:rsid w:val="00C7006C"/>
    <w:rPr>
      <w:rFonts w:ascii="Calibri Light" w:eastAsia="Times New Roman" w:hAnsi="Calibri Light" w:cs="Times New Roman"/>
      <w:b/>
      <w:bCs/>
      <w:kern w:val="32"/>
      <w:sz w:val="32"/>
      <w:szCs w:val="32"/>
    </w:rPr>
  </w:style>
  <w:style w:type="table" w:styleId="TableGrid">
    <w:name w:val="Table Grid"/>
    <w:basedOn w:val="TableNormal"/>
    <w:rsid w:val="0034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1272"/>
    <w:rPr>
      <w:sz w:val="24"/>
      <w:szCs w:val="24"/>
    </w:rPr>
  </w:style>
  <w:style w:type="paragraph" w:styleId="ListParagraph">
    <w:name w:val="List Paragraph"/>
    <w:basedOn w:val="Normal"/>
    <w:link w:val="ListParagraphChar"/>
    <w:uiPriority w:val="99"/>
    <w:qFormat/>
    <w:rsid w:val="005B6E1A"/>
    <w:pPr>
      <w:spacing w:after="200" w:line="276" w:lineRule="auto"/>
      <w:ind w:left="720"/>
      <w:contextualSpacing/>
    </w:pPr>
    <w:rPr>
      <w:rFonts w:ascii="Calibri" w:eastAsia="Calibri" w:hAnsi="Calibri"/>
      <w:sz w:val="22"/>
      <w:szCs w:val="22"/>
      <w:lang w:val="x-none" w:eastAsia="en-US"/>
    </w:rPr>
  </w:style>
  <w:style w:type="character" w:customStyle="1" w:styleId="ListParagraphChar">
    <w:name w:val="List Paragraph Char"/>
    <w:link w:val="ListParagraph"/>
    <w:uiPriority w:val="99"/>
    <w:locked/>
    <w:rsid w:val="005B6E1A"/>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E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430">
      <w:bodyDiv w:val="1"/>
      <w:marLeft w:val="0"/>
      <w:marRight w:val="0"/>
      <w:marTop w:val="0"/>
      <w:marBottom w:val="0"/>
      <w:divBdr>
        <w:top w:val="none" w:sz="0" w:space="0" w:color="auto"/>
        <w:left w:val="none" w:sz="0" w:space="0" w:color="auto"/>
        <w:bottom w:val="none" w:sz="0" w:space="0" w:color="auto"/>
        <w:right w:val="none" w:sz="0" w:space="0" w:color="auto"/>
      </w:divBdr>
    </w:div>
    <w:div w:id="37248039">
      <w:bodyDiv w:val="1"/>
      <w:marLeft w:val="0"/>
      <w:marRight w:val="0"/>
      <w:marTop w:val="0"/>
      <w:marBottom w:val="0"/>
      <w:divBdr>
        <w:top w:val="none" w:sz="0" w:space="0" w:color="auto"/>
        <w:left w:val="none" w:sz="0" w:space="0" w:color="auto"/>
        <w:bottom w:val="none" w:sz="0" w:space="0" w:color="auto"/>
        <w:right w:val="none" w:sz="0" w:space="0" w:color="auto"/>
      </w:divBdr>
    </w:div>
    <w:div w:id="53235148">
      <w:bodyDiv w:val="1"/>
      <w:marLeft w:val="0"/>
      <w:marRight w:val="0"/>
      <w:marTop w:val="0"/>
      <w:marBottom w:val="0"/>
      <w:divBdr>
        <w:top w:val="none" w:sz="0" w:space="0" w:color="auto"/>
        <w:left w:val="none" w:sz="0" w:space="0" w:color="auto"/>
        <w:bottom w:val="none" w:sz="0" w:space="0" w:color="auto"/>
        <w:right w:val="none" w:sz="0" w:space="0" w:color="auto"/>
      </w:divBdr>
    </w:div>
    <w:div w:id="59793966">
      <w:bodyDiv w:val="1"/>
      <w:marLeft w:val="0"/>
      <w:marRight w:val="0"/>
      <w:marTop w:val="0"/>
      <w:marBottom w:val="0"/>
      <w:divBdr>
        <w:top w:val="none" w:sz="0" w:space="0" w:color="auto"/>
        <w:left w:val="none" w:sz="0" w:space="0" w:color="auto"/>
        <w:bottom w:val="none" w:sz="0" w:space="0" w:color="auto"/>
        <w:right w:val="none" w:sz="0" w:space="0" w:color="auto"/>
      </w:divBdr>
    </w:div>
    <w:div w:id="122693578">
      <w:bodyDiv w:val="1"/>
      <w:marLeft w:val="0"/>
      <w:marRight w:val="0"/>
      <w:marTop w:val="0"/>
      <w:marBottom w:val="0"/>
      <w:divBdr>
        <w:top w:val="none" w:sz="0" w:space="0" w:color="auto"/>
        <w:left w:val="none" w:sz="0" w:space="0" w:color="auto"/>
        <w:bottom w:val="none" w:sz="0" w:space="0" w:color="auto"/>
        <w:right w:val="none" w:sz="0" w:space="0" w:color="auto"/>
      </w:divBdr>
    </w:div>
    <w:div w:id="470951535">
      <w:bodyDiv w:val="1"/>
      <w:marLeft w:val="0"/>
      <w:marRight w:val="0"/>
      <w:marTop w:val="0"/>
      <w:marBottom w:val="0"/>
      <w:divBdr>
        <w:top w:val="none" w:sz="0" w:space="0" w:color="auto"/>
        <w:left w:val="none" w:sz="0" w:space="0" w:color="auto"/>
        <w:bottom w:val="none" w:sz="0" w:space="0" w:color="auto"/>
        <w:right w:val="none" w:sz="0" w:space="0" w:color="auto"/>
      </w:divBdr>
    </w:div>
    <w:div w:id="486239688">
      <w:bodyDiv w:val="1"/>
      <w:marLeft w:val="0"/>
      <w:marRight w:val="0"/>
      <w:marTop w:val="0"/>
      <w:marBottom w:val="0"/>
      <w:divBdr>
        <w:top w:val="none" w:sz="0" w:space="0" w:color="auto"/>
        <w:left w:val="none" w:sz="0" w:space="0" w:color="auto"/>
        <w:bottom w:val="none" w:sz="0" w:space="0" w:color="auto"/>
        <w:right w:val="none" w:sz="0" w:space="0" w:color="auto"/>
      </w:divBdr>
    </w:div>
    <w:div w:id="519664631">
      <w:bodyDiv w:val="1"/>
      <w:marLeft w:val="0"/>
      <w:marRight w:val="0"/>
      <w:marTop w:val="0"/>
      <w:marBottom w:val="0"/>
      <w:divBdr>
        <w:top w:val="none" w:sz="0" w:space="0" w:color="auto"/>
        <w:left w:val="none" w:sz="0" w:space="0" w:color="auto"/>
        <w:bottom w:val="none" w:sz="0" w:space="0" w:color="auto"/>
        <w:right w:val="none" w:sz="0" w:space="0" w:color="auto"/>
      </w:divBdr>
    </w:div>
    <w:div w:id="622661571">
      <w:bodyDiv w:val="1"/>
      <w:marLeft w:val="0"/>
      <w:marRight w:val="0"/>
      <w:marTop w:val="0"/>
      <w:marBottom w:val="0"/>
      <w:divBdr>
        <w:top w:val="none" w:sz="0" w:space="0" w:color="auto"/>
        <w:left w:val="none" w:sz="0" w:space="0" w:color="auto"/>
        <w:bottom w:val="none" w:sz="0" w:space="0" w:color="auto"/>
        <w:right w:val="none" w:sz="0" w:space="0" w:color="auto"/>
      </w:divBdr>
    </w:div>
    <w:div w:id="635178873">
      <w:bodyDiv w:val="1"/>
      <w:marLeft w:val="0"/>
      <w:marRight w:val="0"/>
      <w:marTop w:val="0"/>
      <w:marBottom w:val="0"/>
      <w:divBdr>
        <w:top w:val="none" w:sz="0" w:space="0" w:color="auto"/>
        <w:left w:val="none" w:sz="0" w:space="0" w:color="auto"/>
        <w:bottom w:val="none" w:sz="0" w:space="0" w:color="auto"/>
        <w:right w:val="none" w:sz="0" w:space="0" w:color="auto"/>
      </w:divBdr>
    </w:div>
    <w:div w:id="737245272">
      <w:bodyDiv w:val="1"/>
      <w:marLeft w:val="0"/>
      <w:marRight w:val="0"/>
      <w:marTop w:val="0"/>
      <w:marBottom w:val="0"/>
      <w:divBdr>
        <w:top w:val="none" w:sz="0" w:space="0" w:color="auto"/>
        <w:left w:val="none" w:sz="0" w:space="0" w:color="auto"/>
        <w:bottom w:val="none" w:sz="0" w:space="0" w:color="auto"/>
        <w:right w:val="none" w:sz="0" w:space="0" w:color="auto"/>
      </w:divBdr>
    </w:div>
    <w:div w:id="768698354">
      <w:bodyDiv w:val="1"/>
      <w:marLeft w:val="0"/>
      <w:marRight w:val="0"/>
      <w:marTop w:val="0"/>
      <w:marBottom w:val="0"/>
      <w:divBdr>
        <w:top w:val="none" w:sz="0" w:space="0" w:color="auto"/>
        <w:left w:val="none" w:sz="0" w:space="0" w:color="auto"/>
        <w:bottom w:val="none" w:sz="0" w:space="0" w:color="auto"/>
        <w:right w:val="none" w:sz="0" w:space="0" w:color="auto"/>
      </w:divBdr>
    </w:div>
    <w:div w:id="771824761">
      <w:bodyDiv w:val="1"/>
      <w:marLeft w:val="0"/>
      <w:marRight w:val="0"/>
      <w:marTop w:val="0"/>
      <w:marBottom w:val="0"/>
      <w:divBdr>
        <w:top w:val="none" w:sz="0" w:space="0" w:color="auto"/>
        <w:left w:val="none" w:sz="0" w:space="0" w:color="auto"/>
        <w:bottom w:val="none" w:sz="0" w:space="0" w:color="auto"/>
        <w:right w:val="none" w:sz="0" w:space="0" w:color="auto"/>
      </w:divBdr>
    </w:div>
    <w:div w:id="898400254">
      <w:bodyDiv w:val="1"/>
      <w:marLeft w:val="0"/>
      <w:marRight w:val="0"/>
      <w:marTop w:val="0"/>
      <w:marBottom w:val="0"/>
      <w:divBdr>
        <w:top w:val="none" w:sz="0" w:space="0" w:color="auto"/>
        <w:left w:val="none" w:sz="0" w:space="0" w:color="auto"/>
        <w:bottom w:val="none" w:sz="0" w:space="0" w:color="auto"/>
        <w:right w:val="none" w:sz="0" w:space="0" w:color="auto"/>
      </w:divBdr>
    </w:div>
    <w:div w:id="1112432080">
      <w:bodyDiv w:val="1"/>
      <w:marLeft w:val="0"/>
      <w:marRight w:val="0"/>
      <w:marTop w:val="0"/>
      <w:marBottom w:val="0"/>
      <w:divBdr>
        <w:top w:val="none" w:sz="0" w:space="0" w:color="auto"/>
        <w:left w:val="none" w:sz="0" w:space="0" w:color="auto"/>
        <w:bottom w:val="none" w:sz="0" w:space="0" w:color="auto"/>
        <w:right w:val="none" w:sz="0" w:space="0" w:color="auto"/>
      </w:divBdr>
    </w:div>
    <w:div w:id="1363284233">
      <w:bodyDiv w:val="1"/>
      <w:marLeft w:val="0"/>
      <w:marRight w:val="0"/>
      <w:marTop w:val="0"/>
      <w:marBottom w:val="0"/>
      <w:divBdr>
        <w:top w:val="none" w:sz="0" w:space="0" w:color="auto"/>
        <w:left w:val="none" w:sz="0" w:space="0" w:color="auto"/>
        <w:bottom w:val="none" w:sz="0" w:space="0" w:color="auto"/>
        <w:right w:val="none" w:sz="0" w:space="0" w:color="auto"/>
      </w:divBdr>
    </w:div>
    <w:div w:id="1410033795">
      <w:bodyDiv w:val="1"/>
      <w:marLeft w:val="0"/>
      <w:marRight w:val="0"/>
      <w:marTop w:val="0"/>
      <w:marBottom w:val="0"/>
      <w:divBdr>
        <w:top w:val="none" w:sz="0" w:space="0" w:color="auto"/>
        <w:left w:val="none" w:sz="0" w:space="0" w:color="auto"/>
        <w:bottom w:val="none" w:sz="0" w:space="0" w:color="auto"/>
        <w:right w:val="none" w:sz="0" w:space="0" w:color="auto"/>
      </w:divBdr>
    </w:div>
    <w:div w:id="1510754423">
      <w:bodyDiv w:val="1"/>
      <w:marLeft w:val="0"/>
      <w:marRight w:val="0"/>
      <w:marTop w:val="0"/>
      <w:marBottom w:val="0"/>
      <w:divBdr>
        <w:top w:val="none" w:sz="0" w:space="0" w:color="auto"/>
        <w:left w:val="none" w:sz="0" w:space="0" w:color="auto"/>
        <w:bottom w:val="none" w:sz="0" w:space="0" w:color="auto"/>
        <w:right w:val="none" w:sz="0" w:space="0" w:color="auto"/>
      </w:divBdr>
    </w:div>
    <w:div w:id="1534808439">
      <w:bodyDiv w:val="1"/>
      <w:marLeft w:val="0"/>
      <w:marRight w:val="0"/>
      <w:marTop w:val="0"/>
      <w:marBottom w:val="0"/>
      <w:divBdr>
        <w:top w:val="none" w:sz="0" w:space="0" w:color="auto"/>
        <w:left w:val="none" w:sz="0" w:space="0" w:color="auto"/>
        <w:bottom w:val="none" w:sz="0" w:space="0" w:color="auto"/>
        <w:right w:val="none" w:sz="0" w:space="0" w:color="auto"/>
      </w:divBdr>
    </w:div>
    <w:div w:id="1702512167">
      <w:bodyDiv w:val="1"/>
      <w:marLeft w:val="0"/>
      <w:marRight w:val="0"/>
      <w:marTop w:val="0"/>
      <w:marBottom w:val="0"/>
      <w:divBdr>
        <w:top w:val="none" w:sz="0" w:space="0" w:color="auto"/>
        <w:left w:val="none" w:sz="0" w:space="0" w:color="auto"/>
        <w:bottom w:val="none" w:sz="0" w:space="0" w:color="auto"/>
        <w:right w:val="none" w:sz="0" w:space="0" w:color="auto"/>
      </w:divBdr>
    </w:div>
    <w:div w:id="1906336352">
      <w:bodyDiv w:val="1"/>
      <w:marLeft w:val="0"/>
      <w:marRight w:val="0"/>
      <w:marTop w:val="0"/>
      <w:marBottom w:val="0"/>
      <w:divBdr>
        <w:top w:val="none" w:sz="0" w:space="0" w:color="auto"/>
        <w:left w:val="none" w:sz="0" w:space="0" w:color="auto"/>
        <w:bottom w:val="none" w:sz="0" w:space="0" w:color="auto"/>
        <w:right w:val="none" w:sz="0" w:space="0" w:color="auto"/>
      </w:divBdr>
    </w:div>
    <w:div w:id="1966422510">
      <w:bodyDiv w:val="1"/>
      <w:marLeft w:val="0"/>
      <w:marRight w:val="0"/>
      <w:marTop w:val="0"/>
      <w:marBottom w:val="0"/>
      <w:divBdr>
        <w:top w:val="none" w:sz="0" w:space="0" w:color="auto"/>
        <w:left w:val="none" w:sz="0" w:space="0" w:color="auto"/>
        <w:bottom w:val="none" w:sz="0" w:space="0" w:color="auto"/>
        <w:right w:val="none" w:sz="0" w:space="0" w:color="auto"/>
      </w:divBdr>
    </w:div>
    <w:div w:id="19871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LexUriServ/LexUriServ.do?uri=CONSLEG:2004R0852:20090420:LV: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bf.llu.lv/lv/amonjaka-emisiju-kalkulato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a.Baranovska@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3824A8D55B4F0499CE88E7367BCA661" ma:contentTypeVersion="10" ma:contentTypeDescription="Izveidot jaunu dokumentu." ma:contentTypeScope="" ma:versionID="dfec1a4fcc93c4e48cf121e211f645a4">
  <xsd:schema xmlns:xsd="http://www.w3.org/2001/XMLSchema" xmlns:xs="http://www.w3.org/2001/XMLSchema" xmlns:p="http://schemas.microsoft.com/office/2006/metadata/properties" xmlns:ns3="3020a282-eb2c-4efa-a8d2-3822a1701436" targetNamespace="http://schemas.microsoft.com/office/2006/metadata/properties" ma:root="true" ma:fieldsID="25d0fb5c2edd3ed2bfc8a7b4fba28fab" ns3:_="">
    <xsd:import namespace="3020a282-eb2c-4efa-a8d2-3822a1701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a282-eb2c-4efa-a8d2-3822a1701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B5E1-AC81-4887-88A8-C3CB63BBD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BD3E7-DB83-49DB-9572-18AB7D62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a282-eb2c-4efa-a8d2-3822a1701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9C9AE-2FC3-41DE-8224-5EFE0AA14471}">
  <ds:schemaRefs>
    <ds:schemaRef ds:uri="http://schemas.microsoft.com/sharepoint/v3/contenttype/forms"/>
  </ds:schemaRefs>
</ds:datastoreItem>
</file>

<file path=customXml/itemProps4.xml><?xml version="1.0" encoding="utf-8"?>
<ds:datastoreItem xmlns:ds="http://schemas.openxmlformats.org/officeDocument/2006/customXml" ds:itemID="{13844CD8-4E86-4369-BF79-90258E5D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17</Pages>
  <Words>5376</Words>
  <Characters>38531</Characters>
  <Application>Microsoft Office Word</Application>
  <DocSecurity>0</DocSecurity>
  <Lines>321</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2021.gada ______ noteikumi Nr.____ „Kārtība, kādā piešķir valsts un Eiropas Savienības atbalstu atklātu projektu iesniegumu konkursu veidā pasākumam „Ieguldījumi materiālajos aktīvos”</vt:lpstr>
      <vt:lpstr>Anotācija Ministru kabineta 2021.gada ______ noteikumi Nr.____ „Kārtība, kādā piešķir valsts un Eiropas Savienības atbalstu atklātu projektu iesniegumu konkursu veidā pasākumam „Ieguldījumi materiālajos aktīvos”</vt:lpstr>
    </vt:vector>
  </TitlesOfParts>
  <Company>Organization</Company>
  <LinksUpToDate>false</LinksUpToDate>
  <CharactersWithSpaces>43820</CharactersWithSpaces>
  <SharedDoc>false</SharedDoc>
  <HLinks>
    <vt:vector size="30" baseType="variant">
      <vt:variant>
        <vt:i4>2424848</vt:i4>
      </vt:variant>
      <vt:variant>
        <vt:i4>12</vt:i4>
      </vt:variant>
      <vt:variant>
        <vt:i4>0</vt:i4>
      </vt:variant>
      <vt:variant>
        <vt:i4>5</vt:i4>
      </vt:variant>
      <vt:variant>
        <vt:lpwstr>mailto:Karina.Baranovska@zm.gov.lv</vt:lpwstr>
      </vt:variant>
      <vt:variant>
        <vt:lpwstr/>
      </vt:variant>
      <vt:variant>
        <vt:i4>4718656</vt:i4>
      </vt:variant>
      <vt:variant>
        <vt:i4>9</vt:i4>
      </vt:variant>
      <vt:variant>
        <vt:i4>0</vt:i4>
      </vt:variant>
      <vt:variant>
        <vt:i4>5</vt:i4>
      </vt:variant>
      <vt:variant>
        <vt:lpwstr>http://www.zm.gov.lv/</vt:lpwstr>
      </vt:variant>
      <vt:variant>
        <vt:lpwstr/>
      </vt:variant>
      <vt:variant>
        <vt:i4>1638478</vt:i4>
      </vt:variant>
      <vt:variant>
        <vt:i4>6</vt:i4>
      </vt:variant>
      <vt:variant>
        <vt:i4>0</vt:i4>
      </vt:variant>
      <vt:variant>
        <vt:i4>5</vt:i4>
      </vt:variant>
      <vt:variant>
        <vt:lpwstr>http://eur-lex.europa.eu/LexUriServ/LexUriServ.do?uri=CONSLEG:2004R0852:20090420:LV:HTML</vt:lpwstr>
      </vt:variant>
      <vt:variant>
        <vt:lpwstr/>
      </vt:variant>
      <vt:variant>
        <vt:i4>1638478</vt:i4>
      </vt:variant>
      <vt:variant>
        <vt:i4>3</vt:i4>
      </vt:variant>
      <vt:variant>
        <vt:i4>0</vt:i4>
      </vt:variant>
      <vt:variant>
        <vt:i4>5</vt:i4>
      </vt:variant>
      <vt:variant>
        <vt:lpwstr>http://eur-lex.europa.eu/LexUriServ/LexUriServ.do?uri=CONSLEG:2004R0852:20090420:LV:HTML</vt:lpwstr>
      </vt:variant>
      <vt:variant>
        <vt:lpwstr/>
      </vt:variant>
      <vt:variant>
        <vt:i4>1638478</vt:i4>
      </vt:variant>
      <vt:variant>
        <vt:i4>0</vt:i4>
      </vt:variant>
      <vt:variant>
        <vt:i4>0</vt:i4>
      </vt:variant>
      <vt:variant>
        <vt:i4>5</vt:i4>
      </vt:variant>
      <vt:variant>
        <vt:lpwstr>http://eur-lex.europa.eu/LexUriServ/LexUriServ.do?uri=CONSLEG:2004R0852:20090420:LV:HTML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2021.gada ______ noteikumi Nr.____ „Kārtība, kādā piešķir valsts un Eiropas Savienības atbalstu atklātu projektu iesniegumu konkursu veidā pasākumam „Ieguldījumi materiālajos aktīvos”</dc:title>
  <dc:subject>Anotācija</dc:subject>
  <dc:creator>Karina.Baranovska@zm.gov.lv</dc:creator>
  <cp:keywords/>
  <dc:description>karina.baranovska@zm.gov.lv, 67878726</dc:description>
  <cp:lastModifiedBy>Karina Baranovska</cp:lastModifiedBy>
  <cp:revision>70</cp:revision>
  <cp:lastPrinted>2021-05-06T07:19:00Z</cp:lastPrinted>
  <dcterms:created xsi:type="dcterms:W3CDTF">2021-10-22T14:30:00Z</dcterms:created>
  <dcterms:modified xsi:type="dcterms:W3CDTF">2021-10-27T10:18:00Z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0x010100C3824A8D55B4F0499CE88E7367BCA661</vt:lpwstr>
  </property>
</Properties>
</file>