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7AB4E" w14:textId="37A4D04E" w:rsidR="00B75D0C" w:rsidRPr="00881D21" w:rsidRDefault="00881D21" w:rsidP="00B75D0C">
      <w:pPr>
        <w:spacing w:after="0" w:line="240" w:lineRule="auto"/>
        <w:jc w:val="both"/>
        <w:rPr>
          <w:rFonts w:ascii="Cambria" w:hAnsi="Cambria"/>
          <w:lang w:eastAsia="lv-LV"/>
        </w:rPr>
      </w:pPr>
      <w:r w:rsidRPr="00881D21">
        <w:rPr>
          <w:rFonts w:ascii="Cambria" w:hAnsi="Cambria"/>
          <w:b/>
          <w:bCs/>
          <w:noProof/>
          <w:sz w:val="28"/>
          <w:szCs w:val="28"/>
        </w:rPr>
        <w:drawing>
          <wp:anchor distT="0" distB="0" distL="114300" distR="114300" simplePos="0" relativeHeight="251672576" behindDoc="0" locked="0" layoutInCell="1" allowOverlap="1" wp14:anchorId="365CB3DC" wp14:editId="2F541E39">
            <wp:simplePos x="0" y="0"/>
            <wp:positionH relativeFrom="column">
              <wp:posOffset>-470535</wp:posOffset>
            </wp:positionH>
            <wp:positionV relativeFrom="paragraph">
              <wp:posOffset>-10160</wp:posOffset>
            </wp:positionV>
            <wp:extent cx="1631950" cy="797560"/>
            <wp:effectExtent l="0" t="0" r="6350" b="2540"/>
            <wp:wrapNone/>
            <wp:docPr id="24" name="Picture 5" descr="A picture containing sketch, white, symbol&#10;&#10;Description automatically generated">
              <a:extLst xmlns:a="http://schemas.openxmlformats.org/drawingml/2006/main">
                <a:ext uri="{FF2B5EF4-FFF2-40B4-BE49-F238E27FC236}">
                  <a16:creationId xmlns:a16="http://schemas.microsoft.com/office/drawing/2014/main" id="{66CC3084-B76A-4741-A3D0-08B2B5C0F8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5" descr="A picture containing sketch, white, symbol&#10;&#10;Description automatically generated">
                      <a:extLst>
                        <a:ext uri="{FF2B5EF4-FFF2-40B4-BE49-F238E27FC236}">
                          <a16:creationId xmlns:a16="http://schemas.microsoft.com/office/drawing/2014/main" id="{66CC3084-B76A-4741-A3D0-08B2B5C0F8A9}"/>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17399" r="17796"/>
                    <a:stretch/>
                  </pic:blipFill>
                  <pic:spPr bwMode="auto">
                    <a:xfrm>
                      <a:off x="0" y="0"/>
                      <a:ext cx="1631950" cy="797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81D21">
        <w:rPr>
          <w:rFonts w:ascii="Cambria" w:hAnsi="Cambria"/>
          <w:noProof/>
        </w:rPr>
        <mc:AlternateContent>
          <mc:Choice Requires="wps">
            <w:drawing>
              <wp:anchor distT="0" distB="0" distL="114300" distR="114300" simplePos="0" relativeHeight="251671552" behindDoc="0" locked="0" layoutInCell="1" allowOverlap="1" wp14:anchorId="1C7F21F6" wp14:editId="6EEA588D">
                <wp:simplePos x="0" y="0"/>
                <wp:positionH relativeFrom="column">
                  <wp:posOffset>1231900</wp:posOffset>
                </wp:positionH>
                <wp:positionV relativeFrom="paragraph">
                  <wp:posOffset>10795</wp:posOffset>
                </wp:positionV>
                <wp:extent cx="4794250" cy="733425"/>
                <wp:effectExtent l="0" t="0" r="6350" b="952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94250" cy="73342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CA5A83" w14:textId="77777777" w:rsidR="00881D21" w:rsidRPr="00E96926" w:rsidRDefault="00881D21" w:rsidP="00881D21">
                            <w:pPr>
                              <w:jc w:val="right"/>
                              <w:rPr>
                                <w:rFonts w:ascii="Cambria" w:hAnsi="Cambria"/>
                                <w:b/>
                                <w:bCs/>
                                <w:caps/>
                                <w:color w:val="808080" w:themeColor="background1" w:themeShade="80"/>
                              </w:rPr>
                            </w:pPr>
                            <w:r w:rsidRPr="00E96926">
                              <w:rPr>
                                <w:rFonts w:ascii="Cambria" w:hAnsi="Cambria"/>
                                <w:b/>
                                <w:bCs/>
                                <w:caps/>
                                <w:color w:val="808080" w:themeColor="background1" w:themeShade="80"/>
                              </w:rPr>
                              <w:t>Projekts</w:t>
                            </w:r>
                          </w:p>
                        </w:txbxContent>
                      </wps:txbx>
                      <wps:bodyPr wrap="square" rtlCol="0" anchor="ctr"/>
                    </wps:wsp>
                  </a:graphicData>
                </a:graphic>
                <wp14:sizeRelH relativeFrom="margin">
                  <wp14:pctWidth>0</wp14:pctWidth>
                </wp14:sizeRelH>
                <wp14:sizeRelV relativeFrom="margin">
                  <wp14:pctHeight>0</wp14:pctHeight>
                </wp14:sizeRelV>
              </wp:anchor>
            </w:drawing>
          </mc:Choice>
          <mc:Fallback>
            <w:pict>
              <v:rect w14:anchorId="1C7F21F6" id="Rectangle 29" o:spid="_x0000_s1026" style="position:absolute;left:0;text-align:left;margin-left:97pt;margin-top:.85pt;width:377.5pt;height:5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zn5/gEAAFEEAAAOAAAAZHJzL2Uyb0RvYy54bWysVMFu3CAQvVfqPyDuXXs3SdNY680hUXqJ&#10;2qhJP4DFw9oqZiiQtffvO4DtRG2VQ1UfkAfevHnzzHh7PfaaHcH5Dk3N16uSMzASm84cav796e7D&#10;J858EKYRGg3U/ASeX+/ev9sOtoINtqgbcIxIjK8GW/M2BFsVhZct9MKv0IKhQ4WuF4FCdygaJwZi&#10;73WxKcuPxYCusQ4leE+7t/mQ7xK/UiDDV6U8BKZrTtpCWl1a93EtdltRHZywbScnGeIfVPSiM1R0&#10;oboVQbBn1/1B1XfSoUcVVhL7ApXqJKQeqJt1+Vs3j62wkHohc7xdbPL/j1Z+OT7aBxele3uP8ocn&#10;R4rB+mo5iYGfMKNyfcSScDYmF0+LizAGJmnz/PLqfHNBZks6uzw7oyDaXIhqzrbOh8+APYsvNXf0&#10;lZJ54njvQ4bOkCQMddfcdVqnIN4MuNGOHQV90/1hM5H71yhtItZgzMqEcSf1lVtJTYWThojT5hso&#10;1jUkfpOEpOv3UkRICSas81ErGsi1L0p65uqzrNRoIozMiuov3BPBjMwkM3dWOeFjKqTbuySXbwnL&#10;yUtGqowmLMl9Z9D9jUBTV1PljJ9NytZEl8K4HwkSX/fYnB4cG2hcau5/PgsHnLmgbzBPlzCyRRou&#10;GVxijTl0b5Ml04zFwXgdp3ovf4LdLwAAAP//AwBQSwMEFAAGAAgAAAAhAPzGqN3eAAAACQEAAA8A&#10;AABkcnMvZG93bnJldi54bWxMj81OwzAQhO9IvIO1SNyokyq0JI1TVYiWK/0R4ujG2yQiXkex26Q8&#10;Pcup3PbTjGZn8uVoW3HB3jeOFMSTCARS6UxDlYLDfv30AsIHTUa3jlDBFT0si/u7XGfGDbTFyy5U&#10;gkPIZ1pBHUKXSenLGq32E9chsXZyvdWBsa+k6fXA4baV0yiaSasb4g+17vC1xvJ7d7YKquthtYmf&#10;t7P0Z/P+tW72H8nb56DU48O4WoAIOIabGf7qc3UouNPRncl40TKnCW8JfMxBsJ4mKfOROZ5PQRa5&#10;/L+g+AUAAP//AwBQSwECLQAUAAYACAAAACEAtoM4kv4AAADhAQAAEwAAAAAAAAAAAAAAAAAAAAAA&#10;W0NvbnRlbnRfVHlwZXNdLnhtbFBLAQItABQABgAIAAAAIQA4/SH/1gAAAJQBAAALAAAAAAAAAAAA&#10;AAAAAC8BAABfcmVscy8ucmVsc1BLAQItABQABgAIAAAAIQCSDzn5/gEAAFEEAAAOAAAAAAAAAAAA&#10;AAAAAC4CAABkcnMvZTJvRG9jLnhtbFBLAQItABQABgAIAAAAIQD8xqjd3gAAAAkBAAAPAAAAAAAA&#10;AAAAAAAAAFgEAABkcnMvZG93bnJldi54bWxQSwUGAAAAAAQABADzAAAAYwUAAAAA&#10;" fillcolor="#e8e8e8 [3214]" stroked="f" strokeweight="1pt">
                <v:textbox>
                  <w:txbxContent>
                    <w:p w14:paraId="2FCA5A83" w14:textId="77777777" w:rsidR="00881D21" w:rsidRPr="00E96926" w:rsidRDefault="00881D21" w:rsidP="00881D21">
                      <w:pPr>
                        <w:jc w:val="right"/>
                        <w:rPr>
                          <w:rFonts w:ascii="Cambria" w:hAnsi="Cambria"/>
                          <w:b/>
                          <w:bCs/>
                          <w:caps/>
                          <w:color w:val="808080" w:themeColor="background1" w:themeShade="80"/>
                        </w:rPr>
                      </w:pPr>
                      <w:r w:rsidRPr="00E96926">
                        <w:rPr>
                          <w:rFonts w:ascii="Cambria" w:hAnsi="Cambria"/>
                          <w:b/>
                          <w:bCs/>
                          <w:caps/>
                          <w:color w:val="808080" w:themeColor="background1" w:themeShade="80"/>
                        </w:rPr>
                        <w:t>Projekts</w:t>
                      </w:r>
                    </w:p>
                  </w:txbxContent>
                </v:textbox>
              </v:rect>
            </w:pict>
          </mc:Fallback>
        </mc:AlternateContent>
      </w:r>
      <w:r w:rsidRPr="00881D21">
        <w:rPr>
          <w:rFonts w:ascii="Cambria" w:hAnsi="Cambria"/>
          <w:noProof/>
        </w:rPr>
        <mc:AlternateContent>
          <mc:Choice Requires="wps">
            <w:drawing>
              <wp:anchor distT="0" distB="0" distL="114300" distR="114300" simplePos="0" relativeHeight="251670528" behindDoc="0" locked="0" layoutInCell="1" allowOverlap="1" wp14:anchorId="23B023CD" wp14:editId="19F75E41">
                <wp:simplePos x="0" y="0"/>
                <wp:positionH relativeFrom="column">
                  <wp:posOffset>-638175</wp:posOffset>
                </wp:positionH>
                <wp:positionV relativeFrom="paragraph">
                  <wp:posOffset>33655</wp:posOffset>
                </wp:positionV>
                <wp:extent cx="142875" cy="733425"/>
                <wp:effectExtent l="4445" t="0" r="0" b="1270"/>
                <wp:wrapNone/>
                <wp:docPr id="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73342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91A252C" id="Rectangle 4" o:spid="_x0000_s1026" style="position:absolute;margin-left:-50.25pt;margin-top:2.65pt;width:11.25pt;height:5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Td6QEAALYDAAAOAAAAZHJzL2Uyb0RvYy54bWysU8Fu2zAMvQ/YPwi6L45de+mMOEWRosOA&#10;bh3Q9QMUWbaFyaJGKXGyrx+lpGmw3YpdBFMkH/menpc3+9GwnUKvwTY8n805U1ZCq23f8Ocf9x+u&#10;OfNB2FYYsKrhB+X5zer9u+XkalXAAKZVyAjE+npyDR9CcHWWeTmoUfgZOGUp2QGOIlCIfdaimAh9&#10;NFkxn3/MJsDWIUjlPd3eHZN8lfC7Tsnw2HVeBWYaTruFdGI6N/HMVktR9yjcoOVpDfGGLUahLQ09&#10;Q92JINgW9T9Qo5YIHrowkzBm0HVaqsSB2OTzv9g8DcKpxIXE8e4sk/9/sPLb7sl9x7i6dw8gf3pm&#10;YT0I26tbRJgGJVoal0ehssn5+twQA0+tbDN9hZaeVmwDJA32HY4RkNixfZL6cJZa7QOTdJmXxfWi&#10;4kxSanF1VRZVmiDql2aHPnxWMLL40XCkl0zgYvfgQ1xG1C8laXkwur3XxqQA+83aINsJevW8qsqq&#10;OKH7yzJjY7GF2HZEjDeJZSQWPeTrDbQHIolwtA5ZnT4GwN+cTWSbhvtfW4GKM/PFklCf8rKMPktB&#10;WS0KCvAys7nMCCsJquEyIGfHYB2O7tw61P1As/JE28ItydvpRP11r9O6ZI6kyMnI0X2Xcap6/d1W&#10;fwAAAP//AwBQSwMEFAAGAAgAAAAhAO6ImWvhAAAACgEAAA8AAABkcnMvZG93bnJldi54bWxMj8tO&#10;wzAQRfdI/IM1SGxQardQGoU4FQHxkBBqKXyAGw9JhB+R7bTh7xlWsBzN0b3nluvJGnbAEHvvJMxn&#10;Ahi6xuvetRI+3h+yHFhMymllvEMJ3xhhXZ2elKrQ/uje8LBLLaMQFwsloUtpKDiPTYdWxZkf0NHv&#10;0werEp2h5TqoI4VbwxdCXHOrekcNnRrwrsPmazdaCS+P281F2ETz+jTmg8e6vr96rqU8P5tub4Al&#10;nNIfDL/6pA4VOe396HRkRkI2F2JJrITlJTACslVO4/ZELkQOvCr5/wnVDwAAAP//AwBQSwECLQAU&#10;AAYACAAAACEAtoM4kv4AAADhAQAAEwAAAAAAAAAAAAAAAAAAAAAAW0NvbnRlbnRfVHlwZXNdLnht&#10;bFBLAQItABQABgAIAAAAIQA4/SH/1gAAAJQBAAALAAAAAAAAAAAAAAAAAC8BAABfcmVscy8ucmVs&#10;c1BLAQItABQABgAIAAAAIQBFHHTd6QEAALYDAAAOAAAAAAAAAAAAAAAAAC4CAABkcnMvZTJvRG9j&#10;LnhtbFBLAQItABQABgAIAAAAIQDuiJlr4QAAAAoBAAAPAAAAAAAAAAAAAAAAAEMEAABkcnMvZG93&#10;bnJldi54bWxQSwUGAAAAAAQABADzAAAAUQUAAAAA&#10;" fillcolor="#155452" stroked="f" strokeweight="1pt"/>
            </w:pict>
          </mc:Fallback>
        </mc:AlternateContent>
      </w:r>
      <w:r w:rsidR="00B75D0C" w:rsidRPr="00881D21">
        <w:rPr>
          <w:rFonts w:ascii="Cambria" w:hAnsi="Cambria"/>
          <w:lang w:eastAsia="lv-LV"/>
        </w:rPr>
        <w:t xml:space="preserve"> </w:t>
      </w:r>
    </w:p>
    <w:p w14:paraId="73238475" w14:textId="77777777" w:rsidR="00B75D0C" w:rsidRPr="00881D21" w:rsidRDefault="00B75D0C" w:rsidP="00B75D0C">
      <w:pPr>
        <w:spacing w:before="120" w:after="120" w:line="240" w:lineRule="auto"/>
        <w:jc w:val="center"/>
        <w:rPr>
          <w:rFonts w:ascii="Cambria" w:eastAsia="Times New Roman" w:hAnsi="Cambria"/>
          <w:b/>
          <w:sz w:val="36"/>
          <w:szCs w:val="36"/>
          <w:lang w:eastAsia="lv-LV"/>
        </w:rPr>
      </w:pPr>
    </w:p>
    <w:p w14:paraId="349D7464" w14:textId="1A2EE195" w:rsidR="00B75D0C" w:rsidRPr="00881D21" w:rsidRDefault="00881D21" w:rsidP="00B75D0C">
      <w:pPr>
        <w:rPr>
          <w:rFonts w:ascii="Cambria" w:eastAsia="Times New Roman" w:hAnsi="Cambria"/>
          <w:b/>
          <w:sz w:val="36"/>
          <w:szCs w:val="36"/>
          <w:lang w:eastAsia="lv-LV"/>
        </w:rPr>
      </w:pPr>
      <w:r w:rsidRPr="00881D21">
        <w:rPr>
          <w:rFonts w:ascii="Cambria" w:hAnsi="Cambria"/>
          <w:noProof/>
        </w:rPr>
        <w:drawing>
          <wp:anchor distT="0" distB="0" distL="114300" distR="114300" simplePos="0" relativeHeight="251659263" behindDoc="0" locked="0" layoutInCell="1" allowOverlap="1" wp14:anchorId="1390D9F6" wp14:editId="583422F6">
            <wp:simplePos x="0" y="0"/>
            <wp:positionH relativeFrom="page">
              <wp:align>center</wp:align>
            </wp:positionH>
            <wp:positionV relativeFrom="paragraph">
              <wp:posOffset>1628140</wp:posOffset>
            </wp:positionV>
            <wp:extent cx="5734050" cy="3821430"/>
            <wp:effectExtent l="0" t="0" r="0" b="7620"/>
            <wp:wrapNone/>
            <wp:docPr id="1893012540" name="Picture 1893012540" descr="Leaves in front of a blurred fores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12540" name="Picture 1893012540" descr="Leaves in front of a blurred forest backgroun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4050" cy="3821430"/>
                    </a:xfrm>
                    <a:prstGeom prst="rect">
                      <a:avLst/>
                    </a:prstGeom>
                  </pic:spPr>
                </pic:pic>
              </a:graphicData>
            </a:graphic>
            <wp14:sizeRelH relativeFrom="page">
              <wp14:pctWidth>0</wp14:pctWidth>
            </wp14:sizeRelH>
            <wp14:sizeRelV relativeFrom="page">
              <wp14:pctHeight>0</wp14:pctHeight>
            </wp14:sizeRelV>
          </wp:anchor>
        </w:drawing>
      </w:r>
      <w:r w:rsidR="00B75D0C" w:rsidRPr="00881D21">
        <w:rPr>
          <w:rFonts w:ascii="Cambria" w:hAnsi="Cambria"/>
          <w:noProof/>
        </w:rPr>
        <mc:AlternateContent>
          <mc:Choice Requires="wps">
            <w:drawing>
              <wp:anchor distT="0" distB="0" distL="114300" distR="114300" simplePos="0" relativeHeight="251668480" behindDoc="0" locked="0" layoutInCell="1" allowOverlap="1" wp14:anchorId="446D20DB" wp14:editId="29924781">
                <wp:simplePos x="0" y="0"/>
                <wp:positionH relativeFrom="page">
                  <wp:align>center</wp:align>
                </wp:positionH>
                <wp:positionV relativeFrom="paragraph">
                  <wp:posOffset>8115935</wp:posOffset>
                </wp:positionV>
                <wp:extent cx="1460500" cy="427355"/>
                <wp:effectExtent l="0" t="0" r="635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427355"/>
                        </a:xfrm>
                        <a:prstGeom prst="rect">
                          <a:avLst/>
                        </a:prstGeom>
                        <a:solidFill>
                          <a:schemeClr val="lt1"/>
                        </a:solidFill>
                        <a:ln w="6350">
                          <a:noFill/>
                        </a:ln>
                      </wps:spPr>
                      <wps:txbx>
                        <w:txbxContent>
                          <w:p w14:paraId="2C01BA2E" w14:textId="31364BC3" w:rsidR="00B75D0C" w:rsidRPr="003D53DF" w:rsidRDefault="00B75D0C" w:rsidP="00B75D0C">
                            <w:pPr>
                              <w:jc w:val="center"/>
                              <w:rPr>
                                <w:rFonts w:ascii="Cambria" w:hAnsi="Cambria"/>
                                <w:b/>
                                <w:bCs/>
                                <w:sz w:val="32"/>
                                <w:szCs w:val="32"/>
                              </w:rPr>
                            </w:pPr>
                            <w:r w:rsidRPr="003D53DF">
                              <w:rPr>
                                <w:rFonts w:ascii="Cambria" w:hAnsi="Cambria"/>
                                <w:b/>
                                <w:bCs/>
                                <w:sz w:val="32"/>
                                <w:szCs w:val="32"/>
                              </w:rPr>
                              <w:t>202</w:t>
                            </w:r>
                            <w:r w:rsidR="00881D21">
                              <w:rPr>
                                <w:rFonts w:ascii="Cambria" w:hAnsi="Cambria"/>
                                <w:b/>
                                <w:bCs/>
                                <w:sz w:val="32"/>
                                <w:szCs w:val="3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46D20DB" id="_x0000_t202" coordsize="21600,21600" o:spt="202" path="m,l,21600r21600,l21600,xe">
                <v:stroke joinstyle="miter"/>
                <v:path gradientshapeok="t" o:connecttype="rect"/>
              </v:shapetype>
              <v:shape id="Text Box 26" o:spid="_x0000_s1027" type="#_x0000_t202" style="position:absolute;margin-left:0;margin-top:639.05pt;width:115pt;height:33.6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kriOwIAAHQEAAAOAAAAZHJzL2Uyb0RvYy54bWysVE2P2yAQvVfqf0DcGzvZJNtacVZpVqkq&#10;RbsrZas9EwwJKmYokNjbX98BOx/d9lT1goF5DLz3Zjy7a2tNjsJ5Baakw0FOiTAcKmV2Jf32vPrw&#10;kRIfmKmYBiNK+io8vZu/fzdrbCFGsAddCUcwifFFY0u6D8EWWeb5XtTMD8AKg0EJrmYBl26XVY41&#10;mL3W2SjPp1kDrrIOuPAed++7IJ2n/FIKHh6l9CIQXVJ8W0ijS+M2jtl8xoqdY3aveP8M9g+vqJky&#10;eOk51T0LjByc+iNVrbgDDzIMONQZSKm4SByQzTB/w2azZ1YkLiiOt2eZ/P9Lyx+OG/vkSGg/Q4sG&#10;JhLeroF/96hN1lhf9JioqS88oiPRVro6fpECwYOo7etZT9EGwmO28TSf5BjiGBuPbm8mkyh4djlt&#10;nQ9fBNQkTkrq0K/0AnZc+9BBT5B4mQetqpXSOi1ijYilduTI0F0dhn3y31DakKak05tJnhIbiMe7&#10;zNr0BDtOkV1oty1RVRQCMXFnC9Ur6uOgKx1v+UrhW9fMhyfmsFaQHtZ/eMRBasC7oJ9Rsgf382/7&#10;EY8WYpSSBmuvpP7HgTlBif5q0NxPw/E4FmtajCe3I1y468j2OmIO9RJQgCF2muVpGvFBn6bSQf2C&#10;bbKIt2KIGY53lzScpsvQdQS2GReLRQJheVoW1mZj+aksohPP7QtztrcroNEPcKpSVrxxrcNGqwws&#10;DgGkSpZeVO3lx9JORdG3Yeyd63VCXX4W818AAAD//wMAUEsDBBQABgAIAAAAIQB8YRUB4QAAAAoB&#10;AAAPAAAAZHJzL2Rvd25yZXYueG1sTI9LT8MwEITvSP0P1iJxQdRp0tIqxKkQ4iFxa8ND3Nx4SaLG&#10;6yh2k/DvWU70uN+MZmey7WRbMWDvG0cKFvMIBFLpTEOVgrfi6WYDwgdNRreOUMEPetjms4tMp8aN&#10;tMNhHyrBIeRTraAOoUul9GWNVvu565BY+3a91YHPvpKm1yOH21bGUXQrrW6IP9S6w4cay+P+ZBV8&#10;XVefr356fh+TVdI9vgzF+sMUSl1dTvd3IAJO4d8Mf/W5OuTc6eBOZLxoFfCQwDRebxYgWI+TiNGB&#10;UbJcLUHmmTyfkP8CAAD//wMAUEsBAi0AFAAGAAgAAAAhALaDOJL+AAAA4QEAABMAAAAAAAAAAAAA&#10;AAAAAAAAAFtDb250ZW50X1R5cGVzXS54bWxQSwECLQAUAAYACAAAACEAOP0h/9YAAACUAQAACwAA&#10;AAAAAAAAAAAAAAAvAQAAX3JlbHMvLnJlbHNQSwECLQAUAAYACAAAACEA6d5K4jsCAAB0BAAADgAA&#10;AAAAAAAAAAAAAAAuAgAAZHJzL2Uyb0RvYy54bWxQSwECLQAUAAYACAAAACEAfGEVAeEAAAAKAQAA&#10;DwAAAAAAAAAAAAAAAACVBAAAZHJzL2Rvd25yZXYueG1sUEsFBgAAAAAEAAQA8wAAAKMFAAAAAA==&#10;" fillcolor="white [3201]" stroked="f" strokeweight=".5pt">
                <v:textbox>
                  <w:txbxContent>
                    <w:p w14:paraId="2C01BA2E" w14:textId="31364BC3" w:rsidR="00B75D0C" w:rsidRPr="003D53DF" w:rsidRDefault="00B75D0C" w:rsidP="00B75D0C">
                      <w:pPr>
                        <w:jc w:val="center"/>
                        <w:rPr>
                          <w:rFonts w:ascii="Cambria" w:hAnsi="Cambria"/>
                          <w:b/>
                          <w:bCs/>
                          <w:sz w:val="32"/>
                          <w:szCs w:val="32"/>
                        </w:rPr>
                      </w:pPr>
                      <w:r w:rsidRPr="003D53DF">
                        <w:rPr>
                          <w:rFonts w:ascii="Cambria" w:hAnsi="Cambria"/>
                          <w:b/>
                          <w:bCs/>
                          <w:sz w:val="32"/>
                          <w:szCs w:val="32"/>
                        </w:rPr>
                        <w:t>202</w:t>
                      </w:r>
                      <w:r w:rsidR="00881D21">
                        <w:rPr>
                          <w:rFonts w:ascii="Cambria" w:hAnsi="Cambria"/>
                          <w:b/>
                          <w:bCs/>
                          <w:sz w:val="32"/>
                          <w:szCs w:val="32"/>
                        </w:rPr>
                        <w:t>4</w:t>
                      </w:r>
                    </w:p>
                  </w:txbxContent>
                </v:textbox>
                <w10:wrap anchorx="page"/>
              </v:shape>
            </w:pict>
          </mc:Fallback>
        </mc:AlternateContent>
      </w:r>
      <w:r w:rsidR="00B75D0C" w:rsidRPr="00881D21">
        <w:rPr>
          <w:rFonts w:ascii="Cambria" w:hAnsi="Cambria"/>
          <w:noProof/>
        </w:rPr>
        <mc:AlternateContent>
          <mc:Choice Requires="wps">
            <w:drawing>
              <wp:anchor distT="0" distB="0" distL="114300" distR="114300" simplePos="0" relativeHeight="251661312" behindDoc="0" locked="0" layoutInCell="1" allowOverlap="1" wp14:anchorId="6BCDE073" wp14:editId="54288BA5">
                <wp:simplePos x="0" y="0"/>
                <wp:positionH relativeFrom="page">
                  <wp:align>center</wp:align>
                </wp:positionH>
                <wp:positionV relativeFrom="paragraph">
                  <wp:posOffset>2275840</wp:posOffset>
                </wp:positionV>
                <wp:extent cx="4251325" cy="254127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1325" cy="25412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8B2A43" w14:textId="77777777" w:rsidR="00B75D0C" w:rsidRPr="004C6B75" w:rsidRDefault="00B75D0C" w:rsidP="00B75D0C">
                            <w:pPr>
                              <w:jc w:val="center"/>
                              <w:rPr>
                                <w:color w:val="000000" w:themeColor="text1"/>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BCDE073" id="Rectangle 27" o:spid="_x0000_s1028" style="position:absolute;margin-left:0;margin-top:179.2pt;width:334.75pt;height:200.1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xG7DwIAAHMEAAAOAAAAZHJzL2Uyb0RvYy54bWysVE2P0zAQvSPxHyzf2XywBRQ1XaFdLZcV&#10;rNjlB7iO3Vg4HmO7TfrvGdtJugLEAdGDVXvevHnz7Mn2Zho0OQnnFZiWVlclJcJw6JQ5tPTb8/2b&#10;D5T4wEzHNBjR0rPw9Gb3+tV2tI2ooQfdCUeQxPhmtC3tQ7BNUXjei4H5K7DCYFCCG1jArTsUnWMj&#10;sg+6qMvyXTGC66wDLrzH07scpLvEL6Xg4YuUXgSiW4raQlpdWvdxLXZb1hwcs73iswz2DyoGpgwW&#10;XanuWGDk6NRvVIPiDjzIcMVhKEBKxUXqAbupyl+6eeqZFakXNMfb1Sb//2j559OTfXRRurcPwL97&#10;dKQYrW/WSNz4GTNJN0QsCidTcvG8uiimQDgeXteb6m29oYRjrN5cV/X75HPBmiXdOh8+CRhI/NNS&#10;h9eU3GOnBx+iANYskKQMtOruldZpE5+GuNWOnBhe6v5QxUvEDP8SpU3EGohZORxPUmO5l9RVOGsR&#10;cdp8FZKoDtXXSUh6f5cijHNhQpVDPetErr0p8bdUX2QlLYkwMkusv3LPBAsykyzcWeWMj6kiPd81&#10;ufybsJy8ZqTKYMKaPCgD7k8EGruaK2f8YlK2JroUpv2E3kRrEBlP9tCdHx0ZcWxa6n8cmROUuKBv&#10;IU8ZM7wHHDIeck0DH48BpEpXeyGYS+HLTp7NUxhH5+U+oS7fit1PAAAA//8DAFBLAwQUAAYACAAA&#10;ACEA4g2H+N8AAAAIAQAADwAAAGRycy9kb3ducmV2LnhtbEyPQUvEMBSE74L/ITzBi7ipxtZa+7qo&#10;IHjx4LqIx2wTm7DNS2mybddfbzzpcZhh5pt6vbieTXoM1hPC1SoDpqn1ylKHsH1/viyBhShJyd6T&#10;RjjqAOvm9KSWlfIzvelpEzuWSihUEsHEOFSch9ZoJ8PKD5qS9+VHJ2OSY8fVKOdU7np+nWUFd9JS&#10;WjBy0E9Gt/vNwSG8HoV4mS7Eft5a0dlv/vn4YTzi+dnycA8s6iX+heEXP6FDk5h2/kAqsB4hHYkI&#10;Ii9vgCW7KO5yYDuE27wsgDc1/3+g+QEAAP//AwBQSwECLQAUAAYACAAAACEAtoM4kv4AAADhAQAA&#10;EwAAAAAAAAAAAAAAAAAAAAAAW0NvbnRlbnRfVHlwZXNdLnhtbFBLAQItABQABgAIAAAAIQA4/SH/&#10;1gAAAJQBAAALAAAAAAAAAAAAAAAAAC8BAABfcmVscy8ucmVsc1BLAQItABQABgAIAAAAIQDcCxG7&#10;DwIAAHMEAAAOAAAAAAAAAAAAAAAAAC4CAABkcnMvZTJvRG9jLnhtbFBLAQItABQABgAIAAAAIQDi&#10;DYf43wAAAAgBAAAPAAAAAAAAAAAAAAAAAGkEAABkcnMvZG93bnJldi54bWxQSwUGAAAAAAQABADz&#10;AAAAdQUAAAAA&#10;" fillcolor="white [3212]" stroked="f" strokeweight="1pt">
                <v:textbox>
                  <w:txbxContent>
                    <w:p w14:paraId="788B2A43" w14:textId="77777777" w:rsidR="00B75D0C" w:rsidRPr="004C6B75" w:rsidRDefault="00B75D0C" w:rsidP="00B75D0C">
                      <w:pPr>
                        <w:jc w:val="center"/>
                        <w:rPr>
                          <w:color w:val="000000" w:themeColor="text1"/>
                        </w:rPr>
                      </w:pPr>
                    </w:p>
                  </w:txbxContent>
                </v:textbox>
                <w10:wrap anchorx="page"/>
              </v:rect>
            </w:pict>
          </mc:Fallback>
        </mc:AlternateContent>
      </w:r>
      <w:r w:rsidR="00B75D0C" w:rsidRPr="00881D21">
        <w:rPr>
          <w:rFonts w:ascii="Cambria" w:hAnsi="Cambria"/>
          <w:noProof/>
        </w:rPr>
        <mc:AlternateContent>
          <mc:Choice Requires="wps">
            <w:drawing>
              <wp:anchor distT="0" distB="0" distL="114300" distR="114300" simplePos="0" relativeHeight="251667456" behindDoc="0" locked="0" layoutInCell="1" allowOverlap="1" wp14:anchorId="27FF7D31" wp14:editId="3EE960AF">
                <wp:simplePos x="0" y="0"/>
                <wp:positionH relativeFrom="page">
                  <wp:align>center</wp:align>
                </wp:positionH>
                <wp:positionV relativeFrom="paragraph">
                  <wp:posOffset>2481580</wp:posOffset>
                </wp:positionV>
                <wp:extent cx="3883025" cy="207772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3025" cy="2077720"/>
                        </a:xfrm>
                        <a:prstGeom prst="rect">
                          <a:avLst/>
                        </a:prstGeom>
                        <a:noFill/>
                        <a:ln w="6350">
                          <a:noFill/>
                        </a:ln>
                      </wps:spPr>
                      <wps:txbx>
                        <w:txbxContent>
                          <w:p w14:paraId="17E61ACD" w14:textId="77777777" w:rsidR="00B75D0C" w:rsidRPr="003D53DF" w:rsidRDefault="00B75D0C" w:rsidP="00B75D0C">
                            <w:pPr>
                              <w:spacing w:after="0"/>
                              <w:jc w:val="center"/>
                              <w:rPr>
                                <w:rFonts w:ascii="Cambria" w:hAnsi="Cambria"/>
                                <w:b/>
                                <w:bCs/>
                                <w:caps/>
                                <w:color w:val="747474" w:themeColor="background2" w:themeShade="80"/>
                                <w:sz w:val="44"/>
                                <w:szCs w:val="44"/>
                              </w:rPr>
                            </w:pPr>
                            <w:r>
                              <w:rPr>
                                <w:rFonts w:ascii="Cambria" w:hAnsi="Cambria"/>
                                <w:b/>
                                <w:bCs/>
                                <w:caps/>
                                <w:color w:val="747474" w:themeColor="background2" w:themeShade="80"/>
                                <w:sz w:val="44"/>
                                <w:szCs w:val="44"/>
                              </w:rPr>
                              <w:t>Informatīvais</w:t>
                            </w:r>
                            <w:r w:rsidRPr="003D53DF">
                              <w:rPr>
                                <w:rFonts w:ascii="Cambria" w:hAnsi="Cambria"/>
                                <w:b/>
                                <w:bCs/>
                                <w:caps/>
                                <w:color w:val="747474" w:themeColor="background2" w:themeShade="80"/>
                                <w:sz w:val="44"/>
                                <w:szCs w:val="44"/>
                              </w:rPr>
                              <w:t xml:space="preserve"> ziņojums</w:t>
                            </w:r>
                          </w:p>
                          <w:p w14:paraId="719ED8C7" w14:textId="77777777" w:rsidR="00B75D0C" w:rsidRPr="003D53DF" w:rsidRDefault="00B75D0C" w:rsidP="00B75D0C">
                            <w:pPr>
                              <w:spacing w:after="0"/>
                              <w:jc w:val="center"/>
                              <w:rPr>
                                <w:rFonts w:ascii="Cambria" w:hAnsi="Cambria"/>
                                <w:b/>
                                <w:bCs/>
                                <w:caps/>
                                <w:color w:val="747474" w:themeColor="background2" w:themeShade="80"/>
                                <w:sz w:val="12"/>
                                <w:szCs w:val="12"/>
                              </w:rPr>
                            </w:pPr>
                            <w:r w:rsidRPr="003D53DF">
                              <w:rPr>
                                <w:rFonts w:ascii="Cambria" w:hAnsi="Cambria"/>
                                <w:b/>
                                <w:bCs/>
                                <w:caps/>
                                <w:color w:val="747474" w:themeColor="background2" w:themeShade="80"/>
                                <w:sz w:val="40"/>
                                <w:szCs w:val="40"/>
                              </w:rPr>
                              <w:t xml:space="preserve"> </w:t>
                            </w:r>
                          </w:p>
                          <w:p w14:paraId="75EF2DDF" w14:textId="77777777" w:rsidR="00B75D0C" w:rsidRPr="00EC7A22" w:rsidRDefault="00B75D0C" w:rsidP="00B75D0C">
                            <w:pPr>
                              <w:spacing w:after="0"/>
                              <w:jc w:val="center"/>
                              <w:rPr>
                                <w:rFonts w:ascii="Cambria" w:hAnsi="Cambria"/>
                                <w:b/>
                                <w:bCs/>
                                <w:sz w:val="36"/>
                                <w:szCs w:val="36"/>
                              </w:rPr>
                            </w:pPr>
                            <w:r w:rsidRPr="00EC7A22">
                              <w:rPr>
                                <w:rFonts w:ascii="Cambria" w:hAnsi="Cambria"/>
                                <w:b/>
                                <w:bCs/>
                                <w:sz w:val="36"/>
                                <w:szCs w:val="36"/>
                              </w:rPr>
                              <w:t>Par siltumnīcefekta gāzu emisiju samazināšanas un oglekļa dioksīda piesaistes saistību izpildi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F7D31" id="Text Box 23" o:spid="_x0000_s1029" type="#_x0000_t202" style="position:absolute;margin-left:0;margin-top:195.4pt;width:305.75pt;height:163.6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d1tKwIAAE8EAAAOAAAAZHJzL2Uyb0RvYy54bWysVE2P2yAQvVfqf0DcGztfm9SKs0p3lapS&#10;tLtSttozwRBbxQwFEjv99R2w86FtT1UvGJhhePPew4v7tlbkKKyrQOd0OEgpEZpDUel9Tr+/rj/N&#10;KXGe6YIp0CKnJ+Ho/fLjh0VjMjGCElQhLMEi2mWNyWnpvcmSxPFS1MwNwAiNQQm2Zh6Xdp8UljVY&#10;vVbJKE3vkgZsYSxw4RzuPnZBuoz1pRTcP0vphCcqp4jNx9HGcRfGZLlg2d4yU1a8h8H+AUXNKo2X&#10;Xko9Ms/IwVZ/lKorbsGB9AMOdQJSVlzEHrCbYfqum23JjIi9IDnOXGhy/68sfzpuzYslvv0CLQoY&#10;m3BmA/yHQ26Sxriszwmcusxhdmi0lbYOX2yB4EHk9nThU7SecNwcz+fjdDSlhGNslM5ms1FkPLke&#10;N9b5rwJqEiY5tShYhMCOG+cDAJadU8JtGtaVUlE0pUmT07vxNI0HLhE8oXSPvAMbYPt215KqQExB&#10;8rCzg+KEjVvoPOEMX1eIYcOcf2EWTYAtobH9Mw5SAd4F/YySEuyvv+2HfNQGo5Q0aKqcup8HZgUl&#10;6ptG1T4PJ5PgwriYTAMdxN5GdrcRfagfAH07xCdkeJyGfK/OU2mhfkP/r8KtGGKa49055d6eFw++&#10;Mzu+IC5Wq5iGzjPMb/TW8LPigePX9o1Z0wvhUcMnOBuQZe/06HI7RVYHD7KKYl157QVA10YN+xcW&#10;nsXtOmZd/wPL3wAAAP//AwBQSwMEFAAGAAgAAAAhALG9WUTgAAAACAEAAA8AAABkcnMvZG93bnJl&#10;di54bWxMj8tOwzAQRfdI/IM1SGxQa4dHW0KcClVCyiKbFlSJnRsPcdR4HGw3DX+PWZXl6I7uPadY&#10;T7ZnI/rQOZKQzQUwpMbpjloJH+9vsxWwEBVp1TtCCT8YYF1eXxUq1+5MWxx3sWWphEKuJJgYh5zz&#10;0Bi0KszdgJSyL+etiun0LddenVO57fm9EAtuVUdpwagBNwab4+5kJYz76lFvRxP93aauRHWsv5ef&#10;tZS3N9PrC7CIU7w8wx9+QocyMR3ciXRgvYQkEiU8PIskkOJFlj0BO0hYZisBvCz4f4HyFwAA//8D&#10;AFBLAQItABQABgAIAAAAIQC2gziS/gAAAOEBAAATAAAAAAAAAAAAAAAAAAAAAABbQ29udGVudF9U&#10;eXBlc10ueG1sUEsBAi0AFAAGAAgAAAAhADj9If/WAAAAlAEAAAsAAAAAAAAAAAAAAAAALwEAAF9y&#10;ZWxzLy5yZWxzUEsBAi0AFAAGAAgAAAAhAEO13W0rAgAATwQAAA4AAAAAAAAAAAAAAAAALgIAAGRy&#10;cy9lMm9Eb2MueG1sUEsBAi0AFAAGAAgAAAAhALG9WUTgAAAACAEAAA8AAAAAAAAAAAAAAAAAhQQA&#10;AGRycy9kb3ducmV2LnhtbFBLBQYAAAAABAAEAPMAAACSBQAAAAA=&#10;" filled="f" stroked="f" strokeweight=".5pt">
                <v:textbox>
                  <w:txbxContent>
                    <w:p w14:paraId="17E61ACD" w14:textId="77777777" w:rsidR="00B75D0C" w:rsidRPr="003D53DF" w:rsidRDefault="00B75D0C" w:rsidP="00B75D0C">
                      <w:pPr>
                        <w:spacing w:after="0"/>
                        <w:jc w:val="center"/>
                        <w:rPr>
                          <w:rFonts w:ascii="Cambria" w:hAnsi="Cambria"/>
                          <w:b/>
                          <w:bCs/>
                          <w:caps/>
                          <w:color w:val="747474" w:themeColor="background2" w:themeShade="80"/>
                          <w:sz w:val="44"/>
                          <w:szCs w:val="44"/>
                        </w:rPr>
                      </w:pPr>
                      <w:r>
                        <w:rPr>
                          <w:rFonts w:ascii="Cambria" w:hAnsi="Cambria"/>
                          <w:b/>
                          <w:bCs/>
                          <w:caps/>
                          <w:color w:val="747474" w:themeColor="background2" w:themeShade="80"/>
                          <w:sz w:val="44"/>
                          <w:szCs w:val="44"/>
                        </w:rPr>
                        <w:t>Informatīvais</w:t>
                      </w:r>
                      <w:r w:rsidRPr="003D53DF">
                        <w:rPr>
                          <w:rFonts w:ascii="Cambria" w:hAnsi="Cambria"/>
                          <w:b/>
                          <w:bCs/>
                          <w:caps/>
                          <w:color w:val="747474" w:themeColor="background2" w:themeShade="80"/>
                          <w:sz w:val="44"/>
                          <w:szCs w:val="44"/>
                        </w:rPr>
                        <w:t xml:space="preserve"> ziņojums</w:t>
                      </w:r>
                    </w:p>
                    <w:p w14:paraId="719ED8C7" w14:textId="77777777" w:rsidR="00B75D0C" w:rsidRPr="003D53DF" w:rsidRDefault="00B75D0C" w:rsidP="00B75D0C">
                      <w:pPr>
                        <w:spacing w:after="0"/>
                        <w:jc w:val="center"/>
                        <w:rPr>
                          <w:rFonts w:ascii="Cambria" w:hAnsi="Cambria"/>
                          <w:b/>
                          <w:bCs/>
                          <w:caps/>
                          <w:color w:val="747474" w:themeColor="background2" w:themeShade="80"/>
                          <w:sz w:val="12"/>
                          <w:szCs w:val="12"/>
                        </w:rPr>
                      </w:pPr>
                      <w:r w:rsidRPr="003D53DF">
                        <w:rPr>
                          <w:rFonts w:ascii="Cambria" w:hAnsi="Cambria"/>
                          <w:b/>
                          <w:bCs/>
                          <w:caps/>
                          <w:color w:val="747474" w:themeColor="background2" w:themeShade="80"/>
                          <w:sz w:val="40"/>
                          <w:szCs w:val="40"/>
                        </w:rPr>
                        <w:t xml:space="preserve"> </w:t>
                      </w:r>
                    </w:p>
                    <w:p w14:paraId="75EF2DDF" w14:textId="77777777" w:rsidR="00B75D0C" w:rsidRPr="00EC7A22" w:rsidRDefault="00B75D0C" w:rsidP="00B75D0C">
                      <w:pPr>
                        <w:spacing w:after="0"/>
                        <w:jc w:val="center"/>
                        <w:rPr>
                          <w:rFonts w:ascii="Cambria" w:hAnsi="Cambria"/>
                          <w:b/>
                          <w:bCs/>
                          <w:sz w:val="36"/>
                          <w:szCs w:val="36"/>
                        </w:rPr>
                      </w:pPr>
                      <w:r w:rsidRPr="00EC7A22">
                        <w:rPr>
                          <w:rFonts w:ascii="Cambria" w:hAnsi="Cambria"/>
                          <w:b/>
                          <w:bCs/>
                          <w:sz w:val="36"/>
                          <w:szCs w:val="36"/>
                        </w:rPr>
                        <w:t>Par siltumnīcefekta gāzu emisiju samazināšanas un oglekļa dioksīda piesaistes saistību izpildi</w:t>
                      </w:r>
                    </w:p>
                  </w:txbxContent>
                </v:textbox>
                <w10:wrap anchorx="page"/>
              </v:shape>
            </w:pict>
          </mc:Fallback>
        </mc:AlternateContent>
      </w:r>
      <w:r w:rsidR="00B75D0C" w:rsidRPr="00881D21">
        <w:rPr>
          <w:rFonts w:ascii="Cambria" w:hAnsi="Cambria"/>
          <w:noProof/>
        </w:rPr>
        <mc:AlternateContent>
          <mc:Choice Requires="wps">
            <w:drawing>
              <wp:anchor distT="0" distB="0" distL="114300" distR="114300" simplePos="0" relativeHeight="251660288" behindDoc="0" locked="0" layoutInCell="1" allowOverlap="1" wp14:anchorId="38A68E24" wp14:editId="68A7D4FD">
                <wp:simplePos x="0" y="0"/>
                <wp:positionH relativeFrom="page">
                  <wp:align>center</wp:align>
                </wp:positionH>
                <wp:positionV relativeFrom="paragraph">
                  <wp:posOffset>2444115</wp:posOffset>
                </wp:positionV>
                <wp:extent cx="5034915" cy="2220595"/>
                <wp:effectExtent l="0" t="0" r="0" b="825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4915" cy="222059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AB49A4F" id="Rectangle 22" o:spid="_x0000_s1026" style="position:absolute;margin-left:0;margin-top:192.45pt;width:396.45pt;height:174.8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y66gEAALgDAAAOAAAAZHJzL2Uyb0RvYy54bWysU9uO0zAQfUfiHyy/01xogEZNV6uuFiEt&#10;LNLCB7iOk1g4HjN2m5avZ+x0uxW8IV6sjGfmzJzjk/XNcTTsoNBrsA0vFjlnykpote0b/v3b/ZsP&#10;nPkgbCsMWNXwk/L8ZvP61XpytSphANMqZARifT25hg8huDrLvBzUKPwCnLKU7ABHESjEPmtRTIQ+&#10;mqzM83fZBNg6BKm8p9u7Ock3Cb/rlAyPXedVYKbhtFtIJ6ZzF89ssxZ1j8INWp7XEP+wxSi0paEX&#10;qDsRBNuj/gtq1BLBQxcWEsYMuk5LlTgQmyL/g83TIJxKXEgc7y4y+f8HK78cntxXjKt79wDyh2cW&#10;toOwvbpFhGlQoqVxRRQqm5yvLw0x8NTKdtNnaOlpxT5A0uDY4RgBiR07JqlPF6nVMTBJl1X+drkq&#10;Ks4k5cqyzKtVlWaI+rndoQ8fFYwsfjQc6S0TvDg8+BDXEfVzSVofjG7vtTEpwH63NcgOgt69qKpl&#10;VZ7R/XWZsbHYQmybEeNN4hmpRRf5egftiWgizOYhs9PHAPiLs4mM03D/cy9QcWY+WZJqVSyX0Wkp&#10;WFbvSwrwOrO7zggrCarhMiBnc7ANsz/3DnU/0Kwi0bZwSwJ3OlF/2eu8LtkjKXK2cvTfdZyqXn64&#10;zW8AAAD//wMAUEsDBBQABgAIAAAAIQCHXk0R3wAAAAgBAAAPAAAAZHJzL2Rvd25yZXYueG1sTI/B&#10;TsMwEETvSPyDtUhcEHVoo5KGOBUBQZEQKhQ+wI2XJCJeR7bThr9nOcFtVjOafVOsJ9uLA/rQOVJw&#10;NUtAINXOdNQo+Hh/uMxAhKjJ6N4RKvjGAOvy9KTQuXFHesPDLjaCSyjkWkEb45BLGeoWrQ4zNyCx&#10;9+m81ZFP30jj9ZHLbS/nSbKUVnfEH1o94F2L9ddutAqeH1+3F34b+pfNmA0Oq+o+faqUOj+bbm9A&#10;RJziXxh+8RkdSmbau5FMEL0CHhIVLLJ0BYLt69WcxZ7FIl2CLAv5f0D5AwAA//8DAFBLAQItABQA&#10;BgAIAAAAIQC2gziS/gAAAOEBAAATAAAAAAAAAAAAAAAAAAAAAABbQ29udGVudF9UeXBlc10ueG1s&#10;UEsBAi0AFAAGAAgAAAAhADj9If/WAAAAlAEAAAsAAAAAAAAAAAAAAAAALwEAAF9yZWxzLy5yZWxz&#10;UEsBAi0AFAAGAAgAAAAhACBW3LrqAQAAuAMAAA4AAAAAAAAAAAAAAAAALgIAAGRycy9lMm9Eb2Mu&#10;eG1sUEsBAi0AFAAGAAgAAAAhAIdeTRHfAAAACAEAAA8AAAAAAAAAAAAAAAAARAQAAGRycy9kb3du&#10;cmV2LnhtbFBLBQYAAAAABAAEAPMAAABQBQAAAAA=&#10;" fillcolor="#155452" stroked="f" strokeweight="1pt">
                <w10:wrap anchorx="page"/>
              </v:rect>
            </w:pict>
          </mc:Fallback>
        </mc:AlternateContent>
      </w:r>
      <w:r w:rsidR="00B75D0C" w:rsidRPr="00881D21">
        <w:rPr>
          <w:rFonts w:ascii="Cambria" w:hAnsi="Cambria"/>
          <w:b/>
          <w:bCs/>
          <w:sz w:val="28"/>
          <w:szCs w:val="28"/>
        </w:rPr>
        <w:br w:type="page"/>
      </w:r>
    </w:p>
    <w:p w14:paraId="2E102E20" w14:textId="3C038A42" w:rsidR="00B75D0C" w:rsidRPr="00034DFE" w:rsidRDefault="003E135A" w:rsidP="00034DFE">
      <w:pPr>
        <w:pStyle w:val="Heading1"/>
        <w:jc w:val="center"/>
        <w:rPr>
          <w:rFonts w:ascii="Cambria" w:hAnsi="Cambria"/>
          <w:b/>
          <w:bCs/>
          <w:sz w:val="28"/>
          <w:szCs w:val="28"/>
        </w:rPr>
      </w:pPr>
      <w:r w:rsidRPr="00034DFE">
        <w:rPr>
          <w:rFonts w:ascii="Cambria" w:hAnsi="Cambria"/>
          <w:b/>
          <w:bCs/>
          <w:sz w:val="28"/>
          <w:szCs w:val="28"/>
        </w:rPr>
        <w:lastRenderedPageBreak/>
        <w:t>Saturs</w:t>
      </w:r>
    </w:p>
    <w:sdt>
      <w:sdtPr>
        <w:rPr>
          <w:rFonts w:ascii="Cambria" w:hAnsi="Cambria"/>
          <w:sz w:val="24"/>
          <w:szCs w:val="24"/>
        </w:rPr>
        <w:id w:val="6821247"/>
        <w:docPartObj>
          <w:docPartGallery w:val="Table of Contents"/>
          <w:docPartUnique/>
        </w:docPartObj>
      </w:sdtPr>
      <w:sdtContent>
        <w:p w14:paraId="357EDEB9" w14:textId="7F0981BC" w:rsidR="003E135A" w:rsidRPr="00057E49" w:rsidRDefault="00B75D0C">
          <w:pPr>
            <w:pStyle w:val="TOC1"/>
            <w:tabs>
              <w:tab w:val="left" w:pos="440"/>
              <w:tab w:val="right" w:leader="dot" w:pos="9345"/>
            </w:tabs>
            <w:rPr>
              <w:rFonts w:asciiTheme="minorHAnsi" w:eastAsiaTheme="minorEastAsia" w:hAnsiTheme="minorHAnsi" w:cstheme="minorBidi"/>
              <w:noProof/>
              <w:kern w:val="2"/>
              <w:sz w:val="24"/>
              <w:szCs w:val="24"/>
              <w:lang w:eastAsia="lv-LV"/>
              <w14:ligatures w14:val="standardContextual"/>
            </w:rPr>
          </w:pPr>
          <w:r w:rsidRPr="00057E49">
            <w:fldChar w:fldCharType="begin"/>
          </w:r>
          <w:r w:rsidRPr="00057E49">
            <w:rPr>
              <w:rStyle w:val="IndexLink"/>
              <w:rFonts w:ascii="Cambria" w:hAnsi="Cambria"/>
              <w:sz w:val="24"/>
              <w:szCs w:val="24"/>
              <w:lang w:eastAsia="lv-LV"/>
            </w:rPr>
            <w:instrText>TOC \o "1-3" \h</w:instrText>
          </w:r>
          <w:r w:rsidRPr="00057E49">
            <w:rPr>
              <w:rStyle w:val="IndexLink"/>
              <w:rFonts w:ascii="Cambria" w:hAnsi="Cambria"/>
              <w:sz w:val="24"/>
              <w:szCs w:val="24"/>
              <w:lang w:eastAsia="lv-LV"/>
            </w:rPr>
            <w:fldChar w:fldCharType="separate"/>
          </w:r>
          <w:hyperlink w:anchor="_Toc156999859" w:history="1">
            <w:r w:rsidR="003E135A" w:rsidRPr="00057E49">
              <w:rPr>
                <w:rStyle w:val="Hyperlink"/>
                <w:rFonts w:ascii="Cambria" w:hAnsi="Cambria"/>
                <w:noProof/>
              </w:rPr>
              <w:t>1.</w:t>
            </w:r>
            <w:r w:rsidR="003E135A" w:rsidRPr="00057E49">
              <w:rPr>
                <w:rFonts w:asciiTheme="minorHAnsi" w:eastAsiaTheme="minorEastAsia" w:hAnsiTheme="minorHAnsi" w:cstheme="minorBidi"/>
                <w:noProof/>
                <w:kern w:val="2"/>
                <w:sz w:val="24"/>
                <w:szCs w:val="24"/>
                <w:lang w:eastAsia="lv-LV"/>
                <w14:ligatures w14:val="standardContextual"/>
              </w:rPr>
              <w:tab/>
            </w:r>
            <w:r w:rsidR="003E135A" w:rsidRPr="00057E49">
              <w:rPr>
                <w:rStyle w:val="Hyperlink"/>
                <w:rFonts w:ascii="Cambria" w:hAnsi="Cambria"/>
                <w:noProof/>
              </w:rPr>
              <w:t>IEVADS</w:t>
            </w:r>
            <w:r w:rsidR="003E135A" w:rsidRPr="00057E49">
              <w:rPr>
                <w:noProof/>
              </w:rPr>
              <w:tab/>
            </w:r>
            <w:r w:rsidR="003E135A" w:rsidRPr="00057E49">
              <w:rPr>
                <w:noProof/>
              </w:rPr>
              <w:fldChar w:fldCharType="begin"/>
            </w:r>
            <w:r w:rsidR="003E135A" w:rsidRPr="00057E49">
              <w:rPr>
                <w:noProof/>
              </w:rPr>
              <w:instrText xml:space="preserve"> PAGEREF _Toc156999859 \h </w:instrText>
            </w:r>
            <w:r w:rsidR="003E135A" w:rsidRPr="00057E49">
              <w:rPr>
                <w:noProof/>
              </w:rPr>
            </w:r>
            <w:r w:rsidR="003E135A" w:rsidRPr="00057E49">
              <w:rPr>
                <w:noProof/>
              </w:rPr>
              <w:fldChar w:fldCharType="separate"/>
            </w:r>
            <w:r w:rsidR="003E135A" w:rsidRPr="00057E49">
              <w:rPr>
                <w:noProof/>
              </w:rPr>
              <w:t>3</w:t>
            </w:r>
            <w:r w:rsidR="003E135A" w:rsidRPr="00057E49">
              <w:rPr>
                <w:noProof/>
              </w:rPr>
              <w:fldChar w:fldCharType="end"/>
            </w:r>
          </w:hyperlink>
        </w:p>
        <w:p w14:paraId="5F333D77" w14:textId="54394C99" w:rsidR="003E135A" w:rsidRPr="00057E49" w:rsidRDefault="00000000">
          <w:pPr>
            <w:pStyle w:val="TOC1"/>
            <w:tabs>
              <w:tab w:val="left" w:pos="440"/>
              <w:tab w:val="right" w:leader="dot" w:pos="9345"/>
            </w:tabs>
            <w:rPr>
              <w:rFonts w:ascii="Cambria" w:eastAsiaTheme="minorEastAsia" w:hAnsi="Cambria" w:cstheme="minorBidi"/>
              <w:noProof/>
              <w:kern w:val="2"/>
              <w:sz w:val="24"/>
              <w:szCs w:val="24"/>
              <w:lang w:eastAsia="lv-LV"/>
              <w14:ligatures w14:val="standardContextual"/>
            </w:rPr>
          </w:pPr>
          <w:hyperlink w:anchor="_Toc156999860" w:history="1">
            <w:r w:rsidR="003E135A" w:rsidRPr="00057E49">
              <w:rPr>
                <w:rStyle w:val="Hyperlink"/>
                <w:rFonts w:ascii="Cambria" w:hAnsi="Cambria"/>
                <w:noProof/>
              </w:rPr>
              <w:t>2.</w:t>
            </w:r>
            <w:r w:rsidR="003E135A" w:rsidRPr="00057E49">
              <w:rPr>
                <w:rFonts w:ascii="Cambria" w:eastAsiaTheme="minorEastAsia" w:hAnsi="Cambria" w:cstheme="minorBidi"/>
                <w:noProof/>
                <w:kern w:val="2"/>
                <w:sz w:val="24"/>
                <w:szCs w:val="24"/>
                <w:lang w:eastAsia="lv-LV"/>
                <w14:ligatures w14:val="standardContextual"/>
              </w:rPr>
              <w:tab/>
            </w:r>
            <w:r w:rsidR="003E135A" w:rsidRPr="00057E49">
              <w:rPr>
                <w:rStyle w:val="Hyperlink"/>
                <w:rFonts w:ascii="Cambria" w:hAnsi="Cambria"/>
                <w:noProof/>
              </w:rPr>
              <w:t>LATVIJAS SEG MĒRĶI</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_Toc156999860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4</w:t>
            </w:r>
            <w:r w:rsidR="003E135A" w:rsidRPr="00057E49">
              <w:rPr>
                <w:rFonts w:ascii="Cambria" w:hAnsi="Cambria"/>
                <w:noProof/>
              </w:rPr>
              <w:fldChar w:fldCharType="end"/>
            </w:r>
          </w:hyperlink>
        </w:p>
        <w:p w14:paraId="4BC9EB67" w14:textId="18C6B815" w:rsidR="003E135A" w:rsidRPr="00057E49" w:rsidRDefault="00000000">
          <w:pPr>
            <w:pStyle w:val="TOC2"/>
            <w:tabs>
              <w:tab w:val="left" w:pos="720"/>
              <w:tab w:val="right" w:leader="dot" w:pos="9345"/>
            </w:tabs>
            <w:rPr>
              <w:rFonts w:ascii="Cambria" w:eastAsiaTheme="minorEastAsia" w:hAnsi="Cambria" w:cstheme="minorBidi"/>
              <w:noProof/>
              <w:kern w:val="2"/>
              <w:sz w:val="24"/>
              <w:szCs w:val="24"/>
              <w:lang w:eastAsia="lv-LV"/>
              <w14:ligatures w14:val="standardContextual"/>
            </w:rPr>
          </w:pPr>
          <w:hyperlink w:anchor="_Toc156999861" w:history="1">
            <w:r w:rsidR="003E135A" w:rsidRPr="00057E49">
              <w:rPr>
                <w:rStyle w:val="Hyperlink"/>
                <w:rFonts w:ascii="Cambria" w:hAnsi="Cambria"/>
                <w:noProof/>
              </w:rPr>
              <w:t>2.1.</w:t>
            </w:r>
            <w:r w:rsidR="003E135A" w:rsidRPr="00057E49">
              <w:rPr>
                <w:rFonts w:ascii="Cambria" w:eastAsiaTheme="minorEastAsia" w:hAnsi="Cambria" w:cstheme="minorBidi"/>
                <w:noProof/>
                <w:kern w:val="2"/>
                <w:sz w:val="24"/>
                <w:szCs w:val="24"/>
                <w:lang w:eastAsia="lv-LV"/>
                <w14:ligatures w14:val="standardContextual"/>
              </w:rPr>
              <w:tab/>
            </w:r>
            <w:r w:rsidR="003E135A" w:rsidRPr="00057E49">
              <w:rPr>
                <w:rStyle w:val="Hyperlink"/>
                <w:rFonts w:ascii="Cambria" w:hAnsi="Cambria"/>
                <w:noProof/>
              </w:rPr>
              <w:t>Starptautiskā klimata politika 2021. - 2050. gada periodam</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_Toc156999861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4</w:t>
            </w:r>
            <w:r w:rsidR="003E135A" w:rsidRPr="00057E49">
              <w:rPr>
                <w:rFonts w:ascii="Cambria" w:hAnsi="Cambria"/>
                <w:noProof/>
              </w:rPr>
              <w:fldChar w:fldCharType="end"/>
            </w:r>
          </w:hyperlink>
        </w:p>
        <w:p w14:paraId="1C589AD9" w14:textId="5F764A0F" w:rsidR="003E135A" w:rsidRPr="00057E49" w:rsidRDefault="00000000">
          <w:pPr>
            <w:pStyle w:val="TOC2"/>
            <w:tabs>
              <w:tab w:val="left" w:pos="720"/>
              <w:tab w:val="right" w:leader="dot" w:pos="9345"/>
            </w:tabs>
            <w:rPr>
              <w:rFonts w:ascii="Cambria" w:eastAsiaTheme="minorEastAsia" w:hAnsi="Cambria" w:cstheme="minorBidi"/>
              <w:noProof/>
              <w:kern w:val="2"/>
              <w:sz w:val="24"/>
              <w:szCs w:val="24"/>
              <w:lang w:eastAsia="lv-LV"/>
              <w14:ligatures w14:val="standardContextual"/>
            </w:rPr>
          </w:pPr>
          <w:hyperlink w:anchor="_Toc156999862" w:history="1">
            <w:r w:rsidR="003E135A" w:rsidRPr="00057E49">
              <w:rPr>
                <w:rStyle w:val="Hyperlink"/>
                <w:rFonts w:ascii="Cambria" w:hAnsi="Cambria"/>
                <w:noProof/>
              </w:rPr>
              <w:t>2.2.</w:t>
            </w:r>
            <w:r w:rsidR="003E135A" w:rsidRPr="00057E49">
              <w:rPr>
                <w:rFonts w:ascii="Cambria" w:eastAsiaTheme="minorEastAsia" w:hAnsi="Cambria" w:cstheme="minorBidi"/>
                <w:noProof/>
                <w:kern w:val="2"/>
                <w:sz w:val="24"/>
                <w:szCs w:val="24"/>
                <w:lang w:eastAsia="lv-LV"/>
                <w14:ligatures w14:val="standardContextual"/>
              </w:rPr>
              <w:tab/>
            </w:r>
            <w:r w:rsidR="003E135A" w:rsidRPr="00057E49">
              <w:rPr>
                <w:rStyle w:val="Hyperlink"/>
                <w:rFonts w:ascii="Cambria" w:hAnsi="Cambria"/>
                <w:noProof/>
              </w:rPr>
              <w:t>ES klimata politika 2021.-2030.gada periodam</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_Toc156999862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7</w:t>
            </w:r>
            <w:r w:rsidR="003E135A" w:rsidRPr="00057E49">
              <w:rPr>
                <w:rFonts w:ascii="Cambria" w:hAnsi="Cambria"/>
                <w:noProof/>
              </w:rPr>
              <w:fldChar w:fldCharType="end"/>
            </w:r>
          </w:hyperlink>
        </w:p>
        <w:p w14:paraId="0E3934CD" w14:textId="00B21EDC" w:rsidR="003E135A" w:rsidRPr="00057E49" w:rsidRDefault="00000000">
          <w:pPr>
            <w:pStyle w:val="TOC3"/>
            <w:tabs>
              <w:tab w:val="left" w:pos="1440"/>
              <w:tab w:val="right" w:leader="dot" w:pos="9345"/>
            </w:tabs>
            <w:rPr>
              <w:rFonts w:ascii="Cambria" w:eastAsiaTheme="minorEastAsia" w:hAnsi="Cambria" w:cstheme="minorBidi"/>
              <w:noProof/>
              <w:kern w:val="2"/>
              <w:sz w:val="24"/>
              <w:szCs w:val="24"/>
              <w:lang w:eastAsia="lv-LV"/>
              <w14:ligatures w14:val="standardContextual"/>
            </w:rPr>
          </w:pPr>
          <w:hyperlink w:anchor="_Toc156999863" w:history="1">
            <w:r w:rsidR="003E135A" w:rsidRPr="00057E49">
              <w:rPr>
                <w:rStyle w:val="Hyperlink"/>
                <w:rFonts w:ascii="Cambria" w:hAnsi="Cambria"/>
                <w:noProof/>
              </w:rPr>
              <w:t>2.2.1.</w:t>
            </w:r>
            <w:r w:rsidR="003E135A" w:rsidRPr="00057E49">
              <w:rPr>
                <w:rFonts w:ascii="Cambria" w:eastAsiaTheme="minorEastAsia" w:hAnsi="Cambria" w:cstheme="minorBidi"/>
                <w:noProof/>
                <w:kern w:val="2"/>
                <w:sz w:val="24"/>
                <w:szCs w:val="24"/>
                <w:lang w:eastAsia="lv-LV"/>
                <w14:ligatures w14:val="standardContextual"/>
              </w:rPr>
              <w:tab/>
            </w:r>
            <w:r w:rsidR="003E135A" w:rsidRPr="00057E49">
              <w:rPr>
                <w:rStyle w:val="Hyperlink"/>
                <w:rFonts w:ascii="Cambria" w:hAnsi="Cambria"/>
                <w:noProof/>
              </w:rPr>
              <w:t>ES Emisijas kvotu tirdzniecības sistēma</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_Toc156999863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7</w:t>
            </w:r>
            <w:r w:rsidR="003E135A" w:rsidRPr="00057E49">
              <w:rPr>
                <w:rFonts w:ascii="Cambria" w:hAnsi="Cambria"/>
                <w:noProof/>
              </w:rPr>
              <w:fldChar w:fldCharType="end"/>
            </w:r>
          </w:hyperlink>
        </w:p>
        <w:p w14:paraId="43AB5844" w14:textId="4BD158C0" w:rsidR="003E135A" w:rsidRPr="00057E49" w:rsidRDefault="00000000">
          <w:pPr>
            <w:pStyle w:val="TOC3"/>
            <w:tabs>
              <w:tab w:val="left" w:pos="1440"/>
              <w:tab w:val="right" w:leader="dot" w:pos="9345"/>
            </w:tabs>
            <w:rPr>
              <w:rFonts w:ascii="Cambria" w:eastAsiaTheme="minorEastAsia" w:hAnsi="Cambria" w:cstheme="minorBidi"/>
              <w:noProof/>
              <w:kern w:val="2"/>
              <w:sz w:val="24"/>
              <w:szCs w:val="24"/>
              <w:lang w:eastAsia="lv-LV"/>
              <w14:ligatures w14:val="standardContextual"/>
            </w:rPr>
          </w:pPr>
          <w:hyperlink w:anchor="_Toc156999864" w:history="1">
            <w:r w:rsidR="003E135A" w:rsidRPr="00057E49">
              <w:rPr>
                <w:rStyle w:val="Hyperlink"/>
                <w:rFonts w:ascii="Cambria" w:hAnsi="Cambria"/>
                <w:noProof/>
              </w:rPr>
              <w:t>2.2.2.</w:t>
            </w:r>
            <w:r w:rsidR="003E135A" w:rsidRPr="00057E49">
              <w:rPr>
                <w:rFonts w:ascii="Cambria" w:eastAsiaTheme="minorEastAsia" w:hAnsi="Cambria" w:cstheme="minorBidi"/>
                <w:noProof/>
                <w:kern w:val="2"/>
                <w:sz w:val="24"/>
                <w:szCs w:val="24"/>
                <w:lang w:eastAsia="lv-LV"/>
                <w14:ligatures w14:val="standardContextual"/>
              </w:rPr>
              <w:tab/>
            </w:r>
            <w:r w:rsidR="003E135A" w:rsidRPr="00057E49">
              <w:rPr>
                <w:rStyle w:val="Hyperlink"/>
                <w:rFonts w:ascii="Cambria" w:hAnsi="Cambria"/>
                <w:noProof/>
              </w:rPr>
              <w:t>Ne-ETS darbības</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_Toc156999864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7</w:t>
            </w:r>
            <w:r w:rsidR="003E135A" w:rsidRPr="00057E49">
              <w:rPr>
                <w:rFonts w:ascii="Cambria" w:hAnsi="Cambria"/>
                <w:noProof/>
              </w:rPr>
              <w:fldChar w:fldCharType="end"/>
            </w:r>
          </w:hyperlink>
        </w:p>
        <w:p w14:paraId="1F660099" w14:textId="5B73E4BA" w:rsidR="003E135A" w:rsidRPr="00057E49" w:rsidRDefault="00000000">
          <w:pPr>
            <w:pStyle w:val="TOC3"/>
            <w:tabs>
              <w:tab w:val="left" w:pos="1440"/>
              <w:tab w:val="right" w:leader="dot" w:pos="9345"/>
            </w:tabs>
            <w:rPr>
              <w:rFonts w:ascii="Cambria" w:eastAsiaTheme="minorEastAsia" w:hAnsi="Cambria" w:cstheme="minorBidi"/>
              <w:noProof/>
              <w:kern w:val="2"/>
              <w:sz w:val="24"/>
              <w:szCs w:val="24"/>
              <w:lang w:eastAsia="lv-LV"/>
              <w14:ligatures w14:val="standardContextual"/>
            </w:rPr>
          </w:pPr>
          <w:hyperlink w:anchor="_Toc156999865" w:history="1">
            <w:r w:rsidR="003E135A" w:rsidRPr="00057E49">
              <w:rPr>
                <w:rStyle w:val="Hyperlink"/>
                <w:rFonts w:ascii="Cambria" w:hAnsi="Cambria"/>
                <w:noProof/>
              </w:rPr>
              <w:t>2.2.3.</w:t>
            </w:r>
            <w:r w:rsidR="003E135A" w:rsidRPr="00057E49">
              <w:rPr>
                <w:rFonts w:ascii="Cambria" w:eastAsiaTheme="minorEastAsia" w:hAnsi="Cambria" w:cstheme="minorBidi"/>
                <w:noProof/>
                <w:kern w:val="2"/>
                <w:sz w:val="24"/>
                <w:szCs w:val="24"/>
                <w:lang w:eastAsia="lv-LV"/>
                <w14:ligatures w14:val="standardContextual"/>
              </w:rPr>
              <w:tab/>
            </w:r>
            <w:r w:rsidR="003E135A" w:rsidRPr="00057E49">
              <w:rPr>
                <w:rStyle w:val="Hyperlink"/>
                <w:rFonts w:ascii="Cambria" w:hAnsi="Cambria"/>
                <w:noProof/>
              </w:rPr>
              <w:t>ZIZIMM uzskaites/ziņošanas kategorijas</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_Toc156999865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8</w:t>
            </w:r>
            <w:r w:rsidR="003E135A" w:rsidRPr="00057E49">
              <w:rPr>
                <w:rFonts w:ascii="Cambria" w:hAnsi="Cambria"/>
                <w:noProof/>
              </w:rPr>
              <w:fldChar w:fldCharType="end"/>
            </w:r>
          </w:hyperlink>
        </w:p>
        <w:p w14:paraId="2731A388" w14:textId="10B6F8C1" w:rsidR="003E135A" w:rsidRPr="00057E49" w:rsidRDefault="00000000">
          <w:pPr>
            <w:pStyle w:val="TOC3"/>
            <w:tabs>
              <w:tab w:val="left" w:pos="1440"/>
              <w:tab w:val="right" w:leader="dot" w:pos="9345"/>
            </w:tabs>
            <w:rPr>
              <w:rFonts w:ascii="Cambria" w:eastAsiaTheme="minorEastAsia" w:hAnsi="Cambria" w:cstheme="minorBidi"/>
              <w:noProof/>
              <w:kern w:val="2"/>
              <w:sz w:val="24"/>
              <w:szCs w:val="24"/>
              <w:lang w:eastAsia="lv-LV"/>
              <w14:ligatures w14:val="standardContextual"/>
            </w:rPr>
          </w:pPr>
          <w:hyperlink w:anchor="_Toc156999866" w:history="1">
            <w:r w:rsidR="003E135A" w:rsidRPr="00057E49">
              <w:rPr>
                <w:rStyle w:val="Hyperlink"/>
                <w:rFonts w:ascii="Cambria" w:hAnsi="Cambria"/>
                <w:noProof/>
              </w:rPr>
              <w:t>2.2.4.</w:t>
            </w:r>
            <w:r w:rsidR="003E135A" w:rsidRPr="00057E49">
              <w:rPr>
                <w:rFonts w:ascii="Cambria" w:eastAsiaTheme="minorEastAsia" w:hAnsi="Cambria" w:cstheme="minorBidi"/>
                <w:noProof/>
                <w:kern w:val="2"/>
                <w:sz w:val="24"/>
                <w:szCs w:val="24"/>
                <w:lang w:eastAsia="lv-LV"/>
                <w14:ligatures w14:val="standardContextual"/>
              </w:rPr>
              <w:tab/>
            </w:r>
            <w:r w:rsidR="003E135A" w:rsidRPr="00057E49">
              <w:rPr>
                <w:rStyle w:val="Hyperlink"/>
                <w:rFonts w:ascii="Cambria" w:hAnsi="Cambria"/>
                <w:noProof/>
              </w:rPr>
              <w:t>Latvijas SEG mērķu kopsavilkums</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_Toc156999866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9</w:t>
            </w:r>
            <w:r w:rsidR="003E135A" w:rsidRPr="00057E49">
              <w:rPr>
                <w:rFonts w:ascii="Cambria" w:hAnsi="Cambria"/>
                <w:noProof/>
              </w:rPr>
              <w:fldChar w:fldCharType="end"/>
            </w:r>
          </w:hyperlink>
        </w:p>
        <w:p w14:paraId="365B69DB" w14:textId="57449F77" w:rsidR="003E135A" w:rsidRPr="00057E49" w:rsidRDefault="00000000">
          <w:pPr>
            <w:pStyle w:val="TOC2"/>
            <w:tabs>
              <w:tab w:val="left" w:pos="720"/>
              <w:tab w:val="right" w:leader="dot" w:pos="9345"/>
            </w:tabs>
            <w:rPr>
              <w:rFonts w:ascii="Cambria" w:eastAsiaTheme="minorEastAsia" w:hAnsi="Cambria" w:cstheme="minorBidi"/>
              <w:noProof/>
              <w:kern w:val="2"/>
              <w:sz w:val="24"/>
              <w:szCs w:val="24"/>
              <w:lang w:eastAsia="lv-LV"/>
              <w14:ligatures w14:val="standardContextual"/>
            </w:rPr>
          </w:pPr>
          <w:hyperlink w:anchor="_Toc156999867" w:history="1">
            <w:r w:rsidR="003E135A" w:rsidRPr="00057E49">
              <w:rPr>
                <w:rStyle w:val="Hyperlink"/>
                <w:rFonts w:ascii="Cambria" w:hAnsi="Cambria"/>
                <w:noProof/>
              </w:rPr>
              <w:t>2.3.</w:t>
            </w:r>
            <w:r w:rsidR="003E135A" w:rsidRPr="00057E49">
              <w:rPr>
                <w:rFonts w:ascii="Cambria" w:eastAsiaTheme="minorEastAsia" w:hAnsi="Cambria" w:cstheme="minorBidi"/>
                <w:noProof/>
                <w:kern w:val="2"/>
                <w:sz w:val="24"/>
                <w:szCs w:val="24"/>
                <w:lang w:eastAsia="lv-LV"/>
                <w14:ligatures w14:val="standardContextual"/>
              </w:rPr>
              <w:tab/>
            </w:r>
            <w:r w:rsidR="003E135A" w:rsidRPr="00057E49">
              <w:rPr>
                <w:rStyle w:val="Hyperlink"/>
                <w:rFonts w:ascii="Cambria" w:hAnsi="Cambria"/>
                <w:noProof/>
              </w:rPr>
              <w:t>Virzība uz klimatnoturību</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_Toc156999867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9</w:t>
            </w:r>
            <w:r w:rsidR="003E135A" w:rsidRPr="00057E49">
              <w:rPr>
                <w:rFonts w:ascii="Cambria" w:hAnsi="Cambria"/>
                <w:noProof/>
              </w:rPr>
              <w:fldChar w:fldCharType="end"/>
            </w:r>
          </w:hyperlink>
        </w:p>
        <w:p w14:paraId="6BF8BB0A" w14:textId="1E488431" w:rsidR="003E135A" w:rsidRPr="00057E49" w:rsidRDefault="00000000">
          <w:pPr>
            <w:pStyle w:val="TOC1"/>
            <w:tabs>
              <w:tab w:val="left" w:pos="440"/>
              <w:tab w:val="right" w:leader="dot" w:pos="9345"/>
            </w:tabs>
            <w:rPr>
              <w:rFonts w:ascii="Cambria" w:eastAsiaTheme="minorEastAsia" w:hAnsi="Cambria" w:cstheme="minorBidi"/>
              <w:noProof/>
              <w:kern w:val="2"/>
              <w:sz w:val="24"/>
              <w:szCs w:val="24"/>
              <w:lang w:eastAsia="lv-LV"/>
              <w14:ligatures w14:val="standardContextual"/>
            </w:rPr>
          </w:pPr>
          <w:hyperlink w:anchor="_Toc156999868" w:history="1">
            <w:r w:rsidR="003E135A" w:rsidRPr="00057E49">
              <w:rPr>
                <w:rStyle w:val="Hyperlink"/>
                <w:rFonts w:ascii="Cambria" w:hAnsi="Cambria"/>
                <w:noProof/>
              </w:rPr>
              <w:t>3.</w:t>
            </w:r>
            <w:r w:rsidR="003E135A" w:rsidRPr="00057E49">
              <w:rPr>
                <w:rFonts w:ascii="Cambria" w:eastAsiaTheme="minorEastAsia" w:hAnsi="Cambria" w:cstheme="minorBidi"/>
                <w:noProof/>
                <w:kern w:val="2"/>
                <w:sz w:val="24"/>
                <w:szCs w:val="24"/>
                <w:lang w:eastAsia="lv-LV"/>
                <w14:ligatures w14:val="standardContextual"/>
              </w:rPr>
              <w:tab/>
            </w:r>
            <w:r w:rsidR="003E135A" w:rsidRPr="00057E49">
              <w:rPr>
                <w:rStyle w:val="Hyperlink"/>
                <w:rFonts w:ascii="Cambria" w:hAnsi="Cambria"/>
                <w:noProof/>
              </w:rPr>
              <w:t>SEG EMISIJU SAMAZINĀŠANAS MĒRĶU IZPILDE</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_Toc156999868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10</w:t>
            </w:r>
            <w:r w:rsidR="003E135A" w:rsidRPr="00057E49">
              <w:rPr>
                <w:rFonts w:ascii="Cambria" w:hAnsi="Cambria"/>
                <w:noProof/>
              </w:rPr>
              <w:fldChar w:fldCharType="end"/>
            </w:r>
          </w:hyperlink>
        </w:p>
        <w:p w14:paraId="402C6F96" w14:textId="14CA1AF5" w:rsidR="003E135A" w:rsidRPr="00057E49" w:rsidRDefault="00000000">
          <w:pPr>
            <w:pStyle w:val="TOC2"/>
            <w:tabs>
              <w:tab w:val="left" w:pos="720"/>
              <w:tab w:val="right" w:leader="dot" w:pos="9345"/>
            </w:tabs>
            <w:rPr>
              <w:rFonts w:ascii="Cambria" w:eastAsiaTheme="minorEastAsia" w:hAnsi="Cambria" w:cstheme="minorBidi"/>
              <w:noProof/>
              <w:kern w:val="2"/>
              <w:sz w:val="24"/>
              <w:szCs w:val="24"/>
              <w:lang w:eastAsia="lv-LV"/>
              <w14:ligatures w14:val="standardContextual"/>
            </w:rPr>
          </w:pPr>
          <w:hyperlink w:anchor="_Toc156999869" w:history="1">
            <w:r w:rsidR="003E135A" w:rsidRPr="00057E49">
              <w:rPr>
                <w:rStyle w:val="Hyperlink"/>
                <w:rFonts w:ascii="Cambria" w:hAnsi="Cambria"/>
                <w:noProof/>
              </w:rPr>
              <w:t>3.1.</w:t>
            </w:r>
            <w:r w:rsidR="003E135A" w:rsidRPr="00057E49">
              <w:rPr>
                <w:rFonts w:ascii="Cambria" w:eastAsiaTheme="minorEastAsia" w:hAnsi="Cambria" w:cstheme="minorBidi"/>
                <w:noProof/>
                <w:kern w:val="2"/>
                <w:sz w:val="24"/>
                <w:szCs w:val="24"/>
                <w:lang w:eastAsia="lv-LV"/>
                <w14:ligatures w14:val="standardContextual"/>
              </w:rPr>
              <w:tab/>
            </w:r>
            <w:r w:rsidR="003E135A" w:rsidRPr="00057E49">
              <w:rPr>
                <w:rStyle w:val="Hyperlink"/>
                <w:rFonts w:ascii="Cambria" w:hAnsi="Cambria"/>
                <w:noProof/>
              </w:rPr>
              <w:t>SEG mērķu līdz 2030.gadam izpildes progresa novērtējums</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_Toc156999869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10</w:t>
            </w:r>
            <w:r w:rsidR="003E135A" w:rsidRPr="00057E49">
              <w:rPr>
                <w:rFonts w:ascii="Cambria" w:hAnsi="Cambria"/>
                <w:noProof/>
              </w:rPr>
              <w:fldChar w:fldCharType="end"/>
            </w:r>
          </w:hyperlink>
        </w:p>
        <w:p w14:paraId="03C19833" w14:textId="26B8190B" w:rsidR="003E135A" w:rsidRPr="00057E49" w:rsidRDefault="00000000">
          <w:pPr>
            <w:pStyle w:val="TOC2"/>
            <w:tabs>
              <w:tab w:val="right" w:leader="dot" w:pos="9345"/>
            </w:tabs>
            <w:rPr>
              <w:rFonts w:ascii="Cambria" w:eastAsiaTheme="minorEastAsia" w:hAnsi="Cambria" w:cstheme="minorBidi"/>
              <w:noProof/>
              <w:kern w:val="2"/>
              <w:sz w:val="24"/>
              <w:szCs w:val="24"/>
              <w:lang w:eastAsia="lv-LV"/>
              <w14:ligatures w14:val="standardContextual"/>
            </w:rPr>
          </w:pPr>
          <w:hyperlink w:anchor="_Toc156999870" w:history="1">
            <w:r w:rsidR="003E135A" w:rsidRPr="00057E49">
              <w:rPr>
                <w:rStyle w:val="Hyperlink"/>
                <w:rFonts w:ascii="Cambria" w:hAnsi="Cambria"/>
                <w:noProof/>
              </w:rPr>
              <w:t>3.2. Ne-ETS sektora SEG mērķu izpildes prognoze 2021.-2030.gada periodā</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_Toc156999870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14</w:t>
            </w:r>
            <w:r w:rsidR="003E135A" w:rsidRPr="00057E49">
              <w:rPr>
                <w:rFonts w:ascii="Cambria" w:hAnsi="Cambria"/>
                <w:noProof/>
              </w:rPr>
              <w:fldChar w:fldCharType="end"/>
            </w:r>
          </w:hyperlink>
        </w:p>
        <w:p w14:paraId="34F893AD" w14:textId="4CFD6CE1" w:rsidR="003E135A" w:rsidRPr="00057E49" w:rsidRDefault="00000000">
          <w:pPr>
            <w:pStyle w:val="TOC1"/>
            <w:tabs>
              <w:tab w:val="left" w:pos="440"/>
              <w:tab w:val="right" w:leader="dot" w:pos="9345"/>
            </w:tabs>
            <w:rPr>
              <w:rFonts w:ascii="Cambria" w:eastAsiaTheme="minorEastAsia" w:hAnsi="Cambria" w:cstheme="minorBidi"/>
              <w:noProof/>
              <w:kern w:val="2"/>
              <w:sz w:val="24"/>
              <w:szCs w:val="24"/>
              <w:lang w:eastAsia="lv-LV"/>
              <w14:ligatures w14:val="standardContextual"/>
            </w:rPr>
          </w:pPr>
          <w:hyperlink w:anchor="_Toc156999871" w:history="1">
            <w:r w:rsidR="003E135A" w:rsidRPr="00057E49">
              <w:rPr>
                <w:rStyle w:val="Hyperlink"/>
                <w:rFonts w:ascii="Cambria" w:hAnsi="Cambria"/>
                <w:noProof/>
              </w:rPr>
              <w:t>4.</w:t>
            </w:r>
            <w:r w:rsidR="003E135A" w:rsidRPr="00057E49">
              <w:rPr>
                <w:rFonts w:ascii="Cambria" w:eastAsiaTheme="minorEastAsia" w:hAnsi="Cambria" w:cstheme="minorBidi"/>
                <w:noProof/>
                <w:kern w:val="2"/>
                <w:sz w:val="24"/>
                <w:szCs w:val="24"/>
                <w:lang w:eastAsia="lv-LV"/>
                <w14:ligatures w14:val="standardContextual"/>
              </w:rPr>
              <w:tab/>
            </w:r>
            <w:r w:rsidR="003E135A" w:rsidRPr="00057E49">
              <w:rPr>
                <w:rStyle w:val="Hyperlink"/>
                <w:rFonts w:ascii="Cambria" w:hAnsi="Cambria"/>
                <w:noProof/>
              </w:rPr>
              <w:t>ZEMES IZMANTOŠANAS, ZEMES IZMANTOŠANAS MAIŅAS UN MEŽSAIMNIECĪBAS SEKTORĀ NOTEIKTO uzskaites un ziņošanas KATEGORIJU MĒRĶU IZPILDE</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_Toc156999871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15</w:t>
            </w:r>
            <w:r w:rsidR="003E135A" w:rsidRPr="00057E49">
              <w:rPr>
                <w:rFonts w:ascii="Cambria" w:hAnsi="Cambria"/>
                <w:noProof/>
              </w:rPr>
              <w:fldChar w:fldCharType="end"/>
            </w:r>
          </w:hyperlink>
        </w:p>
        <w:p w14:paraId="3F4621B3" w14:textId="6BE6D279" w:rsidR="003E135A" w:rsidRPr="00057E49" w:rsidRDefault="00000000">
          <w:pPr>
            <w:pStyle w:val="TOC1"/>
            <w:tabs>
              <w:tab w:val="right" w:leader="dot" w:pos="9345"/>
            </w:tabs>
            <w:rPr>
              <w:rFonts w:ascii="Cambria" w:eastAsiaTheme="minorEastAsia" w:hAnsi="Cambria" w:cstheme="minorBidi"/>
              <w:noProof/>
              <w:kern w:val="2"/>
              <w:sz w:val="24"/>
              <w:szCs w:val="24"/>
              <w:lang w:eastAsia="lv-LV"/>
              <w14:ligatures w14:val="standardContextual"/>
            </w:rPr>
          </w:pPr>
          <w:hyperlink w:anchor="_Toc156999872" w:history="1">
            <w:r w:rsidR="003E135A" w:rsidRPr="00057E49">
              <w:rPr>
                <w:rStyle w:val="Hyperlink"/>
                <w:rFonts w:ascii="Cambria" w:hAnsi="Cambria"/>
                <w:noProof/>
              </w:rPr>
              <w:t>5. SECINĀJUMI</w:t>
            </w:r>
            <w:r w:rsidR="003E135A" w:rsidRPr="00057E49">
              <w:rPr>
                <w:rFonts w:ascii="Cambria" w:hAnsi="Cambria"/>
                <w:noProof/>
              </w:rPr>
              <w:tab/>
            </w:r>
            <w:r w:rsidR="003E135A" w:rsidRPr="00057E49">
              <w:rPr>
                <w:rFonts w:ascii="Cambria" w:hAnsi="Cambria"/>
                <w:noProof/>
              </w:rPr>
              <w:fldChar w:fldCharType="begin"/>
            </w:r>
            <w:r w:rsidR="003E135A" w:rsidRPr="00057E49">
              <w:rPr>
                <w:rFonts w:ascii="Cambria" w:hAnsi="Cambria"/>
                <w:noProof/>
              </w:rPr>
              <w:instrText xml:space="preserve"> PAGEREF _Toc156999872 \h </w:instrText>
            </w:r>
            <w:r w:rsidR="003E135A" w:rsidRPr="00057E49">
              <w:rPr>
                <w:rFonts w:ascii="Cambria" w:hAnsi="Cambria"/>
                <w:noProof/>
              </w:rPr>
            </w:r>
            <w:r w:rsidR="003E135A" w:rsidRPr="00057E49">
              <w:rPr>
                <w:rFonts w:ascii="Cambria" w:hAnsi="Cambria"/>
                <w:noProof/>
              </w:rPr>
              <w:fldChar w:fldCharType="separate"/>
            </w:r>
            <w:r w:rsidR="003E135A" w:rsidRPr="00057E49">
              <w:rPr>
                <w:rFonts w:ascii="Cambria" w:hAnsi="Cambria"/>
                <w:noProof/>
              </w:rPr>
              <w:t>18</w:t>
            </w:r>
            <w:r w:rsidR="003E135A" w:rsidRPr="00057E49">
              <w:rPr>
                <w:rFonts w:ascii="Cambria" w:hAnsi="Cambria"/>
                <w:noProof/>
              </w:rPr>
              <w:fldChar w:fldCharType="end"/>
            </w:r>
          </w:hyperlink>
        </w:p>
        <w:p w14:paraId="02281A79" w14:textId="00879F4E" w:rsidR="00B75D0C" w:rsidRPr="00881D21" w:rsidRDefault="00B75D0C" w:rsidP="00B75D0C">
          <w:pPr>
            <w:pStyle w:val="TOC1"/>
            <w:rPr>
              <w:rFonts w:ascii="Cambria" w:hAnsi="Cambria"/>
              <w:sz w:val="24"/>
              <w:szCs w:val="24"/>
            </w:rPr>
          </w:pPr>
          <w:r w:rsidRPr="00057E49">
            <w:rPr>
              <w:rStyle w:val="IndexLink"/>
              <w:rFonts w:ascii="Cambria" w:hAnsi="Cambria"/>
              <w:sz w:val="24"/>
              <w:szCs w:val="24"/>
              <w:lang w:eastAsia="lv-LV"/>
            </w:rPr>
            <w:fldChar w:fldCharType="end"/>
          </w:r>
        </w:p>
      </w:sdtContent>
    </w:sdt>
    <w:p w14:paraId="578C3A18" w14:textId="77777777" w:rsidR="00B75D0C" w:rsidRPr="00881D21" w:rsidRDefault="00B75D0C" w:rsidP="00B75D0C">
      <w:pPr>
        <w:jc w:val="both"/>
        <w:rPr>
          <w:rFonts w:ascii="Cambria" w:eastAsia="Times New Roman" w:hAnsi="Cambria"/>
          <w:b/>
          <w:bCs/>
          <w:sz w:val="24"/>
          <w:szCs w:val="24"/>
          <w:lang w:eastAsia="lv-LV" w:bidi="lo-LA"/>
        </w:rPr>
      </w:pPr>
    </w:p>
    <w:p w14:paraId="399D9605" w14:textId="77777777" w:rsidR="00B75D0C" w:rsidRPr="00881D21" w:rsidRDefault="00B75D0C" w:rsidP="00B75D0C">
      <w:pPr>
        <w:spacing w:after="0" w:line="240" w:lineRule="auto"/>
        <w:rPr>
          <w:rFonts w:ascii="Cambria" w:hAnsi="Cambria"/>
          <w:sz w:val="24"/>
          <w:szCs w:val="24"/>
        </w:rPr>
      </w:pPr>
      <w:r w:rsidRPr="00881D21">
        <w:rPr>
          <w:rFonts w:ascii="Cambria" w:hAnsi="Cambria"/>
          <w:sz w:val="24"/>
          <w:szCs w:val="24"/>
        </w:rPr>
        <w:br w:type="page"/>
      </w:r>
    </w:p>
    <w:p w14:paraId="6D910C7D" w14:textId="77777777" w:rsidR="00B75D0C" w:rsidRPr="00881D21" w:rsidRDefault="00B75D0C" w:rsidP="00B75D0C">
      <w:pPr>
        <w:rPr>
          <w:rFonts w:ascii="Cambria" w:eastAsia="Times New Roman" w:hAnsi="Cambria"/>
          <w:b/>
          <w:bCs/>
          <w:caps/>
          <w:sz w:val="24"/>
          <w:szCs w:val="24"/>
          <w:lang w:eastAsia="lv-LV"/>
        </w:rPr>
      </w:pPr>
    </w:p>
    <w:p w14:paraId="70990CF8" w14:textId="304A4038" w:rsidR="00B75D0C" w:rsidRPr="00881D21" w:rsidRDefault="00B75D0C" w:rsidP="00B75D0C">
      <w:pPr>
        <w:pStyle w:val="Heading1"/>
        <w:numPr>
          <w:ilvl w:val="0"/>
          <w:numId w:val="24"/>
        </w:numPr>
        <w:spacing w:before="120" w:after="120" w:line="240" w:lineRule="auto"/>
        <w:jc w:val="both"/>
        <w:rPr>
          <w:rFonts w:ascii="Cambria" w:hAnsi="Cambria" w:cs="Times New Roman"/>
          <w:b/>
          <w:bCs/>
          <w:color w:val="006666"/>
          <w:sz w:val="28"/>
          <w:szCs w:val="28"/>
        </w:rPr>
      </w:pPr>
      <w:bookmarkStart w:id="0" w:name="_Toc156999859"/>
      <w:r w:rsidRPr="00881D21">
        <w:rPr>
          <w:rFonts w:ascii="Cambria" w:hAnsi="Cambria" w:cs="Times New Roman"/>
          <w:b/>
          <w:bCs/>
          <w:color w:val="006666"/>
          <w:sz w:val="28"/>
          <w:szCs w:val="28"/>
        </w:rPr>
        <w:t>IEVADS</w:t>
      </w:r>
      <w:bookmarkEnd w:id="0"/>
    </w:p>
    <w:p w14:paraId="3A938626" w14:textId="77777777" w:rsidR="00B75D0C" w:rsidRPr="00881D21" w:rsidRDefault="00B75D0C" w:rsidP="00B75D0C">
      <w:pPr>
        <w:spacing w:before="120" w:after="120" w:line="240" w:lineRule="auto"/>
        <w:ind w:firstLine="567"/>
        <w:jc w:val="both"/>
        <w:rPr>
          <w:rFonts w:ascii="Cambria" w:hAnsi="Cambria"/>
          <w:sz w:val="24"/>
          <w:szCs w:val="24"/>
        </w:rPr>
      </w:pPr>
      <w:bookmarkStart w:id="1" w:name="_Hlk153784008"/>
      <w:r w:rsidRPr="00881D21">
        <w:rPr>
          <w:rFonts w:ascii="Cambria" w:hAnsi="Cambria"/>
          <w:sz w:val="24"/>
          <w:szCs w:val="24"/>
        </w:rPr>
        <w:t>Informatīvais ziņojums “Par siltumnīcefekta gāzu emisiju samazināšanas un oglekļa dioksīda piesaistes saistību izpildi” (turpmāk – Informatīvais ziņojums) ir sagatavots saskaņā ar likuma ,,Par piesārņojumu” 52. panta trešo daļu, kas noteic, ka:</w:t>
      </w:r>
    </w:p>
    <w:p w14:paraId="488E239D" w14:textId="77777777" w:rsidR="00B75D0C" w:rsidRPr="00881D21" w:rsidRDefault="00B75D0C" w:rsidP="00B75D0C">
      <w:pPr>
        <w:spacing w:before="120" w:after="120" w:line="240" w:lineRule="auto"/>
        <w:ind w:firstLine="567"/>
        <w:jc w:val="both"/>
        <w:rPr>
          <w:rFonts w:ascii="Cambria" w:hAnsi="Cambria"/>
          <w:i/>
          <w:sz w:val="24"/>
          <w:szCs w:val="24"/>
        </w:rPr>
      </w:pPr>
      <w:r w:rsidRPr="00881D21">
        <w:rPr>
          <w:rFonts w:ascii="Cambria" w:hAnsi="Cambria"/>
          <w:i/>
          <w:sz w:val="24"/>
          <w:szCs w:val="24"/>
        </w:rPr>
        <w:t xml:space="preserve">,,Klimata un enerģētikas ministrija sadarbībā ar Zemkopības ministriju, Ekonomikas ministriju, Satiksmes ministriju, Vides aizsardzības un reģionālās attīstības ministriju un citām nozaru ministrijām katru gadu pēc </w:t>
      </w:r>
      <w:bookmarkStart w:id="2" w:name="_Hlk126585809"/>
      <w:r w:rsidRPr="00881D21">
        <w:rPr>
          <w:rFonts w:ascii="Cambria" w:hAnsi="Cambria"/>
          <w:i/>
          <w:sz w:val="24"/>
          <w:szCs w:val="24"/>
        </w:rPr>
        <w:t xml:space="preserve">Eiropas Parlamenta un Padomes 2018. gada 11. decembra regulas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(turpmāk — Regula Nr. 2018/1999) </w:t>
      </w:r>
      <w:bookmarkEnd w:id="2"/>
      <w:r w:rsidRPr="00881D21">
        <w:rPr>
          <w:rFonts w:ascii="Cambria" w:hAnsi="Cambria"/>
          <w:i/>
          <w:sz w:val="24"/>
          <w:szCs w:val="24"/>
        </w:rPr>
        <w:t>18. panta 1. punktā un 26. panta 2. un 3. punktā minēto ziņojumu iesniegšanas sagatavo un līdz 31. decembrim iesniedz Ministru kabinetam informatīvo ziņojumu par siltumnīcefekta gāzu emisiju samazināšanas un oglekļa dioksīda piesaistes saistību izpildi. Minētajā informatīvajā ziņojumā iekļauj:</w:t>
      </w:r>
    </w:p>
    <w:p w14:paraId="0FF926A3" w14:textId="77777777" w:rsidR="00B75D0C" w:rsidRPr="00881D21" w:rsidRDefault="00B75D0C" w:rsidP="00B75D0C">
      <w:pPr>
        <w:spacing w:before="120" w:after="120" w:line="240" w:lineRule="auto"/>
        <w:ind w:firstLine="567"/>
        <w:jc w:val="both"/>
        <w:rPr>
          <w:rFonts w:ascii="Cambria" w:hAnsi="Cambria"/>
          <w:i/>
          <w:sz w:val="24"/>
          <w:szCs w:val="24"/>
        </w:rPr>
      </w:pPr>
      <w:r w:rsidRPr="00881D21">
        <w:rPr>
          <w:rFonts w:ascii="Cambria" w:hAnsi="Cambria"/>
          <w:i/>
          <w:sz w:val="24"/>
          <w:szCs w:val="24"/>
        </w:rPr>
        <w:t xml:space="preserve">1) siltumnīcefekta gāzu emisiju samazināšanas un oglekļa dioksīda piesaistes saistību izpildes </w:t>
      </w:r>
      <w:proofErr w:type="spellStart"/>
      <w:r w:rsidRPr="00881D21">
        <w:rPr>
          <w:rFonts w:ascii="Cambria" w:hAnsi="Cambria"/>
          <w:i/>
          <w:sz w:val="24"/>
          <w:szCs w:val="24"/>
        </w:rPr>
        <w:t>izvērtējumu</w:t>
      </w:r>
      <w:proofErr w:type="spellEnd"/>
      <w:r w:rsidRPr="00881D21">
        <w:rPr>
          <w:rFonts w:ascii="Cambria" w:hAnsi="Cambria"/>
          <w:i/>
          <w:sz w:val="24"/>
          <w:szCs w:val="24"/>
        </w:rPr>
        <w:t>;</w:t>
      </w:r>
    </w:p>
    <w:p w14:paraId="644C0491" w14:textId="77777777" w:rsidR="00B75D0C" w:rsidRPr="00881D21" w:rsidRDefault="00B75D0C" w:rsidP="00B75D0C">
      <w:pPr>
        <w:spacing w:before="120" w:after="120" w:line="240" w:lineRule="auto"/>
        <w:ind w:firstLine="567"/>
        <w:jc w:val="both"/>
        <w:rPr>
          <w:rFonts w:ascii="Cambria" w:hAnsi="Cambria"/>
          <w:i/>
          <w:sz w:val="24"/>
          <w:szCs w:val="24"/>
        </w:rPr>
      </w:pPr>
      <w:r w:rsidRPr="00881D21">
        <w:rPr>
          <w:rFonts w:ascii="Cambria" w:hAnsi="Cambria"/>
          <w:i/>
          <w:sz w:val="24"/>
          <w:szCs w:val="24"/>
        </w:rPr>
        <w:t>2) ja nepieciešams, priekšlikumus par izmaksu efektīviem, sociālekonomiski izvērtētiem un attiecīgā perioda nozaru politikas plānošanas dokumentiem atbilstošiem papildu pasākumiem siltumnīcefekta gāzu emisijas samazināšanas un oglekļa dioksīda piesaistes saistību izpildei”.</w:t>
      </w:r>
    </w:p>
    <w:bookmarkEnd w:id="1"/>
    <w:p w14:paraId="53582835" w14:textId="67737D6E" w:rsidR="00B75D0C" w:rsidRPr="00881D21" w:rsidRDefault="00B75D0C" w:rsidP="00B75D0C">
      <w:pPr>
        <w:spacing w:before="120" w:after="120" w:line="240" w:lineRule="auto"/>
        <w:ind w:firstLine="567"/>
        <w:jc w:val="both"/>
        <w:rPr>
          <w:rFonts w:ascii="Cambria" w:hAnsi="Cambria"/>
        </w:rPr>
      </w:pPr>
      <w:r w:rsidRPr="00881D21">
        <w:rPr>
          <w:rFonts w:ascii="Cambria" w:hAnsi="Cambria"/>
          <w:sz w:val="24"/>
          <w:szCs w:val="24"/>
        </w:rPr>
        <w:t>Informatīvajā ziņojumā ir iekļauta informācija par Latvijas  siltumnīcefekta gāzu (turpmāk – SEG) emisiju samazināšanas un oglekļa dioksīda (turpmāk – CO</w:t>
      </w:r>
      <w:r w:rsidRPr="00881D21">
        <w:rPr>
          <w:rFonts w:ascii="Cambria" w:hAnsi="Cambria"/>
          <w:sz w:val="24"/>
          <w:szCs w:val="24"/>
          <w:vertAlign w:val="subscript"/>
        </w:rPr>
        <w:t>2</w:t>
      </w:r>
      <w:r w:rsidRPr="00881D21">
        <w:rPr>
          <w:rFonts w:ascii="Cambria" w:hAnsi="Cambria"/>
          <w:sz w:val="24"/>
          <w:szCs w:val="24"/>
        </w:rPr>
        <w:t xml:space="preserve">) piesaistes (turpmāk – SEG mērķi) saistību izpildes novērtējumu līdz 2050. gadam. </w:t>
      </w:r>
      <w:r w:rsidRPr="00881D21">
        <w:rPr>
          <w:rFonts w:ascii="Cambria" w:hAnsi="Cambria"/>
          <w:b/>
          <w:bCs/>
          <w:sz w:val="24"/>
          <w:szCs w:val="24"/>
        </w:rPr>
        <w:t>Informācija sagatavota balstoties uz 2023. gada Latvijas SEG inventarizāciju no 1990. līdz 2021.gadam, aptuveno SEG inventarizāciju par 2022. gadu un 2023. gada Ziņojumu par politikām, pasākumiem un SEG prognozēm</w:t>
      </w:r>
      <w:r w:rsidRPr="00881D21">
        <w:rPr>
          <w:rStyle w:val="FootnoteReference"/>
          <w:rFonts w:ascii="Cambria" w:hAnsi="Cambria"/>
          <w:sz w:val="24"/>
          <w:szCs w:val="24"/>
        </w:rPr>
        <w:footnoteReference w:id="1"/>
      </w:r>
      <w:r w:rsidRPr="00881D21">
        <w:rPr>
          <w:rFonts w:ascii="Cambria" w:hAnsi="Cambria"/>
          <w:sz w:val="24"/>
          <w:szCs w:val="24"/>
        </w:rPr>
        <w:t>.</w:t>
      </w:r>
    </w:p>
    <w:p w14:paraId="780B6AEB" w14:textId="77777777" w:rsidR="00B75D0C" w:rsidRPr="00881D21" w:rsidRDefault="00B75D0C" w:rsidP="00B75D0C">
      <w:pPr>
        <w:spacing w:after="0" w:line="240" w:lineRule="auto"/>
        <w:rPr>
          <w:rFonts w:ascii="Cambria" w:eastAsia="Times New Roman" w:hAnsi="Cambria"/>
          <w:b/>
          <w:bCs/>
          <w:sz w:val="20"/>
          <w:szCs w:val="20"/>
          <w:lang w:eastAsia="lv-LV"/>
        </w:rPr>
      </w:pPr>
      <w:r w:rsidRPr="00881D21">
        <w:rPr>
          <w:rFonts w:ascii="Cambria" w:eastAsia="Times New Roman" w:hAnsi="Cambria"/>
          <w:b/>
          <w:bCs/>
          <w:sz w:val="20"/>
          <w:szCs w:val="20"/>
          <w:lang w:eastAsia="lv-LV"/>
        </w:rPr>
        <w:br w:type="page"/>
      </w:r>
    </w:p>
    <w:p w14:paraId="6911A843" w14:textId="388C9B55" w:rsidR="00B75D0C" w:rsidRPr="00881D21" w:rsidRDefault="00B75D0C" w:rsidP="00CC4AEA">
      <w:pPr>
        <w:pStyle w:val="Heading1"/>
        <w:numPr>
          <w:ilvl w:val="0"/>
          <w:numId w:val="24"/>
        </w:numPr>
        <w:spacing w:before="120" w:after="120" w:line="240" w:lineRule="auto"/>
        <w:rPr>
          <w:rFonts w:ascii="Cambria" w:hAnsi="Cambria" w:cs="Times New Roman"/>
          <w:b/>
          <w:bCs/>
          <w:color w:val="006666"/>
          <w:sz w:val="28"/>
          <w:szCs w:val="28"/>
        </w:rPr>
      </w:pPr>
      <w:bookmarkStart w:id="3" w:name="_Toc156999860"/>
      <w:r w:rsidRPr="00881D21">
        <w:rPr>
          <w:rFonts w:ascii="Cambria" w:hAnsi="Cambria" w:cs="Times New Roman"/>
          <w:b/>
          <w:bCs/>
          <w:color w:val="006666"/>
          <w:sz w:val="28"/>
          <w:szCs w:val="28"/>
        </w:rPr>
        <w:lastRenderedPageBreak/>
        <w:t>LATVIJAS SEG MĒRĶI</w:t>
      </w:r>
      <w:bookmarkEnd w:id="3"/>
    </w:p>
    <w:p w14:paraId="65710BF2" w14:textId="77777777" w:rsidR="00B75D0C" w:rsidRPr="00881D21" w:rsidRDefault="00B75D0C" w:rsidP="00B75D0C">
      <w:pPr>
        <w:spacing w:before="120" w:after="120" w:line="240" w:lineRule="auto"/>
        <w:ind w:firstLine="567"/>
        <w:jc w:val="both"/>
        <w:rPr>
          <w:rFonts w:ascii="Cambria" w:hAnsi="Cambria"/>
        </w:rPr>
      </w:pPr>
      <w:r w:rsidRPr="00881D21">
        <w:rPr>
          <w:rFonts w:ascii="Cambria" w:eastAsia="Times New Roman" w:hAnsi="Cambria"/>
          <w:sz w:val="24"/>
          <w:szCs w:val="24"/>
        </w:rPr>
        <w:t xml:space="preserve">Latvija ir pilntiesīga </w:t>
      </w:r>
      <w:r w:rsidRPr="00881D21">
        <w:rPr>
          <w:rFonts w:ascii="Cambria" w:hAnsi="Cambria"/>
          <w:sz w:val="24"/>
          <w:szCs w:val="24"/>
        </w:rPr>
        <w:t xml:space="preserve">Apvienoto Nāciju Organizācijas (turpmāk – ANO) 1992. gada 9. maija Vispārējās konvencijas par klimata pārmaiņām (turpmāk – Klimata konvencija) un, Klimata konvencijas ietvaros noslēgtā Parīzes nolīguma (turpmāk – Parīzes nolīgums) Puse. Vienlaikus Latvija ir </w:t>
      </w:r>
      <w:r w:rsidRPr="00881D21">
        <w:rPr>
          <w:rFonts w:ascii="Cambria" w:eastAsia="Times New Roman" w:hAnsi="Cambria"/>
          <w:sz w:val="24"/>
          <w:szCs w:val="24"/>
        </w:rPr>
        <w:t xml:space="preserve">Eiropas Savienības (turpmāk – ES) dalībvalsts. Tādējādi Latvijas SEG mērķi ir cieši saistīti ar starptautisko klimata politiku un ES SEG emisiju samazināšanas mērķiem. </w:t>
      </w:r>
    </w:p>
    <w:p w14:paraId="3CE43B8D" w14:textId="0B6BAAB2" w:rsidR="00B75D0C" w:rsidRPr="00881D21" w:rsidRDefault="00B75D0C" w:rsidP="00B75D0C">
      <w:pPr>
        <w:pStyle w:val="Heading2"/>
        <w:numPr>
          <w:ilvl w:val="1"/>
          <w:numId w:val="25"/>
        </w:numPr>
        <w:spacing w:before="120" w:after="120" w:line="240" w:lineRule="auto"/>
        <w:rPr>
          <w:rFonts w:ascii="Cambria" w:hAnsi="Cambria" w:cs="Times New Roman"/>
          <w:b/>
          <w:bCs/>
          <w:sz w:val="24"/>
          <w:szCs w:val="24"/>
        </w:rPr>
      </w:pPr>
      <w:r w:rsidRPr="00881D21">
        <w:rPr>
          <w:rFonts w:ascii="Cambria" w:hAnsi="Cambria" w:cs="Times New Roman"/>
          <w:b/>
          <w:bCs/>
          <w:sz w:val="24"/>
          <w:szCs w:val="24"/>
        </w:rPr>
        <w:t xml:space="preserve"> </w:t>
      </w:r>
      <w:bookmarkStart w:id="4" w:name="_Toc156999861"/>
      <w:r w:rsidRPr="00881D21">
        <w:rPr>
          <w:rFonts w:ascii="Cambria" w:hAnsi="Cambria" w:cs="Times New Roman"/>
          <w:b/>
          <w:bCs/>
          <w:sz w:val="24"/>
          <w:szCs w:val="24"/>
        </w:rPr>
        <w:t>Starptautiskā klimata politika 2021. - 2050. gada periodam</w:t>
      </w:r>
      <w:bookmarkEnd w:id="4"/>
    </w:p>
    <w:p w14:paraId="1ACD54A3" w14:textId="77777777" w:rsidR="00B75D0C" w:rsidRPr="00881D21" w:rsidRDefault="00B75D0C" w:rsidP="00B75D0C">
      <w:pPr>
        <w:spacing w:before="120" w:after="120" w:line="240" w:lineRule="auto"/>
        <w:ind w:firstLine="567"/>
        <w:jc w:val="both"/>
        <w:rPr>
          <w:rFonts w:ascii="Cambria" w:eastAsia="Times New Roman" w:hAnsi="Cambria"/>
          <w:sz w:val="24"/>
          <w:szCs w:val="24"/>
        </w:rPr>
      </w:pPr>
      <w:r w:rsidRPr="00881D21">
        <w:rPr>
          <w:rFonts w:ascii="Cambria" w:eastAsia="Times New Roman" w:hAnsi="Cambria"/>
          <w:sz w:val="24"/>
          <w:szCs w:val="24"/>
        </w:rPr>
        <w:t xml:space="preserve">Kopējais Klimata konvencijas mērķis ir sasniegt SEG koncentrācijas stabilizāciju atmosfērā tādā līmenī, kas novērstu bīstamu antropogēnu iejaukšanos klimata sistēmā, tādējādi ierobežojot globālo sasilšanu. </w:t>
      </w:r>
    </w:p>
    <w:p w14:paraId="52349E79" w14:textId="77777777" w:rsidR="00B75D0C" w:rsidRPr="00881D21" w:rsidRDefault="00B75D0C" w:rsidP="00B75D0C">
      <w:pPr>
        <w:spacing w:before="120" w:after="120" w:line="240" w:lineRule="auto"/>
        <w:ind w:firstLine="567"/>
        <w:jc w:val="both"/>
        <w:rPr>
          <w:rFonts w:ascii="Cambria" w:eastAsia="Times New Roman" w:hAnsi="Cambria"/>
          <w:sz w:val="24"/>
          <w:szCs w:val="24"/>
        </w:rPr>
      </w:pPr>
      <w:r w:rsidRPr="00881D21">
        <w:rPr>
          <w:rFonts w:ascii="Cambria" w:eastAsia="Times New Roman" w:hAnsi="Cambria"/>
          <w:sz w:val="24"/>
          <w:szCs w:val="24"/>
        </w:rPr>
        <w:t xml:space="preserve">Parīzes nolīguma mērķis ir stiprināt globālo rīcību klimata pārmaiņu novēršanai un noturēt globālo sasilšanu būtiski zem 2°C pieauguma robežas salīdzinot ar </w:t>
      </w:r>
      <w:proofErr w:type="spellStart"/>
      <w:r w:rsidRPr="00881D21">
        <w:rPr>
          <w:rFonts w:ascii="Cambria" w:eastAsia="Times New Roman" w:hAnsi="Cambria"/>
          <w:sz w:val="24"/>
          <w:szCs w:val="24"/>
        </w:rPr>
        <w:t>pirmsindustriālo</w:t>
      </w:r>
      <w:proofErr w:type="spellEnd"/>
      <w:r w:rsidRPr="00881D21">
        <w:rPr>
          <w:rFonts w:ascii="Cambria" w:eastAsia="Times New Roman" w:hAnsi="Cambria"/>
          <w:sz w:val="24"/>
          <w:szCs w:val="24"/>
        </w:rPr>
        <w:t xml:space="preserve"> līmeni un censties ierobežot temperatūras pieaugumu 1,5°C robežās</w:t>
      </w:r>
      <w:r w:rsidRPr="00881D21">
        <w:rPr>
          <w:rStyle w:val="FootnoteReference"/>
          <w:rFonts w:ascii="Cambria" w:eastAsia="Times New Roman" w:hAnsi="Cambria"/>
          <w:sz w:val="24"/>
          <w:szCs w:val="24"/>
        </w:rPr>
        <w:footnoteReference w:id="2"/>
      </w:r>
      <w:r w:rsidRPr="00881D21">
        <w:rPr>
          <w:rFonts w:ascii="Cambria" w:eastAsia="Times New Roman" w:hAnsi="Cambria"/>
          <w:sz w:val="24"/>
          <w:szCs w:val="24"/>
        </w:rPr>
        <w:t xml:space="preserve">, tādejādi samazinot klimata pārmaiņu izraisītos riskus un ietekmes. </w:t>
      </w:r>
      <w:bookmarkStart w:id="5" w:name="_Hlk119960344"/>
      <w:r w:rsidRPr="00881D21">
        <w:rPr>
          <w:rFonts w:ascii="Cambria" w:eastAsia="Times New Roman" w:hAnsi="Cambria"/>
          <w:sz w:val="24"/>
          <w:szCs w:val="24"/>
        </w:rPr>
        <w:t xml:space="preserve">Parīzes nolīgums ir pagrieziena punkts daudzpusējā klimata pārmaiņu procesā, jo pirmo reizi saistošs nolīgums apvieno visas valstis, lai cīnītos pret klimata pārmaiņām un pielāgotos to sekām. Parīzes nolīgums paredz sekmēt arī investīciju novirzīšanu oglekļa mazietilpīgai un </w:t>
      </w:r>
      <w:proofErr w:type="spellStart"/>
      <w:r w:rsidRPr="00881D21">
        <w:rPr>
          <w:rFonts w:ascii="Cambria" w:eastAsia="Times New Roman" w:hAnsi="Cambria"/>
          <w:sz w:val="24"/>
          <w:szCs w:val="24"/>
        </w:rPr>
        <w:t>klimatnoturīgai</w:t>
      </w:r>
      <w:proofErr w:type="spellEnd"/>
      <w:r w:rsidRPr="00881D21">
        <w:rPr>
          <w:rFonts w:ascii="Cambria" w:eastAsia="Times New Roman" w:hAnsi="Cambria"/>
          <w:sz w:val="24"/>
          <w:szCs w:val="24"/>
        </w:rPr>
        <w:t xml:space="preserve"> attīstībai.</w:t>
      </w:r>
      <w:r w:rsidRPr="00881D21">
        <w:rPr>
          <w:rFonts w:ascii="Cambria" w:hAnsi="Cambria"/>
        </w:rPr>
        <w:t xml:space="preserve"> </w:t>
      </w:r>
      <w:r w:rsidRPr="00881D21">
        <w:rPr>
          <w:rFonts w:ascii="Cambria" w:eastAsia="Times New Roman" w:hAnsi="Cambria"/>
          <w:sz w:val="24"/>
          <w:szCs w:val="24"/>
        </w:rPr>
        <w:t>Parīzes nolīguma īstenošanai nepieciešama ekonomiska un sociāla pārveide, kuras pamatā ir labākā pieejamā zinātne.</w:t>
      </w:r>
      <w:r w:rsidRPr="00881D21">
        <w:rPr>
          <w:rFonts w:ascii="Cambria" w:hAnsi="Cambria"/>
        </w:rPr>
        <w:t xml:space="preserve"> </w:t>
      </w:r>
      <w:r w:rsidRPr="00881D21">
        <w:rPr>
          <w:rFonts w:ascii="Cambria" w:eastAsia="Times New Roman" w:hAnsi="Cambria"/>
          <w:sz w:val="24"/>
          <w:szCs w:val="24"/>
        </w:rPr>
        <w:t>Parīzes nolīgums darbojas piecu gadu ciklā, kurā valstis veic arvien vērienīgākas klimata darbības vai, pastiprinot, tās. Kopš 2020. gada valstis ir iesniegušas Klimata konvencijas sekretariātam savus nacionālos klimata rīcības plānus, kas pazīstami kā valsts noteiktie ieguldījumi/devumi (</w:t>
      </w:r>
      <w:proofErr w:type="spellStart"/>
      <w:r w:rsidRPr="00881D21">
        <w:rPr>
          <w:rFonts w:ascii="Cambria" w:eastAsia="Times New Roman" w:hAnsi="Cambria"/>
          <w:i/>
          <w:iCs/>
          <w:sz w:val="24"/>
          <w:szCs w:val="24"/>
        </w:rPr>
        <w:t>Nationally</w:t>
      </w:r>
      <w:proofErr w:type="spellEnd"/>
      <w:r w:rsidRPr="00881D21">
        <w:rPr>
          <w:rFonts w:ascii="Cambria" w:eastAsia="Times New Roman" w:hAnsi="Cambria"/>
          <w:i/>
          <w:iCs/>
          <w:sz w:val="24"/>
          <w:szCs w:val="24"/>
        </w:rPr>
        <w:t xml:space="preserve"> </w:t>
      </w:r>
      <w:proofErr w:type="spellStart"/>
      <w:r w:rsidRPr="00881D21">
        <w:rPr>
          <w:rFonts w:ascii="Cambria" w:eastAsia="Times New Roman" w:hAnsi="Cambria"/>
          <w:i/>
          <w:iCs/>
          <w:sz w:val="24"/>
          <w:szCs w:val="24"/>
        </w:rPr>
        <w:t>Determined</w:t>
      </w:r>
      <w:proofErr w:type="spellEnd"/>
      <w:r w:rsidRPr="00881D21">
        <w:rPr>
          <w:rFonts w:ascii="Cambria" w:eastAsia="Times New Roman" w:hAnsi="Cambria"/>
          <w:i/>
          <w:iCs/>
          <w:sz w:val="24"/>
          <w:szCs w:val="24"/>
        </w:rPr>
        <w:t xml:space="preserve"> </w:t>
      </w:r>
      <w:proofErr w:type="spellStart"/>
      <w:r w:rsidRPr="00881D21">
        <w:rPr>
          <w:rFonts w:ascii="Cambria" w:eastAsia="Times New Roman" w:hAnsi="Cambria"/>
          <w:i/>
          <w:iCs/>
          <w:sz w:val="24"/>
          <w:szCs w:val="24"/>
        </w:rPr>
        <w:t>Contributions</w:t>
      </w:r>
      <w:proofErr w:type="spellEnd"/>
      <w:r w:rsidRPr="00881D21">
        <w:rPr>
          <w:rFonts w:ascii="Cambria" w:eastAsia="Times New Roman" w:hAnsi="Cambria"/>
          <w:sz w:val="24"/>
          <w:szCs w:val="24"/>
        </w:rPr>
        <w:t xml:space="preserve">, turpmāk - </w:t>
      </w:r>
      <w:r w:rsidRPr="00881D21">
        <w:rPr>
          <w:rFonts w:ascii="Cambria" w:eastAsia="Times New Roman" w:hAnsi="Cambria"/>
          <w:i/>
          <w:iCs/>
          <w:sz w:val="24"/>
          <w:szCs w:val="24"/>
        </w:rPr>
        <w:t>NDC</w:t>
      </w:r>
      <w:r w:rsidRPr="00881D21">
        <w:rPr>
          <w:rFonts w:ascii="Cambria" w:eastAsia="Times New Roman" w:hAnsi="Cambria"/>
          <w:sz w:val="24"/>
          <w:szCs w:val="24"/>
        </w:rPr>
        <w:t>)</w:t>
      </w:r>
      <w:r w:rsidRPr="00881D21">
        <w:rPr>
          <w:rStyle w:val="FootnoteReference"/>
          <w:rFonts w:ascii="Cambria" w:eastAsia="Times New Roman" w:hAnsi="Cambria"/>
          <w:sz w:val="24"/>
          <w:szCs w:val="24"/>
        </w:rPr>
        <w:footnoteReference w:id="3"/>
      </w:r>
      <w:r w:rsidRPr="00881D21">
        <w:rPr>
          <w:rFonts w:ascii="Cambria" w:eastAsia="Times New Roman" w:hAnsi="Cambria"/>
          <w:sz w:val="24"/>
          <w:szCs w:val="24"/>
        </w:rPr>
        <w:t xml:space="preserve">. Katrs nākamais </w:t>
      </w:r>
      <w:r w:rsidRPr="00881D21">
        <w:rPr>
          <w:rFonts w:ascii="Cambria" w:eastAsia="Times New Roman" w:hAnsi="Cambria"/>
          <w:i/>
          <w:iCs/>
          <w:sz w:val="24"/>
          <w:szCs w:val="24"/>
        </w:rPr>
        <w:t>NDC</w:t>
      </w:r>
      <w:r w:rsidRPr="00881D21">
        <w:rPr>
          <w:rFonts w:ascii="Cambria" w:eastAsia="Times New Roman" w:hAnsi="Cambria"/>
          <w:sz w:val="24"/>
          <w:szCs w:val="24"/>
        </w:rPr>
        <w:t xml:space="preserve"> ir paredzēts, lai atspoguļotu arvien lielāku ambīciju līmeni salīdzinājumā ar iepriekšējo versiju. Latvijas pienākumi </w:t>
      </w:r>
      <w:bookmarkEnd w:id="5"/>
      <w:r w:rsidRPr="00881D21">
        <w:rPr>
          <w:rFonts w:ascii="Cambria" w:eastAsia="Times New Roman" w:hAnsi="Cambria"/>
          <w:sz w:val="24"/>
          <w:szCs w:val="24"/>
        </w:rPr>
        <w:t xml:space="preserve">Parīzes nolīguma kontekstā noteic īstenot saistības, ko paredz ES </w:t>
      </w:r>
      <w:r w:rsidRPr="00881D21">
        <w:rPr>
          <w:rFonts w:ascii="Cambria" w:eastAsia="Times New Roman" w:hAnsi="Cambria"/>
          <w:i/>
          <w:iCs/>
          <w:sz w:val="24"/>
          <w:szCs w:val="24"/>
        </w:rPr>
        <w:t>NDC</w:t>
      </w:r>
      <w:r w:rsidRPr="00881D21">
        <w:rPr>
          <w:rFonts w:ascii="Cambria" w:eastAsia="Times New Roman" w:hAnsi="Cambria"/>
          <w:sz w:val="24"/>
          <w:szCs w:val="24"/>
        </w:rPr>
        <w:t xml:space="preserve">, kas paredz ES dalībvalstu kopīgo apņemšanos samazināt SEG emisijas ietverot Zemes izmantošanas, zemes izmantošanas maiņas un mežsaimniecības (turpmāk – ZIZIMM) sektoru līdz 2030. gadam salīdzinājumā ar 1990. gadu vismaz par 55%. </w:t>
      </w:r>
    </w:p>
    <w:p w14:paraId="52FB33EC" w14:textId="21DD8C64" w:rsidR="00B75D0C" w:rsidRPr="00881D21" w:rsidRDefault="00B75D0C" w:rsidP="00601ACA">
      <w:pPr>
        <w:spacing w:before="120" w:after="120" w:line="240" w:lineRule="auto"/>
        <w:ind w:firstLine="567"/>
        <w:jc w:val="both"/>
        <w:rPr>
          <w:rFonts w:ascii="Cambria" w:eastAsia="Times New Roman" w:hAnsi="Cambria"/>
          <w:sz w:val="24"/>
          <w:szCs w:val="24"/>
        </w:rPr>
      </w:pPr>
      <w:r w:rsidRPr="00881D21">
        <w:rPr>
          <w:rFonts w:ascii="Cambria" w:eastAsia="Times New Roman" w:hAnsi="Cambria"/>
          <w:sz w:val="24"/>
          <w:szCs w:val="24"/>
        </w:rPr>
        <w:t>Saskaņā ar Klimata konvencijas Parīzes nolīguma 4. panta 19. punktu un Parīzes nolīguma pavadošā lēmuma 1/CP.21</w:t>
      </w:r>
      <w:r w:rsidRPr="00881D21">
        <w:rPr>
          <w:rStyle w:val="FootnoteReference"/>
          <w:rFonts w:ascii="Cambria" w:eastAsia="Times New Roman" w:hAnsi="Cambria"/>
          <w:sz w:val="24"/>
          <w:szCs w:val="24"/>
        </w:rPr>
        <w:footnoteReference w:id="4"/>
      </w:r>
      <w:r w:rsidRPr="00881D21">
        <w:rPr>
          <w:rFonts w:ascii="Cambria" w:eastAsia="Times New Roman" w:hAnsi="Cambria"/>
          <w:sz w:val="24"/>
          <w:szCs w:val="24"/>
        </w:rPr>
        <w:t xml:space="preserve"> 35. punktu valstīm ir jāsagatavo un jāiesniedz ilgtermiņa zemu SEG emisiju attīstības stratēģijas. Papildus,  nodrošinātu šo saistību izpildi Eiropas Parlamenta un Padomes 2018. gada 11. decembra Regulas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(turpmāk – Regula 2018/1999) 15. pants nosaka  ES dalībvalstīm iesniegt Eiropas Komisijai (turpmāk – EK) savas ilgtermiņa stratēģijas 30 gadu perspektīvā, nodrošinot, ka stratēģija ir saderīga ar Eiropas Parlamenta un Padomes 2021. gada 30.jūnija Regulas (ES) 2021/1119 ar ko izveido </w:t>
      </w:r>
      <w:proofErr w:type="spellStart"/>
      <w:r w:rsidRPr="00881D21">
        <w:rPr>
          <w:rFonts w:ascii="Cambria" w:eastAsia="Times New Roman" w:hAnsi="Cambria"/>
          <w:sz w:val="24"/>
          <w:szCs w:val="24"/>
        </w:rPr>
        <w:t>klimatneitralitātes</w:t>
      </w:r>
      <w:proofErr w:type="spellEnd"/>
      <w:r w:rsidRPr="00881D21">
        <w:rPr>
          <w:rFonts w:ascii="Cambria" w:eastAsia="Times New Roman" w:hAnsi="Cambria"/>
          <w:sz w:val="24"/>
          <w:szCs w:val="24"/>
        </w:rPr>
        <w:t xml:space="preserve"> panākšanas satvaru un groza Regulas (EK) Nr. 401/2009 un (ES) </w:t>
      </w:r>
      <w:r w:rsidRPr="00881D21">
        <w:rPr>
          <w:rFonts w:ascii="Cambria" w:eastAsia="Times New Roman" w:hAnsi="Cambria"/>
          <w:sz w:val="24"/>
          <w:szCs w:val="24"/>
        </w:rPr>
        <w:lastRenderedPageBreak/>
        <w:t>2018/1999 (“Eiropas Klimata akts”)</w:t>
      </w:r>
      <w:r w:rsidRPr="00881D21">
        <w:rPr>
          <w:rStyle w:val="FootnoteReference"/>
          <w:rFonts w:ascii="Cambria" w:eastAsia="Times New Roman" w:hAnsi="Cambria"/>
          <w:sz w:val="24"/>
          <w:szCs w:val="24"/>
        </w:rPr>
        <w:footnoteReference w:id="5"/>
      </w:r>
      <w:r w:rsidRPr="00881D21">
        <w:rPr>
          <w:rFonts w:ascii="Cambria" w:eastAsia="Times New Roman" w:hAnsi="Cambria"/>
          <w:sz w:val="24"/>
          <w:szCs w:val="24"/>
        </w:rPr>
        <w:t xml:space="preserve">  (turpmāk - Eiropas klimata likums) 2. panta 1. punktā noteikto Eiropas Savienības </w:t>
      </w:r>
      <w:proofErr w:type="spellStart"/>
      <w:r w:rsidRPr="00881D21">
        <w:rPr>
          <w:rFonts w:ascii="Cambria" w:eastAsia="Times New Roman" w:hAnsi="Cambria"/>
          <w:sz w:val="24"/>
          <w:szCs w:val="24"/>
        </w:rPr>
        <w:t>klimatneitralitātes</w:t>
      </w:r>
      <w:proofErr w:type="spellEnd"/>
      <w:r w:rsidRPr="00881D21">
        <w:rPr>
          <w:rFonts w:ascii="Cambria" w:eastAsia="Times New Roman" w:hAnsi="Cambria"/>
          <w:sz w:val="24"/>
          <w:szCs w:val="24"/>
        </w:rPr>
        <w:t xml:space="preserve"> mērķi 2050.gadā.</w:t>
      </w:r>
    </w:p>
    <w:p w14:paraId="0A03BA3B" w14:textId="77777777" w:rsidR="00B75D0C" w:rsidRPr="00881D21" w:rsidRDefault="00B75D0C" w:rsidP="00B75D0C">
      <w:pPr>
        <w:spacing w:before="120" w:after="120" w:line="240" w:lineRule="auto"/>
        <w:ind w:firstLine="567"/>
        <w:jc w:val="both"/>
        <w:rPr>
          <w:rFonts w:ascii="Cambria" w:eastAsia="Times New Roman" w:hAnsi="Cambria"/>
          <w:sz w:val="24"/>
          <w:szCs w:val="24"/>
        </w:rPr>
      </w:pPr>
      <w:r w:rsidRPr="00881D21">
        <w:rPr>
          <w:rFonts w:ascii="Cambria" w:eastAsia="Times New Roman" w:hAnsi="Cambria"/>
          <w:sz w:val="24"/>
          <w:szCs w:val="24"/>
        </w:rPr>
        <w:t>Pamatojoties uz Ministru kabineta (turpmāk – MK) 2020. gada 28. janvārī pieņemto</w:t>
      </w:r>
      <w:r w:rsidRPr="00881D21">
        <w:rPr>
          <w:rFonts w:ascii="Cambria" w:hAnsi="Cambria"/>
        </w:rPr>
        <w:t xml:space="preserve"> </w:t>
      </w:r>
      <w:r w:rsidRPr="00881D21">
        <w:rPr>
          <w:rFonts w:ascii="Cambria" w:eastAsia="Times New Roman" w:hAnsi="Cambria"/>
          <w:sz w:val="24"/>
          <w:szCs w:val="24"/>
        </w:rPr>
        <w:t xml:space="preserve">Latvijas stratēģiju </w:t>
      </w:r>
      <w:proofErr w:type="spellStart"/>
      <w:r w:rsidRPr="00881D21">
        <w:rPr>
          <w:rFonts w:ascii="Cambria" w:eastAsia="Times New Roman" w:hAnsi="Cambria"/>
          <w:sz w:val="24"/>
          <w:szCs w:val="24"/>
        </w:rPr>
        <w:t>klimatneitralitātes</w:t>
      </w:r>
      <w:proofErr w:type="spellEnd"/>
      <w:r w:rsidRPr="00881D21">
        <w:rPr>
          <w:rFonts w:ascii="Cambria" w:eastAsia="Times New Roman" w:hAnsi="Cambria"/>
          <w:sz w:val="24"/>
          <w:szCs w:val="24"/>
        </w:rPr>
        <w:t xml:space="preserve"> sasniegšanai līdz 2050. gadam (turpmāk – Stratēģija) arī Latvija ir apņēmusies sasniegt </w:t>
      </w:r>
      <w:proofErr w:type="spellStart"/>
      <w:r w:rsidRPr="00881D21">
        <w:rPr>
          <w:rFonts w:ascii="Cambria" w:eastAsia="Times New Roman" w:hAnsi="Cambria"/>
          <w:sz w:val="24"/>
          <w:szCs w:val="24"/>
        </w:rPr>
        <w:t>klimatneitralitāti</w:t>
      </w:r>
      <w:proofErr w:type="spellEnd"/>
      <w:r w:rsidRPr="00881D21">
        <w:rPr>
          <w:rFonts w:ascii="Cambria" w:eastAsia="Times New Roman" w:hAnsi="Cambria"/>
          <w:sz w:val="24"/>
          <w:szCs w:val="24"/>
        </w:rPr>
        <w:t xml:space="preserve"> 2050. gadā, kompensējot nesamazināmās antropogēnās SEG emisijas ar CO</w:t>
      </w:r>
      <w:r w:rsidRPr="00881D21">
        <w:rPr>
          <w:rFonts w:ascii="Cambria" w:eastAsia="Times New Roman" w:hAnsi="Cambria"/>
          <w:sz w:val="24"/>
          <w:szCs w:val="24"/>
          <w:vertAlign w:val="subscript"/>
        </w:rPr>
        <w:t>2</w:t>
      </w:r>
      <w:r w:rsidRPr="00881D21">
        <w:rPr>
          <w:rFonts w:ascii="Cambria" w:eastAsia="Times New Roman" w:hAnsi="Cambria"/>
          <w:sz w:val="24"/>
          <w:szCs w:val="24"/>
        </w:rPr>
        <w:t xml:space="preserve"> piesaisti ZIZIMM sektorā</w:t>
      </w:r>
      <w:r w:rsidRPr="00881D21">
        <w:rPr>
          <w:rStyle w:val="FootnoteReference"/>
          <w:rFonts w:ascii="Cambria" w:eastAsia="Times New Roman" w:hAnsi="Cambria"/>
          <w:sz w:val="24"/>
          <w:szCs w:val="24"/>
        </w:rPr>
        <w:footnoteReference w:id="6"/>
      </w:r>
      <w:r w:rsidRPr="00881D21">
        <w:rPr>
          <w:rFonts w:ascii="Cambria" w:eastAsia="Times New Roman" w:hAnsi="Cambria"/>
          <w:sz w:val="24"/>
          <w:szCs w:val="24"/>
        </w:rPr>
        <w:t xml:space="preserve">. Stratēģija ir ilgtermiņa vīzijas dokuments - ietvardokuments politikas plānotājiem, lai nodrošinātu vienotu valsts virzību, kā arī pamatotu oglekļa mazietilpīgas attīstības pamatprincipu ietveršanu visu nozaru plānošanas dokumentos. </w:t>
      </w:r>
    </w:p>
    <w:p w14:paraId="4C0C2693" w14:textId="77777777" w:rsidR="00B75D0C" w:rsidRPr="00881D21" w:rsidRDefault="00B75D0C" w:rsidP="00B75D0C">
      <w:pPr>
        <w:spacing w:before="120" w:after="120" w:line="240" w:lineRule="auto"/>
        <w:ind w:firstLine="567"/>
        <w:jc w:val="both"/>
        <w:rPr>
          <w:rFonts w:ascii="Cambria" w:eastAsia="Times New Roman" w:hAnsi="Cambria"/>
          <w:sz w:val="24"/>
          <w:szCs w:val="24"/>
        </w:rPr>
      </w:pPr>
      <w:r w:rsidRPr="00881D21">
        <w:rPr>
          <w:rFonts w:ascii="Cambria" w:eastAsia="Times New Roman" w:hAnsi="Cambria"/>
          <w:sz w:val="24"/>
          <w:szCs w:val="24"/>
        </w:rPr>
        <w:t xml:space="preserve">Ar Eiropas klimata likumu tika arī pārskatīts ES saistošais </w:t>
      </w:r>
      <w:proofErr w:type="spellStart"/>
      <w:r w:rsidRPr="00881D21">
        <w:rPr>
          <w:rFonts w:ascii="Cambria" w:eastAsia="Times New Roman" w:hAnsi="Cambria"/>
          <w:sz w:val="24"/>
          <w:szCs w:val="24"/>
        </w:rPr>
        <w:t>starpmērķis</w:t>
      </w:r>
      <w:proofErr w:type="spellEnd"/>
      <w:r w:rsidRPr="00881D21">
        <w:rPr>
          <w:rFonts w:ascii="Cambria" w:eastAsia="Times New Roman" w:hAnsi="Cambria"/>
          <w:sz w:val="24"/>
          <w:szCs w:val="24"/>
        </w:rPr>
        <w:t xml:space="preserve"> SEG neto emisiju samazinājumam (emisiju apjoms pēc piesaistes apjoma atskaitīšanas) līdz 2030. gadam, nosakot vismaz 55 % emisiju samazinājumu salīdzinājumā ar attiecīgo 1990. gada līmeni. Lai izpildītu EK paziņojumu “Eiropas zaļais kurss” un ņemtu vērā Eiropas klimata likumu, EK 2021. gada 14. jūlijā publicēja ES tiesību aktu </w:t>
      </w:r>
      <w:proofErr w:type="spellStart"/>
      <w:r w:rsidRPr="00881D21">
        <w:rPr>
          <w:rFonts w:ascii="Cambria" w:eastAsia="Times New Roman" w:hAnsi="Cambria"/>
          <w:sz w:val="24"/>
          <w:szCs w:val="24"/>
        </w:rPr>
        <w:t>pakotni</w:t>
      </w:r>
      <w:proofErr w:type="spellEnd"/>
      <w:r w:rsidRPr="00881D21">
        <w:rPr>
          <w:rFonts w:ascii="Cambria" w:eastAsia="Times New Roman" w:hAnsi="Cambria"/>
          <w:sz w:val="24"/>
          <w:szCs w:val="24"/>
        </w:rPr>
        <w:t xml:space="preserve"> “Gatavi </w:t>
      </w:r>
      <w:proofErr w:type="spellStart"/>
      <w:r w:rsidRPr="00881D21">
        <w:rPr>
          <w:rFonts w:ascii="Cambria" w:eastAsia="Times New Roman" w:hAnsi="Cambria"/>
          <w:sz w:val="24"/>
          <w:szCs w:val="24"/>
        </w:rPr>
        <w:t>mērķrādītājam</w:t>
      </w:r>
      <w:proofErr w:type="spellEnd"/>
      <w:r w:rsidRPr="00881D21">
        <w:rPr>
          <w:rFonts w:ascii="Cambria" w:eastAsia="Times New Roman" w:hAnsi="Cambria"/>
          <w:sz w:val="24"/>
          <w:szCs w:val="24"/>
        </w:rPr>
        <w:t xml:space="preserve"> 55”,</w:t>
      </w:r>
      <w:r w:rsidRPr="00881D21">
        <w:rPr>
          <w:rFonts w:ascii="Cambria" w:hAnsi="Cambria"/>
        </w:rPr>
        <w:t xml:space="preserve"> </w:t>
      </w:r>
      <w:r w:rsidRPr="00881D21">
        <w:rPr>
          <w:rFonts w:ascii="Cambria" w:eastAsia="Times New Roman" w:hAnsi="Cambria"/>
          <w:sz w:val="24"/>
          <w:szCs w:val="24"/>
        </w:rPr>
        <w:t>no kuriem svarīgākie:</w:t>
      </w:r>
    </w:p>
    <w:p w14:paraId="0930B7A3"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hAnsi="Cambria"/>
          <w:sz w:val="24"/>
          <w:szCs w:val="24"/>
        </w:rPr>
      </w:pPr>
      <w:r w:rsidRPr="00881D21">
        <w:rPr>
          <w:rFonts w:ascii="Cambria" w:hAnsi="Cambria"/>
          <w:sz w:val="24"/>
          <w:szCs w:val="24"/>
        </w:rPr>
        <w:t>Eiropas Parlamenta un Padomes 2003. gada 13. oktobra direktīva Nr. 2003/87EK, ar kuru nosaka sistēmu siltumnīcas efektu izraisošo gāzu emisijas kvotu tirdzniecībai Savienībā un groza Padomes Direktīvu 96/61/EK (turpmāk – ETS direktīva)</w:t>
      </w:r>
      <w:r w:rsidRPr="00881D21">
        <w:rPr>
          <w:rStyle w:val="FootnoteReference"/>
          <w:rFonts w:ascii="Cambria" w:hAnsi="Cambria"/>
          <w:sz w:val="24"/>
          <w:szCs w:val="24"/>
        </w:rPr>
        <w:footnoteReference w:id="7"/>
      </w:r>
      <w:r w:rsidRPr="00881D21">
        <w:rPr>
          <w:rFonts w:ascii="Cambria" w:hAnsi="Cambria"/>
          <w:sz w:val="24"/>
          <w:szCs w:val="24"/>
        </w:rPr>
        <w:t>;</w:t>
      </w:r>
    </w:p>
    <w:p w14:paraId="2D01A0B6"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hAnsi="Cambria"/>
          <w:sz w:val="24"/>
          <w:szCs w:val="24"/>
        </w:rPr>
      </w:pPr>
      <w:r w:rsidRPr="00881D21">
        <w:rPr>
          <w:rFonts w:ascii="Cambria" w:hAnsi="Cambria"/>
          <w:sz w:val="24"/>
          <w:szCs w:val="24"/>
        </w:rPr>
        <w:t>Eiropas Parlamenta un Padomes 2018. gada 30. maija regula Nr. 2018/841 par zemes izmantošanā, zemes izmantošanas maiņā un mežsaimniecībā radušos siltumnīcefekta gāzu emisiju un piesaistes iekļaušanu klimata un enerģētikas politikas satvarā laikposmam līdz 2030. gadam (turpmāk - Regula 2018/841)</w:t>
      </w:r>
      <w:r w:rsidRPr="00881D21">
        <w:rPr>
          <w:rStyle w:val="FootnoteReference"/>
          <w:rFonts w:ascii="Cambria" w:hAnsi="Cambria"/>
          <w:sz w:val="24"/>
          <w:szCs w:val="24"/>
        </w:rPr>
        <w:footnoteReference w:id="8"/>
      </w:r>
      <w:r w:rsidRPr="00881D21">
        <w:rPr>
          <w:rFonts w:ascii="Cambria" w:hAnsi="Cambria"/>
          <w:sz w:val="24"/>
          <w:szCs w:val="24"/>
        </w:rPr>
        <w:t>;</w:t>
      </w:r>
    </w:p>
    <w:p w14:paraId="327F3E4F"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hAnsi="Cambria"/>
          <w:sz w:val="24"/>
          <w:szCs w:val="24"/>
        </w:rPr>
      </w:pPr>
      <w:r w:rsidRPr="00881D21">
        <w:rPr>
          <w:rFonts w:ascii="Cambria" w:hAnsi="Cambria"/>
          <w:sz w:val="24"/>
          <w:szCs w:val="24"/>
        </w:rPr>
        <w:t>Eiropas Parlamenta un Padomes 2018. gada 30. maija regula Nr. 2018/842 par saistošiem ikgadējiem siltumnīcefekta gāzu emisiju samazinājumiem, kas dalībvalstīm jāpanāk no 2021. līdz 2030. gadam un kas dod ieguldījumu rīcībā klimata politikas jomā, lai izpildītu Parīzes nolīgumā paredzētās saistības (turpmāk - Regula 2018/842)</w:t>
      </w:r>
      <w:r w:rsidRPr="00881D21">
        <w:rPr>
          <w:rStyle w:val="FootnoteReference"/>
          <w:rFonts w:ascii="Cambria" w:hAnsi="Cambria"/>
          <w:sz w:val="24"/>
          <w:szCs w:val="24"/>
        </w:rPr>
        <w:footnoteReference w:id="9"/>
      </w:r>
      <w:r w:rsidRPr="00881D21">
        <w:rPr>
          <w:rFonts w:ascii="Cambria" w:hAnsi="Cambria"/>
          <w:sz w:val="24"/>
          <w:szCs w:val="24"/>
        </w:rPr>
        <w:t>;</w:t>
      </w:r>
    </w:p>
    <w:p w14:paraId="56862E85"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hAnsi="Cambria"/>
          <w:sz w:val="24"/>
          <w:szCs w:val="24"/>
        </w:rPr>
      </w:pPr>
      <w:r w:rsidRPr="00881D21">
        <w:rPr>
          <w:rFonts w:ascii="Cambria" w:hAnsi="Cambria"/>
          <w:sz w:val="24"/>
          <w:szCs w:val="24"/>
        </w:rPr>
        <w:t>Regula 2018/1999</w:t>
      </w:r>
      <w:r w:rsidRPr="00881D21">
        <w:rPr>
          <w:rStyle w:val="FootnoteReference"/>
          <w:rFonts w:ascii="Cambria" w:hAnsi="Cambria"/>
          <w:sz w:val="24"/>
          <w:szCs w:val="24"/>
        </w:rPr>
        <w:footnoteReference w:id="10"/>
      </w:r>
      <w:r w:rsidRPr="00881D21">
        <w:rPr>
          <w:rFonts w:ascii="Cambria" w:hAnsi="Cambria"/>
          <w:sz w:val="24"/>
          <w:szCs w:val="24"/>
        </w:rPr>
        <w:t>;</w:t>
      </w:r>
    </w:p>
    <w:p w14:paraId="74B38BA4"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eastAsia="Cambria" w:hAnsi="Cambria"/>
          <w:sz w:val="24"/>
          <w:szCs w:val="24"/>
        </w:rPr>
      </w:pPr>
      <w:r w:rsidRPr="00881D21">
        <w:rPr>
          <w:rFonts w:ascii="Cambria" w:eastAsia="Cambria" w:hAnsi="Cambria"/>
          <w:sz w:val="24"/>
          <w:szCs w:val="24"/>
        </w:rPr>
        <w:t>Eiropas Parlamenta un Padomes 2015. gada 29. aprīļa regula (ES) 2015/757 par jūras transporta radīto siltumnīcefekta gāzu emisiju monitoringu, ziņošanu un verifikāciju un ar ko groza Direktīvu 2009/16/EK</w:t>
      </w:r>
      <w:r w:rsidRPr="00881D21">
        <w:rPr>
          <w:rStyle w:val="FootnoteReference"/>
          <w:rFonts w:ascii="Cambria" w:eastAsia="Cambria" w:hAnsi="Cambria"/>
          <w:sz w:val="24"/>
          <w:szCs w:val="24"/>
        </w:rPr>
        <w:footnoteReference w:id="11"/>
      </w:r>
      <w:r w:rsidRPr="00881D21">
        <w:rPr>
          <w:rFonts w:ascii="Cambria" w:eastAsia="Cambria" w:hAnsi="Cambria"/>
          <w:sz w:val="24"/>
          <w:szCs w:val="24"/>
        </w:rPr>
        <w:t>;</w:t>
      </w:r>
    </w:p>
    <w:p w14:paraId="2700FEED"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hAnsi="Cambria"/>
          <w:sz w:val="24"/>
          <w:szCs w:val="24"/>
        </w:rPr>
      </w:pPr>
      <w:r w:rsidRPr="00881D21">
        <w:rPr>
          <w:rFonts w:ascii="Cambria" w:hAnsi="Cambria"/>
          <w:sz w:val="24"/>
          <w:szCs w:val="24"/>
        </w:rPr>
        <w:t>Eiropas Parlamenta un Padomes 2023. gada 10. maija regula (ES) Nr. 2023/955, ar ko izveido Sociālo klimata fondu</w:t>
      </w:r>
      <w:r w:rsidRPr="00881D21">
        <w:rPr>
          <w:rStyle w:val="FootnoteReference"/>
          <w:rFonts w:ascii="Cambria" w:hAnsi="Cambria"/>
          <w:sz w:val="24"/>
          <w:szCs w:val="24"/>
        </w:rPr>
        <w:footnoteReference w:id="12"/>
      </w:r>
      <w:r w:rsidRPr="00881D21">
        <w:rPr>
          <w:rFonts w:ascii="Cambria" w:hAnsi="Cambria"/>
          <w:sz w:val="24"/>
          <w:szCs w:val="24"/>
        </w:rPr>
        <w:t xml:space="preserve"> ;</w:t>
      </w:r>
    </w:p>
    <w:p w14:paraId="6C4096BF"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hAnsi="Cambria"/>
          <w:sz w:val="24"/>
          <w:szCs w:val="24"/>
        </w:rPr>
      </w:pPr>
      <w:r w:rsidRPr="00881D21">
        <w:rPr>
          <w:rFonts w:ascii="Cambria" w:hAnsi="Cambria"/>
          <w:sz w:val="24"/>
          <w:szCs w:val="24"/>
        </w:rPr>
        <w:t xml:space="preserve">Eiropas Parlamenta un Padomes 2023. gada 10. maija regula (ES) Nr. 2023/956, ar ko izveido oglekļa </w:t>
      </w:r>
      <w:proofErr w:type="spellStart"/>
      <w:r w:rsidRPr="00881D21">
        <w:rPr>
          <w:rFonts w:ascii="Cambria" w:hAnsi="Cambria"/>
          <w:sz w:val="24"/>
          <w:szCs w:val="24"/>
        </w:rPr>
        <w:t>ievedkorekcijas</w:t>
      </w:r>
      <w:proofErr w:type="spellEnd"/>
      <w:r w:rsidRPr="00881D21">
        <w:rPr>
          <w:rFonts w:ascii="Cambria" w:hAnsi="Cambria"/>
          <w:sz w:val="24"/>
          <w:szCs w:val="24"/>
        </w:rPr>
        <w:t xml:space="preserve"> mehānismu </w:t>
      </w:r>
      <w:r w:rsidRPr="00881D21">
        <w:rPr>
          <w:rStyle w:val="FootnoteReference"/>
          <w:rFonts w:ascii="Cambria" w:hAnsi="Cambria"/>
          <w:sz w:val="24"/>
          <w:szCs w:val="24"/>
        </w:rPr>
        <w:footnoteReference w:id="13"/>
      </w:r>
      <w:r w:rsidRPr="00881D21">
        <w:rPr>
          <w:rFonts w:ascii="Cambria" w:hAnsi="Cambria"/>
          <w:sz w:val="24"/>
          <w:szCs w:val="24"/>
        </w:rPr>
        <w:t>;</w:t>
      </w:r>
    </w:p>
    <w:p w14:paraId="04E416A0"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hAnsi="Cambria"/>
          <w:sz w:val="24"/>
          <w:szCs w:val="24"/>
        </w:rPr>
      </w:pPr>
      <w:r w:rsidRPr="00881D21">
        <w:rPr>
          <w:rFonts w:ascii="Cambria" w:hAnsi="Cambria"/>
          <w:sz w:val="24"/>
          <w:szCs w:val="24"/>
        </w:rPr>
        <w:t>Eiropas Parlamenta un Padomes 2018. gada 11. decembra direktīvā (ES) Nr. 2018/2001 par no atjaunojamajiem energoresursiem iegūtas enerģijas izmantošanas veicināšanu (turpmāk - Direktīva 2018/2001</w:t>
      </w:r>
      <w:r w:rsidRPr="00881D21">
        <w:rPr>
          <w:rStyle w:val="FootnoteReference"/>
          <w:rFonts w:ascii="Cambria" w:hAnsi="Cambria"/>
          <w:sz w:val="24"/>
          <w:szCs w:val="24"/>
        </w:rPr>
        <w:footnoteReference w:id="14"/>
      </w:r>
      <w:r w:rsidRPr="00881D21">
        <w:rPr>
          <w:rFonts w:ascii="Cambria" w:hAnsi="Cambria"/>
          <w:sz w:val="24"/>
          <w:szCs w:val="24"/>
        </w:rPr>
        <w:t xml:space="preserve">,un tās grozījumi Eiropas Parlamenta un Padomes 2023. gada 18. oktobra direktīva (ES) NR. 2023/2413, ar ko attiecībā uz </w:t>
      </w:r>
      <w:proofErr w:type="spellStart"/>
      <w:r w:rsidRPr="00881D21">
        <w:rPr>
          <w:rFonts w:ascii="Cambria" w:hAnsi="Cambria"/>
          <w:sz w:val="24"/>
          <w:szCs w:val="24"/>
        </w:rPr>
        <w:t>atjaunīgo</w:t>
      </w:r>
      <w:proofErr w:type="spellEnd"/>
      <w:r w:rsidRPr="00881D21">
        <w:rPr>
          <w:rFonts w:ascii="Cambria" w:hAnsi="Cambria"/>
          <w:sz w:val="24"/>
          <w:szCs w:val="24"/>
        </w:rPr>
        <w:t xml:space="preserve"> energoresursu enerģijas izmantošanas veicināšanu groza Direktīvu (ES) 2018/2001, Regulu (ES) 2018/1999 un Direktīvu 98/70/EK un atceļ Padomes Direktīvu (ES) 2015/652</w:t>
      </w:r>
      <w:r w:rsidRPr="00881D21" w:rsidDel="007A490C">
        <w:rPr>
          <w:rFonts w:ascii="Cambria" w:hAnsi="Cambria"/>
          <w:sz w:val="24"/>
          <w:szCs w:val="24"/>
        </w:rPr>
        <w:t xml:space="preserve"> </w:t>
      </w:r>
      <w:r w:rsidRPr="00881D21">
        <w:rPr>
          <w:rFonts w:ascii="Cambria" w:hAnsi="Cambria"/>
          <w:sz w:val="24"/>
          <w:szCs w:val="24"/>
        </w:rPr>
        <w:t xml:space="preserve"> (turpmāk – Direktīva 2023/2413)</w:t>
      </w:r>
      <w:r w:rsidRPr="00881D21">
        <w:rPr>
          <w:rStyle w:val="FootnoteReference"/>
          <w:rFonts w:ascii="Cambria" w:hAnsi="Cambria"/>
          <w:sz w:val="24"/>
          <w:szCs w:val="24"/>
        </w:rPr>
        <w:footnoteReference w:id="15"/>
      </w:r>
      <w:r w:rsidRPr="00881D21">
        <w:rPr>
          <w:rFonts w:ascii="Cambria" w:hAnsi="Cambria"/>
          <w:sz w:val="24"/>
          <w:szCs w:val="24"/>
        </w:rPr>
        <w:t>;</w:t>
      </w:r>
    </w:p>
    <w:p w14:paraId="3D44A7B4"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eastAsia="Cambria" w:hAnsi="Cambria"/>
          <w:sz w:val="24"/>
          <w:szCs w:val="24"/>
        </w:rPr>
      </w:pPr>
      <w:r w:rsidRPr="00881D21">
        <w:rPr>
          <w:rFonts w:ascii="Cambria" w:eastAsia="Cambria" w:hAnsi="Cambria"/>
          <w:color w:val="000000" w:themeColor="text1"/>
          <w:sz w:val="24"/>
          <w:szCs w:val="24"/>
        </w:rPr>
        <w:lastRenderedPageBreak/>
        <w:t>Eiropas Parlamenta un Padomes 2023.gada 13.septembra direktīva (ES) 2023/1791 par energoefektivitāti (turpmāk - Direktīva 2023/1791)</w:t>
      </w:r>
      <w:r w:rsidRPr="00881D21">
        <w:rPr>
          <w:rFonts w:ascii="Cambria" w:hAnsi="Cambria"/>
          <w:vertAlign w:val="superscript"/>
        </w:rPr>
        <w:footnoteReference w:id="16"/>
      </w:r>
      <w:r w:rsidRPr="00881D21">
        <w:rPr>
          <w:rFonts w:ascii="Cambria" w:hAnsi="Cambria"/>
          <w:sz w:val="24"/>
          <w:szCs w:val="24"/>
        </w:rPr>
        <w:t xml:space="preserve"> </w:t>
      </w:r>
      <w:r w:rsidRPr="00881D21">
        <w:rPr>
          <w:rFonts w:ascii="Cambria" w:eastAsia="Cambria" w:hAnsi="Cambria"/>
          <w:sz w:val="24"/>
          <w:szCs w:val="24"/>
        </w:rPr>
        <w:t>;</w:t>
      </w:r>
    </w:p>
    <w:p w14:paraId="0DE28B58"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eastAsia="Cambria" w:hAnsi="Cambria"/>
          <w:sz w:val="24"/>
          <w:szCs w:val="24"/>
        </w:rPr>
      </w:pPr>
      <w:r w:rsidRPr="00881D21">
        <w:rPr>
          <w:rFonts w:ascii="Cambria" w:eastAsia="Cambria" w:hAnsi="Cambria"/>
          <w:sz w:val="24"/>
          <w:szCs w:val="24"/>
        </w:rPr>
        <w:t>Pārskatītā Eiropas Parlamenta un Padomes direktīva par ēku energoefektivitāti (Direktīvas 2010/30/EK grozījumi) – vēl nav spēkā;</w:t>
      </w:r>
    </w:p>
    <w:p w14:paraId="47087879"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hAnsi="Cambria"/>
          <w:sz w:val="24"/>
          <w:szCs w:val="24"/>
        </w:rPr>
      </w:pPr>
      <w:r w:rsidRPr="00881D21">
        <w:rPr>
          <w:rFonts w:ascii="Cambria" w:hAnsi="Cambria"/>
          <w:sz w:val="24"/>
          <w:szCs w:val="24"/>
        </w:rPr>
        <w:t>Eiropas Parlamenta un Padomes 2023. gada 13. septembra regula (ES) Nr. 2023/1804 par alternatīvo degvielu infrastruktūras ieviešanu</w:t>
      </w:r>
      <w:r w:rsidRPr="00881D21">
        <w:rPr>
          <w:rStyle w:val="FootnoteReference"/>
          <w:rFonts w:ascii="Cambria" w:hAnsi="Cambria"/>
          <w:sz w:val="24"/>
          <w:szCs w:val="24"/>
        </w:rPr>
        <w:footnoteReference w:id="17"/>
      </w:r>
      <w:r w:rsidRPr="00881D21">
        <w:rPr>
          <w:rFonts w:ascii="Cambria" w:hAnsi="Cambria"/>
          <w:sz w:val="24"/>
          <w:szCs w:val="24"/>
        </w:rPr>
        <w:t>;</w:t>
      </w:r>
    </w:p>
    <w:p w14:paraId="2B029B11"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hAnsi="Cambria"/>
          <w:sz w:val="24"/>
          <w:szCs w:val="24"/>
        </w:rPr>
      </w:pPr>
      <w:r w:rsidRPr="00881D21">
        <w:rPr>
          <w:rFonts w:ascii="Cambria" w:hAnsi="Cambria"/>
          <w:sz w:val="24"/>
          <w:szCs w:val="24"/>
        </w:rPr>
        <w:t xml:space="preserve">Eiropas Parlamenta un Padomes 2023. gada 13. septembra regula (ES) Nr. 2023/1805 par </w:t>
      </w:r>
      <w:proofErr w:type="spellStart"/>
      <w:r w:rsidRPr="00881D21">
        <w:rPr>
          <w:rFonts w:ascii="Cambria" w:hAnsi="Cambria"/>
          <w:sz w:val="24"/>
          <w:szCs w:val="24"/>
        </w:rPr>
        <w:t>atjaunīgo</w:t>
      </w:r>
      <w:proofErr w:type="spellEnd"/>
      <w:r w:rsidRPr="00881D21">
        <w:rPr>
          <w:rFonts w:ascii="Cambria" w:hAnsi="Cambria"/>
          <w:sz w:val="24"/>
          <w:szCs w:val="24"/>
        </w:rPr>
        <w:t xml:space="preserve"> un </w:t>
      </w:r>
      <w:proofErr w:type="spellStart"/>
      <w:r w:rsidRPr="00881D21">
        <w:rPr>
          <w:rFonts w:ascii="Cambria" w:hAnsi="Cambria"/>
          <w:sz w:val="24"/>
          <w:szCs w:val="24"/>
        </w:rPr>
        <w:t>mazoglekļa</w:t>
      </w:r>
      <w:proofErr w:type="spellEnd"/>
      <w:r w:rsidRPr="00881D21">
        <w:rPr>
          <w:rFonts w:ascii="Cambria" w:hAnsi="Cambria"/>
          <w:sz w:val="24"/>
          <w:szCs w:val="24"/>
        </w:rPr>
        <w:t xml:space="preserve"> degvielu izmantošanu jūras transportā (turpmāk - Regula 2023/1805)</w:t>
      </w:r>
      <w:r w:rsidRPr="00881D21">
        <w:rPr>
          <w:rStyle w:val="FootnoteReference"/>
          <w:rFonts w:ascii="Cambria" w:hAnsi="Cambria"/>
          <w:sz w:val="24"/>
          <w:szCs w:val="24"/>
        </w:rPr>
        <w:footnoteReference w:id="18"/>
      </w:r>
      <w:r w:rsidRPr="00881D21">
        <w:rPr>
          <w:rFonts w:ascii="Cambria" w:hAnsi="Cambria"/>
          <w:sz w:val="24"/>
          <w:szCs w:val="24"/>
        </w:rPr>
        <w:t>;</w:t>
      </w:r>
    </w:p>
    <w:p w14:paraId="1E039E3D" w14:textId="35EC2294"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eastAsia="Cambria" w:hAnsi="Cambria"/>
          <w:sz w:val="24"/>
          <w:szCs w:val="24"/>
        </w:rPr>
      </w:pPr>
      <w:r w:rsidRPr="00881D21">
        <w:rPr>
          <w:rFonts w:ascii="Cambria" w:eastAsia="Cambria" w:hAnsi="Cambria"/>
          <w:sz w:val="24"/>
          <w:szCs w:val="24"/>
        </w:rPr>
        <w:t>Eiropas Parlamenta un Padomes 2023.gada 18.</w:t>
      </w:r>
      <w:r w:rsidR="00615363">
        <w:rPr>
          <w:rFonts w:ascii="Cambria" w:eastAsia="Cambria" w:hAnsi="Cambria"/>
          <w:sz w:val="24"/>
          <w:szCs w:val="24"/>
        </w:rPr>
        <w:t xml:space="preserve"> </w:t>
      </w:r>
      <w:r w:rsidRPr="00881D21">
        <w:rPr>
          <w:rFonts w:ascii="Cambria" w:eastAsia="Cambria" w:hAnsi="Cambria"/>
          <w:sz w:val="24"/>
          <w:szCs w:val="24"/>
        </w:rPr>
        <w:t>oktobra regula (ES) 2023/2405 par vienlīdzīgu konkurences apstākļu nodrošināšanu ilgtspējīgam gaisa transportam (</w:t>
      </w:r>
      <w:proofErr w:type="spellStart"/>
      <w:r w:rsidRPr="00881D21">
        <w:rPr>
          <w:rFonts w:ascii="Cambria" w:eastAsia="Cambria" w:hAnsi="Cambria"/>
          <w:sz w:val="24"/>
          <w:szCs w:val="24"/>
        </w:rPr>
        <w:t>ReFuelEU</w:t>
      </w:r>
      <w:proofErr w:type="spellEnd"/>
      <w:r w:rsidRPr="00881D21">
        <w:rPr>
          <w:rFonts w:ascii="Cambria" w:eastAsia="Cambria" w:hAnsi="Cambria"/>
          <w:sz w:val="24"/>
          <w:szCs w:val="24"/>
        </w:rPr>
        <w:t xml:space="preserve"> Aviation) (turpmāk - Regula 2023/2405)</w:t>
      </w:r>
      <w:r w:rsidRPr="00881D21">
        <w:rPr>
          <w:rStyle w:val="FootnoteReference"/>
          <w:rFonts w:ascii="Cambria" w:eastAsia="Cambria" w:hAnsi="Cambria"/>
          <w:sz w:val="24"/>
          <w:szCs w:val="24"/>
        </w:rPr>
        <w:footnoteReference w:id="19"/>
      </w:r>
      <w:r w:rsidRPr="00881D21">
        <w:rPr>
          <w:rFonts w:ascii="Cambria" w:eastAsia="Cambria" w:hAnsi="Cambria"/>
          <w:sz w:val="24"/>
          <w:szCs w:val="24"/>
        </w:rPr>
        <w:t>;</w:t>
      </w:r>
    </w:p>
    <w:p w14:paraId="0BDA5372"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eastAsia="Cambria" w:hAnsi="Cambria"/>
          <w:sz w:val="24"/>
          <w:szCs w:val="24"/>
        </w:rPr>
      </w:pPr>
      <w:r w:rsidRPr="00881D21">
        <w:rPr>
          <w:rFonts w:ascii="Cambria" w:eastAsia="Cambria" w:hAnsi="Cambria"/>
          <w:sz w:val="24"/>
          <w:szCs w:val="24"/>
        </w:rPr>
        <w:t xml:space="preserve">Pārskatītā Eiropas Parlamenta un Padomes direktīva, kas pārkārto Kopienas noteikumus par nodokļu uzlikšanu </w:t>
      </w:r>
      <w:proofErr w:type="spellStart"/>
      <w:r w:rsidRPr="00881D21">
        <w:rPr>
          <w:rFonts w:ascii="Cambria" w:eastAsia="Cambria" w:hAnsi="Cambria"/>
          <w:sz w:val="24"/>
          <w:szCs w:val="24"/>
        </w:rPr>
        <w:t>energoproduktiem</w:t>
      </w:r>
      <w:proofErr w:type="spellEnd"/>
      <w:r w:rsidRPr="00881D21">
        <w:rPr>
          <w:rFonts w:ascii="Cambria" w:eastAsia="Cambria" w:hAnsi="Cambria"/>
          <w:sz w:val="24"/>
          <w:szCs w:val="24"/>
        </w:rPr>
        <w:t xml:space="preserve"> un elektroenerģijai (Direktīvas 2003/96/EK grozījumi – vēl nav spēkā);</w:t>
      </w:r>
    </w:p>
    <w:p w14:paraId="51BFE241"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hAnsi="Cambria"/>
          <w:sz w:val="24"/>
          <w:szCs w:val="24"/>
        </w:rPr>
      </w:pPr>
      <w:r w:rsidRPr="00881D21">
        <w:rPr>
          <w:rFonts w:ascii="Cambria" w:hAnsi="Cambria"/>
          <w:sz w:val="24"/>
          <w:szCs w:val="24"/>
        </w:rPr>
        <w:t>Eiropas Parlamenta un Padomes (ES) 2019. gada  27. novembra regula Nr.2019/2088 par informācijas atklāšanu, kas saistīta ar ilgtspēju, finanšu pakalpojumu nozarē;</w:t>
      </w:r>
    </w:p>
    <w:p w14:paraId="4957A709"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hAnsi="Cambria"/>
          <w:sz w:val="24"/>
          <w:szCs w:val="24"/>
        </w:rPr>
      </w:pPr>
      <w:r w:rsidRPr="00881D21">
        <w:rPr>
          <w:rFonts w:ascii="Cambria" w:hAnsi="Cambria"/>
          <w:sz w:val="24"/>
          <w:szCs w:val="24"/>
        </w:rPr>
        <w:t>Eiropas Parlamenta un Padomes  (ES) 2020. gada 18. jūnija  regula Nr. 2020/852 par regulējuma izveidi ilgtspējīgu ieguldījumu veicināšanai un ar ko groza Regulu (ES) 2019/2088 (</w:t>
      </w:r>
      <w:proofErr w:type="spellStart"/>
      <w:r w:rsidRPr="00881D21">
        <w:rPr>
          <w:rFonts w:ascii="Cambria" w:hAnsi="Cambria"/>
          <w:sz w:val="24"/>
          <w:szCs w:val="24"/>
        </w:rPr>
        <w:t>Taksonomijas</w:t>
      </w:r>
      <w:proofErr w:type="spellEnd"/>
      <w:r w:rsidRPr="00881D21">
        <w:rPr>
          <w:rFonts w:ascii="Cambria" w:hAnsi="Cambria"/>
          <w:sz w:val="24"/>
          <w:szCs w:val="24"/>
        </w:rPr>
        <w:t xml:space="preserve"> regula);</w:t>
      </w:r>
    </w:p>
    <w:p w14:paraId="42AFF2CA" w14:textId="77777777" w:rsidR="00B75D0C" w:rsidRPr="00881D21" w:rsidRDefault="00B75D0C" w:rsidP="00F414AD">
      <w:pPr>
        <w:pStyle w:val="ListParagraph"/>
        <w:widowControl w:val="0"/>
        <w:numPr>
          <w:ilvl w:val="0"/>
          <w:numId w:val="30"/>
        </w:numPr>
        <w:suppressAutoHyphens w:val="0"/>
        <w:spacing w:before="120" w:after="120" w:line="240" w:lineRule="auto"/>
        <w:jc w:val="both"/>
        <w:rPr>
          <w:rFonts w:ascii="Cambria" w:eastAsia="Cambria" w:hAnsi="Cambria"/>
          <w:sz w:val="24"/>
          <w:szCs w:val="24"/>
        </w:rPr>
      </w:pPr>
      <w:r w:rsidRPr="00881D21">
        <w:rPr>
          <w:rFonts w:ascii="Cambria" w:hAnsi="Cambria"/>
          <w:sz w:val="24"/>
          <w:szCs w:val="24"/>
        </w:rPr>
        <w:t>Eiropas Parlamenta un Padomes (ES) 2022. gada 14. decembra direktīva Nr.2022/2464, ar ko attiecībā uz korporatīvo ilgtspējas ziņu sniegšanu groza Regulu (ES) Nr. 537/2014, Direktīvu 2004/109/EK, Direktīvu 2006/43/EK un Direktīvu 2013/34/ES</w:t>
      </w:r>
      <w:r w:rsidRPr="00881D21">
        <w:rPr>
          <w:rFonts w:ascii="Cambria" w:eastAsia="Cambria" w:hAnsi="Cambria"/>
          <w:sz w:val="24"/>
          <w:szCs w:val="24"/>
        </w:rPr>
        <w:t>.</w:t>
      </w:r>
    </w:p>
    <w:p w14:paraId="73020626" w14:textId="074493CF" w:rsidR="00B75D0C" w:rsidRPr="00881D21" w:rsidRDefault="00B75D0C" w:rsidP="00B75D0C">
      <w:pPr>
        <w:spacing w:before="120" w:after="120" w:line="240" w:lineRule="auto"/>
        <w:ind w:firstLine="567"/>
        <w:jc w:val="both"/>
        <w:rPr>
          <w:rFonts w:ascii="Cambria" w:eastAsia="Times New Roman" w:hAnsi="Cambria"/>
          <w:sz w:val="24"/>
          <w:szCs w:val="24"/>
        </w:rPr>
      </w:pPr>
      <w:r w:rsidRPr="00881D21">
        <w:rPr>
          <w:rFonts w:ascii="Cambria" w:eastAsia="Times New Roman" w:hAnsi="Cambria"/>
          <w:sz w:val="24"/>
          <w:szCs w:val="24"/>
        </w:rPr>
        <w:t>Š</w:t>
      </w:r>
      <w:r w:rsidR="003D5449" w:rsidRPr="00881D21">
        <w:rPr>
          <w:rFonts w:ascii="Cambria" w:eastAsia="Times New Roman" w:hAnsi="Cambria"/>
          <w:sz w:val="24"/>
          <w:szCs w:val="24"/>
        </w:rPr>
        <w:t>ā</w:t>
      </w:r>
      <w:r w:rsidRPr="00881D21">
        <w:rPr>
          <w:rFonts w:ascii="Cambria" w:eastAsia="Times New Roman" w:hAnsi="Cambria"/>
          <w:sz w:val="24"/>
          <w:szCs w:val="24"/>
        </w:rPr>
        <w:t xml:space="preserve"> ziņojuma 1.pielikumā apkopots pārskats par ES klimata mērķiem ES tiesību aktu </w:t>
      </w:r>
      <w:proofErr w:type="spellStart"/>
      <w:r w:rsidRPr="00881D21">
        <w:rPr>
          <w:rFonts w:ascii="Cambria" w:eastAsia="Times New Roman" w:hAnsi="Cambria"/>
          <w:sz w:val="24"/>
          <w:szCs w:val="24"/>
        </w:rPr>
        <w:t>pakotnes</w:t>
      </w:r>
      <w:proofErr w:type="spellEnd"/>
      <w:r w:rsidRPr="00881D21">
        <w:rPr>
          <w:rFonts w:ascii="Cambria" w:eastAsia="Times New Roman" w:hAnsi="Cambria"/>
          <w:sz w:val="24"/>
          <w:szCs w:val="24"/>
        </w:rPr>
        <w:t xml:space="preserve"> “Gatavi </w:t>
      </w:r>
      <w:proofErr w:type="spellStart"/>
      <w:r w:rsidRPr="00881D21">
        <w:rPr>
          <w:rFonts w:ascii="Cambria" w:eastAsia="Times New Roman" w:hAnsi="Cambria"/>
          <w:sz w:val="24"/>
          <w:szCs w:val="24"/>
        </w:rPr>
        <w:t>mērķrādītājam</w:t>
      </w:r>
      <w:proofErr w:type="spellEnd"/>
      <w:r w:rsidRPr="00881D21">
        <w:rPr>
          <w:rFonts w:ascii="Cambria" w:eastAsia="Times New Roman" w:hAnsi="Cambria"/>
          <w:sz w:val="24"/>
          <w:szCs w:val="24"/>
        </w:rPr>
        <w:t xml:space="preserve"> 55” ietvaros.</w:t>
      </w:r>
    </w:p>
    <w:p w14:paraId="2FB2C6AF" w14:textId="77777777" w:rsidR="00B75D0C" w:rsidRPr="00881D21" w:rsidRDefault="00B75D0C" w:rsidP="00B75D0C">
      <w:pPr>
        <w:spacing w:before="120" w:after="120" w:line="240" w:lineRule="auto"/>
        <w:ind w:firstLine="567"/>
        <w:jc w:val="both"/>
        <w:rPr>
          <w:rFonts w:ascii="Cambria" w:eastAsia="Times New Roman" w:hAnsi="Cambria"/>
          <w:sz w:val="24"/>
          <w:szCs w:val="24"/>
        </w:rPr>
      </w:pPr>
      <w:r w:rsidRPr="00881D21">
        <w:rPr>
          <w:rFonts w:ascii="Cambria" w:eastAsia="Times New Roman" w:hAnsi="Cambria"/>
          <w:sz w:val="24"/>
          <w:szCs w:val="24"/>
        </w:rPr>
        <w:t>Parīzes nolīgums nodrošina ietvaru finansiālam, tehnoloģiskam un kapacitātes veidošanas atbalstam valstīm, kurām tas ir vajadzīgs.</w:t>
      </w:r>
      <w:r w:rsidRPr="00881D21">
        <w:rPr>
          <w:rFonts w:ascii="Cambria" w:hAnsi="Cambria"/>
        </w:rPr>
        <w:t xml:space="preserve"> </w:t>
      </w:r>
      <w:r w:rsidRPr="00881D21">
        <w:rPr>
          <w:rFonts w:ascii="Cambria" w:eastAsia="Times New Roman" w:hAnsi="Cambria"/>
          <w:sz w:val="24"/>
          <w:szCs w:val="24"/>
        </w:rPr>
        <w:t>Finansiālais, tehnoloģiskais un kapacitātes veidošanas atbalsts tiek uzskatīts par svarīgu, lai palīdzētu valstīm (jaunattīstības valstīm) ar ierobežotākām resursu iespējām sasniegt savus mērķus un pielāgoties klimata pārmaiņām.</w:t>
      </w:r>
    </w:p>
    <w:p w14:paraId="787CEA2F" w14:textId="549206F1" w:rsidR="00B75D0C" w:rsidRPr="00881D21" w:rsidRDefault="00B75D0C" w:rsidP="003A232F">
      <w:pPr>
        <w:spacing w:before="120" w:after="120" w:line="240" w:lineRule="auto"/>
        <w:ind w:firstLine="567"/>
        <w:jc w:val="both"/>
        <w:rPr>
          <w:rFonts w:ascii="Cambria" w:eastAsia="Times New Roman" w:hAnsi="Cambria"/>
          <w:sz w:val="24"/>
          <w:szCs w:val="24"/>
        </w:rPr>
      </w:pPr>
      <w:r w:rsidRPr="00881D21">
        <w:rPr>
          <w:rFonts w:ascii="Cambria" w:eastAsia="Times New Roman" w:hAnsi="Cambria"/>
          <w:sz w:val="24"/>
          <w:szCs w:val="24"/>
        </w:rPr>
        <w:t>Lai novērtētu progresu Parīzes nolīguma mērķu sasniegšanā</w:t>
      </w:r>
      <w:r w:rsidR="00545F46" w:rsidRPr="00881D21">
        <w:rPr>
          <w:rFonts w:ascii="Cambria" w:eastAsia="Times New Roman" w:hAnsi="Cambria"/>
          <w:sz w:val="24"/>
          <w:szCs w:val="24"/>
        </w:rPr>
        <w:t>,</w:t>
      </w:r>
      <w:r w:rsidRPr="00881D21">
        <w:rPr>
          <w:rFonts w:ascii="Cambria" w:eastAsia="Times New Roman" w:hAnsi="Cambria"/>
          <w:sz w:val="24"/>
          <w:szCs w:val="24"/>
        </w:rPr>
        <w:t xml:space="preserve"> valstīm sākot no 2024. gada būs jāziņo par veiktajām darbībām un progresu klimata pārmaiņu mazināšanā, pielāgošanās pasākumiem un sniegto vai saņemto atbalstu</w:t>
      </w:r>
      <w:r w:rsidR="00545F46" w:rsidRPr="00881D21">
        <w:rPr>
          <w:rFonts w:ascii="Cambria" w:eastAsia="Times New Roman" w:hAnsi="Cambria"/>
          <w:sz w:val="24"/>
          <w:szCs w:val="24"/>
        </w:rPr>
        <w:t xml:space="preserve"> uzlabotas </w:t>
      </w:r>
      <w:proofErr w:type="spellStart"/>
      <w:r w:rsidR="00545F46" w:rsidRPr="00881D21">
        <w:rPr>
          <w:rFonts w:ascii="Cambria" w:eastAsia="Times New Roman" w:hAnsi="Cambria"/>
          <w:sz w:val="24"/>
          <w:szCs w:val="24"/>
        </w:rPr>
        <w:t>pārredzamības</w:t>
      </w:r>
      <w:proofErr w:type="spellEnd"/>
      <w:r w:rsidR="001D7C51">
        <w:rPr>
          <w:rFonts w:ascii="Cambria" w:eastAsia="Times New Roman" w:hAnsi="Cambria"/>
          <w:sz w:val="24"/>
          <w:szCs w:val="24"/>
        </w:rPr>
        <w:t xml:space="preserve"> sistēmas</w:t>
      </w:r>
      <w:r w:rsidR="00545F46" w:rsidRPr="00881D21">
        <w:rPr>
          <w:rFonts w:ascii="Cambria" w:eastAsia="Times New Roman" w:hAnsi="Cambria"/>
          <w:sz w:val="24"/>
          <w:szCs w:val="24"/>
        </w:rPr>
        <w:t xml:space="preserve"> ietvar</w:t>
      </w:r>
      <w:r w:rsidR="00CE0462" w:rsidRPr="00881D21">
        <w:rPr>
          <w:rFonts w:ascii="Cambria" w:eastAsia="Times New Roman" w:hAnsi="Cambria"/>
          <w:sz w:val="24"/>
          <w:szCs w:val="24"/>
        </w:rPr>
        <w:t>o</w:t>
      </w:r>
      <w:r w:rsidR="00545F46" w:rsidRPr="00881D21">
        <w:rPr>
          <w:rFonts w:ascii="Cambria" w:eastAsia="Times New Roman" w:hAnsi="Cambria"/>
          <w:sz w:val="24"/>
          <w:szCs w:val="24"/>
        </w:rPr>
        <w:t>s (</w:t>
      </w:r>
      <w:proofErr w:type="spellStart"/>
      <w:r w:rsidR="00545F46" w:rsidRPr="00881D21">
        <w:rPr>
          <w:rFonts w:ascii="Cambria" w:eastAsia="Times New Roman" w:hAnsi="Cambria"/>
          <w:i/>
          <w:iCs/>
          <w:sz w:val="24"/>
          <w:szCs w:val="24"/>
        </w:rPr>
        <w:t>enhanced</w:t>
      </w:r>
      <w:proofErr w:type="spellEnd"/>
      <w:r w:rsidR="00545F46" w:rsidRPr="00881D21">
        <w:rPr>
          <w:rFonts w:ascii="Cambria" w:eastAsia="Times New Roman" w:hAnsi="Cambria"/>
          <w:i/>
          <w:iCs/>
          <w:sz w:val="24"/>
          <w:szCs w:val="24"/>
        </w:rPr>
        <w:t xml:space="preserve"> </w:t>
      </w:r>
      <w:proofErr w:type="spellStart"/>
      <w:r w:rsidR="00545F46" w:rsidRPr="00881D21">
        <w:rPr>
          <w:rFonts w:ascii="Cambria" w:eastAsia="Times New Roman" w:hAnsi="Cambria"/>
          <w:i/>
          <w:iCs/>
          <w:sz w:val="24"/>
          <w:szCs w:val="24"/>
        </w:rPr>
        <w:t>transparency</w:t>
      </w:r>
      <w:proofErr w:type="spellEnd"/>
      <w:r w:rsidR="00545F46" w:rsidRPr="00881D21">
        <w:rPr>
          <w:rFonts w:ascii="Cambria" w:eastAsia="Times New Roman" w:hAnsi="Cambria"/>
          <w:i/>
          <w:iCs/>
          <w:sz w:val="24"/>
          <w:szCs w:val="24"/>
        </w:rPr>
        <w:t xml:space="preserve"> </w:t>
      </w:r>
      <w:proofErr w:type="spellStart"/>
      <w:r w:rsidR="00545F46" w:rsidRPr="00881D21">
        <w:rPr>
          <w:rFonts w:ascii="Cambria" w:eastAsia="Times New Roman" w:hAnsi="Cambria"/>
          <w:i/>
          <w:iCs/>
          <w:sz w:val="24"/>
          <w:szCs w:val="24"/>
        </w:rPr>
        <w:t>framework</w:t>
      </w:r>
      <w:proofErr w:type="spellEnd"/>
      <w:r w:rsidR="00545F46" w:rsidRPr="00881D21">
        <w:rPr>
          <w:rFonts w:ascii="Cambria" w:eastAsia="Times New Roman" w:hAnsi="Cambria"/>
          <w:sz w:val="24"/>
          <w:szCs w:val="24"/>
        </w:rPr>
        <w:t>, ETF)</w:t>
      </w:r>
      <w:r w:rsidR="003A232F" w:rsidRPr="00881D21">
        <w:rPr>
          <w:rFonts w:ascii="Cambria" w:eastAsia="Times New Roman" w:hAnsi="Cambria"/>
          <w:sz w:val="24"/>
          <w:szCs w:val="24"/>
        </w:rPr>
        <w:t xml:space="preserve">. </w:t>
      </w:r>
      <w:r w:rsidRPr="00881D21">
        <w:rPr>
          <w:rFonts w:ascii="Cambria" w:eastAsia="Times New Roman" w:hAnsi="Cambria"/>
          <w:sz w:val="24"/>
          <w:szCs w:val="24"/>
        </w:rPr>
        <w:t>ETF paredz arī starptautiskas procedūras iesniegto ziņojumu pārbaudei.</w:t>
      </w:r>
      <w:r w:rsidRPr="00881D21">
        <w:rPr>
          <w:rFonts w:ascii="Cambria" w:hAnsi="Cambria"/>
        </w:rPr>
        <w:t xml:space="preserve"> </w:t>
      </w:r>
      <w:r w:rsidRPr="00881D21">
        <w:rPr>
          <w:rFonts w:ascii="Cambria" w:eastAsia="Times New Roman" w:hAnsi="Cambria"/>
          <w:sz w:val="24"/>
          <w:szCs w:val="24"/>
        </w:rPr>
        <w:t>ETF ietvaros apkopotā informācija tiks izmantota starptautiskā stāvokļa novērtējumā (</w:t>
      </w:r>
      <w:proofErr w:type="spellStart"/>
      <w:r w:rsidRPr="00881D21">
        <w:rPr>
          <w:rFonts w:ascii="Cambria" w:eastAsia="Times New Roman" w:hAnsi="Cambria"/>
          <w:i/>
          <w:iCs/>
          <w:sz w:val="24"/>
          <w:szCs w:val="24"/>
        </w:rPr>
        <w:t>Global</w:t>
      </w:r>
      <w:proofErr w:type="spellEnd"/>
      <w:r w:rsidRPr="00881D21">
        <w:rPr>
          <w:rFonts w:ascii="Cambria" w:eastAsia="Times New Roman" w:hAnsi="Cambria"/>
          <w:i/>
          <w:iCs/>
          <w:sz w:val="24"/>
          <w:szCs w:val="24"/>
        </w:rPr>
        <w:t xml:space="preserve"> </w:t>
      </w:r>
      <w:proofErr w:type="spellStart"/>
      <w:r w:rsidRPr="00881D21">
        <w:rPr>
          <w:rFonts w:ascii="Cambria" w:eastAsia="Times New Roman" w:hAnsi="Cambria"/>
          <w:i/>
          <w:iCs/>
          <w:sz w:val="24"/>
          <w:szCs w:val="24"/>
        </w:rPr>
        <w:t>stocktake</w:t>
      </w:r>
      <w:proofErr w:type="spellEnd"/>
      <w:r w:rsidRPr="00881D21">
        <w:rPr>
          <w:rFonts w:ascii="Cambria" w:eastAsia="Times New Roman" w:hAnsi="Cambria"/>
          <w:sz w:val="24"/>
          <w:szCs w:val="24"/>
        </w:rPr>
        <w:t>), kurā tiks novērtēts kolektīvais progress virzībā uz ilgtermiņa klimata mērķiem. Starptautiskais novērtējums sniegs ieteikumus valstīm nākamajā kārtā izvirzīt vērienīgākus plānus</w:t>
      </w:r>
      <w:r w:rsidRPr="00881D21">
        <w:rPr>
          <w:rStyle w:val="FootnoteReference"/>
          <w:rFonts w:ascii="Cambria" w:eastAsia="Times New Roman" w:hAnsi="Cambria"/>
          <w:sz w:val="24"/>
          <w:szCs w:val="24"/>
        </w:rPr>
        <w:footnoteReference w:id="20"/>
      </w:r>
      <w:r w:rsidRPr="00881D21">
        <w:rPr>
          <w:rFonts w:ascii="Cambria" w:eastAsia="Times New Roman" w:hAnsi="Cambria"/>
          <w:sz w:val="24"/>
          <w:szCs w:val="24"/>
        </w:rPr>
        <w:t xml:space="preserve">. </w:t>
      </w:r>
    </w:p>
    <w:p w14:paraId="6B30F945" w14:textId="77777777" w:rsidR="00B75D0C" w:rsidRPr="00881D21" w:rsidRDefault="00B75D0C" w:rsidP="00B75D0C">
      <w:pPr>
        <w:spacing w:before="120" w:after="120" w:line="240" w:lineRule="auto"/>
        <w:ind w:firstLine="567"/>
        <w:jc w:val="both"/>
        <w:rPr>
          <w:rFonts w:ascii="Cambria" w:eastAsia="Times New Roman" w:hAnsi="Cambria"/>
          <w:b/>
          <w:bCs/>
          <w:sz w:val="24"/>
          <w:szCs w:val="24"/>
        </w:rPr>
      </w:pPr>
    </w:p>
    <w:p w14:paraId="50D7B0FE" w14:textId="6656AEF3" w:rsidR="00B75D0C" w:rsidRPr="00881D21" w:rsidRDefault="00B75D0C" w:rsidP="00B75D0C">
      <w:pPr>
        <w:pStyle w:val="Heading2"/>
        <w:numPr>
          <w:ilvl w:val="1"/>
          <w:numId w:val="25"/>
        </w:numPr>
        <w:spacing w:before="120" w:after="120" w:line="240" w:lineRule="auto"/>
        <w:rPr>
          <w:rFonts w:ascii="Cambria" w:hAnsi="Cambria" w:cs="Times New Roman"/>
          <w:b/>
          <w:bCs/>
          <w:sz w:val="24"/>
          <w:szCs w:val="24"/>
        </w:rPr>
      </w:pPr>
      <w:bookmarkStart w:id="6" w:name="_Toc156999862"/>
      <w:r w:rsidRPr="00881D21">
        <w:rPr>
          <w:rFonts w:ascii="Cambria" w:hAnsi="Cambria" w:cs="Times New Roman"/>
          <w:b/>
          <w:bCs/>
          <w:sz w:val="24"/>
          <w:szCs w:val="24"/>
        </w:rPr>
        <w:t>ES klimata politika 2021.-2030.gada periodam</w:t>
      </w:r>
      <w:bookmarkEnd w:id="6"/>
    </w:p>
    <w:p w14:paraId="7DADF3E2" w14:textId="001F96EB" w:rsidR="00B75D0C" w:rsidRPr="00881D21" w:rsidRDefault="00B75D0C" w:rsidP="00B75D0C">
      <w:pPr>
        <w:spacing w:before="120" w:after="120" w:line="240" w:lineRule="auto"/>
        <w:ind w:firstLine="567"/>
        <w:jc w:val="both"/>
        <w:rPr>
          <w:rFonts w:ascii="Cambria" w:eastAsia="Times New Roman" w:hAnsi="Cambria"/>
          <w:sz w:val="24"/>
          <w:szCs w:val="24"/>
        </w:rPr>
      </w:pPr>
      <w:r w:rsidRPr="00881D21">
        <w:rPr>
          <w:rFonts w:ascii="Cambria" w:eastAsia="Times New Roman" w:hAnsi="Cambria"/>
          <w:sz w:val="24"/>
          <w:szCs w:val="24"/>
        </w:rPr>
        <w:t>Ievērojot klimata politikas būtisko ietekmi uz visu ES valstu ekonomikām, lēmumi par kopējiem ES SEG samazināšanas mērķiem 2030.</w:t>
      </w:r>
      <w:r w:rsidR="00064DAD">
        <w:rPr>
          <w:rFonts w:ascii="Cambria" w:eastAsia="Times New Roman" w:hAnsi="Cambria"/>
          <w:sz w:val="24"/>
          <w:szCs w:val="24"/>
        </w:rPr>
        <w:t xml:space="preserve"> </w:t>
      </w:r>
      <w:r w:rsidRPr="00881D21">
        <w:rPr>
          <w:rFonts w:ascii="Cambria" w:eastAsia="Times New Roman" w:hAnsi="Cambria"/>
          <w:sz w:val="24"/>
          <w:szCs w:val="24"/>
        </w:rPr>
        <w:t xml:space="preserve">gadā tika pieņemti Eiropadomes līmenī </w:t>
      </w:r>
      <w:r w:rsidRPr="00881D21">
        <w:rPr>
          <w:rFonts w:ascii="Cambria" w:eastAsia="Times New Roman" w:hAnsi="Cambria"/>
          <w:sz w:val="24"/>
          <w:szCs w:val="24"/>
        </w:rPr>
        <w:lastRenderedPageBreak/>
        <w:t>(skatīt 1.tabulu).  Lai veicinātu SEG emisiju samazināšanu izmaksu efektīvā veidā, SEG emisiju mērķi tika pārdalīti starp ES Emisijas kvotu tirdzniecības sistēmā</w:t>
      </w:r>
      <w:r w:rsidRPr="00881D21">
        <w:rPr>
          <w:rStyle w:val="FootnoteAnchor"/>
          <w:rFonts w:ascii="Cambria" w:eastAsia="Times New Roman" w:hAnsi="Cambria"/>
          <w:sz w:val="24"/>
          <w:szCs w:val="24"/>
        </w:rPr>
        <w:footnoteReference w:id="21"/>
      </w:r>
      <w:r w:rsidRPr="00881D21">
        <w:rPr>
          <w:rFonts w:ascii="Cambria" w:eastAsia="Times New Roman" w:hAnsi="Cambria"/>
          <w:sz w:val="24"/>
          <w:szCs w:val="24"/>
        </w:rPr>
        <w:t xml:space="preserve"> (turpmāk – ES ETS) iekļautām darbībām un ES ETS neiekļautām darbībām (turpmāk – ne-ETS)</w:t>
      </w:r>
      <w:r w:rsidRPr="00881D21">
        <w:rPr>
          <w:rStyle w:val="FootnoteReference"/>
          <w:rFonts w:ascii="Cambria" w:eastAsia="Times New Roman" w:hAnsi="Cambria"/>
          <w:sz w:val="24"/>
          <w:szCs w:val="24"/>
        </w:rPr>
        <w:footnoteReference w:id="22"/>
      </w:r>
      <w:r w:rsidRPr="00881D21">
        <w:rPr>
          <w:rFonts w:ascii="Cambria" w:eastAsia="Times New Roman" w:hAnsi="Cambria"/>
          <w:sz w:val="24"/>
          <w:szCs w:val="24"/>
        </w:rPr>
        <w:t xml:space="preserve">. </w:t>
      </w:r>
      <w:r w:rsidRPr="00881D21">
        <w:rPr>
          <w:rFonts w:ascii="Cambria" w:hAnsi="Cambria"/>
          <w:sz w:val="24"/>
          <w:szCs w:val="24"/>
        </w:rPr>
        <w:t xml:space="preserve">ZIZIMM </w:t>
      </w:r>
      <w:r w:rsidRPr="00881D21">
        <w:rPr>
          <w:rFonts w:ascii="Cambria" w:eastAsia="Times New Roman" w:hAnsi="Cambria"/>
          <w:sz w:val="24"/>
          <w:szCs w:val="24"/>
        </w:rPr>
        <w:t>sektora loma palielinājās 2030.</w:t>
      </w:r>
      <w:r w:rsidR="00064DAD">
        <w:rPr>
          <w:rFonts w:ascii="Cambria" w:eastAsia="Times New Roman" w:hAnsi="Cambria"/>
          <w:sz w:val="24"/>
          <w:szCs w:val="24"/>
        </w:rPr>
        <w:t xml:space="preserve"> </w:t>
      </w:r>
      <w:r w:rsidRPr="00881D21">
        <w:rPr>
          <w:rFonts w:ascii="Cambria" w:eastAsia="Times New Roman" w:hAnsi="Cambria"/>
          <w:sz w:val="24"/>
          <w:szCs w:val="24"/>
        </w:rPr>
        <w:t>gada mērķa kontekstā.</w:t>
      </w:r>
    </w:p>
    <w:p w14:paraId="15722FB9" w14:textId="77777777" w:rsidR="00B75D0C" w:rsidRPr="00881D21" w:rsidRDefault="00B75D0C" w:rsidP="00B75D0C">
      <w:pPr>
        <w:spacing w:before="120" w:after="120" w:line="240" w:lineRule="auto"/>
        <w:jc w:val="center"/>
        <w:rPr>
          <w:rFonts w:ascii="Cambria" w:eastAsia="Times New Roman" w:hAnsi="Cambria"/>
          <w:sz w:val="24"/>
          <w:szCs w:val="24"/>
        </w:rPr>
      </w:pPr>
      <w:r w:rsidRPr="00881D21">
        <w:rPr>
          <w:rFonts w:ascii="Cambria" w:eastAsia="Times New Roman" w:hAnsi="Cambria"/>
          <w:b/>
          <w:iCs/>
          <w:sz w:val="24"/>
          <w:szCs w:val="20"/>
        </w:rPr>
        <w:t>1.tabula. Kopējo ES SEG mērķu apkopojums</w:t>
      </w:r>
    </w:p>
    <w:tbl>
      <w:tblPr>
        <w:tblStyle w:val="TableGrid"/>
        <w:tblW w:w="0" w:type="auto"/>
        <w:tblLook w:val="04A0" w:firstRow="1" w:lastRow="0" w:firstColumn="1" w:lastColumn="0" w:noHBand="0" w:noVBand="1"/>
      </w:tblPr>
      <w:tblGrid>
        <w:gridCol w:w="4849"/>
        <w:gridCol w:w="4360"/>
      </w:tblGrid>
      <w:tr w:rsidR="00B75D0C" w:rsidRPr="00881D21" w14:paraId="7CD34616" w14:textId="77777777" w:rsidTr="002F3744">
        <w:trPr>
          <w:trHeight w:val="759"/>
        </w:trPr>
        <w:tc>
          <w:tcPr>
            <w:tcW w:w="4849" w:type="dxa"/>
            <w:shd w:val="clear" w:color="auto" w:fill="D1D1D1" w:themeFill="background2" w:themeFillShade="E6"/>
            <w:vAlign w:val="center"/>
          </w:tcPr>
          <w:p w14:paraId="589D812E" w14:textId="77777777" w:rsidR="00B75D0C" w:rsidRPr="00881D21" w:rsidRDefault="00B75D0C" w:rsidP="002F3744">
            <w:pPr>
              <w:spacing w:before="120" w:after="120" w:line="240" w:lineRule="auto"/>
              <w:jc w:val="center"/>
              <w:rPr>
                <w:rFonts w:ascii="Cambria" w:eastAsia="Times New Roman" w:hAnsi="Cambria"/>
                <w:b/>
                <w:bCs/>
                <w:sz w:val="20"/>
                <w:szCs w:val="20"/>
              </w:rPr>
            </w:pPr>
            <w:r w:rsidRPr="00881D21">
              <w:rPr>
                <w:rFonts w:ascii="Cambria" w:eastAsia="Times New Roman" w:hAnsi="Cambria"/>
                <w:b/>
                <w:bCs/>
                <w:sz w:val="20"/>
                <w:szCs w:val="20"/>
              </w:rPr>
              <w:t>Mērķi</w:t>
            </w:r>
          </w:p>
        </w:tc>
        <w:tc>
          <w:tcPr>
            <w:tcW w:w="4360" w:type="dxa"/>
            <w:shd w:val="clear" w:color="auto" w:fill="D1D1D1" w:themeFill="background2" w:themeFillShade="E6"/>
          </w:tcPr>
          <w:p w14:paraId="2D71ABA9" w14:textId="21338BAF" w:rsidR="00B75D0C" w:rsidRPr="00881D21" w:rsidRDefault="00B75D0C" w:rsidP="002F3744">
            <w:pPr>
              <w:spacing w:before="120" w:after="120" w:line="240" w:lineRule="auto"/>
              <w:jc w:val="center"/>
              <w:rPr>
                <w:rFonts w:ascii="Cambria" w:hAnsi="Cambria"/>
                <w:b/>
                <w:bCs/>
                <w:sz w:val="20"/>
                <w:szCs w:val="20"/>
              </w:rPr>
            </w:pPr>
            <w:r w:rsidRPr="00881D21">
              <w:rPr>
                <w:rFonts w:ascii="Cambria" w:eastAsia="Times New Roman" w:hAnsi="Cambria"/>
                <w:b/>
                <w:bCs/>
                <w:sz w:val="20"/>
                <w:szCs w:val="20"/>
              </w:rPr>
              <w:t>2020.gada 15.-16.</w:t>
            </w:r>
            <w:r w:rsidR="008E320D">
              <w:rPr>
                <w:rFonts w:ascii="Cambria" w:eastAsia="Times New Roman" w:hAnsi="Cambria"/>
                <w:b/>
                <w:bCs/>
                <w:sz w:val="20"/>
                <w:szCs w:val="20"/>
              </w:rPr>
              <w:t xml:space="preserve"> </w:t>
            </w:r>
            <w:r w:rsidRPr="00881D21">
              <w:rPr>
                <w:rFonts w:ascii="Cambria" w:eastAsia="Times New Roman" w:hAnsi="Cambria"/>
                <w:b/>
                <w:bCs/>
                <w:sz w:val="20"/>
                <w:szCs w:val="20"/>
              </w:rPr>
              <w:t>oktobra Eiropadome (secinājumu 10.</w:t>
            </w:r>
            <w:r w:rsidR="008E320D">
              <w:rPr>
                <w:rFonts w:ascii="Cambria" w:eastAsia="Times New Roman" w:hAnsi="Cambria"/>
                <w:b/>
                <w:bCs/>
                <w:sz w:val="20"/>
                <w:szCs w:val="20"/>
              </w:rPr>
              <w:t xml:space="preserve"> </w:t>
            </w:r>
            <w:r w:rsidRPr="00881D21">
              <w:rPr>
                <w:rFonts w:ascii="Cambria" w:eastAsia="Times New Roman" w:hAnsi="Cambria"/>
                <w:b/>
                <w:bCs/>
                <w:sz w:val="20"/>
                <w:szCs w:val="20"/>
              </w:rPr>
              <w:t>punkts)</w:t>
            </w:r>
            <w:r w:rsidRPr="00881D21">
              <w:rPr>
                <w:rStyle w:val="FootnoteReference"/>
                <w:rFonts w:ascii="Cambria" w:eastAsia="Times New Roman" w:hAnsi="Cambria"/>
                <w:b/>
                <w:bCs/>
                <w:sz w:val="20"/>
                <w:szCs w:val="20"/>
              </w:rPr>
              <w:footnoteReference w:id="23"/>
            </w:r>
          </w:p>
        </w:tc>
      </w:tr>
      <w:tr w:rsidR="00B75D0C" w:rsidRPr="00881D21" w14:paraId="74FC2A4C" w14:textId="77777777" w:rsidTr="002F3744">
        <w:trPr>
          <w:trHeight w:val="840"/>
        </w:trPr>
        <w:tc>
          <w:tcPr>
            <w:tcW w:w="4849" w:type="dxa"/>
          </w:tcPr>
          <w:p w14:paraId="5034B613" w14:textId="77777777" w:rsidR="00B75D0C" w:rsidRPr="00881D21" w:rsidRDefault="00B75D0C" w:rsidP="002F3744">
            <w:pPr>
              <w:spacing w:before="120" w:after="120" w:line="240" w:lineRule="auto"/>
              <w:jc w:val="both"/>
              <w:rPr>
                <w:rFonts w:ascii="Cambria" w:hAnsi="Cambria"/>
                <w:sz w:val="20"/>
                <w:szCs w:val="20"/>
              </w:rPr>
            </w:pPr>
            <w:r w:rsidRPr="00881D21">
              <w:rPr>
                <w:rFonts w:ascii="Cambria" w:hAnsi="Cambria"/>
                <w:sz w:val="20"/>
                <w:szCs w:val="20"/>
              </w:rPr>
              <w:t xml:space="preserve">Kopējais ES SEG emisiju samazinājuma mērķis </w:t>
            </w:r>
          </w:p>
          <w:p w14:paraId="1139C8F4" w14:textId="67A14452" w:rsidR="00B75D0C" w:rsidRPr="00881D21" w:rsidRDefault="00B75D0C" w:rsidP="002F3744">
            <w:pPr>
              <w:spacing w:before="120" w:after="120" w:line="240" w:lineRule="auto"/>
              <w:jc w:val="both"/>
              <w:rPr>
                <w:rFonts w:ascii="Cambria" w:hAnsi="Cambria"/>
                <w:sz w:val="20"/>
                <w:szCs w:val="20"/>
              </w:rPr>
            </w:pPr>
            <w:r w:rsidRPr="00881D21">
              <w:rPr>
                <w:rFonts w:ascii="Cambria" w:hAnsi="Cambria"/>
                <w:sz w:val="20"/>
                <w:szCs w:val="20"/>
              </w:rPr>
              <w:t>(salīdzinot ar 1990.</w:t>
            </w:r>
            <w:r w:rsidR="008E320D">
              <w:rPr>
                <w:rFonts w:ascii="Cambria" w:hAnsi="Cambria"/>
                <w:sz w:val="20"/>
                <w:szCs w:val="20"/>
              </w:rPr>
              <w:t xml:space="preserve"> </w:t>
            </w:r>
            <w:r w:rsidRPr="00881D21">
              <w:rPr>
                <w:rFonts w:ascii="Cambria" w:hAnsi="Cambria"/>
                <w:sz w:val="20"/>
                <w:szCs w:val="20"/>
              </w:rPr>
              <w:t>gadu)</w:t>
            </w:r>
          </w:p>
        </w:tc>
        <w:tc>
          <w:tcPr>
            <w:tcW w:w="4360" w:type="dxa"/>
            <w:vAlign w:val="center"/>
          </w:tcPr>
          <w:p w14:paraId="70DEE824" w14:textId="5182775D" w:rsidR="00B75D0C" w:rsidRPr="00881D21" w:rsidRDefault="00B75D0C" w:rsidP="002F3744">
            <w:pPr>
              <w:spacing w:before="120" w:after="120" w:line="240" w:lineRule="auto"/>
              <w:jc w:val="center"/>
              <w:rPr>
                <w:rFonts w:ascii="Cambria" w:hAnsi="Cambria"/>
                <w:sz w:val="20"/>
                <w:szCs w:val="20"/>
              </w:rPr>
            </w:pPr>
            <w:r w:rsidRPr="00881D21">
              <w:rPr>
                <w:rFonts w:ascii="Cambria" w:hAnsi="Cambria"/>
                <w:b/>
                <w:bCs/>
                <w:sz w:val="20"/>
                <w:szCs w:val="20"/>
              </w:rPr>
              <w:t>vismaz 55% samazinājums</w:t>
            </w:r>
            <w:r w:rsidRPr="00881D21">
              <w:rPr>
                <w:rFonts w:ascii="Cambria" w:hAnsi="Cambria"/>
                <w:sz w:val="20"/>
                <w:szCs w:val="20"/>
              </w:rPr>
              <w:t xml:space="preserve"> 2030.</w:t>
            </w:r>
            <w:r w:rsidR="008E320D">
              <w:rPr>
                <w:rFonts w:ascii="Cambria" w:hAnsi="Cambria"/>
                <w:sz w:val="20"/>
                <w:szCs w:val="20"/>
              </w:rPr>
              <w:t xml:space="preserve"> </w:t>
            </w:r>
            <w:r w:rsidRPr="00881D21">
              <w:rPr>
                <w:rFonts w:ascii="Cambria" w:hAnsi="Cambria"/>
                <w:sz w:val="20"/>
                <w:szCs w:val="20"/>
              </w:rPr>
              <w:t>gadā,</w:t>
            </w:r>
          </w:p>
          <w:p w14:paraId="327CB36D" w14:textId="77777777" w:rsidR="00B75D0C" w:rsidRPr="00881D21" w:rsidRDefault="00B75D0C" w:rsidP="002F3744">
            <w:pPr>
              <w:spacing w:before="120" w:after="120" w:line="240" w:lineRule="auto"/>
              <w:jc w:val="center"/>
              <w:rPr>
                <w:rFonts w:ascii="Cambria" w:hAnsi="Cambria"/>
                <w:sz w:val="20"/>
                <w:szCs w:val="20"/>
              </w:rPr>
            </w:pPr>
            <w:r w:rsidRPr="00881D21">
              <w:rPr>
                <w:rFonts w:ascii="Cambria" w:hAnsi="Cambria"/>
                <w:sz w:val="20"/>
                <w:szCs w:val="20"/>
              </w:rPr>
              <w:t>ietverot ZIZIMM</w:t>
            </w:r>
          </w:p>
        </w:tc>
      </w:tr>
      <w:tr w:rsidR="00B75D0C" w:rsidRPr="00881D21" w14:paraId="705B865B" w14:textId="77777777" w:rsidTr="002F3744">
        <w:trPr>
          <w:trHeight w:val="669"/>
        </w:trPr>
        <w:tc>
          <w:tcPr>
            <w:tcW w:w="4849" w:type="dxa"/>
          </w:tcPr>
          <w:p w14:paraId="08EF8D50" w14:textId="77777777" w:rsidR="00B75D0C" w:rsidRPr="00881D21" w:rsidRDefault="00B75D0C" w:rsidP="002F3744">
            <w:pPr>
              <w:spacing w:before="120" w:after="120" w:line="240" w:lineRule="auto"/>
              <w:jc w:val="both"/>
              <w:rPr>
                <w:rFonts w:ascii="Cambria" w:hAnsi="Cambria"/>
                <w:sz w:val="20"/>
                <w:szCs w:val="20"/>
              </w:rPr>
            </w:pPr>
            <w:r w:rsidRPr="00881D21">
              <w:rPr>
                <w:rFonts w:ascii="Cambria" w:hAnsi="Cambria"/>
                <w:sz w:val="20"/>
                <w:szCs w:val="20"/>
              </w:rPr>
              <w:t xml:space="preserve">SEG emisiju samazinājums ES ETS ietvaros </w:t>
            </w:r>
          </w:p>
          <w:p w14:paraId="690CF886" w14:textId="30C6FBD2" w:rsidR="00B75D0C" w:rsidRPr="00881D21" w:rsidRDefault="00B75D0C" w:rsidP="002F3744">
            <w:pPr>
              <w:spacing w:before="120" w:after="120" w:line="240" w:lineRule="auto"/>
              <w:jc w:val="both"/>
              <w:rPr>
                <w:rFonts w:ascii="Cambria" w:hAnsi="Cambria"/>
                <w:sz w:val="20"/>
                <w:szCs w:val="20"/>
              </w:rPr>
            </w:pPr>
            <w:r w:rsidRPr="00881D21">
              <w:rPr>
                <w:rFonts w:ascii="Cambria" w:hAnsi="Cambria"/>
                <w:sz w:val="20"/>
                <w:szCs w:val="20"/>
              </w:rPr>
              <w:t>(salīdzinot ar 2005.</w:t>
            </w:r>
            <w:r w:rsidR="008E320D">
              <w:rPr>
                <w:rFonts w:ascii="Cambria" w:hAnsi="Cambria"/>
                <w:sz w:val="20"/>
                <w:szCs w:val="20"/>
              </w:rPr>
              <w:t xml:space="preserve"> </w:t>
            </w:r>
            <w:r w:rsidRPr="00881D21">
              <w:rPr>
                <w:rFonts w:ascii="Cambria" w:hAnsi="Cambria"/>
                <w:sz w:val="20"/>
                <w:szCs w:val="20"/>
              </w:rPr>
              <w:t>gadu)</w:t>
            </w:r>
          </w:p>
        </w:tc>
        <w:tc>
          <w:tcPr>
            <w:tcW w:w="4360" w:type="dxa"/>
            <w:vAlign w:val="center"/>
          </w:tcPr>
          <w:p w14:paraId="31A70AF1" w14:textId="77777777" w:rsidR="00B75D0C" w:rsidRPr="00881D21" w:rsidRDefault="00B75D0C" w:rsidP="002F3744">
            <w:pPr>
              <w:spacing w:before="120" w:after="120" w:line="240" w:lineRule="auto"/>
              <w:jc w:val="center"/>
              <w:rPr>
                <w:rFonts w:ascii="Cambria" w:hAnsi="Cambria"/>
                <w:sz w:val="20"/>
                <w:szCs w:val="20"/>
              </w:rPr>
            </w:pPr>
            <w:r w:rsidRPr="00881D21">
              <w:rPr>
                <w:rFonts w:ascii="Cambria" w:hAnsi="Cambria"/>
                <w:sz w:val="20"/>
                <w:szCs w:val="20"/>
              </w:rPr>
              <w:t>-62%</w:t>
            </w:r>
          </w:p>
        </w:tc>
      </w:tr>
      <w:tr w:rsidR="00B75D0C" w:rsidRPr="00881D21" w14:paraId="60BE2C9D" w14:textId="77777777" w:rsidTr="002F3744">
        <w:trPr>
          <w:trHeight w:val="165"/>
        </w:trPr>
        <w:tc>
          <w:tcPr>
            <w:tcW w:w="4849" w:type="dxa"/>
          </w:tcPr>
          <w:p w14:paraId="023E43DA" w14:textId="77777777" w:rsidR="00B75D0C" w:rsidRPr="00881D21" w:rsidRDefault="00B75D0C" w:rsidP="002F3744">
            <w:pPr>
              <w:spacing w:before="120" w:after="120" w:line="240" w:lineRule="auto"/>
              <w:jc w:val="both"/>
              <w:rPr>
                <w:rFonts w:ascii="Cambria" w:hAnsi="Cambria"/>
                <w:sz w:val="20"/>
                <w:szCs w:val="20"/>
              </w:rPr>
            </w:pPr>
            <w:r w:rsidRPr="00881D21">
              <w:rPr>
                <w:rFonts w:ascii="Cambria" w:hAnsi="Cambria"/>
                <w:sz w:val="20"/>
                <w:szCs w:val="20"/>
              </w:rPr>
              <w:t xml:space="preserve">SEG emisiju samazinājums ne-ETS nozarēs </w:t>
            </w:r>
          </w:p>
          <w:p w14:paraId="29BDC02A" w14:textId="5CB76EB2" w:rsidR="00B75D0C" w:rsidRPr="00881D21" w:rsidRDefault="00B75D0C" w:rsidP="002F3744">
            <w:pPr>
              <w:spacing w:before="120" w:after="120" w:line="240" w:lineRule="auto"/>
              <w:jc w:val="both"/>
              <w:rPr>
                <w:rFonts w:ascii="Cambria" w:hAnsi="Cambria"/>
                <w:sz w:val="20"/>
                <w:szCs w:val="20"/>
              </w:rPr>
            </w:pPr>
            <w:r w:rsidRPr="00881D21">
              <w:rPr>
                <w:rFonts w:ascii="Cambria" w:hAnsi="Cambria"/>
                <w:sz w:val="20"/>
                <w:szCs w:val="20"/>
              </w:rPr>
              <w:t>(salīdzinot ar 2005.</w:t>
            </w:r>
            <w:r w:rsidR="008E320D">
              <w:rPr>
                <w:rFonts w:ascii="Cambria" w:hAnsi="Cambria"/>
                <w:sz w:val="20"/>
                <w:szCs w:val="20"/>
              </w:rPr>
              <w:t xml:space="preserve"> </w:t>
            </w:r>
            <w:r w:rsidRPr="00881D21">
              <w:rPr>
                <w:rFonts w:ascii="Cambria" w:hAnsi="Cambria"/>
                <w:sz w:val="20"/>
                <w:szCs w:val="20"/>
              </w:rPr>
              <w:t>gadu)</w:t>
            </w:r>
          </w:p>
        </w:tc>
        <w:tc>
          <w:tcPr>
            <w:tcW w:w="4360" w:type="dxa"/>
            <w:vAlign w:val="center"/>
          </w:tcPr>
          <w:p w14:paraId="6F81C70D" w14:textId="77777777" w:rsidR="00B75D0C" w:rsidRPr="00881D21" w:rsidRDefault="00B75D0C" w:rsidP="002F3744">
            <w:pPr>
              <w:spacing w:before="120" w:after="120" w:line="240" w:lineRule="auto"/>
              <w:jc w:val="center"/>
              <w:rPr>
                <w:rFonts w:ascii="Cambria" w:hAnsi="Cambria"/>
                <w:sz w:val="20"/>
                <w:szCs w:val="20"/>
              </w:rPr>
            </w:pPr>
            <w:r w:rsidRPr="00881D21">
              <w:rPr>
                <w:rFonts w:ascii="Cambria" w:hAnsi="Cambria"/>
                <w:sz w:val="20"/>
                <w:szCs w:val="20"/>
              </w:rPr>
              <w:t>-40%</w:t>
            </w:r>
          </w:p>
        </w:tc>
      </w:tr>
    </w:tbl>
    <w:p w14:paraId="7AC27CA4" w14:textId="77777777" w:rsidR="00B75D0C" w:rsidRPr="00881D21" w:rsidRDefault="00B75D0C" w:rsidP="00B75D0C">
      <w:pPr>
        <w:spacing w:before="120" w:after="120" w:line="240" w:lineRule="auto"/>
        <w:jc w:val="both"/>
        <w:rPr>
          <w:rFonts w:ascii="Cambria" w:hAnsi="Cambria"/>
          <w:b/>
          <w:bCs/>
          <w:sz w:val="24"/>
          <w:szCs w:val="24"/>
        </w:rPr>
      </w:pPr>
    </w:p>
    <w:p w14:paraId="12349837" w14:textId="16DAA437" w:rsidR="00B75D0C" w:rsidRPr="00881D21" w:rsidRDefault="00B75D0C" w:rsidP="00B75D0C">
      <w:pPr>
        <w:pStyle w:val="Heading3"/>
        <w:numPr>
          <w:ilvl w:val="2"/>
          <w:numId w:val="25"/>
        </w:numPr>
        <w:spacing w:before="120" w:after="120" w:line="240" w:lineRule="auto"/>
        <w:rPr>
          <w:rFonts w:ascii="Cambria" w:hAnsi="Cambria" w:cs="Times New Roman"/>
          <w:b/>
          <w:bCs/>
          <w:sz w:val="24"/>
          <w:szCs w:val="24"/>
        </w:rPr>
      </w:pPr>
      <w:bookmarkStart w:id="7" w:name="_Toc156999863"/>
      <w:r w:rsidRPr="00881D21">
        <w:rPr>
          <w:rFonts w:ascii="Cambria" w:hAnsi="Cambria" w:cs="Times New Roman"/>
          <w:b/>
          <w:bCs/>
          <w:sz w:val="24"/>
          <w:szCs w:val="24"/>
        </w:rPr>
        <w:t>ES Emisijas kvotu tirdzniecības sistēma</w:t>
      </w:r>
      <w:bookmarkEnd w:id="7"/>
    </w:p>
    <w:p w14:paraId="06C03A8B" w14:textId="77777777" w:rsidR="00B75D0C" w:rsidRPr="00881D21" w:rsidRDefault="00B75D0C" w:rsidP="00B75D0C">
      <w:pPr>
        <w:spacing w:before="120" w:after="120" w:line="240" w:lineRule="auto"/>
        <w:ind w:firstLine="567"/>
        <w:jc w:val="both"/>
        <w:rPr>
          <w:rFonts w:ascii="Cambria" w:eastAsia="Times New Roman" w:hAnsi="Cambria"/>
          <w:sz w:val="24"/>
          <w:szCs w:val="24"/>
        </w:rPr>
      </w:pPr>
      <w:r w:rsidRPr="00881D21">
        <w:rPr>
          <w:rFonts w:ascii="Cambria" w:eastAsia="Times New Roman" w:hAnsi="Cambria"/>
          <w:sz w:val="24"/>
          <w:szCs w:val="24"/>
        </w:rPr>
        <w:t xml:space="preserve"> ES ETS sistēmas pamātā ir tirgus principos balstītu lielo enerģijas ražotāju un energoietilpīgu rūpniecības uzņēmumu stimulēšanas mehānisms SEG emisiju samazināšanai </w:t>
      </w:r>
      <w:r w:rsidRPr="00881D21">
        <w:rPr>
          <w:rFonts w:ascii="Cambria" w:hAnsi="Cambria"/>
          <w:sz w:val="24"/>
          <w:szCs w:val="24"/>
        </w:rPr>
        <w:t>izmaksu efektīvā</w:t>
      </w:r>
      <w:r w:rsidRPr="00881D21">
        <w:rPr>
          <w:rFonts w:ascii="Cambria" w:hAnsi="Cambria"/>
        </w:rPr>
        <w:t xml:space="preserve"> </w:t>
      </w:r>
      <w:r w:rsidRPr="00881D21">
        <w:rPr>
          <w:rFonts w:ascii="Cambria" w:eastAsia="Times New Roman" w:hAnsi="Cambria"/>
          <w:sz w:val="24"/>
          <w:szCs w:val="24"/>
        </w:rPr>
        <w:t xml:space="preserve">veidā, un šo pasākumu izstrādi un īstenošanu nodrošina EK kopā ar ES dalībvalstīm saskaņā ar </w:t>
      </w:r>
      <w:r w:rsidRPr="00881D21">
        <w:rPr>
          <w:rFonts w:ascii="Cambria" w:hAnsi="Cambria"/>
          <w:sz w:val="24"/>
          <w:szCs w:val="24"/>
        </w:rPr>
        <w:t>Eiropas Parlamenta un Padomes 2003. gada 13. oktobra Direktīvu Nr. 2003/87/EK, ar kuru nosaka sistēmu siltumnīcas efektu izraisošo gāzu emisijas kvotu tirdzniecībai Kopienā un groza Padomes Direktīvu 96/61/EK </w:t>
      </w:r>
      <w:r w:rsidRPr="00881D21">
        <w:rPr>
          <w:rFonts w:ascii="Cambria" w:eastAsia="Times New Roman" w:hAnsi="Cambria"/>
          <w:sz w:val="24"/>
          <w:szCs w:val="24"/>
        </w:rPr>
        <w:t xml:space="preserve">(turpmāk – ETS direktīva). ES ETS kopējā mērķa izpildes organizēšana ir EK atbildība. Šī mērķa izpildei ir apstiprināti ES ETS darbības nosacījumi un noteikta ES ETS operatoru atbildība, vienota visā ES. ES ETS aptver 50 Latvijas iekārtas, vairums no tām sadedzināšanas iekārtas, kā arī rūpniecības iekārtas, – tām ir jādarbojas pēc ES līmenī noteiktajiem noteikumiem. </w:t>
      </w:r>
    </w:p>
    <w:p w14:paraId="1792A1B1" w14:textId="77777777" w:rsidR="00B75D0C" w:rsidRPr="00881D21" w:rsidRDefault="00B75D0C" w:rsidP="00B75D0C">
      <w:pPr>
        <w:spacing w:before="120" w:after="120" w:line="240" w:lineRule="auto"/>
        <w:ind w:firstLine="567"/>
        <w:jc w:val="both"/>
        <w:rPr>
          <w:rFonts w:ascii="Cambria" w:eastAsia="Times New Roman" w:hAnsi="Cambria"/>
          <w:sz w:val="24"/>
          <w:szCs w:val="24"/>
        </w:rPr>
      </w:pPr>
      <w:proofErr w:type="spellStart"/>
      <w:r w:rsidRPr="00881D21">
        <w:rPr>
          <w:rFonts w:ascii="Cambria" w:eastAsia="Times New Roman" w:hAnsi="Cambria"/>
          <w:sz w:val="24"/>
          <w:szCs w:val="24"/>
        </w:rPr>
        <w:t>Pakotnes</w:t>
      </w:r>
      <w:proofErr w:type="spellEnd"/>
      <w:r w:rsidRPr="00881D21">
        <w:rPr>
          <w:rFonts w:ascii="Cambria" w:eastAsia="Times New Roman" w:hAnsi="Cambria"/>
          <w:sz w:val="24"/>
          <w:szCs w:val="24"/>
        </w:rPr>
        <w:t xml:space="preserve"> “Gatavi </w:t>
      </w:r>
      <w:proofErr w:type="spellStart"/>
      <w:r w:rsidRPr="00881D21">
        <w:rPr>
          <w:rFonts w:ascii="Cambria" w:eastAsia="Times New Roman" w:hAnsi="Cambria"/>
          <w:sz w:val="24"/>
          <w:szCs w:val="24"/>
        </w:rPr>
        <w:t>mērķrādītājam</w:t>
      </w:r>
      <w:proofErr w:type="spellEnd"/>
      <w:r w:rsidRPr="00881D21">
        <w:rPr>
          <w:rFonts w:ascii="Cambria" w:eastAsia="Times New Roman" w:hAnsi="Cambria"/>
          <w:sz w:val="24"/>
          <w:szCs w:val="24"/>
        </w:rPr>
        <w:t xml:space="preserve"> 55” tika iekļauti tiesību aktu priekšlikumi ES ETS pārskatīšanai, tostarp tās attiecināšana uz kuģniecību, noteikumu aviācijas emisiju jomā pārskatīšanu un atsevišķas emisijas kvotu tirdzniecības sistēmas izveidi autotransportam un ēkām. Ar šo tiesību aktu publicēšanu  tiek noteikts SEG emisiju samazināšanas mērķis – 62 % salīdzinājumā ar 2005. gadu (iepriekš 43 % bez kuģniecības nozares) ES ETS aptvertajās nozarēs.</w:t>
      </w:r>
    </w:p>
    <w:p w14:paraId="6F51C9CE" w14:textId="0EB182BB" w:rsidR="00B75D0C" w:rsidRPr="00881D21" w:rsidRDefault="00B75D0C" w:rsidP="00B75D0C">
      <w:pPr>
        <w:pStyle w:val="Heading3"/>
        <w:numPr>
          <w:ilvl w:val="2"/>
          <w:numId w:val="25"/>
        </w:numPr>
        <w:spacing w:before="120" w:after="120" w:line="240" w:lineRule="auto"/>
        <w:rPr>
          <w:rFonts w:ascii="Cambria" w:hAnsi="Cambria" w:cs="Times New Roman"/>
          <w:b/>
          <w:bCs/>
          <w:sz w:val="24"/>
          <w:szCs w:val="24"/>
        </w:rPr>
      </w:pPr>
      <w:bookmarkStart w:id="8" w:name="_Toc156999864"/>
      <w:r w:rsidRPr="00881D21">
        <w:rPr>
          <w:rFonts w:ascii="Cambria" w:hAnsi="Cambria" w:cs="Times New Roman"/>
          <w:b/>
          <w:bCs/>
          <w:sz w:val="24"/>
          <w:szCs w:val="24"/>
        </w:rPr>
        <w:t>Ne-ETS darbības</w:t>
      </w:r>
      <w:bookmarkEnd w:id="8"/>
    </w:p>
    <w:p w14:paraId="2FB7E11E" w14:textId="77777777" w:rsidR="00B75D0C" w:rsidRPr="00881D21" w:rsidRDefault="00B75D0C" w:rsidP="00B75D0C">
      <w:pPr>
        <w:spacing w:before="120" w:after="120" w:line="240" w:lineRule="auto"/>
        <w:ind w:firstLine="567"/>
        <w:jc w:val="both"/>
        <w:rPr>
          <w:rFonts w:ascii="Cambria" w:hAnsi="Cambria"/>
          <w:color w:val="FF0000"/>
        </w:rPr>
      </w:pPr>
      <w:r w:rsidRPr="00881D21">
        <w:rPr>
          <w:rFonts w:ascii="Cambria" w:eastAsia="Times New Roman" w:hAnsi="Cambria"/>
          <w:sz w:val="24"/>
          <w:szCs w:val="24"/>
        </w:rPr>
        <w:t xml:space="preserve">Ne-ETS mērķa izpildes saistības ir pārdalītas katrai ES dalībvalstij, t.sk. Latvijai, lai sasniegtu Eiropas Savienības </w:t>
      </w:r>
      <w:proofErr w:type="spellStart"/>
      <w:r w:rsidRPr="00881D21">
        <w:rPr>
          <w:rFonts w:ascii="Cambria" w:eastAsia="Times New Roman" w:hAnsi="Cambria"/>
          <w:sz w:val="24"/>
          <w:szCs w:val="24"/>
        </w:rPr>
        <w:t>mērķrādītāju</w:t>
      </w:r>
      <w:proofErr w:type="spellEnd"/>
      <w:r w:rsidRPr="00881D21">
        <w:rPr>
          <w:rFonts w:ascii="Cambria" w:eastAsia="Times New Roman" w:hAnsi="Cambria"/>
          <w:sz w:val="24"/>
          <w:szCs w:val="24"/>
        </w:rPr>
        <w:t xml:space="preserve"> – līdz 2030. gadam samazināt siltumnīcefekta gāzu emisijas par 40 %, salīdzinot ar 2005. gada līmeni. Laika periodā no 2021. gada līdz 2030. gadam katras ES dalībvalsts ne-ETS mērķi un tā izpildes nosacījumi noteikti saskaņā ar </w:t>
      </w:r>
      <w:r w:rsidRPr="00881D21">
        <w:rPr>
          <w:rFonts w:ascii="Cambria" w:hAnsi="Cambria"/>
          <w:sz w:val="24"/>
          <w:szCs w:val="24"/>
        </w:rPr>
        <w:t xml:space="preserve">Regulas 2018/842 4. panta 1. punktu un 1. pielikumu. </w:t>
      </w:r>
      <w:r w:rsidRPr="00881D21">
        <w:rPr>
          <w:rFonts w:ascii="Cambria" w:eastAsia="Times New Roman" w:hAnsi="Cambria"/>
          <w:sz w:val="24"/>
          <w:szCs w:val="24"/>
        </w:rPr>
        <w:t xml:space="preserve">Latvijai ir nepieciešams nodrošināt </w:t>
      </w:r>
      <w:r w:rsidRPr="00881D21">
        <w:rPr>
          <w:rFonts w:ascii="Cambria" w:eastAsia="Times New Roman" w:hAnsi="Cambria"/>
          <w:sz w:val="24"/>
          <w:szCs w:val="24"/>
        </w:rPr>
        <w:lastRenderedPageBreak/>
        <w:t>17 % ne-ETS darbību SEG emisiju samazinājumu, salīdzinot ar Latvijas ne-ETS darbību SEG emisiju apjomu 2005. gadā</w:t>
      </w:r>
      <w:r w:rsidRPr="00881D21">
        <w:rPr>
          <w:rStyle w:val="FootnoteReference"/>
          <w:rFonts w:ascii="Cambria" w:eastAsia="Times New Roman" w:hAnsi="Cambria"/>
          <w:sz w:val="24"/>
          <w:szCs w:val="24"/>
        </w:rPr>
        <w:footnoteReference w:id="24"/>
      </w:r>
      <w:r w:rsidRPr="00881D21">
        <w:rPr>
          <w:rFonts w:ascii="Cambria" w:eastAsia="Times New Roman" w:hAnsi="Cambria"/>
          <w:sz w:val="24"/>
          <w:szCs w:val="24"/>
        </w:rPr>
        <w:t>. Pie ne-ETS nav iekļautas SEG emisijas un piesaiste, ko aptver Regula 2018/841.</w:t>
      </w:r>
    </w:p>
    <w:p w14:paraId="3C440A59" w14:textId="37126F7D" w:rsidR="00B75D0C" w:rsidRPr="00881D21" w:rsidRDefault="00B75D0C" w:rsidP="00B75D0C">
      <w:pPr>
        <w:pStyle w:val="Heading3"/>
        <w:numPr>
          <w:ilvl w:val="2"/>
          <w:numId w:val="25"/>
        </w:numPr>
        <w:spacing w:before="120" w:after="120" w:line="240" w:lineRule="auto"/>
        <w:rPr>
          <w:rFonts w:ascii="Cambria" w:hAnsi="Cambria" w:cs="Times New Roman"/>
          <w:b/>
          <w:bCs/>
          <w:sz w:val="24"/>
          <w:szCs w:val="24"/>
        </w:rPr>
      </w:pPr>
      <w:bookmarkStart w:id="9" w:name="_Toc156999865"/>
      <w:r w:rsidRPr="00881D21">
        <w:rPr>
          <w:rFonts w:ascii="Cambria" w:hAnsi="Cambria" w:cs="Times New Roman"/>
          <w:b/>
          <w:bCs/>
          <w:sz w:val="24"/>
          <w:szCs w:val="24"/>
        </w:rPr>
        <w:t>ZIZIMM uzskaites/ziņošanas kategorijas</w:t>
      </w:r>
      <w:bookmarkEnd w:id="9"/>
    </w:p>
    <w:p w14:paraId="194DD8FE" w14:textId="77777777" w:rsidR="00B75D0C" w:rsidRPr="00881D21" w:rsidRDefault="00B75D0C" w:rsidP="00FC4285">
      <w:pPr>
        <w:spacing w:before="120" w:after="120" w:line="240" w:lineRule="auto"/>
        <w:ind w:firstLine="567"/>
        <w:jc w:val="both"/>
        <w:rPr>
          <w:rFonts w:ascii="Cambria" w:hAnsi="Cambria"/>
          <w:sz w:val="24"/>
          <w:szCs w:val="24"/>
        </w:rPr>
      </w:pPr>
      <w:r w:rsidRPr="00881D21">
        <w:rPr>
          <w:rFonts w:ascii="Cambria" w:eastAsia="Times New Roman" w:hAnsi="Cambria"/>
          <w:sz w:val="24"/>
          <w:szCs w:val="24"/>
        </w:rPr>
        <w:t xml:space="preserve">2021. - 2030. gada periodā </w:t>
      </w:r>
      <w:r w:rsidRPr="00881D21">
        <w:rPr>
          <w:rFonts w:ascii="Cambria" w:hAnsi="Cambria"/>
          <w:sz w:val="24"/>
          <w:szCs w:val="24"/>
        </w:rPr>
        <w:t>ZIZIMM sektorā</w:t>
      </w:r>
      <w:r w:rsidRPr="00881D21">
        <w:rPr>
          <w:rFonts w:ascii="Cambria" w:eastAsia="Times New Roman" w:hAnsi="Cambria"/>
          <w:sz w:val="24"/>
          <w:szCs w:val="24"/>
        </w:rPr>
        <w:t xml:space="preserve"> </w:t>
      </w:r>
      <w:r w:rsidRPr="00881D21">
        <w:rPr>
          <w:rFonts w:ascii="Cambria" w:hAnsi="Cambria"/>
          <w:sz w:val="24"/>
          <w:szCs w:val="24"/>
        </w:rPr>
        <w:t>saistības un SEG emisiju un CO</w:t>
      </w:r>
      <w:r w:rsidRPr="00881D21">
        <w:rPr>
          <w:rFonts w:ascii="Cambria" w:hAnsi="Cambria"/>
          <w:sz w:val="24"/>
          <w:szCs w:val="24"/>
          <w:vertAlign w:val="subscript"/>
        </w:rPr>
        <w:t xml:space="preserve">2 </w:t>
      </w:r>
      <w:r w:rsidRPr="00881D21">
        <w:rPr>
          <w:rFonts w:ascii="Cambria" w:hAnsi="Cambria"/>
          <w:sz w:val="24"/>
          <w:szCs w:val="24"/>
        </w:rPr>
        <w:t>uzskaites noteikumi ir noteikti saskaņā ar</w:t>
      </w:r>
      <w:r w:rsidRPr="00881D21">
        <w:rPr>
          <w:rFonts w:ascii="Cambria" w:hAnsi="Cambria"/>
          <w:sz w:val="16"/>
          <w:szCs w:val="16"/>
        </w:rPr>
        <w:t xml:space="preserve"> </w:t>
      </w:r>
      <w:r w:rsidRPr="00881D21">
        <w:rPr>
          <w:rFonts w:ascii="Cambria" w:hAnsi="Cambria"/>
          <w:sz w:val="24"/>
          <w:szCs w:val="24"/>
        </w:rPr>
        <w:t>Regulu 2018/841</w:t>
      </w:r>
      <w:r w:rsidRPr="00881D21">
        <w:rPr>
          <w:rStyle w:val="FootnoteReference"/>
          <w:rFonts w:ascii="Cambria" w:hAnsi="Cambria"/>
          <w:i/>
          <w:iCs/>
          <w:sz w:val="24"/>
          <w:szCs w:val="24"/>
        </w:rPr>
        <w:footnoteReference w:id="25"/>
      </w:r>
      <w:r w:rsidRPr="00881D21">
        <w:rPr>
          <w:rFonts w:ascii="Cambria" w:hAnsi="Cambria"/>
          <w:i/>
          <w:iCs/>
          <w:sz w:val="24"/>
          <w:szCs w:val="24"/>
        </w:rPr>
        <w:t xml:space="preserve"> </w:t>
      </w:r>
      <w:r w:rsidRPr="00881D21">
        <w:rPr>
          <w:rFonts w:ascii="Cambria" w:hAnsi="Cambria"/>
          <w:sz w:val="24"/>
          <w:szCs w:val="24"/>
        </w:rPr>
        <w:t xml:space="preserve">(turpmāk – ZIZIMM regula). </w:t>
      </w:r>
    </w:p>
    <w:p w14:paraId="5A8A47E3" w14:textId="77777777" w:rsidR="00B75D0C" w:rsidRPr="00881D21" w:rsidRDefault="00B75D0C" w:rsidP="00FC4285">
      <w:pPr>
        <w:spacing w:before="120" w:after="120" w:line="240" w:lineRule="auto"/>
        <w:ind w:firstLine="567"/>
        <w:jc w:val="both"/>
        <w:rPr>
          <w:rFonts w:ascii="Cambria" w:eastAsia="Times New Roman" w:hAnsi="Cambria"/>
          <w:sz w:val="24"/>
          <w:szCs w:val="24"/>
        </w:rPr>
      </w:pPr>
      <w:r w:rsidRPr="00881D21">
        <w:rPr>
          <w:rFonts w:ascii="Cambria" w:eastAsia="Times New Roman" w:hAnsi="Cambria"/>
          <w:sz w:val="24"/>
          <w:szCs w:val="24"/>
        </w:rPr>
        <w:t>Saskaņā ar 2018/841 regulas 4. pantā noteikto, Latvijai no 2021. līdz 2025. gadam, ņemot vērā noteiktās elastības iespējas ir jānodrošina, ka uzskaitīto SEG emisiju summa nepārsniedz uzskaitītās CO</w:t>
      </w:r>
      <w:r w:rsidRPr="00881D21">
        <w:rPr>
          <w:rFonts w:ascii="Cambria" w:eastAsia="Times New Roman" w:hAnsi="Cambria"/>
          <w:sz w:val="24"/>
          <w:szCs w:val="24"/>
          <w:vertAlign w:val="subscript"/>
        </w:rPr>
        <w:t>2</w:t>
      </w:r>
      <w:r w:rsidRPr="00881D21">
        <w:rPr>
          <w:rFonts w:ascii="Cambria" w:eastAsia="Times New Roman" w:hAnsi="Cambria"/>
          <w:sz w:val="24"/>
          <w:szCs w:val="24"/>
        </w:rPr>
        <w:t xml:space="preserve"> piesaistes summu ZIZIMM regulas 2. pantā minētajās zemes uzskaites kategorijās </w:t>
      </w:r>
    </w:p>
    <w:p w14:paraId="05F4B17A" w14:textId="6ED04800" w:rsidR="00B75D0C" w:rsidRPr="00881D21" w:rsidRDefault="00B75D0C" w:rsidP="00B75D0C">
      <w:pPr>
        <w:spacing w:before="120" w:after="120" w:line="240" w:lineRule="auto"/>
        <w:ind w:firstLine="567"/>
        <w:jc w:val="both"/>
        <w:rPr>
          <w:rFonts w:ascii="Cambria" w:eastAsia="Times New Roman" w:hAnsi="Cambria"/>
          <w:sz w:val="24"/>
          <w:szCs w:val="24"/>
        </w:rPr>
      </w:pPr>
      <w:bookmarkStart w:id="10" w:name="_Hlk117802510"/>
      <w:r w:rsidRPr="00881D21">
        <w:rPr>
          <w:rFonts w:ascii="Cambria" w:hAnsi="Cambria"/>
          <w:sz w:val="24"/>
          <w:szCs w:val="24"/>
        </w:rPr>
        <w:t xml:space="preserve">2023. gada 11. maijā stājās spēkā Eiropas Parlamenta un Padomes 2023. gada 19. aprīļa regula 2023/839 ar ko attiecībā uz darbības jomu, ziņošanas un izpildes noteikumu vienkāršošanu un dalībvalstu 2030. gada </w:t>
      </w:r>
      <w:proofErr w:type="spellStart"/>
      <w:r w:rsidRPr="00881D21">
        <w:rPr>
          <w:rFonts w:ascii="Cambria" w:hAnsi="Cambria"/>
          <w:sz w:val="24"/>
          <w:szCs w:val="24"/>
        </w:rPr>
        <w:t>mērķrādītāju</w:t>
      </w:r>
      <w:proofErr w:type="spellEnd"/>
      <w:r w:rsidRPr="00881D21">
        <w:rPr>
          <w:rFonts w:ascii="Cambria" w:hAnsi="Cambria"/>
          <w:sz w:val="24"/>
          <w:szCs w:val="24"/>
        </w:rPr>
        <w:t xml:space="preserve"> noteikšanu groza Regulu (ES) 2018/841 un attiecībā uz monitoringa, ziņošanas, progresa apsekošanas un izskatīšanas uzlabošanu groza Regulu (ES) 2018/1999 (turpmāk – 2023. gada 19. aprīļa grozījumi ZIZIMM regulā)</w:t>
      </w:r>
      <w:r w:rsidRPr="00881D21">
        <w:rPr>
          <w:rStyle w:val="FootnoteReference"/>
          <w:rFonts w:ascii="Cambria" w:hAnsi="Cambria"/>
          <w:sz w:val="24"/>
          <w:szCs w:val="24"/>
        </w:rPr>
        <w:footnoteReference w:id="26"/>
      </w:r>
      <w:r w:rsidRPr="00881D21">
        <w:rPr>
          <w:rFonts w:ascii="Cambria" w:hAnsi="Cambria"/>
          <w:sz w:val="24"/>
          <w:szCs w:val="24"/>
        </w:rPr>
        <w:t>, kas nosaka izmaiņas ZIZIMM sektorā, īpaši periodā, sākot no 2026. gada. Latvijai noteiktais mērķis (piesaiste visā ZIZIMM sektorā), kas indikatīvi</w:t>
      </w:r>
      <w:r w:rsidRPr="00881D21">
        <w:rPr>
          <w:rFonts w:ascii="Cambria" w:hAnsi="Cambria"/>
          <w:b/>
          <w:bCs/>
          <w:sz w:val="24"/>
          <w:szCs w:val="24"/>
        </w:rPr>
        <w:t xml:space="preserve"> </w:t>
      </w:r>
      <w:r w:rsidRPr="00881D21">
        <w:rPr>
          <w:rFonts w:ascii="Cambria" w:hAnsi="Cambria"/>
          <w:sz w:val="24"/>
          <w:szCs w:val="24"/>
        </w:rPr>
        <w:t xml:space="preserve">būs jāsasniedz 2030. gadā, ir -644 </w:t>
      </w:r>
      <w:proofErr w:type="spellStart"/>
      <w:r w:rsidRPr="00881D21">
        <w:rPr>
          <w:rFonts w:ascii="Cambria" w:hAnsi="Cambria"/>
          <w:sz w:val="24"/>
          <w:szCs w:val="24"/>
        </w:rPr>
        <w:t>kt</w:t>
      </w:r>
      <w:proofErr w:type="spellEnd"/>
      <w:r w:rsidRPr="00881D21">
        <w:rPr>
          <w:rFonts w:ascii="Cambria" w:hAnsi="Cambria"/>
          <w:sz w:val="24"/>
          <w:szCs w:val="24"/>
        </w:rPr>
        <w:t xml:space="preserve"> CO</w:t>
      </w:r>
      <w:r w:rsidRPr="00881D21">
        <w:rPr>
          <w:rFonts w:ascii="Cambria" w:hAnsi="Cambria"/>
          <w:sz w:val="24"/>
          <w:szCs w:val="24"/>
          <w:vertAlign w:val="subscript"/>
        </w:rPr>
        <w:t>2</w:t>
      </w:r>
      <w:r w:rsidRPr="00881D21">
        <w:rPr>
          <w:rFonts w:ascii="Cambria" w:hAnsi="Cambria"/>
          <w:sz w:val="24"/>
          <w:szCs w:val="24"/>
        </w:rPr>
        <w:t xml:space="preserve"> </w:t>
      </w:r>
      <w:proofErr w:type="spellStart"/>
      <w:r w:rsidRPr="00881D21">
        <w:rPr>
          <w:rFonts w:ascii="Cambria" w:hAnsi="Cambria"/>
          <w:sz w:val="24"/>
          <w:szCs w:val="24"/>
        </w:rPr>
        <w:t>ekv</w:t>
      </w:r>
      <w:proofErr w:type="spellEnd"/>
      <w:r w:rsidRPr="00881D21">
        <w:rPr>
          <w:rFonts w:ascii="Cambria" w:hAnsi="Cambria"/>
          <w:sz w:val="24"/>
          <w:szCs w:val="24"/>
        </w:rPr>
        <w:t xml:space="preserve">. </w:t>
      </w:r>
      <w:bookmarkEnd w:id="10"/>
      <w:r w:rsidRPr="00881D21">
        <w:rPr>
          <w:rFonts w:ascii="Cambria" w:eastAsia="Times New Roman" w:hAnsi="Cambria"/>
          <w:sz w:val="24"/>
          <w:szCs w:val="24"/>
        </w:rPr>
        <w:t xml:space="preserve">DV 2026.-2029.gadā būs noteikts arī viens kopīgs sasniedzams </w:t>
      </w:r>
      <w:proofErr w:type="spellStart"/>
      <w:r w:rsidRPr="00881D21">
        <w:rPr>
          <w:rFonts w:ascii="Cambria" w:eastAsia="Times New Roman" w:hAnsi="Cambria"/>
          <w:sz w:val="24"/>
          <w:szCs w:val="24"/>
        </w:rPr>
        <w:t>mērķrādītājs</w:t>
      </w:r>
      <w:proofErr w:type="spellEnd"/>
      <w:r w:rsidRPr="00881D21">
        <w:rPr>
          <w:rFonts w:ascii="Cambria" w:eastAsia="Times New Roman" w:hAnsi="Cambria"/>
          <w:sz w:val="24"/>
          <w:szCs w:val="24"/>
        </w:rPr>
        <w:t xml:space="preserve"> (četru gadu budžets), kuram par pamatu būs trajektorija, kuru atbilstoši 2025.gada SEG inventarizācijai faktiskajām, vidējām 2021.-2023.gada emisijām novilks no 2022.</w:t>
      </w:r>
      <w:r w:rsidR="00064DAD">
        <w:rPr>
          <w:rFonts w:ascii="Cambria" w:eastAsia="Times New Roman" w:hAnsi="Cambria"/>
          <w:sz w:val="24"/>
          <w:szCs w:val="24"/>
        </w:rPr>
        <w:t xml:space="preserve"> </w:t>
      </w:r>
      <w:r w:rsidRPr="00881D21">
        <w:rPr>
          <w:rFonts w:ascii="Cambria" w:eastAsia="Times New Roman" w:hAnsi="Cambria"/>
          <w:sz w:val="24"/>
          <w:szCs w:val="24"/>
        </w:rPr>
        <w:t>gada uz 2030.</w:t>
      </w:r>
      <w:r w:rsidR="00064DAD">
        <w:rPr>
          <w:rFonts w:ascii="Cambria" w:eastAsia="Times New Roman" w:hAnsi="Cambria"/>
          <w:sz w:val="24"/>
          <w:szCs w:val="24"/>
        </w:rPr>
        <w:t xml:space="preserve"> </w:t>
      </w:r>
      <w:r w:rsidRPr="00881D21">
        <w:rPr>
          <w:rFonts w:ascii="Cambria" w:eastAsia="Times New Roman" w:hAnsi="Cambria"/>
          <w:sz w:val="24"/>
          <w:szCs w:val="24"/>
        </w:rPr>
        <w:t xml:space="preserve">gada </w:t>
      </w:r>
      <w:proofErr w:type="spellStart"/>
      <w:r w:rsidRPr="00881D21">
        <w:rPr>
          <w:rFonts w:ascii="Cambria" w:eastAsia="Times New Roman" w:hAnsi="Cambria"/>
          <w:sz w:val="24"/>
          <w:szCs w:val="24"/>
        </w:rPr>
        <w:t>mērķrādītāju</w:t>
      </w:r>
      <w:proofErr w:type="spellEnd"/>
      <w:r w:rsidRPr="00881D21">
        <w:rPr>
          <w:rFonts w:ascii="Cambria" w:eastAsia="Times New Roman" w:hAnsi="Cambria"/>
          <w:sz w:val="24"/>
          <w:szCs w:val="24"/>
        </w:rPr>
        <w:t>. Ja četru gadu budžetu DV neizpildīs, tad šo neizpildi (</w:t>
      </w:r>
      <w:proofErr w:type="spellStart"/>
      <w:r w:rsidRPr="00881D21">
        <w:rPr>
          <w:rFonts w:ascii="Cambria" w:eastAsia="Times New Roman" w:hAnsi="Cambria"/>
          <w:sz w:val="24"/>
          <w:szCs w:val="24"/>
        </w:rPr>
        <w:t>kt</w:t>
      </w:r>
      <w:proofErr w:type="spellEnd"/>
      <w:r w:rsidRPr="00881D21">
        <w:rPr>
          <w:rFonts w:ascii="Cambria" w:eastAsia="Times New Roman" w:hAnsi="Cambria"/>
          <w:sz w:val="24"/>
          <w:szCs w:val="24"/>
        </w:rPr>
        <w:t xml:space="preserve"> CO</w:t>
      </w:r>
      <w:r w:rsidRPr="00881D21">
        <w:rPr>
          <w:rFonts w:ascii="Cambria" w:eastAsia="Times New Roman" w:hAnsi="Cambria"/>
          <w:sz w:val="24"/>
          <w:szCs w:val="24"/>
          <w:vertAlign w:val="subscript"/>
        </w:rPr>
        <w:t>2</w:t>
      </w:r>
      <w:r w:rsidRPr="00881D21">
        <w:rPr>
          <w:rFonts w:ascii="Cambria" w:eastAsia="Times New Roman" w:hAnsi="Cambria"/>
          <w:sz w:val="24"/>
          <w:szCs w:val="24"/>
        </w:rPr>
        <w:t xml:space="preserve"> </w:t>
      </w:r>
      <w:proofErr w:type="spellStart"/>
      <w:r w:rsidRPr="00881D21">
        <w:rPr>
          <w:rFonts w:ascii="Cambria" w:eastAsia="Times New Roman" w:hAnsi="Cambria"/>
          <w:sz w:val="24"/>
          <w:szCs w:val="24"/>
        </w:rPr>
        <w:t>ekv</w:t>
      </w:r>
      <w:proofErr w:type="spellEnd"/>
      <w:r w:rsidRPr="00881D21">
        <w:rPr>
          <w:rFonts w:ascii="Cambria" w:eastAsia="Times New Roman" w:hAnsi="Cambria"/>
          <w:sz w:val="24"/>
          <w:szCs w:val="24"/>
        </w:rPr>
        <w:t>.) pareizinātu ar koeficientu 1,08 pieskaitīs 2030.g. mērķim</w:t>
      </w:r>
      <w:bookmarkStart w:id="11" w:name="_Hlk114487438"/>
      <w:r w:rsidRPr="00881D21">
        <w:rPr>
          <w:rFonts w:ascii="Cambria" w:eastAsia="Times New Roman" w:hAnsi="Cambria"/>
          <w:sz w:val="24"/>
          <w:szCs w:val="24"/>
        </w:rPr>
        <w:t>.</w:t>
      </w:r>
    </w:p>
    <w:p w14:paraId="174938EA" w14:textId="77777777" w:rsidR="00B75D0C" w:rsidRPr="00881D21" w:rsidRDefault="00B75D0C" w:rsidP="00B75D0C">
      <w:pPr>
        <w:spacing w:before="120" w:after="120" w:line="240" w:lineRule="auto"/>
        <w:ind w:firstLine="567"/>
        <w:jc w:val="both"/>
        <w:rPr>
          <w:rFonts w:ascii="Cambria" w:hAnsi="Cambria"/>
          <w:i/>
          <w:sz w:val="24"/>
          <w:szCs w:val="24"/>
        </w:rPr>
      </w:pPr>
      <w:r w:rsidRPr="00881D21">
        <w:rPr>
          <w:rFonts w:ascii="Cambria" w:hAnsi="Cambria"/>
          <w:sz w:val="24"/>
          <w:szCs w:val="24"/>
        </w:rPr>
        <w:t xml:space="preserve">Sākot ar 2021. gadu, ZIZIMM sektora mērķis un mērķa izpildes uzskaite ir saistīta ar ne-ETS mērķu izpildi. </w:t>
      </w:r>
      <w:bookmarkEnd w:id="11"/>
      <w:r w:rsidRPr="00881D21">
        <w:rPr>
          <w:rFonts w:ascii="Cambria" w:hAnsi="Cambria"/>
          <w:sz w:val="24"/>
          <w:szCs w:val="24"/>
        </w:rPr>
        <w:t xml:space="preserve">ES tiesiskais regulējums noteic, ka ZIZIMM mērķu neizpildes gadījumā šī neizpilde ir jānosedz ne-ETS sektoram, savukārt ne-ETS mērķa neizpilde ierobežotā apjomā var tikt kompensēta ar SEG emisiju mērķu </w:t>
      </w:r>
      <w:proofErr w:type="spellStart"/>
      <w:r w:rsidRPr="00881D21">
        <w:rPr>
          <w:rFonts w:ascii="Cambria" w:hAnsi="Cambria"/>
          <w:sz w:val="24"/>
          <w:szCs w:val="24"/>
        </w:rPr>
        <w:t>pārpildes</w:t>
      </w:r>
      <w:proofErr w:type="spellEnd"/>
      <w:r w:rsidRPr="00881D21">
        <w:rPr>
          <w:rFonts w:ascii="Cambria" w:hAnsi="Cambria"/>
          <w:sz w:val="24"/>
          <w:szCs w:val="24"/>
        </w:rPr>
        <w:t xml:space="preserve"> vienībām, kas radušās ZIZIMM sektorā</w:t>
      </w:r>
      <w:r w:rsidRPr="00881D21">
        <w:rPr>
          <w:rStyle w:val="FootnoteAnchor"/>
          <w:rFonts w:ascii="Cambria" w:hAnsi="Cambria"/>
          <w:sz w:val="24"/>
          <w:szCs w:val="24"/>
        </w:rPr>
        <w:footnoteReference w:id="27"/>
      </w:r>
      <w:r w:rsidRPr="00881D21">
        <w:rPr>
          <w:rFonts w:ascii="Cambria" w:hAnsi="Cambria"/>
          <w:sz w:val="24"/>
          <w:szCs w:val="24"/>
        </w:rPr>
        <w:t xml:space="preserve">. </w:t>
      </w:r>
    </w:p>
    <w:p w14:paraId="6F192732" w14:textId="77777777" w:rsidR="00B75D0C" w:rsidRPr="00881D21" w:rsidRDefault="00B75D0C" w:rsidP="00B75D0C">
      <w:pPr>
        <w:spacing w:before="120" w:after="120" w:line="240" w:lineRule="auto"/>
        <w:ind w:firstLine="567"/>
        <w:jc w:val="both"/>
        <w:rPr>
          <w:rFonts w:ascii="Cambria" w:eastAsia="Times New Roman" w:hAnsi="Cambria"/>
          <w:sz w:val="24"/>
          <w:szCs w:val="24"/>
          <w:lang w:eastAsia="lv-LV" w:bidi="lo-LA"/>
        </w:rPr>
      </w:pPr>
      <w:r w:rsidRPr="00881D21">
        <w:rPr>
          <w:rFonts w:ascii="Cambria" w:hAnsi="Cambria"/>
          <w:sz w:val="24"/>
          <w:szCs w:val="24"/>
        </w:rPr>
        <w:t xml:space="preserve">Noteiktās elastības iespējas </w:t>
      </w:r>
      <w:r w:rsidRPr="00881D21">
        <w:rPr>
          <w:rFonts w:ascii="Cambria" w:eastAsia="Times New Roman" w:hAnsi="Cambria"/>
          <w:sz w:val="24"/>
          <w:szCs w:val="24"/>
          <w:lang w:eastAsia="lv-LV" w:bidi="lo-LA"/>
        </w:rPr>
        <w:t>attiecībā uz apsaimniekotu meža zemi</w:t>
      </w:r>
      <w:r w:rsidRPr="00881D21">
        <w:rPr>
          <w:rFonts w:ascii="Cambria" w:hAnsi="Cambria"/>
          <w:sz w:val="24"/>
          <w:szCs w:val="24"/>
        </w:rPr>
        <w:t xml:space="preserve"> ir atrunātas ZIZIMM regulas 13. pantā, kas nosaka, j</w:t>
      </w:r>
      <w:r w:rsidRPr="00881D21">
        <w:rPr>
          <w:rFonts w:ascii="Cambria" w:eastAsia="Times New Roman" w:hAnsi="Cambria"/>
          <w:sz w:val="24"/>
          <w:szCs w:val="24"/>
          <w:lang w:eastAsia="lv-LV" w:bidi="lo-LA"/>
        </w:rPr>
        <w:t>a kopējās uzskaitītās SEG emisijas pārsniedz kopējo uzskaitīto piesaisti iepriekš minētajās zemes uzskaites kategorijās, tad, lai izpildītu noteiktās saistības, ir iespējams izmantot elastības attiecībā uz apsaimniekotu meža zemi.</w:t>
      </w:r>
      <w:r w:rsidRPr="00881D21">
        <w:rPr>
          <w:rFonts w:ascii="Cambria" w:hAnsi="Cambria"/>
          <w:sz w:val="24"/>
          <w:szCs w:val="24"/>
        </w:rPr>
        <w:t xml:space="preserve"> Turklāt ZIZIMM regula noteic, ka</w:t>
      </w:r>
      <w:r w:rsidRPr="00881D21">
        <w:rPr>
          <w:rFonts w:ascii="Cambria" w:eastAsia="Times New Roman" w:hAnsi="Cambria"/>
          <w:sz w:val="24"/>
          <w:szCs w:val="24"/>
          <w:lang w:eastAsia="lv-LV" w:bidi="lo-LA"/>
        </w:rPr>
        <w:t xml:space="preserve"> ES dalībvalstīm ir tiesības kompensēt minētās SEG emisijas, ja izpildās vairāki nosacījumi: </w:t>
      </w:r>
    </w:p>
    <w:p w14:paraId="3301A03A" w14:textId="77777777" w:rsidR="00B75D0C" w:rsidRPr="00881D21" w:rsidRDefault="00B75D0C" w:rsidP="00B75D0C">
      <w:pPr>
        <w:spacing w:after="0" w:line="240" w:lineRule="auto"/>
        <w:rPr>
          <w:rFonts w:ascii="Cambria" w:eastAsia="Times New Roman" w:hAnsi="Cambria"/>
          <w:color w:val="FF0000"/>
          <w:lang w:eastAsia="lv-LV" w:bidi="lo-LA"/>
        </w:rPr>
      </w:pPr>
      <w:r w:rsidRPr="00881D21">
        <w:rPr>
          <w:rFonts w:ascii="Cambria" w:eastAsia="Times New Roman" w:hAnsi="Cambria"/>
          <w:color w:val="FF0000"/>
          <w:lang w:eastAsia="lv-LV" w:bidi="lo-LA"/>
        </w:rPr>
        <w:br w:type="page"/>
      </w:r>
    </w:p>
    <w:p w14:paraId="606C9CAC" w14:textId="77777777" w:rsidR="00B75D0C" w:rsidRPr="00881D21" w:rsidRDefault="00B75D0C" w:rsidP="00B75D0C">
      <w:pPr>
        <w:spacing w:before="120" w:after="120" w:line="240" w:lineRule="auto"/>
        <w:ind w:firstLine="567"/>
        <w:jc w:val="both"/>
        <w:rPr>
          <w:rFonts w:ascii="Cambria" w:eastAsia="Times New Roman" w:hAnsi="Cambria"/>
          <w:color w:val="FF0000"/>
          <w:lang w:eastAsia="lv-LV" w:bidi="lo-LA"/>
        </w:rPr>
      </w:pPr>
    </w:p>
    <w:p w14:paraId="41C356E3" w14:textId="28C20A29" w:rsidR="00B75D0C" w:rsidRPr="00881D21" w:rsidRDefault="00B75D0C" w:rsidP="00B75D0C">
      <w:pPr>
        <w:pStyle w:val="Heading3"/>
        <w:numPr>
          <w:ilvl w:val="2"/>
          <w:numId w:val="27"/>
        </w:numPr>
        <w:spacing w:before="120" w:after="120" w:line="240" w:lineRule="auto"/>
        <w:rPr>
          <w:rFonts w:ascii="Cambria" w:hAnsi="Cambria" w:cs="Times New Roman"/>
          <w:b/>
          <w:bCs/>
          <w:sz w:val="24"/>
          <w:szCs w:val="24"/>
        </w:rPr>
      </w:pPr>
      <w:bookmarkStart w:id="12" w:name="_Toc156999866"/>
      <w:r w:rsidRPr="00881D21">
        <w:rPr>
          <w:rFonts w:ascii="Cambria" w:hAnsi="Cambria" w:cs="Times New Roman"/>
          <w:b/>
          <w:bCs/>
          <w:sz w:val="24"/>
          <w:szCs w:val="24"/>
        </w:rPr>
        <w:t>Latvijas SEG mērķu kopsavilkums</w:t>
      </w:r>
      <w:bookmarkEnd w:id="12"/>
    </w:p>
    <w:p w14:paraId="7DE92B96" w14:textId="77777777" w:rsidR="00B75D0C" w:rsidRPr="00881D21" w:rsidRDefault="00B75D0C" w:rsidP="00B75D0C">
      <w:pPr>
        <w:spacing w:before="120" w:after="120" w:line="240" w:lineRule="auto"/>
        <w:ind w:firstLine="360"/>
        <w:jc w:val="both"/>
        <w:rPr>
          <w:rFonts w:ascii="Cambria" w:hAnsi="Cambria"/>
          <w:sz w:val="24"/>
          <w:szCs w:val="24"/>
        </w:rPr>
      </w:pPr>
      <w:r w:rsidRPr="00881D21">
        <w:rPr>
          <w:rFonts w:ascii="Cambria" w:hAnsi="Cambria"/>
          <w:sz w:val="24"/>
          <w:szCs w:val="24"/>
        </w:rPr>
        <w:t>Latvijai noteikto SEG mērķu kopsavilkums ietverts 2. tabulā.</w:t>
      </w:r>
    </w:p>
    <w:p w14:paraId="753A139F" w14:textId="77777777" w:rsidR="00B75D0C" w:rsidRPr="00881D21" w:rsidRDefault="00B75D0C" w:rsidP="00B75D0C">
      <w:pPr>
        <w:pStyle w:val="WW-Caption"/>
        <w:rPr>
          <w:rFonts w:ascii="Cambria" w:hAnsi="Cambria"/>
          <w:sz w:val="24"/>
          <w:szCs w:val="24"/>
        </w:rPr>
      </w:pPr>
      <w:r w:rsidRPr="00881D21">
        <w:rPr>
          <w:rFonts w:ascii="Cambria" w:hAnsi="Cambria"/>
          <w:sz w:val="24"/>
          <w:szCs w:val="24"/>
        </w:rPr>
        <w:t>2. tabula. Latvijas SEG mērķu kopsavilkums  2021.-2030. gada periodam un 2050.gadam</w:t>
      </w:r>
      <w:r w:rsidRPr="00881D21">
        <w:rPr>
          <w:rStyle w:val="FootnoteReference"/>
          <w:rFonts w:ascii="Cambria" w:hAnsi="Cambria"/>
          <w:sz w:val="24"/>
          <w:szCs w:val="24"/>
        </w:rPr>
        <w:footnoteReference w:id="28"/>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3229"/>
        <w:gridCol w:w="1874"/>
        <w:gridCol w:w="1559"/>
        <w:gridCol w:w="1559"/>
      </w:tblGrid>
      <w:tr w:rsidR="00B75D0C" w:rsidRPr="00881D21" w14:paraId="60334A50" w14:textId="77777777" w:rsidTr="002F3744">
        <w:trPr>
          <w:trHeight w:val="177"/>
          <w:tblHeader/>
          <w:jc w:val="center"/>
        </w:trPr>
        <w:tc>
          <w:tcPr>
            <w:tcW w:w="4075" w:type="dxa"/>
            <w:gridSpan w:val="2"/>
            <w:shd w:val="clear" w:color="auto" w:fill="D9D9D9" w:themeFill="background1" w:themeFillShade="D9"/>
            <w:vAlign w:val="center"/>
          </w:tcPr>
          <w:p w14:paraId="500FBDF6" w14:textId="77777777" w:rsidR="00B75D0C" w:rsidRPr="00881D21" w:rsidRDefault="00B75D0C" w:rsidP="002F3744">
            <w:pPr>
              <w:snapToGrid w:val="0"/>
              <w:spacing w:before="60" w:after="60" w:line="240" w:lineRule="auto"/>
              <w:jc w:val="center"/>
              <w:rPr>
                <w:rFonts w:ascii="Cambria" w:hAnsi="Cambria"/>
                <w:b/>
                <w:sz w:val="20"/>
                <w:szCs w:val="20"/>
              </w:rPr>
            </w:pPr>
          </w:p>
        </w:tc>
        <w:tc>
          <w:tcPr>
            <w:tcW w:w="1874" w:type="dxa"/>
            <w:shd w:val="clear" w:color="auto" w:fill="D9D9D9" w:themeFill="background1" w:themeFillShade="D9"/>
          </w:tcPr>
          <w:p w14:paraId="06F7624F" w14:textId="77777777" w:rsidR="00B75D0C" w:rsidRPr="00881D21" w:rsidRDefault="00B75D0C" w:rsidP="002F3744">
            <w:pPr>
              <w:spacing w:before="60" w:after="60" w:line="240" w:lineRule="auto"/>
              <w:jc w:val="center"/>
              <w:rPr>
                <w:rFonts w:ascii="Cambria" w:hAnsi="Cambria"/>
                <w:b/>
                <w:sz w:val="20"/>
                <w:szCs w:val="20"/>
              </w:rPr>
            </w:pPr>
            <w:r w:rsidRPr="00881D21">
              <w:rPr>
                <w:rFonts w:ascii="Cambria" w:hAnsi="Cambria"/>
                <w:b/>
                <w:sz w:val="20"/>
                <w:szCs w:val="20"/>
              </w:rPr>
              <w:t>2021-2025</w:t>
            </w:r>
          </w:p>
        </w:tc>
        <w:tc>
          <w:tcPr>
            <w:tcW w:w="1559" w:type="dxa"/>
            <w:shd w:val="clear" w:color="auto" w:fill="D9D9D9" w:themeFill="background1" w:themeFillShade="D9"/>
          </w:tcPr>
          <w:p w14:paraId="5B831F4E" w14:textId="77777777" w:rsidR="00B75D0C" w:rsidRPr="00881D21" w:rsidRDefault="00B75D0C" w:rsidP="002F3744">
            <w:pPr>
              <w:spacing w:before="60" w:after="60" w:line="240" w:lineRule="auto"/>
              <w:jc w:val="center"/>
              <w:rPr>
                <w:rFonts w:ascii="Cambria" w:hAnsi="Cambria"/>
                <w:b/>
                <w:sz w:val="20"/>
                <w:szCs w:val="20"/>
              </w:rPr>
            </w:pPr>
            <w:r w:rsidRPr="00881D21">
              <w:rPr>
                <w:rFonts w:ascii="Cambria" w:hAnsi="Cambria"/>
                <w:b/>
                <w:sz w:val="20"/>
                <w:szCs w:val="20"/>
              </w:rPr>
              <w:t>2026 - 2030</w:t>
            </w:r>
          </w:p>
        </w:tc>
        <w:tc>
          <w:tcPr>
            <w:tcW w:w="1559" w:type="dxa"/>
            <w:shd w:val="clear" w:color="auto" w:fill="D9D9D9" w:themeFill="background1" w:themeFillShade="D9"/>
          </w:tcPr>
          <w:p w14:paraId="5054CC6D" w14:textId="77777777" w:rsidR="00B75D0C" w:rsidRPr="00881D21" w:rsidRDefault="00B75D0C" w:rsidP="002F3744">
            <w:pPr>
              <w:spacing w:before="60" w:after="60" w:line="240" w:lineRule="auto"/>
              <w:jc w:val="center"/>
              <w:rPr>
                <w:rFonts w:ascii="Cambria" w:hAnsi="Cambria"/>
                <w:b/>
                <w:sz w:val="20"/>
                <w:szCs w:val="20"/>
              </w:rPr>
            </w:pPr>
            <w:r w:rsidRPr="00881D21">
              <w:rPr>
                <w:rFonts w:ascii="Cambria" w:hAnsi="Cambria"/>
                <w:b/>
                <w:sz w:val="20"/>
                <w:szCs w:val="20"/>
              </w:rPr>
              <w:t>2050</w:t>
            </w:r>
          </w:p>
        </w:tc>
      </w:tr>
      <w:tr w:rsidR="00B75D0C" w:rsidRPr="00881D21" w14:paraId="2C9E582E" w14:textId="77777777" w:rsidTr="002F3744">
        <w:trPr>
          <w:trHeight w:val="719"/>
          <w:jc w:val="center"/>
        </w:trPr>
        <w:tc>
          <w:tcPr>
            <w:tcW w:w="846"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AB6BB4D" w14:textId="77777777" w:rsidR="00B75D0C" w:rsidRPr="00881D21" w:rsidRDefault="00B75D0C" w:rsidP="002F3744">
            <w:pPr>
              <w:spacing w:before="60" w:after="60" w:line="240" w:lineRule="auto"/>
              <w:ind w:left="113" w:right="113"/>
              <w:jc w:val="center"/>
              <w:rPr>
                <w:rFonts w:ascii="Cambria" w:hAnsi="Cambria"/>
                <w:sz w:val="20"/>
                <w:szCs w:val="20"/>
              </w:rPr>
            </w:pPr>
            <w:r w:rsidRPr="00881D21">
              <w:rPr>
                <w:rFonts w:ascii="Cambria" w:hAnsi="Cambria"/>
                <w:sz w:val="20"/>
                <w:szCs w:val="20"/>
              </w:rPr>
              <w:t>SEG emisiju samazināšana</w:t>
            </w:r>
          </w:p>
        </w:tc>
        <w:tc>
          <w:tcPr>
            <w:tcW w:w="3229" w:type="dxa"/>
            <w:tcBorders>
              <w:top w:val="single" w:sz="4" w:space="0" w:color="auto"/>
              <w:left w:val="single" w:sz="4" w:space="0" w:color="auto"/>
              <w:bottom w:val="single" w:sz="4" w:space="0" w:color="auto"/>
              <w:right w:val="single" w:sz="4" w:space="0" w:color="auto"/>
            </w:tcBorders>
            <w:vAlign w:val="center"/>
          </w:tcPr>
          <w:p w14:paraId="3F3C4374" w14:textId="77777777" w:rsidR="00B75D0C" w:rsidRPr="00881D21" w:rsidRDefault="00B75D0C" w:rsidP="002F3744">
            <w:pPr>
              <w:spacing w:before="60" w:after="60" w:line="240" w:lineRule="auto"/>
              <w:jc w:val="center"/>
              <w:rPr>
                <w:rFonts w:ascii="Cambria" w:hAnsi="Cambria"/>
                <w:sz w:val="20"/>
                <w:szCs w:val="20"/>
              </w:rPr>
            </w:pPr>
            <w:r w:rsidRPr="00881D21">
              <w:rPr>
                <w:rFonts w:ascii="Cambria" w:hAnsi="Cambria"/>
                <w:sz w:val="20"/>
                <w:szCs w:val="20"/>
              </w:rPr>
              <w:t>ne-ETS SEG emisijas</w:t>
            </w:r>
          </w:p>
        </w:tc>
        <w:tc>
          <w:tcPr>
            <w:tcW w:w="343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F481C0"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-17%</w:t>
            </w:r>
            <w:r w:rsidRPr="00881D21">
              <w:rPr>
                <w:rStyle w:val="FootnoteReference"/>
                <w:rFonts w:ascii="Cambria" w:eastAsia="Times New Roman" w:hAnsi="Cambria"/>
                <w:kern w:val="2"/>
                <w:sz w:val="20"/>
                <w:szCs w:val="20"/>
                <w:lang w:eastAsia="lv-LV"/>
              </w:rPr>
              <w:footnoteReference w:id="29"/>
            </w:r>
          </w:p>
          <w:p w14:paraId="1022569B" w14:textId="77777777" w:rsidR="00B75D0C" w:rsidRPr="00881D21" w:rsidRDefault="00B75D0C" w:rsidP="002F3744">
            <w:pPr>
              <w:spacing w:before="60" w:after="60" w:line="240" w:lineRule="auto"/>
              <w:jc w:val="center"/>
              <w:rPr>
                <w:rFonts w:ascii="Cambria" w:eastAsia="Times New Roman" w:hAnsi="Cambria"/>
                <w:color w:val="808080" w:themeColor="background1" w:themeShade="80"/>
                <w:kern w:val="2"/>
                <w:sz w:val="20"/>
                <w:szCs w:val="20"/>
                <w:lang w:eastAsia="lv-LV"/>
              </w:rPr>
            </w:pPr>
            <w:r w:rsidRPr="00881D21">
              <w:rPr>
                <w:rFonts w:ascii="Cambria" w:eastAsia="Times New Roman" w:hAnsi="Cambria"/>
                <w:kern w:val="2"/>
                <w:sz w:val="20"/>
                <w:szCs w:val="20"/>
                <w:lang w:eastAsia="lv-LV"/>
              </w:rPr>
              <w:t>(sadalīts ikgadējos mērķos)</w:t>
            </w:r>
            <w:r w:rsidRPr="00881D21">
              <w:rPr>
                <w:rStyle w:val="FootnoteReference"/>
                <w:rFonts w:ascii="Cambria" w:eastAsia="Times New Roman" w:hAnsi="Cambria"/>
                <w:kern w:val="2"/>
                <w:sz w:val="20"/>
                <w:szCs w:val="20"/>
                <w:lang w:eastAsia="lv-LV"/>
              </w:rPr>
              <w:footnoteReference w:id="30"/>
            </w:r>
          </w:p>
        </w:tc>
        <w:tc>
          <w:tcPr>
            <w:tcW w:w="1559" w:type="dxa"/>
            <w:vMerge w:val="restart"/>
            <w:tcBorders>
              <w:top w:val="single" w:sz="4" w:space="0" w:color="auto"/>
              <w:left w:val="single" w:sz="4" w:space="0" w:color="auto"/>
              <w:right w:val="single" w:sz="4" w:space="0" w:color="auto"/>
            </w:tcBorders>
            <w:shd w:val="clear" w:color="auto" w:fill="FFFFFF" w:themeFill="background1"/>
          </w:tcPr>
          <w:p w14:paraId="10612019"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p>
          <w:p w14:paraId="791923DD"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p>
          <w:p w14:paraId="5481CBBF"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K</w:t>
            </w:r>
          </w:p>
          <w:p w14:paraId="12723EF9"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L</w:t>
            </w:r>
          </w:p>
          <w:p w14:paraId="43E68F1A"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I</w:t>
            </w:r>
          </w:p>
          <w:p w14:paraId="7F0CBE92"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M</w:t>
            </w:r>
          </w:p>
          <w:p w14:paraId="26F7D6FC"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T</w:t>
            </w:r>
          </w:p>
          <w:p w14:paraId="0CFF436A"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N</w:t>
            </w:r>
          </w:p>
          <w:p w14:paraId="37C9E006"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E</w:t>
            </w:r>
          </w:p>
          <w:p w14:paraId="56A40797"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I</w:t>
            </w:r>
          </w:p>
          <w:p w14:paraId="6DC41BA5"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T</w:t>
            </w:r>
          </w:p>
          <w:p w14:paraId="17658972"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R</w:t>
            </w:r>
          </w:p>
          <w:p w14:paraId="2D56A1AC"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A</w:t>
            </w:r>
          </w:p>
          <w:p w14:paraId="6F85135B"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L</w:t>
            </w:r>
          </w:p>
          <w:p w14:paraId="5F447C06"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I</w:t>
            </w:r>
          </w:p>
          <w:p w14:paraId="6156D6A8"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T</w:t>
            </w:r>
          </w:p>
          <w:p w14:paraId="5B75DB1F"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Ā</w:t>
            </w:r>
          </w:p>
          <w:p w14:paraId="53642A46"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T</w:t>
            </w:r>
          </w:p>
          <w:p w14:paraId="44B69C7E"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r w:rsidRPr="00881D21">
              <w:rPr>
                <w:rFonts w:ascii="Cambria" w:eastAsia="Times New Roman" w:hAnsi="Cambria"/>
                <w:kern w:val="2"/>
                <w:sz w:val="20"/>
                <w:szCs w:val="20"/>
                <w:lang w:eastAsia="lv-LV"/>
              </w:rPr>
              <w:t>E</w:t>
            </w:r>
          </w:p>
        </w:tc>
      </w:tr>
      <w:tr w:rsidR="00B75D0C" w:rsidRPr="00881D21" w14:paraId="78695A45" w14:textId="77777777" w:rsidTr="002F3744">
        <w:trPr>
          <w:trHeight w:val="814"/>
          <w:jc w:val="center"/>
        </w:trPr>
        <w:tc>
          <w:tcPr>
            <w:tcW w:w="846" w:type="dxa"/>
            <w:vMerge/>
            <w:textDirection w:val="btLr"/>
            <w:vAlign w:val="center"/>
          </w:tcPr>
          <w:p w14:paraId="51A99E59" w14:textId="77777777" w:rsidR="00B75D0C" w:rsidRPr="00881D21" w:rsidRDefault="00B75D0C" w:rsidP="002F3744">
            <w:pPr>
              <w:rPr>
                <w:rFonts w:ascii="Cambria" w:hAnsi="Cambria"/>
              </w:rPr>
            </w:pPr>
          </w:p>
        </w:tc>
        <w:tc>
          <w:tcPr>
            <w:tcW w:w="3229" w:type="dxa"/>
            <w:tcBorders>
              <w:top w:val="single" w:sz="4" w:space="0" w:color="auto"/>
              <w:left w:val="single" w:sz="4" w:space="0" w:color="auto"/>
              <w:bottom w:val="single" w:sz="4" w:space="0" w:color="auto"/>
              <w:right w:val="single" w:sz="4" w:space="0" w:color="auto"/>
            </w:tcBorders>
            <w:vAlign w:val="center"/>
          </w:tcPr>
          <w:p w14:paraId="732C9AAA" w14:textId="77777777" w:rsidR="00B75D0C" w:rsidRPr="00881D21" w:rsidRDefault="00B75D0C" w:rsidP="002F3744">
            <w:pPr>
              <w:spacing w:before="60" w:after="60" w:line="240" w:lineRule="auto"/>
              <w:jc w:val="center"/>
              <w:rPr>
                <w:rFonts w:ascii="Cambria" w:hAnsi="Cambria"/>
                <w:sz w:val="20"/>
                <w:szCs w:val="20"/>
              </w:rPr>
            </w:pPr>
            <w:r w:rsidRPr="00881D21">
              <w:rPr>
                <w:rFonts w:ascii="Cambria" w:hAnsi="Cambria"/>
                <w:sz w:val="20"/>
                <w:szCs w:val="20"/>
              </w:rPr>
              <w:t xml:space="preserve">ES ETS SEG </w:t>
            </w:r>
          </w:p>
          <w:p w14:paraId="11365FE6" w14:textId="77777777" w:rsidR="00B75D0C" w:rsidRPr="00881D21" w:rsidRDefault="00B75D0C" w:rsidP="002F3744">
            <w:pPr>
              <w:spacing w:before="60" w:after="60" w:line="240" w:lineRule="auto"/>
              <w:jc w:val="center"/>
              <w:rPr>
                <w:rFonts w:ascii="Cambria" w:hAnsi="Cambria"/>
                <w:sz w:val="20"/>
                <w:szCs w:val="20"/>
              </w:rPr>
            </w:pPr>
            <w:r w:rsidRPr="00881D21">
              <w:rPr>
                <w:rFonts w:ascii="Cambria" w:hAnsi="Cambria"/>
                <w:sz w:val="20"/>
                <w:szCs w:val="20"/>
              </w:rPr>
              <w:t>emisijas</w:t>
            </w:r>
          </w:p>
        </w:tc>
        <w:tc>
          <w:tcPr>
            <w:tcW w:w="343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09C302" w14:textId="77777777" w:rsidR="00B75D0C" w:rsidRPr="00881D21" w:rsidRDefault="00B75D0C" w:rsidP="002F3744">
            <w:pPr>
              <w:spacing w:before="60" w:after="60" w:line="240" w:lineRule="auto"/>
              <w:jc w:val="center"/>
              <w:rPr>
                <w:rFonts w:ascii="Cambria" w:eastAsia="Times New Roman" w:hAnsi="Cambria"/>
                <w:color w:val="808080" w:themeColor="background1" w:themeShade="80"/>
                <w:kern w:val="2"/>
                <w:sz w:val="20"/>
                <w:szCs w:val="20"/>
                <w:lang w:eastAsia="lv-LV"/>
              </w:rPr>
            </w:pPr>
          </w:p>
          <w:p w14:paraId="078B165F" w14:textId="77777777" w:rsidR="00B75D0C" w:rsidRPr="00881D21" w:rsidRDefault="00B75D0C" w:rsidP="002F3744">
            <w:pPr>
              <w:spacing w:before="60" w:after="60" w:line="240" w:lineRule="auto"/>
              <w:jc w:val="center"/>
              <w:rPr>
                <w:rFonts w:ascii="Cambria" w:eastAsia="Times New Roman" w:hAnsi="Cambria"/>
                <w:color w:val="808080" w:themeColor="background1" w:themeShade="80"/>
                <w:kern w:val="2"/>
                <w:sz w:val="20"/>
                <w:szCs w:val="20"/>
                <w:lang w:eastAsia="lv-LV"/>
              </w:rPr>
            </w:pPr>
            <w:r w:rsidRPr="00881D21">
              <w:rPr>
                <w:rFonts w:ascii="Cambria" w:eastAsia="Times New Roman" w:hAnsi="Cambria"/>
                <w:kern w:val="2"/>
                <w:sz w:val="20"/>
                <w:szCs w:val="20"/>
                <w:lang w:eastAsia="lv-LV"/>
              </w:rPr>
              <w:t>-62%</w:t>
            </w:r>
          </w:p>
        </w:tc>
        <w:tc>
          <w:tcPr>
            <w:tcW w:w="1559" w:type="dxa"/>
            <w:vMerge/>
          </w:tcPr>
          <w:p w14:paraId="7DE5EAB0" w14:textId="77777777" w:rsidR="00B75D0C" w:rsidRPr="00881D21" w:rsidRDefault="00B75D0C" w:rsidP="002F3744">
            <w:pPr>
              <w:spacing w:before="60" w:after="60" w:line="240" w:lineRule="auto"/>
              <w:jc w:val="center"/>
              <w:rPr>
                <w:rFonts w:ascii="Cambria" w:eastAsia="Times New Roman" w:hAnsi="Cambria"/>
                <w:color w:val="808080" w:themeColor="background1" w:themeShade="80"/>
                <w:kern w:val="2"/>
                <w:sz w:val="20"/>
                <w:szCs w:val="20"/>
                <w:lang w:eastAsia="lv-LV"/>
              </w:rPr>
            </w:pPr>
          </w:p>
        </w:tc>
      </w:tr>
      <w:tr w:rsidR="00B75D0C" w:rsidRPr="00881D21" w14:paraId="11A10405" w14:textId="77777777" w:rsidTr="002F3744">
        <w:trPr>
          <w:trHeight w:val="687"/>
          <w:jc w:val="center"/>
        </w:trPr>
        <w:tc>
          <w:tcPr>
            <w:tcW w:w="846"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CB8FE7A" w14:textId="77777777" w:rsidR="00B75D0C" w:rsidRPr="00881D21" w:rsidRDefault="00B75D0C" w:rsidP="002F3744">
            <w:pPr>
              <w:spacing w:before="60" w:after="60" w:line="240" w:lineRule="auto"/>
              <w:ind w:left="113" w:right="113"/>
              <w:jc w:val="center"/>
              <w:rPr>
                <w:rFonts w:ascii="Cambria" w:hAnsi="Cambria"/>
                <w:sz w:val="20"/>
                <w:szCs w:val="20"/>
              </w:rPr>
            </w:pPr>
            <w:r w:rsidRPr="00881D21">
              <w:rPr>
                <w:rFonts w:ascii="Cambria" w:hAnsi="Cambria"/>
                <w:sz w:val="20"/>
                <w:szCs w:val="20"/>
              </w:rPr>
              <w:t>ZIZIMM sektora uzskaites kategorijas</w:t>
            </w:r>
          </w:p>
        </w:tc>
        <w:tc>
          <w:tcPr>
            <w:tcW w:w="3229" w:type="dxa"/>
            <w:tcBorders>
              <w:top w:val="single" w:sz="4" w:space="0" w:color="auto"/>
              <w:left w:val="single" w:sz="4" w:space="0" w:color="auto"/>
              <w:bottom w:val="single" w:sz="4" w:space="0" w:color="auto"/>
              <w:right w:val="single" w:sz="4" w:space="0" w:color="auto"/>
            </w:tcBorders>
            <w:vAlign w:val="center"/>
          </w:tcPr>
          <w:p w14:paraId="6007806F" w14:textId="77777777" w:rsidR="00B75D0C" w:rsidRPr="00881D21" w:rsidRDefault="00B75D0C" w:rsidP="002F3744">
            <w:pPr>
              <w:spacing w:before="60" w:after="60" w:line="240" w:lineRule="auto"/>
              <w:jc w:val="center"/>
              <w:rPr>
                <w:rFonts w:ascii="Cambria" w:hAnsi="Cambria"/>
                <w:sz w:val="20"/>
                <w:szCs w:val="20"/>
              </w:rPr>
            </w:pPr>
            <w:r w:rsidRPr="00881D21">
              <w:rPr>
                <w:rFonts w:ascii="Cambria" w:hAnsi="Cambria"/>
                <w:sz w:val="20"/>
                <w:szCs w:val="20"/>
              </w:rPr>
              <w:t>Apmežota zeme</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AD714BE" w14:textId="77777777" w:rsidR="00B75D0C" w:rsidRPr="00881D21" w:rsidRDefault="00B75D0C" w:rsidP="002F3744">
            <w:pPr>
              <w:spacing w:before="60" w:after="60" w:line="240" w:lineRule="auto"/>
              <w:jc w:val="center"/>
              <w:rPr>
                <w:rFonts w:ascii="Cambria" w:eastAsia="Times New Roman" w:hAnsi="Cambria"/>
                <w:kern w:val="2"/>
                <w:sz w:val="20"/>
                <w:szCs w:val="20"/>
                <w:lang w:eastAsia="lv-LV"/>
              </w:rPr>
            </w:pPr>
          </w:p>
          <w:p w14:paraId="48437E83" w14:textId="77777777" w:rsidR="00B75D0C" w:rsidRPr="00881D21" w:rsidRDefault="00B75D0C" w:rsidP="002F3744">
            <w:pPr>
              <w:spacing w:before="60" w:after="60" w:line="240" w:lineRule="auto"/>
              <w:jc w:val="center"/>
              <w:rPr>
                <w:rFonts w:ascii="Cambria" w:eastAsia="Times New Roman" w:hAnsi="Cambria"/>
                <w:color w:val="808080" w:themeColor="background1" w:themeShade="80"/>
                <w:kern w:val="2"/>
                <w:sz w:val="20"/>
                <w:szCs w:val="20"/>
                <w:lang w:eastAsia="lv-LV"/>
              </w:rPr>
            </w:pPr>
            <w:r w:rsidRPr="00881D21">
              <w:rPr>
                <w:rFonts w:ascii="Cambria" w:eastAsia="Times New Roman" w:hAnsi="Cambria"/>
                <w:kern w:val="2"/>
                <w:sz w:val="20"/>
                <w:szCs w:val="20"/>
                <w:lang w:eastAsia="lv-LV"/>
              </w:rPr>
              <w:t>Uzskaitāmās SEG emisijas nepārsniedz uzskaitāmo SEG piesaisti</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5937FC" w14:textId="77777777" w:rsidR="00B75D0C" w:rsidRPr="00881D21" w:rsidRDefault="00B75D0C" w:rsidP="002F3744">
            <w:pPr>
              <w:spacing w:before="60" w:after="60" w:line="240" w:lineRule="auto"/>
              <w:jc w:val="center"/>
              <w:rPr>
                <w:rFonts w:ascii="Cambria" w:eastAsia="Times New Roman" w:hAnsi="Cambria"/>
                <w:color w:val="808080" w:themeColor="background1" w:themeShade="80"/>
                <w:kern w:val="2"/>
                <w:sz w:val="20"/>
                <w:szCs w:val="20"/>
                <w:lang w:eastAsia="lv-LV"/>
              </w:rPr>
            </w:pPr>
          </w:p>
        </w:tc>
        <w:tc>
          <w:tcPr>
            <w:tcW w:w="1559" w:type="dxa"/>
            <w:vMerge/>
          </w:tcPr>
          <w:p w14:paraId="59C5BAED" w14:textId="77777777" w:rsidR="00B75D0C" w:rsidRPr="00881D21" w:rsidRDefault="00B75D0C" w:rsidP="002F3744">
            <w:pPr>
              <w:spacing w:before="60" w:after="60" w:line="240" w:lineRule="auto"/>
              <w:jc w:val="center"/>
              <w:rPr>
                <w:rFonts w:ascii="Cambria" w:eastAsia="Times New Roman" w:hAnsi="Cambria"/>
                <w:color w:val="808080" w:themeColor="background1" w:themeShade="80"/>
                <w:kern w:val="2"/>
                <w:sz w:val="20"/>
                <w:szCs w:val="20"/>
                <w:lang w:eastAsia="lv-LV"/>
              </w:rPr>
            </w:pPr>
          </w:p>
        </w:tc>
      </w:tr>
      <w:tr w:rsidR="00B75D0C" w:rsidRPr="00881D21" w14:paraId="68E6A013" w14:textId="77777777" w:rsidTr="002F3744">
        <w:trPr>
          <w:trHeight w:val="542"/>
          <w:jc w:val="center"/>
        </w:trPr>
        <w:tc>
          <w:tcPr>
            <w:tcW w:w="846" w:type="dxa"/>
            <w:vMerge/>
            <w:textDirection w:val="btLr"/>
            <w:vAlign w:val="center"/>
          </w:tcPr>
          <w:p w14:paraId="6923F933" w14:textId="77777777" w:rsidR="00B75D0C" w:rsidRPr="00881D21" w:rsidRDefault="00B75D0C" w:rsidP="002F3744">
            <w:pPr>
              <w:rPr>
                <w:rFonts w:ascii="Cambria" w:hAnsi="Cambria"/>
              </w:rPr>
            </w:pPr>
          </w:p>
        </w:tc>
        <w:tc>
          <w:tcPr>
            <w:tcW w:w="3229" w:type="dxa"/>
            <w:tcBorders>
              <w:top w:val="single" w:sz="4" w:space="0" w:color="auto"/>
              <w:left w:val="single" w:sz="4" w:space="0" w:color="auto"/>
              <w:bottom w:val="single" w:sz="4" w:space="0" w:color="auto"/>
              <w:right w:val="single" w:sz="4" w:space="0" w:color="auto"/>
            </w:tcBorders>
            <w:vAlign w:val="center"/>
          </w:tcPr>
          <w:p w14:paraId="241BFB03" w14:textId="77777777" w:rsidR="00B75D0C" w:rsidRPr="00881D21" w:rsidRDefault="00B75D0C" w:rsidP="002F3744">
            <w:pPr>
              <w:spacing w:before="60" w:after="60" w:line="240" w:lineRule="auto"/>
              <w:jc w:val="center"/>
              <w:rPr>
                <w:rFonts w:ascii="Cambria" w:hAnsi="Cambria"/>
                <w:sz w:val="20"/>
                <w:szCs w:val="20"/>
              </w:rPr>
            </w:pPr>
            <w:r w:rsidRPr="00881D21">
              <w:rPr>
                <w:rFonts w:ascii="Cambria" w:hAnsi="Cambria"/>
                <w:sz w:val="20"/>
                <w:szCs w:val="20"/>
              </w:rPr>
              <w:t>Atmežota zeme</w:t>
            </w:r>
          </w:p>
        </w:tc>
        <w:tc>
          <w:tcPr>
            <w:tcW w:w="1874" w:type="dxa"/>
            <w:vMerge/>
          </w:tcPr>
          <w:p w14:paraId="607961A1" w14:textId="77777777" w:rsidR="00B75D0C" w:rsidRPr="00881D21" w:rsidRDefault="00B75D0C" w:rsidP="002F3744">
            <w:pPr>
              <w:rPr>
                <w:rFonts w:ascii="Cambria" w:hAnsi="Cambria"/>
                <w:color w:val="808080" w:themeColor="background1" w:themeShade="80"/>
              </w:rPr>
            </w:pPr>
          </w:p>
        </w:tc>
        <w:tc>
          <w:tcPr>
            <w:tcW w:w="1559" w:type="dxa"/>
            <w:vMerge/>
          </w:tcPr>
          <w:p w14:paraId="2BA33887" w14:textId="77777777" w:rsidR="00B75D0C" w:rsidRPr="00881D21" w:rsidRDefault="00B75D0C" w:rsidP="002F3744">
            <w:pPr>
              <w:rPr>
                <w:rFonts w:ascii="Cambria" w:hAnsi="Cambria"/>
                <w:color w:val="808080" w:themeColor="background1" w:themeShade="80"/>
              </w:rPr>
            </w:pPr>
          </w:p>
        </w:tc>
        <w:tc>
          <w:tcPr>
            <w:tcW w:w="1559" w:type="dxa"/>
            <w:vMerge/>
          </w:tcPr>
          <w:p w14:paraId="2FBC611F" w14:textId="77777777" w:rsidR="00B75D0C" w:rsidRPr="00881D21" w:rsidRDefault="00B75D0C" w:rsidP="002F3744">
            <w:pPr>
              <w:rPr>
                <w:rFonts w:ascii="Cambria" w:hAnsi="Cambria"/>
                <w:color w:val="808080" w:themeColor="background1" w:themeShade="80"/>
              </w:rPr>
            </w:pPr>
          </w:p>
        </w:tc>
      </w:tr>
      <w:tr w:rsidR="00B75D0C" w:rsidRPr="00881D21" w14:paraId="3DA6B78A" w14:textId="77777777" w:rsidTr="002F3744">
        <w:trPr>
          <w:trHeight w:val="396"/>
          <w:jc w:val="center"/>
        </w:trPr>
        <w:tc>
          <w:tcPr>
            <w:tcW w:w="846" w:type="dxa"/>
            <w:vMerge/>
            <w:textDirection w:val="btLr"/>
            <w:vAlign w:val="center"/>
          </w:tcPr>
          <w:p w14:paraId="7297F37B" w14:textId="77777777" w:rsidR="00B75D0C" w:rsidRPr="00881D21" w:rsidRDefault="00B75D0C" w:rsidP="002F3744">
            <w:pPr>
              <w:rPr>
                <w:rFonts w:ascii="Cambria" w:hAnsi="Cambria"/>
              </w:rPr>
            </w:pPr>
          </w:p>
        </w:tc>
        <w:tc>
          <w:tcPr>
            <w:tcW w:w="3229" w:type="dxa"/>
            <w:tcBorders>
              <w:top w:val="single" w:sz="4" w:space="0" w:color="auto"/>
              <w:left w:val="single" w:sz="4" w:space="0" w:color="auto"/>
              <w:bottom w:val="single" w:sz="4" w:space="0" w:color="auto"/>
              <w:right w:val="single" w:sz="4" w:space="0" w:color="auto"/>
            </w:tcBorders>
            <w:vAlign w:val="center"/>
          </w:tcPr>
          <w:p w14:paraId="4A64BC2E" w14:textId="77777777" w:rsidR="00B75D0C" w:rsidRPr="00881D21" w:rsidRDefault="00B75D0C" w:rsidP="002F3744">
            <w:pPr>
              <w:spacing w:before="60" w:after="60" w:line="240" w:lineRule="auto"/>
              <w:jc w:val="center"/>
              <w:rPr>
                <w:rFonts w:ascii="Cambria" w:hAnsi="Cambria"/>
                <w:sz w:val="20"/>
                <w:szCs w:val="20"/>
              </w:rPr>
            </w:pPr>
            <w:r w:rsidRPr="00881D21">
              <w:rPr>
                <w:rFonts w:ascii="Cambria" w:hAnsi="Cambria"/>
                <w:sz w:val="20"/>
                <w:szCs w:val="20"/>
              </w:rPr>
              <w:t>Apsaimniekota meža zeme</w:t>
            </w:r>
          </w:p>
          <w:p w14:paraId="15940C5A" w14:textId="77777777" w:rsidR="00B75D0C" w:rsidRPr="00881D21" w:rsidRDefault="00B75D0C" w:rsidP="002F3744">
            <w:pPr>
              <w:spacing w:before="60" w:after="60" w:line="240" w:lineRule="auto"/>
              <w:jc w:val="center"/>
              <w:rPr>
                <w:rFonts w:ascii="Cambria" w:hAnsi="Cambria"/>
              </w:rPr>
            </w:pPr>
            <w:proofErr w:type="spellStart"/>
            <w:r w:rsidRPr="00881D21">
              <w:rPr>
                <w:rFonts w:ascii="Cambria" w:hAnsi="Cambria"/>
                <w:i/>
                <w:sz w:val="20"/>
                <w:szCs w:val="20"/>
              </w:rPr>
              <w:t>MRL</w:t>
            </w:r>
            <w:r w:rsidRPr="00881D21">
              <w:rPr>
                <w:rFonts w:ascii="Cambria" w:hAnsi="Cambria"/>
                <w:i/>
                <w:sz w:val="20"/>
                <w:szCs w:val="20"/>
                <w:vertAlign w:val="superscript"/>
              </w:rPr>
              <w:t>b</w:t>
            </w:r>
            <w:proofErr w:type="spellEnd"/>
          </w:p>
        </w:tc>
        <w:tc>
          <w:tcPr>
            <w:tcW w:w="1874" w:type="dxa"/>
            <w:vMerge/>
          </w:tcPr>
          <w:p w14:paraId="6BAA91CA" w14:textId="77777777" w:rsidR="00B75D0C" w:rsidRPr="00881D21" w:rsidRDefault="00B75D0C" w:rsidP="002F3744">
            <w:pPr>
              <w:rPr>
                <w:rFonts w:ascii="Cambria" w:hAnsi="Cambria"/>
                <w:color w:val="808080" w:themeColor="background1" w:themeShade="80"/>
              </w:rPr>
            </w:pPr>
          </w:p>
        </w:tc>
        <w:tc>
          <w:tcPr>
            <w:tcW w:w="1559" w:type="dxa"/>
            <w:vMerge/>
          </w:tcPr>
          <w:p w14:paraId="09A7DBF6" w14:textId="77777777" w:rsidR="00B75D0C" w:rsidRPr="00881D21" w:rsidRDefault="00B75D0C" w:rsidP="002F3744">
            <w:pPr>
              <w:rPr>
                <w:rFonts w:ascii="Cambria" w:hAnsi="Cambria"/>
                <w:color w:val="808080" w:themeColor="background1" w:themeShade="80"/>
              </w:rPr>
            </w:pPr>
          </w:p>
        </w:tc>
        <w:tc>
          <w:tcPr>
            <w:tcW w:w="1559" w:type="dxa"/>
            <w:vMerge/>
          </w:tcPr>
          <w:p w14:paraId="07AE1D4D" w14:textId="77777777" w:rsidR="00B75D0C" w:rsidRPr="00881D21" w:rsidRDefault="00B75D0C" w:rsidP="002F3744">
            <w:pPr>
              <w:rPr>
                <w:rFonts w:ascii="Cambria" w:hAnsi="Cambria"/>
                <w:color w:val="808080" w:themeColor="background1" w:themeShade="80"/>
              </w:rPr>
            </w:pPr>
          </w:p>
        </w:tc>
      </w:tr>
      <w:tr w:rsidR="00B75D0C" w:rsidRPr="00881D21" w14:paraId="313DE4A2" w14:textId="77777777" w:rsidTr="002F3744">
        <w:trPr>
          <w:trHeight w:val="67"/>
          <w:jc w:val="center"/>
        </w:trPr>
        <w:tc>
          <w:tcPr>
            <w:tcW w:w="846" w:type="dxa"/>
            <w:vMerge/>
            <w:textDirection w:val="btLr"/>
            <w:vAlign w:val="center"/>
          </w:tcPr>
          <w:p w14:paraId="3FDBF52F" w14:textId="77777777" w:rsidR="00B75D0C" w:rsidRPr="00881D21" w:rsidRDefault="00B75D0C" w:rsidP="002F3744">
            <w:pPr>
              <w:rPr>
                <w:rFonts w:ascii="Cambria" w:hAnsi="Cambria"/>
              </w:rPr>
            </w:pPr>
          </w:p>
        </w:tc>
        <w:tc>
          <w:tcPr>
            <w:tcW w:w="3229" w:type="dxa"/>
            <w:tcBorders>
              <w:top w:val="single" w:sz="4" w:space="0" w:color="auto"/>
              <w:left w:val="single" w:sz="4" w:space="0" w:color="auto"/>
              <w:bottom w:val="single" w:sz="4" w:space="0" w:color="auto"/>
              <w:right w:val="single" w:sz="4" w:space="0" w:color="auto"/>
            </w:tcBorders>
            <w:vAlign w:val="center"/>
          </w:tcPr>
          <w:p w14:paraId="7459F3EC" w14:textId="77777777" w:rsidR="00B75D0C" w:rsidRPr="00881D21" w:rsidRDefault="00B75D0C" w:rsidP="002F3744">
            <w:pPr>
              <w:spacing w:before="60" w:after="60" w:line="240" w:lineRule="auto"/>
              <w:jc w:val="center"/>
              <w:rPr>
                <w:rFonts w:ascii="Cambria" w:hAnsi="Cambria"/>
                <w:sz w:val="20"/>
                <w:szCs w:val="20"/>
              </w:rPr>
            </w:pPr>
            <w:r w:rsidRPr="00881D21">
              <w:rPr>
                <w:rFonts w:ascii="Cambria" w:hAnsi="Cambria"/>
                <w:sz w:val="20"/>
                <w:szCs w:val="20"/>
              </w:rPr>
              <w:t>Apsaimniekota aramzeme</w:t>
            </w:r>
          </w:p>
        </w:tc>
        <w:tc>
          <w:tcPr>
            <w:tcW w:w="1874" w:type="dxa"/>
            <w:vMerge/>
          </w:tcPr>
          <w:p w14:paraId="39EF9B7F" w14:textId="77777777" w:rsidR="00B75D0C" w:rsidRPr="00881D21" w:rsidRDefault="00B75D0C" w:rsidP="002F3744">
            <w:pPr>
              <w:rPr>
                <w:rFonts w:ascii="Cambria" w:hAnsi="Cambria"/>
              </w:rPr>
            </w:pPr>
          </w:p>
        </w:tc>
        <w:tc>
          <w:tcPr>
            <w:tcW w:w="1559" w:type="dxa"/>
            <w:vMerge/>
          </w:tcPr>
          <w:p w14:paraId="382D2D3B" w14:textId="77777777" w:rsidR="00B75D0C" w:rsidRPr="00881D21" w:rsidRDefault="00B75D0C" w:rsidP="002F3744">
            <w:pPr>
              <w:rPr>
                <w:rFonts w:ascii="Cambria" w:hAnsi="Cambria"/>
                <w:color w:val="808080" w:themeColor="background1" w:themeShade="80"/>
              </w:rPr>
            </w:pPr>
          </w:p>
        </w:tc>
        <w:tc>
          <w:tcPr>
            <w:tcW w:w="1559" w:type="dxa"/>
            <w:vMerge/>
          </w:tcPr>
          <w:p w14:paraId="382CFEF6" w14:textId="77777777" w:rsidR="00B75D0C" w:rsidRPr="00881D21" w:rsidRDefault="00B75D0C" w:rsidP="002F3744">
            <w:pPr>
              <w:rPr>
                <w:rFonts w:ascii="Cambria" w:hAnsi="Cambria"/>
                <w:color w:val="808080" w:themeColor="background1" w:themeShade="80"/>
              </w:rPr>
            </w:pPr>
          </w:p>
        </w:tc>
      </w:tr>
      <w:tr w:rsidR="00B75D0C" w:rsidRPr="00881D21" w14:paraId="6E8E9FE8" w14:textId="77777777" w:rsidTr="002F3744">
        <w:trPr>
          <w:trHeight w:val="542"/>
          <w:jc w:val="center"/>
        </w:trPr>
        <w:tc>
          <w:tcPr>
            <w:tcW w:w="846" w:type="dxa"/>
            <w:vMerge/>
            <w:textDirection w:val="btLr"/>
            <w:vAlign w:val="center"/>
          </w:tcPr>
          <w:p w14:paraId="2E78D659" w14:textId="77777777" w:rsidR="00B75D0C" w:rsidRPr="00881D21" w:rsidRDefault="00B75D0C" w:rsidP="002F3744">
            <w:pPr>
              <w:rPr>
                <w:rFonts w:ascii="Cambria" w:hAnsi="Cambria"/>
              </w:rPr>
            </w:pPr>
          </w:p>
        </w:tc>
        <w:tc>
          <w:tcPr>
            <w:tcW w:w="3229" w:type="dxa"/>
            <w:tcBorders>
              <w:top w:val="single" w:sz="4" w:space="0" w:color="auto"/>
              <w:left w:val="single" w:sz="4" w:space="0" w:color="auto"/>
              <w:bottom w:val="single" w:sz="4" w:space="0" w:color="auto"/>
              <w:right w:val="single" w:sz="4" w:space="0" w:color="auto"/>
            </w:tcBorders>
            <w:vAlign w:val="center"/>
          </w:tcPr>
          <w:p w14:paraId="6CC3D059" w14:textId="77777777" w:rsidR="00B75D0C" w:rsidRPr="00881D21" w:rsidRDefault="00B75D0C" w:rsidP="002F3744">
            <w:pPr>
              <w:spacing w:before="60" w:after="60" w:line="240" w:lineRule="auto"/>
              <w:jc w:val="center"/>
              <w:rPr>
                <w:rFonts w:ascii="Cambria" w:hAnsi="Cambria"/>
                <w:sz w:val="20"/>
                <w:szCs w:val="20"/>
              </w:rPr>
            </w:pPr>
            <w:r w:rsidRPr="00881D21">
              <w:rPr>
                <w:rFonts w:ascii="Cambria" w:hAnsi="Cambria"/>
                <w:sz w:val="20"/>
                <w:szCs w:val="20"/>
              </w:rPr>
              <w:t>Apsaimniekoti zālāji</w:t>
            </w:r>
          </w:p>
        </w:tc>
        <w:tc>
          <w:tcPr>
            <w:tcW w:w="1874" w:type="dxa"/>
            <w:vMerge/>
          </w:tcPr>
          <w:p w14:paraId="2F1CD321" w14:textId="77777777" w:rsidR="00B75D0C" w:rsidRPr="00881D21" w:rsidRDefault="00B75D0C" w:rsidP="002F3744">
            <w:pPr>
              <w:rPr>
                <w:rFonts w:ascii="Cambria" w:hAnsi="Cambria"/>
              </w:rPr>
            </w:pPr>
          </w:p>
        </w:tc>
        <w:tc>
          <w:tcPr>
            <w:tcW w:w="1559" w:type="dxa"/>
            <w:vMerge/>
          </w:tcPr>
          <w:p w14:paraId="7FDC68EF" w14:textId="77777777" w:rsidR="00B75D0C" w:rsidRPr="00881D21" w:rsidRDefault="00B75D0C" w:rsidP="002F3744">
            <w:pPr>
              <w:rPr>
                <w:rFonts w:ascii="Cambria" w:hAnsi="Cambria"/>
                <w:color w:val="808080" w:themeColor="background1" w:themeShade="80"/>
              </w:rPr>
            </w:pPr>
          </w:p>
        </w:tc>
        <w:tc>
          <w:tcPr>
            <w:tcW w:w="1559" w:type="dxa"/>
            <w:vMerge/>
          </w:tcPr>
          <w:p w14:paraId="45B291C2" w14:textId="77777777" w:rsidR="00B75D0C" w:rsidRPr="00881D21" w:rsidRDefault="00B75D0C" w:rsidP="002F3744">
            <w:pPr>
              <w:rPr>
                <w:rFonts w:ascii="Cambria" w:hAnsi="Cambria"/>
                <w:color w:val="808080" w:themeColor="background1" w:themeShade="80"/>
              </w:rPr>
            </w:pPr>
          </w:p>
        </w:tc>
      </w:tr>
      <w:tr w:rsidR="00B75D0C" w:rsidRPr="00881D21" w14:paraId="6716DDB0" w14:textId="77777777" w:rsidTr="002F3744">
        <w:trPr>
          <w:trHeight w:val="542"/>
          <w:jc w:val="center"/>
        </w:trPr>
        <w:tc>
          <w:tcPr>
            <w:tcW w:w="846" w:type="dxa"/>
            <w:vMerge/>
            <w:textDirection w:val="btLr"/>
            <w:vAlign w:val="center"/>
          </w:tcPr>
          <w:p w14:paraId="70997EB7" w14:textId="77777777" w:rsidR="00B75D0C" w:rsidRPr="00881D21" w:rsidRDefault="00B75D0C" w:rsidP="002F3744">
            <w:pPr>
              <w:rPr>
                <w:rFonts w:ascii="Cambria" w:hAnsi="Cambria"/>
              </w:rPr>
            </w:pPr>
          </w:p>
        </w:tc>
        <w:tc>
          <w:tcPr>
            <w:tcW w:w="3229" w:type="dxa"/>
            <w:tcBorders>
              <w:top w:val="single" w:sz="4" w:space="0" w:color="auto"/>
              <w:left w:val="single" w:sz="4" w:space="0" w:color="auto"/>
              <w:bottom w:val="single" w:sz="4" w:space="0" w:color="auto"/>
              <w:right w:val="single" w:sz="4" w:space="0" w:color="auto"/>
            </w:tcBorders>
            <w:vAlign w:val="center"/>
          </w:tcPr>
          <w:p w14:paraId="4B9F2100" w14:textId="77777777" w:rsidR="00B75D0C" w:rsidRPr="00881D21" w:rsidRDefault="00B75D0C" w:rsidP="002F3744">
            <w:pPr>
              <w:spacing w:before="60" w:after="60" w:line="240" w:lineRule="auto"/>
              <w:jc w:val="center"/>
              <w:rPr>
                <w:rFonts w:ascii="Cambria" w:hAnsi="Cambria"/>
                <w:sz w:val="20"/>
                <w:szCs w:val="20"/>
              </w:rPr>
            </w:pPr>
            <w:r w:rsidRPr="00881D21">
              <w:rPr>
                <w:rFonts w:ascii="Cambria" w:hAnsi="Cambria"/>
                <w:sz w:val="20"/>
                <w:szCs w:val="20"/>
              </w:rPr>
              <w:t>Apsaimniekoti mitrāji</w:t>
            </w:r>
          </w:p>
        </w:tc>
        <w:tc>
          <w:tcPr>
            <w:tcW w:w="1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C1D3D8" w14:textId="77777777" w:rsidR="00B75D0C" w:rsidRPr="00881D21" w:rsidRDefault="00B75D0C" w:rsidP="002F3744">
            <w:pPr>
              <w:spacing w:before="240"/>
              <w:jc w:val="center"/>
              <w:rPr>
                <w:rFonts w:ascii="Cambria" w:hAnsi="Cambria"/>
              </w:rPr>
            </w:pPr>
            <w:r w:rsidRPr="00881D21">
              <w:rPr>
                <w:rFonts w:ascii="Cambria" w:eastAsia="Times New Roman" w:hAnsi="Cambria"/>
                <w:color w:val="808080" w:themeColor="background1" w:themeShade="80"/>
                <w:kern w:val="2"/>
                <w:sz w:val="20"/>
                <w:szCs w:val="20"/>
                <w:lang w:eastAsia="lv-LV"/>
              </w:rPr>
              <w:t>Bez saistībām</w:t>
            </w:r>
          </w:p>
        </w:tc>
        <w:tc>
          <w:tcPr>
            <w:tcW w:w="1559" w:type="dxa"/>
            <w:vMerge/>
          </w:tcPr>
          <w:p w14:paraId="50E8CCF3" w14:textId="77777777" w:rsidR="00B75D0C" w:rsidRPr="00881D21" w:rsidRDefault="00B75D0C" w:rsidP="002F3744">
            <w:pPr>
              <w:rPr>
                <w:rFonts w:ascii="Cambria" w:hAnsi="Cambria"/>
                <w:color w:val="808080" w:themeColor="background1" w:themeShade="80"/>
                <w:sz w:val="20"/>
                <w:szCs w:val="20"/>
              </w:rPr>
            </w:pPr>
          </w:p>
        </w:tc>
        <w:tc>
          <w:tcPr>
            <w:tcW w:w="1559" w:type="dxa"/>
            <w:vMerge/>
          </w:tcPr>
          <w:p w14:paraId="0E0B6B0F" w14:textId="77777777" w:rsidR="00B75D0C" w:rsidRPr="00881D21" w:rsidRDefault="00B75D0C" w:rsidP="002F3744">
            <w:pPr>
              <w:rPr>
                <w:rFonts w:ascii="Cambria" w:hAnsi="Cambria"/>
                <w:color w:val="808080" w:themeColor="background1" w:themeShade="80"/>
                <w:sz w:val="20"/>
                <w:szCs w:val="20"/>
              </w:rPr>
            </w:pPr>
          </w:p>
        </w:tc>
      </w:tr>
      <w:tr w:rsidR="00B75D0C" w:rsidRPr="00881D21" w14:paraId="293364CC" w14:textId="77777777" w:rsidTr="002F3744">
        <w:trPr>
          <w:trHeight w:val="542"/>
          <w:jc w:val="center"/>
        </w:trPr>
        <w:tc>
          <w:tcPr>
            <w:tcW w:w="4075" w:type="dxa"/>
            <w:gridSpan w:val="2"/>
            <w:tcBorders>
              <w:top w:val="single" w:sz="4" w:space="0" w:color="auto"/>
              <w:left w:val="single" w:sz="4" w:space="0" w:color="auto"/>
              <w:bottom w:val="single" w:sz="4" w:space="0" w:color="auto"/>
              <w:right w:val="single" w:sz="4" w:space="0" w:color="auto"/>
            </w:tcBorders>
            <w:vAlign w:val="center"/>
          </w:tcPr>
          <w:p w14:paraId="73438E76" w14:textId="77777777" w:rsidR="00B75D0C" w:rsidRPr="00881D21" w:rsidRDefault="00B75D0C" w:rsidP="002F3744">
            <w:pPr>
              <w:spacing w:before="60" w:after="60" w:line="240" w:lineRule="auto"/>
              <w:jc w:val="center"/>
              <w:rPr>
                <w:rFonts w:ascii="Cambria" w:hAnsi="Cambria"/>
                <w:sz w:val="20"/>
                <w:szCs w:val="20"/>
              </w:rPr>
            </w:pPr>
            <w:r w:rsidRPr="00881D21">
              <w:rPr>
                <w:rFonts w:ascii="Cambria" w:hAnsi="Cambria"/>
                <w:sz w:val="20"/>
                <w:szCs w:val="20"/>
              </w:rPr>
              <w:t xml:space="preserve">ZIZIMM sektora ziņošanas kategorijas </w:t>
            </w:r>
          </w:p>
          <w:p w14:paraId="01BD49CB" w14:textId="77777777" w:rsidR="00B75D0C" w:rsidRPr="00881D21" w:rsidRDefault="00B75D0C" w:rsidP="002F3744">
            <w:pPr>
              <w:spacing w:before="60" w:after="60" w:line="240" w:lineRule="auto"/>
              <w:jc w:val="center"/>
              <w:rPr>
                <w:rFonts w:ascii="Cambria" w:hAnsi="Cambria"/>
                <w:sz w:val="20"/>
                <w:szCs w:val="20"/>
              </w:rPr>
            </w:pPr>
            <w:r w:rsidRPr="00881D21">
              <w:rPr>
                <w:rFonts w:ascii="Cambria" w:hAnsi="Cambria"/>
                <w:sz w:val="20"/>
                <w:szCs w:val="20"/>
              </w:rPr>
              <w:t>(</w:t>
            </w:r>
            <w:r w:rsidRPr="00881D21">
              <w:rPr>
                <w:rFonts w:ascii="Cambria" w:hAnsi="Cambria"/>
                <w:i/>
                <w:iCs/>
                <w:sz w:val="20"/>
                <w:szCs w:val="20"/>
              </w:rPr>
              <w:t>meža zeme; aramzeme; zālāji; mitrāji; apdzīvotās teritorijas; cita zeme; nocirstas koksnes produkti; gaistošais slāpeklis no apstrādātām augsnēm; slāpekļa izskalošanās un aizskalošanās</w:t>
            </w:r>
            <w:r w:rsidRPr="00881D21">
              <w:rPr>
                <w:rFonts w:ascii="Cambria" w:hAnsi="Cambria"/>
                <w:sz w:val="20"/>
                <w:szCs w:val="20"/>
              </w:rPr>
              <w:t xml:space="preserve">), </w:t>
            </w:r>
            <w:proofErr w:type="spellStart"/>
            <w:r w:rsidRPr="00881D21">
              <w:rPr>
                <w:rFonts w:ascii="Cambria" w:hAnsi="Cambria"/>
                <w:sz w:val="20"/>
                <w:szCs w:val="20"/>
              </w:rPr>
              <w:t>kt</w:t>
            </w:r>
            <w:proofErr w:type="spellEnd"/>
            <w:r w:rsidRPr="00881D21">
              <w:rPr>
                <w:rFonts w:ascii="Cambria" w:hAnsi="Cambria"/>
                <w:sz w:val="20"/>
                <w:szCs w:val="20"/>
              </w:rPr>
              <w:t xml:space="preserve"> CO</w:t>
            </w:r>
            <w:r w:rsidRPr="00881D21">
              <w:rPr>
                <w:rFonts w:ascii="Cambria" w:hAnsi="Cambria"/>
                <w:sz w:val="20"/>
                <w:szCs w:val="20"/>
                <w:vertAlign w:val="subscript"/>
              </w:rPr>
              <w:t>2</w:t>
            </w:r>
            <w:r w:rsidRPr="00881D21">
              <w:rPr>
                <w:rFonts w:ascii="Cambria" w:hAnsi="Cambria"/>
                <w:sz w:val="20"/>
                <w:szCs w:val="20"/>
              </w:rPr>
              <w:t xml:space="preserve"> </w:t>
            </w:r>
            <w:proofErr w:type="spellStart"/>
            <w:r w:rsidRPr="00881D21">
              <w:rPr>
                <w:rFonts w:ascii="Cambria" w:hAnsi="Cambria"/>
                <w:sz w:val="20"/>
                <w:szCs w:val="20"/>
              </w:rPr>
              <w:t>ekv</w:t>
            </w:r>
            <w:proofErr w:type="spellEnd"/>
            <w:r w:rsidRPr="00881D21">
              <w:rPr>
                <w:rFonts w:ascii="Cambria" w:hAnsi="Cambria"/>
                <w:sz w:val="20"/>
                <w:szCs w:val="20"/>
              </w:rPr>
              <w:t>.</w:t>
            </w:r>
          </w:p>
          <w:p w14:paraId="55C4AD36" w14:textId="77777777" w:rsidR="00B75D0C" w:rsidRPr="00881D21" w:rsidRDefault="00B75D0C" w:rsidP="002F3744">
            <w:pPr>
              <w:spacing w:before="60" w:after="60" w:line="240" w:lineRule="auto"/>
              <w:jc w:val="center"/>
              <w:rPr>
                <w:rFonts w:ascii="Cambria" w:hAnsi="Cambria"/>
                <w:sz w:val="20"/>
                <w:szCs w:val="20"/>
              </w:rPr>
            </w:pPr>
          </w:p>
        </w:tc>
        <w:tc>
          <w:tcPr>
            <w:tcW w:w="1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35E0DC" w14:textId="77777777" w:rsidR="00B75D0C" w:rsidRPr="00881D21" w:rsidRDefault="00B75D0C" w:rsidP="002F3744">
            <w:pPr>
              <w:snapToGrid w:val="0"/>
              <w:spacing w:before="60" w:after="60" w:line="240" w:lineRule="auto"/>
              <w:jc w:val="center"/>
              <w:rPr>
                <w:rFonts w:ascii="Cambria" w:eastAsia="Times New Roman" w:hAnsi="Cambria"/>
                <w:color w:val="000000"/>
                <w:kern w:val="2"/>
                <w:sz w:val="20"/>
                <w:szCs w:val="20"/>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004C83" w14:textId="77777777" w:rsidR="00B75D0C" w:rsidRPr="00881D21" w:rsidRDefault="00B75D0C" w:rsidP="002F3744">
            <w:pPr>
              <w:jc w:val="center"/>
              <w:rPr>
                <w:rFonts w:ascii="Cambria" w:hAnsi="Cambria"/>
                <w:sz w:val="20"/>
                <w:szCs w:val="20"/>
              </w:rPr>
            </w:pPr>
            <w:r w:rsidRPr="00881D21">
              <w:rPr>
                <w:rFonts w:ascii="Cambria" w:hAnsi="Cambria"/>
                <w:sz w:val="20"/>
                <w:szCs w:val="20"/>
              </w:rPr>
              <w:t>-644</w:t>
            </w:r>
            <w:r w:rsidRPr="00881D21">
              <w:rPr>
                <w:rStyle w:val="FootnoteReference"/>
                <w:rFonts w:ascii="Cambria" w:hAnsi="Cambria"/>
                <w:sz w:val="20"/>
                <w:szCs w:val="20"/>
              </w:rPr>
              <w:footnoteReference w:id="31"/>
            </w:r>
          </w:p>
          <w:p w14:paraId="39840958" w14:textId="77777777" w:rsidR="00B75D0C" w:rsidRPr="00881D21" w:rsidRDefault="00B75D0C" w:rsidP="002F3744">
            <w:pPr>
              <w:snapToGrid w:val="0"/>
              <w:spacing w:before="60" w:after="60" w:line="240" w:lineRule="auto"/>
              <w:jc w:val="center"/>
              <w:rPr>
                <w:rFonts w:ascii="Cambria" w:eastAsia="Times New Roman" w:hAnsi="Cambria"/>
                <w:color w:val="000000"/>
                <w:kern w:val="2"/>
                <w:sz w:val="20"/>
                <w:szCs w:val="20"/>
                <w:lang w:eastAsia="lv-LV"/>
              </w:rPr>
            </w:pPr>
            <w:proofErr w:type="spellStart"/>
            <w:r w:rsidRPr="00881D21">
              <w:rPr>
                <w:rFonts w:ascii="Cambria" w:hAnsi="Cambria"/>
                <w:sz w:val="20"/>
                <w:szCs w:val="20"/>
              </w:rPr>
              <w:t>kt</w:t>
            </w:r>
            <w:proofErr w:type="spellEnd"/>
            <w:r w:rsidRPr="00881D21">
              <w:rPr>
                <w:rFonts w:ascii="Cambria" w:hAnsi="Cambria"/>
                <w:sz w:val="20"/>
                <w:szCs w:val="20"/>
              </w:rPr>
              <w:t xml:space="preserve"> CO</w:t>
            </w:r>
            <w:r w:rsidRPr="00881D21">
              <w:rPr>
                <w:rFonts w:ascii="Cambria" w:hAnsi="Cambria"/>
                <w:sz w:val="20"/>
                <w:szCs w:val="20"/>
                <w:vertAlign w:val="subscript"/>
              </w:rPr>
              <w:t>2</w:t>
            </w:r>
            <w:r w:rsidRPr="00881D21">
              <w:rPr>
                <w:rFonts w:ascii="Cambria" w:hAnsi="Cambria"/>
                <w:sz w:val="20"/>
                <w:szCs w:val="20"/>
              </w:rPr>
              <w:t xml:space="preserve"> </w:t>
            </w:r>
            <w:proofErr w:type="spellStart"/>
            <w:r w:rsidRPr="00881D21">
              <w:rPr>
                <w:rFonts w:ascii="Cambria" w:hAnsi="Cambria"/>
                <w:sz w:val="20"/>
                <w:szCs w:val="20"/>
              </w:rPr>
              <w:t>ekv</w:t>
            </w:r>
            <w:proofErr w:type="spellEnd"/>
            <w:r w:rsidRPr="00881D21">
              <w:rPr>
                <w:rFonts w:ascii="Cambria" w:hAnsi="Cambria"/>
                <w:sz w:val="20"/>
                <w:szCs w:val="20"/>
              </w:rPr>
              <w:t>.</w:t>
            </w:r>
          </w:p>
        </w:tc>
        <w:tc>
          <w:tcPr>
            <w:tcW w:w="1559" w:type="dxa"/>
            <w:vMerge/>
          </w:tcPr>
          <w:p w14:paraId="196740F3" w14:textId="77777777" w:rsidR="00B75D0C" w:rsidRPr="00881D21" w:rsidRDefault="00B75D0C" w:rsidP="002F3744">
            <w:pPr>
              <w:jc w:val="center"/>
              <w:rPr>
                <w:rFonts w:ascii="Cambria" w:hAnsi="Cambria"/>
                <w:sz w:val="20"/>
                <w:szCs w:val="20"/>
              </w:rPr>
            </w:pPr>
          </w:p>
        </w:tc>
      </w:tr>
    </w:tbl>
    <w:p w14:paraId="33AEBAA1" w14:textId="77777777" w:rsidR="00B75D0C" w:rsidRPr="00881D21" w:rsidRDefault="00B75D0C" w:rsidP="00B75D0C">
      <w:pPr>
        <w:pStyle w:val="NormalWeb"/>
        <w:spacing w:before="120" w:after="120"/>
        <w:jc w:val="both"/>
        <w:rPr>
          <w:rFonts w:ascii="Cambria" w:hAnsi="Cambria"/>
        </w:rPr>
      </w:pPr>
    </w:p>
    <w:p w14:paraId="513A8821" w14:textId="2F9B575B" w:rsidR="00B75D0C" w:rsidRPr="00881D21" w:rsidRDefault="00B75D0C" w:rsidP="00B75D0C">
      <w:pPr>
        <w:pStyle w:val="Heading2"/>
        <w:numPr>
          <w:ilvl w:val="1"/>
          <w:numId w:val="27"/>
        </w:numPr>
        <w:spacing w:before="120" w:after="120" w:line="240" w:lineRule="auto"/>
        <w:rPr>
          <w:rFonts w:ascii="Cambria" w:hAnsi="Cambria" w:cs="Times New Roman"/>
          <w:b/>
          <w:bCs/>
          <w:sz w:val="24"/>
          <w:szCs w:val="24"/>
        </w:rPr>
      </w:pPr>
      <w:bookmarkStart w:id="13" w:name="_Toc156999867"/>
      <w:r w:rsidRPr="00881D21">
        <w:rPr>
          <w:rFonts w:ascii="Cambria" w:hAnsi="Cambria" w:cs="Times New Roman"/>
          <w:b/>
          <w:bCs/>
          <w:sz w:val="24"/>
          <w:szCs w:val="24"/>
        </w:rPr>
        <w:t xml:space="preserve">Virzība uz </w:t>
      </w:r>
      <w:proofErr w:type="spellStart"/>
      <w:r w:rsidRPr="00881D21">
        <w:rPr>
          <w:rFonts w:ascii="Cambria" w:hAnsi="Cambria" w:cs="Times New Roman"/>
          <w:b/>
          <w:bCs/>
          <w:sz w:val="24"/>
          <w:szCs w:val="24"/>
        </w:rPr>
        <w:t>klimatnoturību</w:t>
      </w:r>
      <w:bookmarkEnd w:id="13"/>
      <w:proofErr w:type="spellEnd"/>
    </w:p>
    <w:p w14:paraId="4D854B6E" w14:textId="77777777" w:rsidR="00B75D0C" w:rsidRPr="00881D21" w:rsidRDefault="00B75D0C" w:rsidP="00B75D0C">
      <w:pPr>
        <w:spacing w:before="120" w:after="120" w:line="240" w:lineRule="auto"/>
        <w:ind w:firstLine="567"/>
        <w:jc w:val="both"/>
        <w:rPr>
          <w:rFonts w:ascii="Cambria" w:hAnsi="Cambria"/>
        </w:rPr>
      </w:pPr>
      <w:r w:rsidRPr="00881D21">
        <w:rPr>
          <w:rFonts w:ascii="Cambria" w:hAnsi="Cambria"/>
          <w:sz w:val="24"/>
          <w:szCs w:val="24"/>
        </w:rPr>
        <w:t xml:space="preserve">Vienlaikus klimata politikā arvien nozīmīgāku lomu ieņem ne tikai virzība uz </w:t>
      </w:r>
      <w:proofErr w:type="spellStart"/>
      <w:r w:rsidRPr="00881D21">
        <w:rPr>
          <w:rFonts w:ascii="Cambria" w:hAnsi="Cambria"/>
          <w:sz w:val="24"/>
          <w:szCs w:val="24"/>
        </w:rPr>
        <w:t>klimatneitralitāti</w:t>
      </w:r>
      <w:proofErr w:type="spellEnd"/>
      <w:r w:rsidRPr="00881D21">
        <w:rPr>
          <w:rFonts w:ascii="Cambria" w:hAnsi="Cambria"/>
          <w:sz w:val="24"/>
          <w:szCs w:val="24"/>
        </w:rPr>
        <w:t xml:space="preserve">, bet arī </w:t>
      </w:r>
      <w:proofErr w:type="spellStart"/>
      <w:r w:rsidRPr="00881D21">
        <w:rPr>
          <w:rFonts w:ascii="Cambria" w:hAnsi="Cambria"/>
          <w:sz w:val="24"/>
          <w:szCs w:val="24"/>
        </w:rPr>
        <w:t>klimatnoturības</w:t>
      </w:r>
      <w:proofErr w:type="spellEnd"/>
      <w:r w:rsidRPr="00881D21">
        <w:rPr>
          <w:rFonts w:ascii="Cambria" w:hAnsi="Cambria"/>
          <w:sz w:val="24"/>
          <w:szCs w:val="24"/>
        </w:rPr>
        <w:t xml:space="preserve"> veicināšana. </w:t>
      </w:r>
      <w:proofErr w:type="spellStart"/>
      <w:r w:rsidRPr="00881D21">
        <w:rPr>
          <w:rFonts w:ascii="Cambria" w:hAnsi="Cambria"/>
          <w:sz w:val="24"/>
          <w:szCs w:val="24"/>
        </w:rPr>
        <w:t>Klimatnoturība</w:t>
      </w:r>
      <w:proofErr w:type="spellEnd"/>
      <w:r w:rsidRPr="00881D21">
        <w:rPr>
          <w:rFonts w:ascii="Cambria" w:hAnsi="Cambria"/>
          <w:sz w:val="24"/>
          <w:szCs w:val="24"/>
        </w:rPr>
        <w:t xml:space="preserve"> ietekmē SEG emisiju samazināšanu un CO</w:t>
      </w:r>
      <w:r w:rsidRPr="00881D21">
        <w:rPr>
          <w:rFonts w:ascii="Cambria" w:hAnsi="Cambria"/>
          <w:sz w:val="24"/>
          <w:szCs w:val="24"/>
          <w:vertAlign w:val="subscript"/>
        </w:rPr>
        <w:t>2</w:t>
      </w:r>
      <w:r w:rsidRPr="00881D21">
        <w:rPr>
          <w:rFonts w:ascii="Cambria" w:hAnsi="Cambria"/>
          <w:sz w:val="24"/>
          <w:szCs w:val="24"/>
        </w:rPr>
        <w:t xml:space="preserve"> piesaistes palielināšanas spēju, kā piemēram, vētru risks ietekmē mežu spēju piesaistīt CO</w:t>
      </w:r>
      <w:r w:rsidRPr="00881D21">
        <w:rPr>
          <w:rFonts w:ascii="Cambria" w:hAnsi="Cambria"/>
          <w:sz w:val="24"/>
          <w:szCs w:val="24"/>
          <w:vertAlign w:val="subscript"/>
        </w:rPr>
        <w:t xml:space="preserve">2 </w:t>
      </w:r>
      <w:r w:rsidRPr="00881D21">
        <w:rPr>
          <w:rFonts w:ascii="Cambria" w:hAnsi="Cambria"/>
          <w:sz w:val="24"/>
          <w:szCs w:val="24"/>
        </w:rPr>
        <w:t>u.c. 2019. gada 17. jūlijā MK apstiprināja Latvijas pielāgošanās klimata pārmaiņām plānu laika posmam līdz 2030. gadam</w:t>
      </w:r>
      <w:r w:rsidRPr="00881D21">
        <w:rPr>
          <w:rStyle w:val="FootnoteAnchor"/>
          <w:rFonts w:ascii="Cambria" w:hAnsi="Cambria"/>
          <w:sz w:val="24"/>
          <w:szCs w:val="24"/>
        </w:rPr>
        <w:footnoteReference w:id="32"/>
      </w:r>
      <w:r w:rsidRPr="00881D21">
        <w:rPr>
          <w:rFonts w:ascii="Cambria" w:hAnsi="Cambria"/>
          <w:sz w:val="24"/>
          <w:szCs w:val="24"/>
        </w:rPr>
        <w:t>, un tā īstenošanai ir izvirzīti pieci stratēģiskie mērķi, iekļaujot vairāk nekā 80 konkrētus vidēja termiņa pasākumus.</w:t>
      </w:r>
    </w:p>
    <w:p w14:paraId="0DAB94F4" w14:textId="77777777" w:rsidR="00B75D0C" w:rsidRPr="00881D21" w:rsidRDefault="00B75D0C" w:rsidP="00B75D0C">
      <w:pPr>
        <w:pStyle w:val="Heading1"/>
        <w:numPr>
          <w:ilvl w:val="0"/>
          <w:numId w:val="27"/>
        </w:numPr>
        <w:spacing w:before="120" w:after="120" w:line="240" w:lineRule="auto"/>
        <w:jc w:val="both"/>
        <w:rPr>
          <w:rFonts w:ascii="Cambria" w:hAnsi="Cambria" w:cs="Times New Roman"/>
          <w:b/>
          <w:bCs/>
          <w:color w:val="006666"/>
          <w:sz w:val="28"/>
          <w:szCs w:val="28"/>
        </w:rPr>
      </w:pPr>
      <w:bookmarkStart w:id="14" w:name="_Toc156999868"/>
      <w:r w:rsidRPr="00881D21">
        <w:rPr>
          <w:rFonts w:ascii="Cambria" w:hAnsi="Cambria" w:cs="Times New Roman"/>
          <w:b/>
          <w:bCs/>
          <w:color w:val="006666"/>
          <w:sz w:val="28"/>
          <w:szCs w:val="28"/>
        </w:rPr>
        <w:lastRenderedPageBreak/>
        <w:t>SEG EMISIJU SAMAZINĀŠANAS MĒRĶU IZPILDE</w:t>
      </w:r>
      <w:bookmarkEnd w:id="14"/>
      <w:r w:rsidRPr="00881D21">
        <w:rPr>
          <w:rFonts w:ascii="Cambria" w:hAnsi="Cambria" w:cs="Times New Roman"/>
          <w:b/>
          <w:bCs/>
          <w:color w:val="006666"/>
          <w:sz w:val="28"/>
          <w:szCs w:val="28"/>
        </w:rPr>
        <w:t xml:space="preserve"> </w:t>
      </w:r>
    </w:p>
    <w:p w14:paraId="0A7E0DE4"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t xml:space="preserve">Latvijai saistību izpilde par periodu 2021. – 2025. gads būs jānodrošina 2027. gadā, bet periodu 2026. – 2030. gads 2032. gadā balstoties uz iesniegtām SEG inventarizācijām. Līdz tam, katru gadu jāatskaitās EK par progresu noteikto SEG mērķu izpildē. </w:t>
      </w:r>
    </w:p>
    <w:p w14:paraId="20E78E9D"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t>Lai izpildītu noteiktās saistības, atbilstoši likuma “Par piesārņojumu” 54. panta ceturtajai daļai, MK apstiprināšanai tiks iesniegta ilgtermiņa stratēģiju rīcībai ar gada emisiju sadales (turpmāk – GES) un piesaistes vienībām (ZIZIMM sektorā): Konceptuālais ziņojums “Latvijas ilgtermiņa stratēģija rīcībai ar gada emisijas sadales vienībām un piesaistes vienībām laika posmam no 2021. gada līdz 2030. gadam.</w:t>
      </w:r>
    </w:p>
    <w:p w14:paraId="6E56EC02" w14:textId="5C5E98B6" w:rsidR="00B75D0C" w:rsidRPr="00881D21" w:rsidRDefault="00B75D0C" w:rsidP="00B75D0C">
      <w:pPr>
        <w:pStyle w:val="Heading2"/>
        <w:numPr>
          <w:ilvl w:val="1"/>
          <w:numId w:val="29"/>
        </w:numPr>
        <w:spacing w:before="120" w:after="120" w:line="240" w:lineRule="auto"/>
        <w:jc w:val="both"/>
        <w:rPr>
          <w:rFonts w:ascii="Cambria" w:hAnsi="Cambria" w:cs="Times New Roman"/>
          <w:b/>
          <w:bCs/>
          <w:sz w:val="24"/>
          <w:szCs w:val="24"/>
        </w:rPr>
      </w:pPr>
      <w:bookmarkStart w:id="15" w:name="_Toc156999869"/>
      <w:r w:rsidRPr="00881D21">
        <w:rPr>
          <w:rFonts w:ascii="Cambria" w:hAnsi="Cambria" w:cs="Times New Roman"/>
          <w:b/>
          <w:bCs/>
          <w:sz w:val="24"/>
          <w:szCs w:val="24"/>
        </w:rPr>
        <w:t>SEG mērķu līdz 2030.gadam izpildes progresa novērtējums</w:t>
      </w:r>
      <w:bookmarkEnd w:id="15"/>
      <w:r w:rsidRPr="00881D21">
        <w:rPr>
          <w:rFonts w:ascii="Cambria" w:hAnsi="Cambria" w:cs="Times New Roman"/>
          <w:b/>
          <w:bCs/>
          <w:sz w:val="24"/>
          <w:szCs w:val="24"/>
        </w:rPr>
        <w:t xml:space="preserve"> </w:t>
      </w:r>
    </w:p>
    <w:p w14:paraId="17A8F3CD"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t xml:space="preserve">Atbilstoši 2023. gada SEG inventarizācijai par 1990. - 2021. gadu (turpmāk – </w:t>
      </w:r>
      <w:bookmarkStart w:id="16" w:name="_Hlk81917374"/>
      <w:r w:rsidRPr="00881D21">
        <w:rPr>
          <w:rFonts w:ascii="Cambria" w:hAnsi="Cambria"/>
          <w:sz w:val="24"/>
          <w:szCs w:val="24"/>
        </w:rPr>
        <w:t>2023. gada SEG inventarizācija</w:t>
      </w:r>
      <w:bookmarkEnd w:id="16"/>
      <w:r w:rsidRPr="00881D21">
        <w:rPr>
          <w:rFonts w:ascii="Cambria" w:hAnsi="Cambria"/>
          <w:sz w:val="24"/>
          <w:szCs w:val="24"/>
        </w:rPr>
        <w:t xml:space="preserve">) un aptuvenajai SEG inventarizācijai par 2022. gadu, Latvijas </w:t>
      </w:r>
      <w:r w:rsidRPr="00881D21">
        <w:rPr>
          <w:rFonts w:ascii="Cambria" w:hAnsi="Cambria"/>
          <w:b/>
          <w:bCs/>
          <w:sz w:val="24"/>
          <w:szCs w:val="24"/>
        </w:rPr>
        <w:t>kopējās SEG emisijas</w:t>
      </w:r>
      <w:r w:rsidRPr="00881D21">
        <w:rPr>
          <w:rFonts w:ascii="Cambria" w:hAnsi="Cambria"/>
          <w:sz w:val="24"/>
          <w:szCs w:val="24"/>
        </w:rPr>
        <w:t xml:space="preserve"> no 1990. gada līdz 2021. gadam un līdz 2022. gadam ir samazinājušās attiecīgi par 58,8 % un</w:t>
      </w:r>
      <w:r w:rsidRPr="00881D21">
        <w:rPr>
          <w:rFonts w:ascii="Cambria" w:hAnsi="Cambria"/>
          <w:color w:val="FF0000"/>
          <w:sz w:val="24"/>
          <w:szCs w:val="24"/>
        </w:rPr>
        <w:t xml:space="preserve"> </w:t>
      </w:r>
      <w:r w:rsidRPr="00881D21">
        <w:rPr>
          <w:rFonts w:ascii="Cambria" w:hAnsi="Cambria"/>
          <w:sz w:val="24"/>
          <w:szCs w:val="24"/>
        </w:rPr>
        <w:t>61,4 %, savukārt laika posmā no 2005. gada līdz 2021. gadam Latvijas kopējās SEG emisijas ir samazinājušās par 2,7 %, bet no 2005. gada līdz 2022. gadam ir samazinājušās par 9,0 %.</w:t>
      </w:r>
      <w:r w:rsidRPr="00881D21">
        <w:rPr>
          <w:rFonts w:ascii="Cambria" w:hAnsi="Cambria"/>
          <w:sz w:val="24"/>
          <w:szCs w:val="24"/>
        </w:rPr>
        <w:tab/>
        <w:t xml:space="preserve">Kopējās Latvijas SEG emisijas 2021. gadā bija 10738,1 </w:t>
      </w:r>
      <w:proofErr w:type="spellStart"/>
      <w:r w:rsidRPr="00881D21">
        <w:rPr>
          <w:rFonts w:ascii="Cambria" w:hAnsi="Cambria"/>
          <w:sz w:val="24"/>
          <w:szCs w:val="24"/>
        </w:rPr>
        <w:t>kt</w:t>
      </w:r>
      <w:proofErr w:type="spellEnd"/>
      <w:r w:rsidRPr="00881D21">
        <w:rPr>
          <w:rFonts w:ascii="Cambria" w:hAnsi="Cambria"/>
          <w:sz w:val="24"/>
          <w:szCs w:val="24"/>
        </w:rPr>
        <w:t xml:space="preserve"> CO</w:t>
      </w:r>
      <w:r w:rsidRPr="00881D21">
        <w:rPr>
          <w:rFonts w:ascii="Cambria" w:hAnsi="Cambria"/>
          <w:sz w:val="24"/>
          <w:szCs w:val="24"/>
          <w:vertAlign w:val="subscript"/>
        </w:rPr>
        <w:t>2</w:t>
      </w:r>
      <w:r w:rsidRPr="00881D21">
        <w:rPr>
          <w:rFonts w:ascii="Cambria" w:hAnsi="Cambria"/>
          <w:sz w:val="24"/>
          <w:szCs w:val="24"/>
        </w:rPr>
        <w:t xml:space="preserve"> </w:t>
      </w:r>
      <w:proofErr w:type="spellStart"/>
      <w:r w:rsidRPr="00881D21">
        <w:rPr>
          <w:rFonts w:ascii="Cambria" w:hAnsi="Cambria"/>
          <w:sz w:val="24"/>
          <w:szCs w:val="24"/>
        </w:rPr>
        <w:t>ekv</w:t>
      </w:r>
      <w:proofErr w:type="spellEnd"/>
      <w:r w:rsidRPr="00881D21">
        <w:rPr>
          <w:rFonts w:ascii="Cambria" w:hAnsi="Cambria"/>
          <w:sz w:val="24"/>
          <w:szCs w:val="24"/>
        </w:rPr>
        <w:t xml:space="preserve">., aptuvenās 2022. gada SEG emisijas – 10051,1 </w:t>
      </w:r>
      <w:proofErr w:type="spellStart"/>
      <w:r w:rsidRPr="00881D21">
        <w:rPr>
          <w:rFonts w:ascii="Cambria" w:hAnsi="Cambria"/>
          <w:sz w:val="24"/>
          <w:szCs w:val="24"/>
        </w:rPr>
        <w:t>kt</w:t>
      </w:r>
      <w:proofErr w:type="spellEnd"/>
      <w:r w:rsidRPr="00881D21">
        <w:rPr>
          <w:rFonts w:ascii="Cambria" w:hAnsi="Cambria"/>
          <w:sz w:val="24"/>
          <w:szCs w:val="24"/>
        </w:rPr>
        <w:t xml:space="preserve"> CO</w:t>
      </w:r>
      <w:r w:rsidRPr="00881D21">
        <w:rPr>
          <w:rFonts w:ascii="Cambria" w:hAnsi="Cambria"/>
          <w:sz w:val="24"/>
          <w:szCs w:val="24"/>
          <w:vertAlign w:val="subscript"/>
        </w:rPr>
        <w:t>2</w:t>
      </w:r>
      <w:r w:rsidRPr="00881D21">
        <w:rPr>
          <w:rFonts w:ascii="Cambria" w:hAnsi="Cambria"/>
          <w:sz w:val="24"/>
          <w:szCs w:val="24"/>
        </w:rPr>
        <w:t xml:space="preserve"> </w:t>
      </w:r>
      <w:proofErr w:type="spellStart"/>
      <w:r w:rsidRPr="00881D21">
        <w:rPr>
          <w:rFonts w:ascii="Cambria" w:hAnsi="Cambria"/>
          <w:sz w:val="24"/>
          <w:szCs w:val="24"/>
        </w:rPr>
        <w:t>ekv</w:t>
      </w:r>
      <w:proofErr w:type="spellEnd"/>
      <w:r w:rsidRPr="00881D21">
        <w:rPr>
          <w:rFonts w:ascii="Cambria" w:hAnsi="Cambria"/>
          <w:sz w:val="24"/>
          <w:szCs w:val="24"/>
        </w:rPr>
        <w:t xml:space="preserve">., bet 2030. gada prognozētās SEG - 9740,9 </w:t>
      </w:r>
      <w:proofErr w:type="spellStart"/>
      <w:r w:rsidRPr="00881D21">
        <w:rPr>
          <w:rFonts w:ascii="Cambria" w:hAnsi="Cambria"/>
          <w:sz w:val="24"/>
          <w:szCs w:val="24"/>
        </w:rPr>
        <w:t>kt</w:t>
      </w:r>
      <w:proofErr w:type="spellEnd"/>
      <w:r w:rsidRPr="00881D21">
        <w:rPr>
          <w:rFonts w:ascii="Cambria" w:hAnsi="Cambria"/>
          <w:sz w:val="24"/>
          <w:szCs w:val="24"/>
        </w:rPr>
        <w:t xml:space="preserve"> CO</w:t>
      </w:r>
      <w:r w:rsidRPr="00881D21">
        <w:rPr>
          <w:rFonts w:ascii="Cambria" w:hAnsi="Cambria"/>
          <w:sz w:val="24"/>
          <w:szCs w:val="24"/>
          <w:vertAlign w:val="subscript"/>
        </w:rPr>
        <w:t>2</w:t>
      </w:r>
      <w:r w:rsidRPr="00881D21">
        <w:rPr>
          <w:rFonts w:ascii="Cambria" w:hAnsi="Cambria"/>
          <w:sz w:val="24"/>
          <w:szCs w:val="24"/>
        </w:rPr>
        <w:t xml:space="preserve"> </w:t>
      </w:r>
      <w:proofErr w:type="spellStart"/>
      <w:r w:rsidRPr="00881D21">
        <w:rPr>
          <w:rFonts w:ascii="Cambria" w:hAnsi="Cambria"/>
          <w:sz w:val="24"/>
          <w:szCs w:val="24"/>
        </w:rPr>
        <w:t>ekv</w:t>
      </w:r>
      <w:proofErr w:type="spellEnd"/>
      <w:r w:rsidRPr="00881D21">
        <w:rPr>
          <w:rFonts w:ascii="Cambria" w:hAnsi="Cambria"/>
          <w:sz w:val="24"/>
          <w:szCs w:val="24"/>
        </w:rPr>
        <w:t xml:space="preserve">. Kopējais SEG emisiju sadalījums pa sektoriem 2021. gadā un 2030. gadā (neskaitot ZIZIMM) ietverts 1. attēlā. </w:t>
      </w:r>
    </w:p>
    <w:tbl>
      <w:tblPr>
        <w:tblStyle w:val="TableGrid"/>
        <w:tblW w:w="0" w:type="auto"/>
        <w:tblLook w:val="04A0" w:firstRow="1" w:lastRow="0" w:firstColumn="1" w:lastColumn="0" w:noHBand="0" w:noVBand="1"/>
      </w:tblPr>
      <w:tblGrid>
        <w:gridCol w:w="4725"/>
        <w:gridCol w:w="4620"/>
      </w:tblGrid>
      <w:tr w:rsidR="00B75D0C" w:rsidRPr="00881D21" w14:paraId="2BD468F6" w14:textId="77777777" w:rsidTr="002F3744">
        <w:tc>
          <w:tcPr>
            <w:tcW w:w="4672" w:type="dxa"/>
          </w:tcPr>
          <w:p w14:paraId="479DC8AD" w14:textId="77777777" w:rsidR="00B75D0C" w:rsidRPr="00881D21" w:rsidRDefault="00B75D0C" w:rsidP="002F3744">
            <w:pPr>
              <w:spacing w:before="120" w:after="120" w:line="240" w:lineRule="auto"/>
              <w:jc w:val="center"/>
              <w:rPr>
                <w:rFonts w:ascii="Cambria" w:hAnsi="Cambria"/>
              </w:rPr>
            </w:pPr>
            <w:r w:rsidRPr="00881D21">
              <w:rPr>
                <w:rFonts w:ascii="Cambria" w:hAnsi="Cambria"/>
                <w:noProof/>
              </w:rPr>
              <w:drawing>
                <wp:inline distT="0" distB="0" distL="0" distR="0" wp14:anchorId="09A2ECEB" wp14:editId="650A538D">
                  <wp:extent cx="2863676" cy="1750695"/>
                  <wp:effectExtent l="0" t="0" r="0" b="1905"/>
                  <wp:docPr id="925938340" name="Picture 925938340" descr="A pie char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38340" name="Picture 925938340" descr="A pie chart with text on i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63676" cy="1750695"/>
                          </a:xfrm>
                          <a:prstGeom prst="rect">
                            <a:avLst/>
                          </a:prstGeom>
                        </pic:spPr>
                      </pic:pic>
                    </a:graphicData>
                  </a:graphic>
                </wp:inline>
              </w:drawing>
            </w:r>
            <w:r w:rsidRPr="00881D21">
              <w:rPr>
                <w:rFonts w:ascii="Cambria" w:hAnsi="Cambria"/>
              </w:rPr>
              <w:t>2021</w:t>
            </w:r>
          </w:p>
        </w:tc>
        <w:tc>
          <w:tcPr>
            <w:tcW w:w="4673" w:type="dxa"/>
          </w:tcPr>
          <w:p w14:paraId="0B288073" w14:textId="77777777" w:rsidR="00B75D0C" w:rsidRPr="00881D21" w:rsidRDefault="00B75D0C" w:rsidP="002F3744">
            <w:pPr>
              <w:spacing w:before="120" w:after="120" w:line="240" w:lineRule="auto"/>
              <w:jc w:val="center"/>
              <w:rPr>
                <w:rFonts w:ascii="Cambria" w:hAnsi="Cambria"/>
              </w:rPr>
            </w:pPr>
            <w:r w:rsidRPr="00881D21">
              <w:rPr>
                <w:rFonts w:ascii="Cambria" w:hAnsi="Cambria"/>
                <w:noProof/>
              </w:rPr>
              <w:drawing>
                <wp:inline distT="0" distB="0" distL="0" distR="0" wp14:anchorId="04C94C66" wp14:editId="3B707A23">
                  <wp:extent cx="2741262" cy="1750722"/>
                  <wp:effectExtent l="0" t="0" r="2540" b="1905"/>
                  <wp:docPr id="501756277" name="Picture 501756277" descr="A char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56277" name="Picture 501756277" descr="A chart with text on i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1262" cy="1750722"/>
                          </a:xfrm>
                          <a:prstGeom prst="rect">
                            <a:avLst/>
                          </a:prstGeom>
                        </pic:spPr>
                      </pic:pic>
                    </a:graphicData>
                  </a:graphic>
                </wp:inline>
              </w:drawing>
            </w:r>
            <w:r w:rsidRPr="00881D21">
              <w:rPr>
                <w:rFonts w:ascii="Cambria" w:hAnsi="Cambria"/>
              </w:rPr>
              <w:t xml:space="preserve">2030 </w:t>
            </w:r>
          </w:p>
        </w:tc>
      </w:tr>
    </w:tbl>
    <w:p w14:paraId="0ECB6D27" w14:textId="77777777" w:rsidR="00B75D0C" w:rsidRPr="00881D21" w:rsidRDefault="00B75D0C" w:rsidP="00B75D0C">
      <w:pPr>
        <w:spacing w:before="120" w:after="120" w:line="240" w:lineRule="auto"/>
        <w:ind w:firstLine="567"/>
        <w:jc w:val="center"/>
        <w:rPr>
          <w:rFonts w:ascii="Cambria" w:hAnsi="Cambria"/>
          <w:b/>
          <w:bCs/>
          <w:noProof/>
          <w:sz w:val="24"/>
          <w:szCs w:val="24"/>
          <w:lang w:eastAsia="en-US"/>
        </w:rPr>
      </w:pPr>
      <w:r w:rsidRPr="00881D21">
        <w:rPr>
          <w:rFonts w:ascii="Cambria" w:hAnsi="Cambria"/>
          <w:b/>
          <w:bCs/>
          <w:sz w:val="24"/>
          <w:szCs w:val="24"/>
        </w:rPr>
        <w:t>1. attēls. Latvijas kopējais SEG emisiju sadalījums</w:t>
      </w:r>
      <w:r w:rsidRPr="00881D21">
        <w:rPr>
          <w:rFonts w:ascii="Cambria" w:hAnsi="Cambria"/>
          <w:b/>
          <w:bCs/>
        </w:rPr>
        <w:t xml:space="preserve"> </w:t>
      </w:r>
      <w:r w:rsidRPr="00881D21">
        <w:rPr>
          <w:rFonts w:ascii="Cambria" w:hAnsi="Cambria"/>
          <w:b/>
          <w:bCs/>
          <w:sz w:val="24"/>
          <w:szCs w:val="24"/>
        </w:rPr>
        <w:t>pa sektoriem 2021. un 2030. gadā (neskaitot ZIZIMM)</w:t>
      </w:r>
      <w:r w:rsidRPr="00881D21">
        <w:rPr>
          <w:rStyle w:val="FootnoteReference"/>
          <w:rFonts w:ascii="Cambria" w:hAnsi="Cambria"/>
          <w:b/>
          <w:bCs/>
          <w:sz w:val="24"/>
          <w:szCs w:val="24"/>
        </w:rPr>
        <w:footnoteReference w:id="33"/>
      </w:r>
    </w:p>
    <w:p w14:paraId="2D272518" w14:textId="77777777" w:rsidR="00B75D0C" w:rsidRPr="00881D21" w:rsidRDefault="00B75D0C" w:rsidP="00B75D0C">
      <w:pPr>
        <w:spacing w:before="120" w:after="120" w:line="240" w:lineRule="auto"/>
        <w:ind w:firstLine="567"/>
        <w:jc w:val="both"/>
        <w:rPr>
          <w:rFonts w:ascii="Cambria" w:hAnsi="Cambria"/>
          <w:color w:val="FF0000"/>
        </w:rPr>
      </w:pPr>
      <w:r w:rsidRPr="00881D21">
        <w:rPr>
          <w:rFonts w:ascii="Cambria" w:hAnsi="Cambria"/>
          <w:iCs/>
          <w:sz w:val="24"/>
          <w:szCs w:val="24"/>
        </w:rPr>
        <w:t>Enerģētikas sektors</w:t>
      </w:r>
      <w:r w:rsidRPr="00881D21">
        <w:rPr>
          <w:rFonts w:ascii="Cambria" w:hAnsi="Cambria"/>
          <w:i/>
          <w:sz w:val="24"/>
          <w:szCs w:val="24"/>
        </w:rPr>
        <w:t xml:space="preserve"> </w:t>
      </w:r>
      <w:r w:rsidRPr="00881D21">
        <w:rPr>
          <w:rFonts w:ascii="Cambria" w:hAnsi="Cambria"/>
          <w:sz w:val="24"/>
          <w:szCs w:val="24"/>
        </w:rPr>
        <w:t>(neskaitot transportu)</w:t>
      </w:r>
      <w:r w:rsidRPr="00881D21">
        <w:rPr>
          <w:rFonts w:ascii="Cambria" w:hAnsi="Cambria"/>
          <w:i/>
          <w:sz w:val="24"/>
          <w:szCs w:val="24"/>
        </w:rPr>
        <w:t xml:space="preserve"> </w:t>
      </w:r>
      <w:r w:rsidRPr="00881D21">
        <w:rPr>
          <w:rFonts w:ascii="Cambria" w:hAnsi="Cambria"/>
          <w:sz w:val="24"/>
          <w:szCs w:val="24"/>
        </w:rPr>
        <w:t>ir lielākais SEG emisiju avots un radīja 35,5 % no kopējām 2021. gada SEG emisijām,</w:t>
      </w:r>
      <w:r w:rsidRPr="00881D21">
        <w:rPr>
          <w:rFonts w:ascii="Cambria" w:hAnsi="Cambria"/>
        </w:rPr>
        <w:t xml:space="preserve"> </w:t>
      </w:r>
      <w:r w:rsidRPr="00881D21">
        <w:rPr>
          <w:rFonts w:ascii="Cambria" w:hAnsi="Cambria"/>
          <w:sz w:val="24"/>
          <w:szCs w:val="24"/>
        </w:rPr>
        <w:t>neskaitot ZIZIMM. Atrodoties mērenajā klimata joslā, siltumenerģijas ražošana, piemēram, telpu apsildei, ūdens sildīšanai, ražošanas procesu vajadzībām Latvijā ir būtisks SEG un gaisa piesārņojošo vielu avots. Enerģētikas sektorā tiek uzskaitītas SEG emisijas no sadedzināšanas procesiem visās tautsaimniecības nozarēs. Lielāko daļu no Enerģētikas (bez Transporta) sektora SEG emisijām rada komerciālais, sabiedriskais, mājsaimniecības, lauksaimniecības, mežsaimniecības un zivsaimniecības sektori (41,6 %), kam seko enerģētikas nozares (publiskā elektroenerģijas un siltumenerģijas ražošana) – 37,7 %, rūpniecības nozares un būvniecība</w:t>
      </w:r>
      <w:r w:rsidRPr="00881D21" w:rsidDel="002378F8">
        <w:rPr>
          <w:rFonts w:ascii="Cambria" w:hAnsi="Cambria"/>
          <w:sz w:val="24"/>
          <w:szCs w:val="24"/>
        </w:rPr>
        <w:t xml:space="preserve"> </w:t>
      </w:r>
      <w:r w:rsidRPr="00881D21">
        <w:rPr>
          <w:rFonts w:ascii="Cambria" w:hAnsi="Cambria"/>
          <w:sz w:val="24"/>
          <w:szCs w:val="24"/>
        </w:rPr>
        <w:t xml:space="preserve">(17,2 %), bet atlikušo daļu veido cits </w:t>
      </w:r>
      <w:proofErr w:type="spellStart"/>
      <w:r w:rsidRPr="00881D21">
        <w:rPr>
          <w:rFonts w:ascii="Cambria" w:hAnsi="Cambria"/>
          <w:sz w:val="24"/>
          <w:szCs w:val="24"/>
        </w:rPr>
        <w:t>bezceļa</w:t>
      </w:r>
      <w:proofErr w:type="spellEnd"/>
      <w:r w:rsidRPr="00881D21">
        <w:rPr>
          <w:rFonts w:ascii="Cambria" w:hAnsi="Cambria"/>
          <w:sz w:val="24"/>
          <w:szCs w:val="24"/>
        </w:rPr>
        <w:t xml:space="preserve"> transports un gaistošās emisijas no naftas un dabasgāzes. Enerģētikas sektora SEG emisijas svārstās atkarībā no ekonomiskajām izmaiņām valstī, kā arī būtiski atšķirīgām ziemas vidējām temperatūrām. </w:t>
      </w:r>
    </w:p>
    <w:p w14:paraId="51C6DED6" w14:textId="77777777" w:rsidR="00B75D0C" w:rsidRPr="00881D21" w:rsidRDefault="00B75D0C" w:rsidP="00B75D0C">
      <w:pPr>
        <w:spacing w:before="120" w:after="120" w:line="240" w:lineRule="auto"/>
        <w:ind w:firstLine="567"/>
        <w:jc w:val="both"/>
        <w:rPr>
          <w:rFonts w:ascii="Cambria" w:hAnsi="Cambria"/>
          <w:color w:val="FF0000"/>
          <w:sz w:val="24"/>
          <w:szCs w:val="24"/>
        </w:rPr>
      </w:pPr>
      <w:r w:rsidRPr="00881D21">
        <w:rPr>
          <w:rFonts w:ascii="Cambria" w:hAnsi="Cambria"/>
          <w:sz w:val="24"/>
          <w:szCs w:val="24"/>
        </w:rPr>
        <w:lastRenderedPageBreak/>
        <w:t xml:space="preserve">Transporta sektors ir otrais lielākais SEG emisiju avots un radīja 30,1 % no kopējām 2021. gada SEG emisijām. Lielākā daļa no transporta sektora SEG emisijām 2021. gadā ir radītas no autoceļa transporta (97,0 %), savukārt, autotransporta </w:t>
      </w:r>
      <w:proofErr w:type="spellStart"/>
      <w:r w:rsidRPr="00881D21">
        <w:rPr>
          <w:rFonts w:ascii="Cambria" w:hAnsi="Cambria"/>
          <w:sz w:val="24"/>
          <w:szCs w:val="24"/>
        </w:rPr>
        <w:t>apakšsektorā</w:t>
      </w:r>
      <w:proofErr w:type="spellEnd"/>
      <w:r w:rsidRPr="00881D21">
        <w:rPr>
          <w:rFonts w:ascii="Cambria" w:hAnsi="Cambria"/>
          <w:sz w:val="24"/>
          <w:szCs w:val="24"/>
        </w:rPr>
        <w:t xml:space="preserve"> lielākais SEG emisiju radītājs pa transportlīdzekļu grupām ir pasažieru automašīnas, kam seko kravas transportlīdzekļi un autobusi. Dzelzceļš rada 2,6 % no kopējām transporta sektora SEG emisijām, iekšzemes aviācija - 0,1 % -, bet vietējā navigācija - 0,3 %.</w:t>
      </w:r>
    </w:p>
    <w:p w14:paraId="555F9EC5" w14:textId="77777777" w:rsidR="00B75D0C" w:rsidRPr="00881D21" w:rsidRDefault="00B75D0C" w:rsidP="00B75D0C">
      <w:pPr>
        <w:spacing w:before="120" w:after="120" w:line="240" w:lineRule="auto"/>
        <w:ind w:firstLine="567"/>
        <w:jc w:val="both"/>
        <w:rPr>
          <w:rFonts w:ascii="Cambria" w:hAnsi="Cambria"/>
          <w:color w:val="FF0000"/>
        </w:rPr>
      </w:pPr>
      <w:r w:rsidRPr="00881D21">
        <w:rPr>
          <w:rFonts w:ascii="Cambria" w:hAnsi="Cambria"/>
          <w:sz w:val="24"/>
          <w:szCs w:val="24"/>
        </w:rPr>
        <w:t>Lauksaimniecība ir trešais lielākais SEG emisiju avots, kas radīja 21,0 % no kopējām Latvijas SEG emisijām 2021. gadā,</w:t>
      </w:r>
      <w:r w:rsidRPr="00881D21">
        <w:rPr>
          <w:rFonts w:ascii="Cambria" w:hAnsi="Cambria"/>
        </w:rPr>
        <w:t xml:space="preserve"> </w:t>
      </w:r>
      <w:r w:rsidRPr="00881D21">
        <w:rPr>
          <w:rFonts w:ascii="Cambria" w:hAnsi="Cambria"/>
          <w:sz w:val="24"/>
          <w:szCs w:val="24"/>
        </w:rPr>
        <w:t xml:space="preserve">neskaitot ZIZIMM. Šajā sektorā būtiskākās SEG emisijas rada lauksaimniecības augsnes (46,3 %) un lauksaimniecības dzīvnieku zarnu fermentācijas procesi (42,4 %). SEG emisiju daudzuma izmaiņas būtiski ietekmē lauksaimniecības dzīvnieku skaita svārstības un pielietotais slāpekļa minerālmēslu daudzums. </w:t>
      </w:r>
    </w:p>
    <w:p w14:paraId="505ABC0A" w14:textId="77777777" w:rsidR="00B75D0C" w:rsidRPr="00881D21" w:rsidRDefault="00B75D0C" w:rsidP="00B75D0C">
      <w:pPr>
        <w:spacing w:before="120" w:after="120" w:line="240" w:lineRule="auto"/>
        <w:ind w:firstLine="567"/>
        <w:jc w:val="both"/>
        <w:rPr>
          <w:rFonts w:ascii="Cambria" w:hAnsi="Cambria"/>
          <w:color w:val="FF0000"/>
        </w:rPr>
      </w:pPr>
      <w:r w:rsidRPr="00881D21">
        <w:rPr>
          <w:rFonts w:ascii="Cambria" w:hAnsi="Cambria"/>
          <w:sz w:val="24"/>
          <w:szCs w:val="24"/>
        </w:rPr>
        <w:t>2021. gadā rūpniecisko procesu un produktu izmantošanas (turpmāk - RPPI) sektors veidoja 8,1 % no kopējām Latvijas SEG emisijām, neskaitot ZIZIMM.</w:t>
      </w:r>
      <w:r w:rsidRPr="00881D21">
        <w:rPr>
          <w:rFonts w:ascii="Cambria" w:hAnsi="Cambria"/>
        </w:rPr>
        <w:t xml:space="preserve"> </w:t>
      </w:r>
      <w:r w:rsidRPr="00881D21">
        <w:rPr>
          <w:rFonts w:ascii="Cambria" w:hAnsi="Cambria"/>
          <w:sz w:val="24"/>
          <w:szCs w:val="24"/>
        </w:rPr>
        <w:t xml:space="preserve">Lielāko apjomu no RPPI sektora emisijām rada minerālu rūpniecība (ietver cementa, stikla un ķieģeļu ražošanu), kas veido 63,0 % no kopējām sektora emisijām. Otrs lielākais rūpniecības sektora </w:t>
      </w:r>
      <w:proofErr w:type="spellStart"/>
      <w:r w:rsidRPr="00881D21">
        <w:rPr>
          <w:rFonts w:ascii="Cambria" w:hAnsi="Cambria"/>
          <w:sz w:val="24"/>
          <w:szCs w:val="24"/>
        </w:rPr>
        <w:t>apakšsektors</w:t>
      </w:r>
      <w:proofErr w:type="spellEnd"/>
      <w:r w:rsidRPr="00881D21">
        <w:rPr>
          <w:rFonts w:ascii="Cambria" w:hAnsi="Cambria"/>
          <w:sz w:val="24"/>
          <w:szCs w:val="24"/>
        </w:rPr>
        <w:t xml:space="preserve"> ir ozona slāni noārdošo vielu (ONV) aizvietošanai izmantotie produkti (ietver </w:t>
      </w:r>
      <w:proofErr w:type="spellStart"/>
      <w:r w:rsidRPr="00881D21">
        <w:rPr>
          <w:rFonts w:ascii="Cambria" w:hAnsi="Cambria"/>
          <w:sz w:val="24"/>
          <w:szCs w:val="24"/>
        </w:rPr>
        <w:t>fluorēto</w:t>
      </w:r>
      <w:proofErr w:type="spellEnd"/>
      <w:r w:rsidRPr="00881D21">
        <w:rPr>
          <w:rFonts w:ascii="Cambria" w:hAnsi="Cambria"/>
          <w:sz w:val="24"/>
          <w:szCs w:val="24"/>
        </w:rPr>
        <w:t xml:space="preserve"> gāzu izmantošanu dzesēšanas iekārtās un gaisa kondicionieros, celtniecības putās, stacionārajā ugunsdrošības aprīkojumā un aerosolos), kas veido 28,8 % no kopējām sektora emisijām.</w:t>
      </w:r>
    </w:p>
    <w:p w14:paraId="43ECA89E"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t>Atkritumu apsaimniekošana veidoja 5,3 % no kopējām SEG emisijām 2021. gadā, neskaitot ZIZIMM.</w:t>
      </w:r>
      <w:r w:rsidRPr="00881D21">
        <w:rPr>
          <w:rFonts w:ascii="Cambria" w:hAnsi="Cambria"/>
        </w:rPr>
        <w:t xml:space="preserve"> </w:t>
      </w:r>
      <w:r w:rsidRPr="00881D21">
        <w:rPr>
          <w:rFonts w:ascii="Cambria" w:hAnsi="Cambria"/>
          <w:sz w:val="24"/>
          <w:szCs w:val="24"/>
        </w:rPr>
        <w:t>Tās ietver CH</w:t>
      </w:r>
      <w:r w:rsidRPr="00881D21">
        <w:rPr>
          <w:rFonts w:ascii="Cambria" w:hAnsi="Cambria"/>
          <w:sz w:val="24"/>
          <w:szCs w:val="24"/>
          <w:vertAlign w:val="subscript"/>
        </w:rPr>
        <w:t>4</w:t>
      </w:r>
      <w:r w:rsidRPr="00881D21">
        <w:rPr>
          <w:rFonts w:ascii="Cambria" w:hAnsi="Cambria"/>
          <w:sz w:val="24"/>
          <w:szCs w:val="24"/>
        </w:rPr>
        <w:t xml:space="preserve"> emisijas no cieto atkritumu apglabāšanas, kas veido vairāk nekā pusi (66,0 %) no kopējām SEG emisijām atkritumu apsaimniekošanas sektorā, CH</w:t>
      </w:r>
      <w:r w:rsidRPr="00881D21">
        <w:rPr>
          <w:rFonts w:ascii="Cambria" w:hAnsi="Cambria"/>
          <w:sz w:val="24"/>
          <w:szCs w:val="24"/>
          <w:vertAlign w:val="subscript"/>
        </w:rPr>
        <w:t>4</w:t>
      </w:r>
      <w:r w:rsidRPr="00881D21">
        <w:rPr>
          <w:rFonts w:ascii="Cambria" w:hAnsi="Cambria"/>
          <w:sz w:val="24"/>
          <w:szCs w:val="24"/>
        </w:rPr>
        <w:t xml:space="preserve"> un N</w:t>
      </w:r>
      <w:r w:rsidRPr="00881D21">
        <w:rPr>
          <w:rFonts w:ascii="Cambria" w:hAnsi="Cambria"/>
          <w:sz w:val="24"/>
          <w:szCs w:val="24"/>
          <w:vertAlign w:val="subscript"/>
        </w:rPr>
        <w:t>2</w:t>
      </w:r>
      <w:r w:rsidRPr="00881D21">
        <w:rPr>
          <w:rFonts w:ascii="Cambria" w:hAnsi="Cambria"/>
          <w:sz w:val="24"/>
          <w:szCs w:val="24"/>
        </w:rPr>
        <w:t>O emisijas no atkritumu bioloģiskās apstrādes (11,8 % no kopējām atkritumu apsaimniekošanas emisijām 2021. gadā), CH</w:t>
      </w:r>
      <w:r w:rsidRPr="00881D21">
        <w:rPr>
          <w:rFonts w:ascii="Cambria" w:hAnsi="Cambria"/>
          <w:sz w:val="24"/>
          <w:szCs w:val="24"/>
          <w:vertAlign w:val="subscript"/>
        </w:rPr>
        <w:t>4</w:t>
      </w:r>
      <w:r w:rsidRPr="00881D21">
        <w:rPr>
          <w:rFonts w:ascii="Cambria" w:hAnsi="Cambria"/>
          <w:sz w:val="24"/>
          <w:szCs w:val="24"/>
        </w:rPr>
        <w:t xml:space="preserve"> un N</w:t>
      </w:r>
      <w:r w:rsidRPr="00881D21">
        <w:rPr>
          <w:rFonts w:ascii="Cambria" w:hAnsi="Cambria"/>
          <w:sz w:val="24"/>
          <w:szCs w:val="24"/>
          <w:vertAlign w:val="subscript"/>
        </w:rPr>
        <w:t>2</w:t>
      </w:r>
      <w:r w:rsidRPr="00881D21">
        <w:rPr>
          <w:rFonts w:ascii="Cambria" w:hAnsi="Cambria"/>
          <w:sz w:val="24"/>
          <w:szCs w:val="24"/>
        </w:rPr>
        <w:t>O emisijas notekūdeņu attīrīšanas un novadīšanas (22,2 %), kā arī pavisam nelielu daļu (0,01 %) veido CO</w:t>
      </w:r>
      <w:r w:rsidRPr="00881D21">
        <w:rPr>
          <w:rFonts w:ascii="Cambria" w:hAnsi="Cambria"/>
          <w:sz w:val="24"/>
          <w:szCs w:val="24"/>
          <w:vertAlign w:val="subscript"/>
        </w:rPr>
        <w:t>2</w:t>
      </w:r>
      <w:r w:rsidRPr="00881D21">
        <w:rPr>
          <w:rFonts w:ascii="Cambria" w:hAnsi="Cambria"/>
          <w:sz w:val="24"/>
          <w:szCs w:val="24"/>
        </w:rPr>
        <w:t xml:space="preserve"> un N</w:t>
      </w:r>
      <w:r w:rsidRPr="00881D21">
        <w:rPr>
          <w:rFonts w:ascii="Cambria" w:hAnsi="Cambria"/>
          <w:sz w:val="24"/>
          <w:szCs w:val="24"/>
          <w:vertAlign w:val="subscript"/>
        </w:rPr>
        <w:t>2</w:t>
      </w:r>
      <w:r w:rsidRPr="00881D21">
        <w:rPr>
          <w:rFonts w:ascii="Cambria" w:hAnsi="Cambria"/>
          <w:sz w:val="24"/>
          <w:szCs w:val="24"/>
        </w:rPr>
        <w:t>O emisijas no atkritumu sadedzināšanas.</w:t>
      </w:r>
    </w:p>
    <w:p w14:paraId="690D9F32"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t>Netiešās CO</w:t>
      </w:r>
      <w:r w:rsidRPr="00881D21">
        <w:rPr>
          <w:rFonts w:ascii="Cambria" w:hAnsi="Cambria"/>
          <w:sz w:val="24"/>
          <w:szCs w:val="24"/>
          <w:vertAlign w:val="subscript"/>
        </w:rPr>
        <w:t>2</w:t>
      </w:r>
      <w:r w:rsidRPr="00881D21">
        <w:rPr>
          <w:rFonts w:ascii="Cambria" w:hAnsi="Cambria"/>
          <w:sz w:val="24"/>
          <w:szCs w:val="24"/>
        </w:rPr>
        <w:t xml:space="preserve"> emisijas tiek aprēķinātas enerģētikas sektorā, tās ir, </w:t>
      </w:r>
      <w:proofErr w:type="spellStart"/>
      <w:r w:rsidRPr="00881D21">
        <w:rPr>
          <w:rFonts w:ascii="Cambria" w:hAnsi="Cambria"/>
          <w:sz w:val="24"/>
          <w:szCs w:val="24"/>
        </w:rPr>
        <w:t>nemetāna</w:t>
      </w:r>
      <w:proofErr w:type="spellEnd"/>
      <w:r w:rsidRPr="00881D21">
        <w:rPr>
          <w:rFonts w:ascii="Cambria" w:hAnsi="Cambria"/>
          <w:sz w:val="24"/>
          <w:szCs w:val="24"/>
        </w:rPr>
        <w:t xml:space="preserve"> gaistošo organisko savienojumu (turpmāk – NMGOS) emisijas no benzīna iztvaikošanas ceļu transportā, CH</w:t>
      </w:r>
      <w:r w:rsidRPr="00881D21">
        <w:rPr>
          <w:rFonts w:ascii="Cambria" w:hAnsi="Cambria"/>
          <w:sz w:val="24"/>
          <w:szCs w:val="24"/>
          <w:vertAlign w:val="subscript"/>
        </w:rPr>
        <w:t>4</w:t>
      </w:r>
      <w:r w:rsidRPr="00881D21">
        <w:rPr>
          <w:rFonts w:ascii="Cambria" w:hAnsi="Cambria"/>
          <w:sz w:val="24"/>
          <w:szCs w:val="24"/>
        </w:rPr>
        <w:t xml:space="preserve"> un NMGOS emisijas no dabasgāzes noplūdēm, kā arī NMGOS emisijas no benzīna izplatīšanas. Kopā netiešās CO</w:t>
      </w:r>
      <w:r w:rsidRPr="00881D21">
        <w:rPr>
          <w:rFonts w:ascii="Cambria" w:hAnsi="Cambria"/>
          <w:sz w:val="24"/>
          <w:szCs w:val="24"/>
          <w:vertAlign w:val="subscript"/>
        </w:rPr>
        <w:t>2</w:t>
      </w:r>
      <w:r w:rsidRPr="00881D21">
        <w:rPr>
          <w:rFonts w:ascii="Cambria" w:hAnsi="Cambria"/>
          <w:sz w:val="24"/>
          <w:szCs w:val="24"/>
        </w:rPr>
        <w:t xml:space="preserve"> emisijas veidoja 12,83 </w:t>
      </w:r>
      <w:proofErr w:type="spellStart"/>
      <w:r w:rsidRPr="00881D21">
        <w:rPr>
          <w:rFonts w:ascii="Cambria" w:hAnsi="Cambria"/>
          <w:sz w:val="24"/>
          <w:szCs w:val="24"/>
        </w:rPr>
        <w:t>kt</w:t>
      </w:r>
      <w:proofErr w:type="spellEnd"/>
      <w:r w:rsidRPr="00881D21">
        <w:rPr>
          <w:rFonts w:ascii="Cambria" w:hAnsi="Cambria"/>
          <w:sz w:val="24"/>
          <w:szCs w:val="24"/>
        </w:rPr>
        <w:t xml:space="preserve"> CO</w:t>
      </w:r>
      <w:r w:rsidRPr="00881D21">
        <w:rPr>
          <w:rFonts w:ascii="Cambria" w:hAnsi="Cambria"/>
          <w:sz w:val="24"/>
          <w:szCs w:val="24"/>
          <w:vertAlign w:val="subscript"/>
        </w:rPr>
        <w:t>2</w:t>
      </w:r>
      <w:r w:rsidRPr="00881D21">
        <w:rPr>
          <w:rFonts w:ascii="Cambria" w:hAnsi="Cambria"/>
          <w:sz w:val="24"/>
          <w:szCs w:val="24"/>
        </w:rPr>
        <w:t xml:space="preserve"> </w:t>
      </w:r>
      <w:proofErr w:type="spellStart"/>
      <w:r w:rsidRPr="00881D21">
        <w:rPr>
          <w:rFonts w:ascii="Cambria" w:hAnsi="Cambria"/>
          <w:sz w:val="24"/>
          <w:szCs w:val="24"/>
        </w:rPr>
        <w:t>ekv</w:t>
      </w:r>
      <w:proofErr w:type="spellEnd"/>
      <w:r w:rsidRPr="00881D21">
        <w:rPr>
          <w:rFonts w:ascii="Cambria" w:hAnsi="Cambria"/>
          <w:sz w:val="24"/>
          <w:szCs w:val="24"/>
        </w:rPr>
        <w:t xml:space="preserve">. 2020.gadā, kas ir 0,1% no kopējām emisijām, neskaitot ZIZIMM sektoru. </w:t>
      </w:r>
    </w:p>
    <w:p w14:paraId="4AA12D49" w14:textId="77777777" w:rsidR="00B75D0C" w:rsidRDefault="00B75D0C" w:rsidP="00B75D0C">
      <w:pPr>
        <w:spacing w:before="120" w:after="120" w:line="240" w:lineRule="auto"/>
        <w:ind w:firstLine="567"/>
        <w:jc w:val="both"/>
        <w:rPr>
          <w:rFonts w:ascii="Cambria" w:hAnsi="Cambria"/>
          <w:sz w:val="24"/>
          <w:szCs w:val="24"/>
        </w:rPr>
      </w:pPr>
      <w:r w:rsidRPr="00881D21">
        <w:rPr>
          <w:rFonts w:ascii="Cambria" w:hAnsi="Cambria"/>
          <w:b/>
          <w:bCs/>
          <w:sz w:val="24"/>
          <w:szCs w:val="24"/>
        </w:rPr>
        <w:t>Latvijas kopējā SEG emisiju apjomā</w:t>
      </w:r>
      <w:r w:rsidRPr="00881D21">
        <w:rPr>
          <w:rFonts w:ascii="Cambria" w:hAnsi="Cambria"/>
          <w:sz w:val="24"/>
          <w:szCs w:val="24"/>
        </w:rPr>
        <w:t xml:space="preserve"> 2021. gadā dominēja ne-ETS darbību SEG emisiju apjoms – 80,8 %, savukārt ES ETS emisijas 19,2 % no kopējām SEG emisijām, skatīt </w:t>
      </w:r>
      <w:r w:rsidRPr="00881D21">
        <w:rPr>
          <w:rFonts w:ascii="Cambria" w:hAnsi="Cambria"/>
        </w:rPr>
        <w:t xml:space="preserve"> </w:t>
      </w:r>
      <w:r w:rsidRPr="00881D21">
        <w:rPr>
          <w:rFonts w:ascii="Cambria" w:hAnsi="Cambria"/>
          <w:sz w:val="24"/>
          <w:szCs w:val="24"/>
        </w:rPr>
        <w:t xml:space="preserve"> 2. attēlu. Arī 2022. gadā dominēja ne-ETS darbības ar 83,2 %, savukārt ES ETS – 16,8 %. 2030. gadā ir prognozēts, ka ES ETS būs 17,5%, bet ne-ETS – 82,5%.</w:t>
      </w:r>
    </w:p>
    <w:p w14:paraId="1E5EB318" w14:textId="77777777" w:rsidR="00BA5A5C" w:rsidRDefault="00BA5A5C" w:rsidP="00B75D0C">
      <w:pPr>
        <w:spacing w:before="120" w:after="120" w:line="240" w:lineRule="auto"/>
        <w:ind w:firstLine="567"/>
        <w:jc w:val="both"/>
        <w:rPr>
          <w:rFonts w:ascii="Cambria" w:hAnsi="Cambria"/>
          <w:sz w:val="24"/>
          <w:szCs w:val="24"/>
        </w:rPr>
      </w:pPr>
    </w:p>
    <w:p w14:paraId="2D0B3CD8" w14:textId="77777777" w:rsidR="00BA5A5C" w:rsidRPr="00881D21" w:rsidRDefault="00BA5A5C" w:rsidP="00B75D0C">
      <w:pPr>
        <w:spacing w:before="120" w:after="120" w:line="240" w:lineRule="auto"/>
        <w:ind w:firstLine="567"/>
        <w:jc w:val="both"/>
        <w:rPr>
          <w:rFonts w:ascii="Cambria" w:hAnsi="Cambria"/>
          <w:sz w:val="24"/>
          <w:szCs w:val="24"/>
        </w:rPr>
      </w:pPr>
    </w:p>
    <w:tbl>
      <w:tblPr>
        <w:tblStyle w:val="TableGrid"/>
        <w:tblW w:w="0" w:type="auto"/>
        <w:tblLook w:val="04A0" w:firstRow="1" w:lastRow="0" w:firstColumn="1" w:lastColumn="0" w:noHBand="0" w:noVBand="1"/>
      </w:tblPr>
      <w:tblGrid>
        <w:gridCol w:w="4648"/>
        <w:gridCol w:w="4697"/>
      </w:tblGrid>
      <w:tr w:rsidR="00B75D0C" w:rsidRPr="00881D21" w14:paraId="1AFAFC19" w14:textId="77777777" w:rsidTr="00BA5A5C">
        <w:trPr>
          <w:trHeight w:val="2474"/>
        </w:trPr>
        <w:tc>
          <w:tcPr>
            <w:tcW w:w="4528" w:type="dxa"/>
          </w:tcPr>
          <w:p w14:paraId="2453277B" w14:textId="77777777" w:rsidR="00B75D0C" w:rsidRPr="00881D21" w:rsidRDefault="00B75D0C" w:rsidP="002F3744">
            <w:pPr>
              <w:spacing w:before="120" w:after="120" w:line="240" w:lineRule="auto"/>
              <w:jc w:val="center"/>
              <w:rPr>
                <w:rFonts w:ascii="Cambria" w:hAnsi="Cambria"/>
              </w:rPr>
            </w:pPr>
            <w:r w:rsidRPr="00881D21">
              <w:rPr>
                <w:rFonts w:ascii="Cambria" w:hAnsi="Cambria"/>
                <w:noProof/>
              </w:rPr>
              <w:lastRenderedPageBreak/>
              <w:drawing>
                <wp:inline distT="0" distB="0" distL="0" distR="0" wp14:anchorId="2C38E979" wp14:editId="1E61835A">
                  <wp:extent cx="2924175" cy="1757745"/>
                  <wp:effectExtent l="0" t="0" r="0" b="0"/>
                  <wp:docPr id="707888954" name="Picture 707888954" descr="A pie chart with numbers and a number of item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88954" name="Picture 707888954" descr="A pie chart with numbers and a number of items&#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24175" cy="1757745"/>
                          </a:xfrm>
                          <a:prstGeom prst="rect">
                            <a:avLst/>
                          </a:prstGeom>
                        </pic:spPr>
                      </pic:pic>
                    </a:graphicData>
                  </a:graphic>
                </wp:inline>
              </w:drawing>
            </w:r>
            <w:r w:rsidRPr="00881D21">
              <w:rPr>
                <w:rFonts w:ascii="Cambria" w:hAnsi="Cambria"/>
              </w:rPr>
              <w:t>2021</w:t>
            </w:r>
          </w:p>
        </w:tc>
        <w:tc>
          <w:tcPr>
            <w:tcW w:w="4576" w:type="dxa"/>
          </w:tcPr>
          <w:p w14:paraId="251E6AFC" w14:textId="77777777" w:rsidR="00B75D0C" w:rsidRPr="00881D21" w:rsidRDefault="00B75D0C" w:rsidP="002F3744">
            <w:pPr>
              <w:spacing w:before="120" w:after="120" w:line="240" w:lineRule="auto"/>
              <w:jc w:val="center"/>
              <w:rPr>
                <w:rFonts w:ascii="Cambria" w:hAnsi="Cambria"/>
              </w:rPr>
            </w:pPr>
            <w:r w:rsidRPr="00881D21">
              <w:rPr>
                <w:rFonts w:ascii="Cambria" w:hAnsi="Cambria"/>
                <w:noProof/>
              </w:rPr>
              <w:drawing>
                <wp:inline distT="0" distB="0" distL="0" distR="0" wp14:anchorId="1DF8D69C" wp14:editId="6E4DDA03">
                  <wp:extent cx="2955925" cy="1776830"/>
                  <wp:effectExtent l="0" t="0" r="0" b="0"/>
                  <wp:docPr id="1099352741" name="Picture 1099352741" descr="A green circle with numbers and a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52741" name="Picture 1099352741" descr="A green circle with numbers and a white circ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55925" cy="1776830"/>
                          </a:xfrm>
                          <a:prstGeom prst="rect">
                            <a:avLst/>
                          </a:prstGeom>
                        </pic:spPr>
                      </pic:pic>
                    </a:graphicData>
                  </a:graphic>
                </wp:inline>
              </w:drawing>
            </w:r>
            <w:r w:rsidRPr="00881D21">
              <w:rPr>
                <w:rFonts w:ascii="Cambria" w:hAnsi="Cambria"/>
              </w:rPr>
              <w:t>2030</w:t>
            </w:r>
          </w:p>
        </w:tc>
      </w:tr>
    </w:tbl>
    <w:p w14:paraId="29A6078D" w14:textId="77777777" w:rsidR="00B75D0C" w:rsidRPr="00881D21" w:rsidRDefault="00B75D0C" w:rsidP="00B75D0C">
      <w:pPr>
        <w:spacing w:before="120" w:after="120" w:line="240" w:lineRule="auto"/>
        <w:ind w:firstLine="567"/>
        <w:jc w:val="center"/>
        <w:rPr>
          <w:rFonts w:ascii="Cambria" w:hAnsi="Cambria"/>
          <w:b/>
          <w:bCs/>
          <w:sz w:val="24"/>
          <w:szCs w:val="24"/>
        </w:rPr>
      </w:pPr>
      <w:r w:rsidRPr="00881D21">
        <w:rPr>
          <w:rFonts w:ascii="Cambria" w:hAnsi="Cambria"/>
          <w:b/>
          <w:bCs/>
          <w:sz w:val="24"/>
          <w:szCs w:val="24"/>
        </w:rPr>
        <w:t>2.attēls. Latvijas SEG emisiju sadalījums ES ETS/ne-ETS griezumā 2021. un 2030. gadā (neskaitot ZIZIMM)</w:t>
      </w:r>
      <w:r w:rsidRPr="00881D21">
        <w:rPr>
          <w:rStyle w:val="FootnoteReference"/>
          <w:rFonts w:ascii="Cambria" w:hAnsi="Cambria"/>
          <w:b/>
          <w:bCs/>
          <w:sz w:val="24"/>
          <w:szCs w:val="24"/>
        </w:rPr>
        <w:footnoteReference w:id="34"/>
      </w:r>
      <w:r w:rsidRPr="00881D21">
        <w:rPr>
          <w:rFonts w:ascii="Cambria" w:hAnsi="Cambria"/>
          <w:sz w:val="24"/>
          <w:szCs w:val="24"/>
        </w:rPr>
        <w:cr/>
      </w:r>
    </w:p>
    <w:p w14:paraId="617C761A" w14:textId="77777777" w:rsidR="00B75D0C" w:rsidRPr="00881D21" w:rsidRDefault="00B75D0C" w:rsidP="00B75D0C">
      <w:pPr>
        <w:spacing w:before="120" w:after="120" w:line="240" w:lineRule="auto"/>
        <w:ind w:firstLine="567"/>
        <w:rPr>
          <w:rFonts w:ascii="Cambria" w:hAnsi="Cambria"/>
          <w:i/>
          <w:iCs/>
          <w:color w:val="FF0000"/>
          <w:sz w:val="24"/>
          <w:szCs w:val="24"/>
        </w:rPr>
      </w:pPr>
      <w:r w:rsidRPr="00881D21">
        <w:rPr>
          <w:rFonts w:ascii="Cambria" w:hAnsi="Cambria"/>
          <w:i/>
          <w:iCs/>
          <w:sz w:val="24"/>
          <w:szCs w:val="24"/>
        </w:rPr>
        <w:t>ES ETS Latvijā</w:t>
      </w:r>
    </w:p>
    <w:p w14:paraId="7ECBA107"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t xml:space="preserve">Latvijas ES ETS operatoru radītais SEG emisiju apjoms 2021. gadā bija – 2064,9 </w:t>
      </w:r>
      <w:proofErr w:type="spellStart"/>
      <w:r w:rsidRPr="00881D21">
        <w:rPr>
          <w:rFonts w:ascii="Cambria" w:hAnsi="Cambria"/>
          <w:sz w:val="24"/>
          <w:szCs w:val="24"/>
        </w:rPr>
        <w:t>kt</w:t>
      </w:r>
      <w:proofErr w:type="spellEnd"/>
      <w:r w:rsidRPr="00881D21">
        <w:rPr>
          <w:rFonts w:ascii="Cambria" w:hAnsi="Cambria"/>
          <w:sz w:val="24"/>
          <w:szCs w:val="24"/>
        </w:rPr>
        <w:t xml:space="preserve"> CO</w:t>
      </w:r>
      <w:r w:rsidRPr="00881D21">
        <w:rPr>
          <w:rFonts w:ascii="Cambria" w:hAnsi="Cambria"/>
          <w:sz w:val="24"/>
          <w:szCs w:val="24"/>
          <w:vertAlign w:val="subscript"/>
        </w:rPr>
        <w:t>2</w:t>
      </w:r>
      <w:r w:rsidRPr="00881D21">
        <w:rPr>
          <w:rFonts w:ascii="Cambria" w:hAnsi="Cambria"/>
          <w:sz w:val="24"/>
          <w:szCs w:val="24"/>
        </w:rPr>
        <w:t xml:space="preserve"> </w:t>
      </w:r>
      <w:proofErr w:type="spellStart"/>
      <w:r w:rsidRPr="00881D21">
        <w:rPr>
          <w:rFonts w:ascii="Cambria" w:hAnsi="Cambria"/>
          <w:sz w:val="24"/>
          <w:szCs w:val="24"/>
        </w:rPr>
        <w:t>ekv</w:t>
      </w:r>
      <w:proofErr w:type="spellEnd"/>
      <w:r w:rsidRPr="00881D21">
        <w:rPr>
          <w:rFonts w:ascii="Cambria" w:hAnsi="Cambria"/>
          <w:sz w:val="24"/>
          <w:szCs w:val="24"/>
        </w:rPr>
        <w:t>., bet 2022. gadā –</w:t>
      </w:r>
      <w:r w:rsidRPr="00881D21">
        <w:rPr>
          <w:rFonts w:ascii="Cambria" w:hAnsi="Cambria"/>
          <w:color w:val="FF0000"/>
          <w:sz w:val="24"/>
          <w:szCs w:val="24"/>
        </w:rPr>
        <w:t xml:space="preserve"> </w:t>
      </w:r>
      <w:r w:rsidRPr="00881D21">
        <w:rPr>
          <w:rFonts w:ascii="Cambria" w:hAnsi="Cambria"/>
          <w:sz w:val="24"/>
          <w:szCs w:val="24"/>
        </w:rPr>
        <w:t>1689,0</w:t>
      </w:r>
      <w:r w:rsidRPr="00881D21" w:rsidDel="00566DF9">
        <w:rPr>
          <w:rFonts w:ascii="Cambria" w:hAnsi="Cambria"/>
          <w:sz w:val="24"/>
          <w:szCs w:val="24"/>
        </w:rPr>
        <w:t xml:space="preserve"> </w:t>
      </w:r>
      <w:proofErr w:type="spellStart"/>
      <w:r w:rsidRPr="00881D21">
        <w:rPr>
          <w:rFonts w:ascii="Cambria" w:hAnsi="Cambria"/>
          <w:sz w:val="24"/>
          <w:szCs w:val="24"/>
        </w:rPr>
        <w:t>kt</w:t>
      </w:r>
      <w:proofErr w:type="spellEnd"/>
      <w:r w:rsidRPr="00881D21">
        <w:rPr>
          <w:rFonts w:ascii="Cambria" w:hAnsi="Cambria"/>
          <w:sz w:val="24"/>
          <w:szCs w:val="24"/>
        </w:rPr>
        <w:t xml:space="preserve"> CO</w:t>
      </w:r>
      <w:r w:rsidRPr="00881D21">
        <w:rPr>
          <w:rFonts w:ascii="Cambria" w:hAnsi="Cambria"/>
          <w:sz w:val="24"/>
          <w:szCs w:val="24"/>
          <w:vertAlign w:val="subscript"/>
        </w:rPr>
        <w:t>2</w:t>
      </w:r>
      <w:r w:rsidRPr="00881D21">
        <w:rPr>
          <w:rFonts w:ascii="Cambria" w:hAnsi="Cambria"/>
          <w:sz w:val="24"/>
          <w:szCs w:val="24"/>
        </w:rPr>
        <w:t xml:space="preserve"> </w:t>
      </w:r>
      <w:proofErr w:type="spellStart"/>
      <w:r w:rsidRPr="00881D21">
        <w:rPr>
          <w:rFonts w:ascii="Cambria" w:hAnsi="Cambria"/>
          <w:sz w:val="24"/>
          <w:szCs w:val="24"/>
        </w:rPr>
        <w:t>ekv</w:t>
      </w:r>
      <w:proofErr w:type="spellEnd"/>
      <w:r w:rsidRPr="00881D21">
        <w:rPr>
          <w:rFonts w:ascii="Cambria" w:hAnsi="Cambria"/>
          <w:sz w:val="24"/>
          <w:szCs w:val="24"/>
        </w:rPr>
        <w:t>. jeb 17 % no kopējā Latvijas SEG emisiju apjoma (11,1 % enerģētikas sektors un 5,8 % RPPI).</w:t>
      </w:r>
      <w:r w:rsidRPr="00881D21">
        <w:rPr>
          <w:rFonts w:ascii="Cambria" w:hAnsi="Cambria"/>
        </w:rPr>
        <w:t xml:space="preserve"> </w:t>
      </w:r>
      <w:r w:rsidRPr="00881D21">
        <w:rPr>
          <w:rFonts w:ascii="Cambria" w:hAnsi="Cambria"/>
          <w:sz w:val="24"/>
          <w:szCs w:val="24"/>
        </w:rPr>
        <w:t>Salīdzinot ar 2005. gadu, Latvijas ES ETS SEG emisijas 2021.  un 2022. gadā samazinājušās attiecīgi par 27,7 % un 40,8 %, savukārt 2022. gadā salīdzinot ar 2021. gadu samazinājušās par 18,2 %,  skatīt 3. attēlā.</w:t>
      </w:r>
    </w:p>
    <w:p w14:paraId="64ED84B9" w14:textId="77777777" w:rsidR="00B75D0C" w:rsidRPr="00881D21" w:rsidRDefault="00B75D0C" w:rsidP="00B75D0C">
      <w:pPr>
        <w:spacing w:before="80" w:after="80" w:line="240" w:lineRule="auto"/>
        <w:ind w:firstLine="720"/>
        <w:jc w:val="center"/>
        <w:rPr>
          <w:rFonts w:ascii="Cambria" w:hAnsi="Cambria"/>
        </w:rPr>
      </w:pPr>
      <w:r w:rsidRPr="00881D21">
        <w:rPr>
          <w:rFonts w:ascii="Cambria" w:hAnsi="Cambria"/>
          <w:noProof/>
        </w:rPr>
        <w:drawing>
          <wp:inline distT="0" distB="0" distL="0" distR="0" wp14:anchorId="3BB19FE6" wp14:editId="2850094E">
            <wp:extent cx="5095875" cy="2657475"/>
            <wp:effectExtent l="0" t="0" r="9525" b="9525"/>
            <wp:docPr id="1447900925" name="Picture 1447900925"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00925" name="Picture 1447900925" descr="A graph with numbers and lines&#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095875" cy="2657475"/>
                    </a:xfrm>
                    <a:prstGeom prst="rect">
                      <a:avLst/>
                    </a:prstGeom>
                  </pic:spPr>
                </pic:pic>
              </a:graphicData>
            </a:graphic>
          </wp:inline>
        </w:drawing>
      </w:r>
    </w:p>
    <w:p w14:paraId="07099EBA" w14:textId="77777777" w:rsidR="00B75D0C" w:rsidRPr="00881D21" w:rsidRDefault="00B75D0C" w:rsidP="00B75D0C">
      <w:pPr>
        <w:spacing w:before="120" w:after="120" w:line="240" w:lineRule="auto"/>
        <w:ind w:firstLine="720"/>
        <w:jc w:val="center"/>
        <w:rPr>
          <w:rFonts w:ascii="Cambria" w:hAnsi="Cambria"/>
          <w:b/>
          <w:sz w:val="24"/>
          <w:szCs w:val="24"/>
        </w:rPr>
      </w:pPr>
      <w:r w:rsidRPr="00881D21">
        <w:rPr>
          <w:rFonts w:ascii="Cambria" w:hAnsi="Cambria"/>
          <w:b/>
          <w:sz w:val="24"/>
          <w:szCs w:val="24"/>
        </w:rPr>
        <w:t>3. attēls.  Latvijas ES ETS SEG emisijas 2005. – 2030. gadam (</w:t>
      </w:r>
      <w:proofErr w:type="spellStart"/>
      <w:r w:rsidRPr="00881D21">
        <w:rPr>
          <w:rFonts w:ascii="Cambria" w:hAnsi="Cambria"/>
          <w:b/>
          <w:sz w:val="24"/>
          <w:szCs w:val="24"/>
        </w:rPr>
        <w:t>kt</w:t>
      </w:r>
      <w:proofErr w:type="spellEnd"/>
      <w:r w:rsidRPr="00881D21">
        <w:rPr>
          <w:rFonts w:ascii="Cambria" w:hAnsi="Cambria"/>
          <w:b/>
          <w:sz w:val="24"/>
          <w:szCs w:val="24"/>
        </w:rPr>
        <w:t xml:space="preserve"> CO</w:t>
      </w:r>
      <w:r w:rsidRPr="00881D21">
        <w:rPr>
          <w:rFonts w:ascii="Cambria" w:hAnsi="Cambria"/>
          <w:b/>
          <w:sz w:val="24"/>
          <w:szCs w:val="24"/>
          <w:vertAlign w:val="subscript"/>
        </w:rPr>
        <w:t>2</w:t>
      </w:r>
      <w:r w:rsidRPr="00881D21">
        <w:rPr>
          <w:rFonts w:ascii="Cambria" w:hAnsi="Cambria"/>
          <w:b/>
          <w:sz w:val="24"/>
          <w:szCs w:val="24"/>
        </w:rPr>
        <w:t xml:space="preserve"> </w:t>
      </w:r>
      <w:proofErr w:type="spellStart"/>
      <w:r w:rsidRPr="00881D21">
        <w:rPr>
          <w:rFonts w:ascii="Cambria" w:hAnsi="Cambria"/>
          <w:b/>
          <w:sz w:val="24"/>
          <w:szCs w:val="24"/>
        </w:rPr>
        <w:t>ekv</w:t>
      </w:r>
      <w:proofErr w:type="spellEnd"/>
      <w:r w:rsidRPr="00881D21">
        <w:rPr>
          <w:rFonts w:ascii="Cambria" w:hAnsi="Cambria"/>
          <w:b/>
          <w:sz w:val="24"/>
          <w:szCs w:val="24"/>
        </w:rPr>
        <w:t>.)</w:t>
      </w:r>
    </w:p>
    <w:p w14:paraId="171B002B" w14:textId="77777777" w:rsidR="00B75D0C" w:rsidRPr="00881D21" w:rsidRDefault="00B75D0C" w:rsidP="00B75D0C">
      <w:pPr>
        <w:spacing w:before="120" w:after="120" w:line="240" w:lineRule="auto"/>
        <w:ind w:firstLine="567"/>
        <w:jc w:val="both"/>
        <w:rPr>
          <w:rFonts w:ascii="Cambria" w:hAnsi="Cambria"/>
          <w:i/>
          <w:iCs/>
          <w:sz w:val="24"/>
          <w:szCs w:val="24"/>
        </w:rPr>
      </w:pPr>
    </w:p>
    <w:p w14:paraId="01E226C0" w14:textId="77777777" w:rsidR="00B75D0C" w:rsidRPr="00881D21" w:rsidRDefault="00B75D0C" w:rsidP="00B75D0C">
      <w:pPr>
        <w:spacing w:before="120" w:after="120" w:line="240" w:lineRule="auto"/>
        <w:ind w:firstLine="567"/>
        <w:jc w:val="both"/>
        <w:rPr>
          <w:rFonts w:ascii="Cambria" w:hAnsi="Cambria"/>
          <w:i/>
          <w:iCs/>
        </w:rPr>
      </w:pPr>
      <w:r w:rsidRPr="00881D21">
        <w:rPr>
          <w:rFonts w:ascii="Cambria" w:hAnsi="Cambria"/>
          <w:i/>
          <w:iCs/>
          <w:sz w:val="24"/>
          <w:szCs w:val="24"/>
        </w:rPr>
        <w:t>Ne – ETS darbības</w:t>
      </w:r>
    </w:p>
    <w:p w14:paraId="5BF53EE8"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t xml:space="preserve">SEG emisiju aprēķins ne – ETS sektoram tiek veikts izmantojot EK noteikto formulu – kopējais valsts SEG emisiju apjoms mīnus ES ETS operatoru verificētais oglekļa dioksīda emisiju apjoms mīnus iekšzemes gaisa transporta oglekļa dioksīda emisiju apjoms. </w:t>
      </w:r>
    </w:p>
    <w:p w14:paraId="6A7B3C19"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lastRenderedPageBreak/>
        <w:t>Ne-ETS darbību SEG emisiju dinamika (4. attēls) liecina par 5,9 % SEG emisiju palielinājumu 2005. - 2021. gadā, 2,1 % palielinājumu 2005. - 2022. gadā, bet periodā 2005. – 2030. gadā veidotos samazinājums par 1,9 %.</w:t>
      </w:r>
    </w:p>
    <w:p w14:paraId="14BD788E" w14:textId="77777777" w:rsidR="00B75D0C" w:rsidRPr="00881D21" w:rsidRDefault="00B75D0C" w:rsidP="00B75D0C">
      <w:pPr>
        <w:keepNext/>
        <w:spacing w:before="120" w:after="120" w:line="240" w:lineRule="auto"/>
        <w:ind w:firstLine="567"/>
        <w:jc w:val="center"/>
        <w:rPr>
          <w:rFonts w:ascii="Cambria" w:hAnsi="Cambria"/>
          <w:sz w:val="24"/>
          <w:szCs w:val="24"/>
        </w:rPr>
      </w:pPr>
      <w:r w:rsidRPr="00881D21">
        <w:rPr>
          <w:rFonts w:ascii="Cambria" w:hAnsi="Cambria"/>
          <w:noProof/>
          <w:sz w:val="24"/>
          <w:szCs w:val="24"/>
        </w:rPr>
        <w:drawing>
          <wp:inline distT="0" distB="0" distL="0" distR="0" wp14:anchorId="2181CB81" wp14:editId="0B68E95C">
            <wp:extent cx="5584190" cy="3475685"/>
            <wp:effectExtent l="0" t="0" r="0" b="0"/>
            <wp:docPr id="469771052" name="Picture 469771052"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771052" name="Picture 469771052" descr="A graph of different colored line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91977" cy="3480531"/>
                    </a:xfrm>
                    <a:prstGeom prst="rect">
                      <a:avLst/>
                    </a:prstGeom>
                    <a:noFill/>
                  </pic:spPr>
                </pic:pic>
              </a:graphicData>
            </a:graphic>
          </wp:inline>
        </w:drawing>
      </w:r>
    </w:p>
    <w:p w14:paraId="43C6A186" w14:textId="77777777" w:rsidR="00B75D0C" w:rsidRPr="00881D21" w:rsidRDefault="00B75D0C" w:rsidP="00B75D0C">
      <w:pPr>
        <w:spacing w:before="120" w:after="120" w:line="240" w:lineRule="auto"/>
        <w:jc w:val="center"/>
        <w:rPr>
          <w:rFonts w:ascii="Cambria" w:hAnsi="Cambria"/>
          <w:color w:val="FF0000"/>
        </w:rPr>
      </w:pPr>
      <w:r w:rsidRPr="00881D21">
        <w:rPr>
          <w:rFonts w:ascii="Cambria" w:eastAsia="Times New Roman" w:hAnsi="Cambria"/>
          <w:b/>
          <w:bCs/>
          <w:sz w:val="24"/>
          <w:szCs w:val="24"/>
        </w:rPr>
        <w:t xml:space="preserve">4. attēls. Ne-ETS darbību </w:t>
      </w:r>
      <w:r w:rsidRPr="00881D21">
        <w:rPr>
          <w:rFonts w:ascii="Cambria" w:hAnsi="Cambria"/>
          <w:b/>
          <w:bCs/>
          <w:sz w:val="24"/>
          <w:szCs w:val="24"/>
        </w:rPr>
        <w:t>SEG emisijas 2005. – 2030. gadam (</w:t>
      </w:r>
      <w:proofErr w:type="spellStart"/>
      <w:r w:rsidRPr="00881D21">
        <w:rPr>
          <w:rFonts w:ascii="Cambria" w:hAnsi="Cambria"/>
          <w:b/>
          <w:bCs/>
          <w:sz w:val="24"/>
          <w:szCs w:val="24"/>
        </w:rPr>
        <w:t>kt</w:t>
      </w:r>
      <w:proofErr w:type="spellEnd"/>
      <w:r w:rsidRPr="00881D21">
        <w:rPr>
          <w:rFonts w:ascii="Cambria" w:hAnsi="Cambria"/>
          <w:b/>
          <w:bCs/>
          <w:sz w:val="24"/>
          <w:szCs w:val="24"/>
        </w:rPr>
        <w:t xml:space="preserve"> CO</w:t>
      </w:r>
      <w:r w:rsidRPr="00881D21">
        <w:rPr>
          <w:rFonts w:ascii="Cambria" w:hAnsi="Cambria"/>
          <w:b/>
          <w:bCs/>
          <w:sz w:val="24"/>
          <w:szCs w:val="24"/>
          <w:vertAlign w:val="subscript"/>
        </w:rPr>
        <w:t>2</w:t>
      </w:r>
      <w:r w:rsidRPr="00881D21">
        <w:rPr>
          <w:rFonts w:ascii="Cambria" w:hAnsi="Cambria"/>
          <w:b/>
          <w:bCs/>
          <w:sz w:val="24"/>
          <w:szCs w:val="24"/>
        </w:rPr>
        <w:t xml:space="preserve"> </w:t>
      </w:r>
      <w:proofErr w:type="spellStart"/>
      <w:r w:rsidRPr="00881D21">
        <w:rPr>
          <w:rFonts w:ascii="Cambria" w:hAnsi="Cambria"/>
          <w:b/>
          <w:bCs/>
          <w:sz w:val="24"/>
          <w:szCs w:val="24"/>
        </w:rPr>
        <w:t>ekv</w:t>
      </w:r>
      <w:proofErr w:type="spellEnd"/>
      <w:r w:rsidRPr="00881D21">
        <w:rPr>
          <w:rFonts w:ascii="Cambria" w:hAnsi="Cambria"/>
          <w:b/>
          <w:bCs/>
          <w:sz w:val="24"/>
          <w:szCs w:val="24"/>
        </w:rPr>
        <w:t>.)</w:t>
      </w:r>
      <w:r w:rsidRPr="00881D21">
        <w:rPr>
          <w:rStyle w:val="FootnoteAnchor"/>
          <w:rFonts w:ascii="Cambria" w:hAnsi="Cambria"/>
          <w:b/>
          <w:bCs/>
          <w:sz w:val="24"/>
          <w:szCs w:val="24"/>
        </w:rPr>
        <w:footnoteReference w:id="35"/>
      </w:r>
    </w:p>
    <w:p w14:paraId="362F6586"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t xml:space="preserve">Ne-ETS darbību SEG emisiju īpatsvars 2021. gadā no kopējām ne-ETS emisijām un SEG emisiju izmaiņas 2021., 2022. un 2030. gadā pret 2005. gadu ir apkopotas 3. tabulā. </w:t>
      </w:r>
    </w:p>
    <w:p w14:paraId="5356A955" w14:textId="77777777" w:rsidR="00B75D0C" w:rsidRPr="00881D21" w:rsidRDefault="00B75D0C" w:rsidP="00B75D0C">
      <w:pPr>
        <w:spacing w:before="120" w:after="120" w:line="240" w:lineRule="auto"/>
        <w:jc w:val="center"/>
        <w:rPr>
          <w:rFonts w:ascii="Cambria" w:hAnsi="Cambria"/>
          <w:b/>
          <w:bCs/>
          <w:sz w:val="24"/>
          <w:szCs w:val="24"/>
        </w:rPr>
      </w:pPr>
      <w:r w:rsidRPr="00881D21">
        <w:rPr>
          <w:rFonts w:ascii="Cambria" w:hAnsi="Cambria"/>
          <w:b/>
          <w:bCs/>
          <w:sz w:val="24"/>
          <w:szCs w:val="24"/>
        </w:rPr>
        <w:t>3.tabula. Ne-ETS darbību SEG emisiju īpatsvars 2021. gadā un izmaiņas 2021., 2022. un 2030. gadā</w:t>
      </w:r>
      <w:r w:rsidRPr="00881D21">
        <w:rPr>
          <w:rStyle w:val="FootnoteAnchor"/>
          <w:rFonts w:ascii="Cambria" w:hAnsi="Cambria"/>
          <w:b/>
          <w:bCs/>
          <w:sz w:val="24"/>
          <w:szCs w:val="24"/>
        </w:rPr>
        <w:footnoteReference w:id="36"/>
      </w:r>
    </w:p>
    <w:p w14:paraId="3EAB120C" w14:textId="77777777" w:rsidR="00B75D0C" w:rsidRPr="00881D21" w:rsidRDefault="00B75D0C" w:rsidP="00B75D0C">
      <w:pPr>
        <w:spacing w:before="120" w:after="120" w:line="240" w:lineRule="auto"/>
        <w:jc w:val="center"/>
        <w:rPr>
          <w:rFonts w:ascii="Cambria" w:hAnsi="Cambria"/>
          <w:b/>
          <w:i/>
          <w:iCs/>
          <w:sz w:val="20"/>
          <w:szCs w:val="20"/>
        </w:rPr>
      </w:pPr>
      <w:r w:rsidRPr="00881D21">
        <w:rPr>
          <w:rFonts w:ascii="Cambria" w:hAnsi="Cambria"/>
          <w:i/>
          <w:iCs/>
          <w:sz w:val="20"/>
          <w:szCs w:val="20"/>
        </w:rPr>
        <w:t>Izmaiņas ar “+” zīmi apzīmē SEG emisiju pieaugumu, bet ar “-“ zīmi SEG emisiju samazinājumu</w:t>
      </w:r>
    </w:p>
    <w:tbl>
      <w:tblPr>
        <w:tblStyle w:val="TableGrid"/>
        <w:tblW w:w="0" w:type="auto"/>
        <w:tblLook w:val="04A0" w:firstRow="1" w:lastRow="0" w:firstColumn="1" w:lastColumn="0" w:noHBand="0" w:noVBand="1"/>
      </w:tblPr>
      <w:tblGrid>
        <w:gridCol w:w="1838"/>
        <w:gridCol w:w="2075"/>
        <w:gridCol w:w="1923"/>
        <w:gridCol w:w="1923"/>
        <w:gridCol w:w="1586"/>
      </w:tblGrid>
      <w:tr w:rsidR="00B75D0C" w:rsidRPr="00881D21" w14:paraId="63CACB3E" w14:textId="77777777" w:rsidTr="002F3744">
        <w:trPr>
          <w:tblHeader/>
        </w:trPr>
        <w:tc>
          <w:tcPr>
            <w:tcW w:w="1838" w:type="dxa"/>
          </w:tcPr>
          <w:p w14:paraId="43E02CFA" w14:textId="77777777" w:rsidR="00B75D0C" w:rsidRPr="00881D21" w:rsidRDefault="00B75D0C" w:rsidP="002F3744">
            <w:pPr>
              <w:tabs>
                <w:tab w:val="left" w:pos="310"/>
              </w:tabs>
              <w:spacing w:before="120" w:after="120" w:line="240" w:lineRule="auto"/>
              <w:jc w:val="both"/>
              <w:rPr>
                <w:rFonts w:ascii="Cambria" w:hAnsi="Cambria"/>
                <w:sz w:val="20"/>
                <w:szCs w:val="20"/>
              </w:rPr>
            </w:pPr>
          </w:p>
        </w:tc>
        <w:tc>
          <w:tcPr>
            <w:tcW w:w="2075" w:type="dxa"/>
          </w:tcPr>
          <w:p w14:paraId="0A2A4BC4"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2021. gada īpatsvars no ne-ETS emisijām</w:t>
            </w:r>
          </w:p>
        </w:tc>
        <w:tc>
          <w:tcPr>
            <w:tcW w:w="1923" w:type="dxa"/>
          </w:tcPr>
          <w:p w14:paraId="13A9429F"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Izmaiņas 2021./2005. gadu</w:t>
            </w:r>
          </w:p>
        </w:tc>
        <w:tc>
          <w:tcPr>
            <w:tcW w:w="1923" w:type="dxa"/>
          </w:tcPr>
          <w:p w14:paraId="5F6D8BE0"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Izmaiņas 2022./2005. g.</w:t>
            </w:r>
          </w:p>
        </w:tc>
        <w:tc>
          <w:tcPr>
            <w:tcW w:w="1586" w:type="dxa"/>
          </w:tcPr>
          <w:p w14:paraId="089C0079"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Izmaiņas 2030./2005. g.</w:t>
            </w:r>
          </w:p>
        </w:tc>
      </w:tr>
      <w:tr w:rsidR="00B75D0C" w:rsidRPr="00881D21" w14:paraId="2EFD4B5C" w14:textId="77777777" w:rsidTr="002F3744">
        <w:tc>
          <w:tcPr>
            <w:tcW w:w="1838" w:type="dxa"/>
          </w:tcPr>
          <w:p w14:paraId="75E3E695" w14:textId="77777777" w:rsidR="00B75D0C" w:rsidRPr="00881D21" w:rsidRDefault="00B75D0C" w:rsidP="002F3744">
            <w:pPr>
              <w:tabs>
                <w:tab w:val="left" w:pos="310"/>
              </w:tabs>
              <w:spacing w:before="120" w:after="120" w:line="240" w:lineRule="auto"/>
              <w:jc w:val="both"/>
              <w:rPr>
                <w:rFonts w:ascii="Cambria" w:hAnsi="Cambria"/>
                <w:color w:val="FF0000"/>
                <w:sz w:val="20"/>
                <w:szCs w:val="20"/>
              </w:rPr>
            </w:pPr>
            <w:r w:rsidRPr="00881D21">
              <w:rPr>
                <w:rFonts w:ascii="Cambria" w:hAnsi="Cambria"/>
                <w:sz w:val="20"/>
                <w:szCs w:val="20"/>
              </w:rPr>
              <w:t>Transports</w:t>
            </w:r>
          </w:p>
        </w:tc>
        <w:tc>
          <w:tcPr>
            <w:tcW w:w="2075" w:type="dxa"/>
          </w:tcPr>
          <w:p w14:paraId="4311D2E5" w14:textId="7636E085"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37,</w:t>
            </w:r>
            <w:r w:rsidR="000D73B2" w:rsidRPr="00881D21">
              <w:rPr>
                <w:rFonts w:ascii="Cambria" w:hAnsi="Cambria"/>
                <w:sz w:val="20"/>
                <w:szCs w:val="20"/>
              </w:rPr>
              <w:t>2</w:t>
            </w:r>
            <w:r w:rsidRPr="00881D21">
              <w:rPr>
                <w:rFonts w:ascii="Cambria" w:hAnsi="Cambria"/>
                <w:sz w:val="20"/>
                <w:szCs w:val="20"/>
              </w:rPr>
              <w:t xml:space="preserve"> %</w:t>
            </w:r>
          </w:p>
        </w:tc>
        <w:tc>
          <w:tcPr>
            <w:tcW w:w="1923" w:type="dxa"/>
          </w:tcPr>
          <w:p w14:paraId="1DD48345"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+3,7 %</w:t>
            </w:r>
          </w:p>
        </w:tc>
        <w:tc>
          <w:tcPr>
            <w:tcW w:w="1923" w:type="dxa"/>
          </w:tcPr>
          <w:p w14:paraId="7CBCAD01"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+0,5 %</w:t>
            </w:r>
          </w:p>
        </w:tc>
        <w:tc>
          <w:tcPr>
            <w:tcW w:w="1586" w:type="dxa"/>
          </w:tcPr>
          <w:p w14:paraId="6D45EF61"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+1,7 %</w:t>
            </w:r>
          </w:p>
        </w:tc>
      </w:tr>
      <w:tr w:rsidR="00B75D0C" w:rsidRPr="00881D21" w14:paraId="5A4CFEF8" w14:textId="77777777" w:rsidTr="002F3744">
        <w:tc>
          <w:tcPr>
            <w:tcW w:w="1838" w:type="dxa"/>
          </w:tcPr>
          <w:p w14:paraId="4640CA49" w14:textId="77777777" w:rsidR="00B75D0C" w:rsidRPr="00881D21" w:rsidRDefault="00B75D0C" w:rsidP="002F3744">
            <w:pPr>
              <w:tabs>
                <w:tab w:val="left" w:pos="310"/>
              </w:tabs>
              <w:spacing w:before="120" w:after="120" w:line="240" w:lineRule="auto"/>
              <w:jc w:val="both"/>
              <w:rPr>
                <w:rFonts w:ascii="Cambria" w:hAnsi="Cambria"/>
                <w:color w:val="FF0000"/>
                <w:sz w:val="20"/>
                <w:szCs w:val="20"/>
              </w:rPr>
            </w:pPr>
            <w:r w:rsidRPr="00881D21">
              <w:rPr>
                <w:rFonts w:ascii="Cambria" w:hAnsi="Cambria"/>
                <w:sz w:val="20"/>
                <w:szCs w:val="20"/>
              </w:rPr>
              <w:t>Lauksaimniecība</w:t>
            </w:r>
          </w:p>
        </w:tc>
        <w:tc>
          <w:tcPr>
            <w:tcW w:w="2075" w:type="dxa"/>
          </w:tcPr>
          <w:p w14:paraId="3E9D1F65" w14:textId="18EB5588"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26</w:t>
            </w:r>
            <w:r w:rsidR="00255933" w:rsidRPr="00881D21">
              <w:rPr>
                <w:rFonts w:ascii="Cambria" w:hAnsi="Cambria"/>
                <w:sz w:val="20"/>
                <w:szCs w:val="20"/>
              </w:rPr>
              <w:t xml:space="preserve"> </w:t>
            </w:r>
            <w:r w:rsidRPr="00881D21">
              <w:rPr>
                <w:rFonts w:ascii="Cambria" w:hAnsi="Cambria"/>
                <w:sz w:val="20"/>
                <w:szCs w:val="20"/>
              </w:rPr>
              <w:t xml:space="preserve"> %</w:t>
            </w:r>
          </w:p>
        </w:tc>
        <w:tc>
          <w:tcPr>
            <w:tcW w:w="1923" w:type="dxa"/>
          </w:tcPr>
          <w:p w14:paraId="2CCA4D78"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+25,8 %</w:t>
            </w:r>
          </w:p>
        </w:tc>
        <w:tc>
          <w:tcPr>
            <w:tcW w:w="1923" w:type="dxa"/>
          </w:tcPr>
          <w:p w14:paraId="680ABE05"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+24,5 %</w:t>
            </w:r>
          </w:p>
        </w:tc>
        <w:tc>
          <w:tcPr>
            <w:tcW w:w="1586" w:type="dxa"/>
          </w:tcPr>
          <w:p w14:paraId="7F28C651"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+22,5 %</w:t>
            </w:r>
          </w:p>
        </w:tc>
      </w:tr>
      <w:tr w:rsidR="00B75D0C" w:rsidRPr="00881D21" w14:paraId="69EF3052" w14:textId="77777777" w:rsidTr="002F3744">
        <w:tc>
          <w:tcPr>
            <w:tcW w:w="1838" w:type="dxa"/>
          </w:tcPr>
          <w:p w14:paraId="56DE5F83" w14:textId="77777777" w:rsidR="00B75D0C" w:rsidRPr="00881D21" w:rsidRDefault="00B75D0C" w:rsidP="002F3744">
            <w:pPr>
              <w:tabs>
                <w:tab w:val="left" w:pos="310"/>
              </w:tabs>
              <w:spacing w:before="120" w:after="120" w:line="240" w:lineRule="auto"/>
              <w:jc w:val="both"/>
              <w:rPr>
                <w:rFonts w:ascii="Cambria" w:hAnsi="Cambria"/>
                <w:color w:val="FF0000"/>
                <w:sz w:val="20"/>
                <w:szCs w:val="20"/>
              </w:rPr>
            </w:pPr>
            <w:r w:rsidRPr="00881D21">
              <w:rPr>
                <w:rFonts w:ascii="Cambria" w:hAnsi="Cambria"/>
                <w:sz w:val="20"/>
                <w:szCs w:val="20"/>
              </w:rPr>
              <w:t>Cita ne-ETS enerģētika</w:t>
            </w:r>
          </w:p>
        </w:tc>
        <w:tc>
          <w:tcPr>
            <w:tcW w:w="2075" w:type="dxa"/>
          </w:tcPr>
          <w:p w14:paraId="2C030240" w14:textId="4D1ABF10" w:rsidR="00B75D0C" w:rsidRPr="00881D21" w:rsidRDefault="000D73B2"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20</w:t>
            </w:r>
            <w:r w:rsidR="00D26E02" w:rsidRPr="00881D21">
              <w:rPr>
                <w:rFonts w:ascii="Cambria" w:hAnsi="Cambria"/>
                <w:sz w:val="20"/>
                <w:szCs w:val="20"/>
              </w:rPr>
              <w:t>,</w:t>
            </w:r>
            <w:r w:rsidRPr="00881D21">
              <w:rPr>
                <w:rFonts w:ascii="Cambria" w:hAnsi="Cambria"/>
                <w:sz w:val="20"/>
                <w:szCs w:val="20"/>
              </w:rPr>
              <w:t>3</w:t>
            </w:r>
            <w:r w:rsidR="00B75D0C" w:rsidRPr="00881D21">
              <w:rPr>
                <w:rFonts w:ascii="Cambria" w:hAnsi="Cambria"/>
                <w:sz w:val="20"/>
                <w:szCs w:val="20"/>
              </w:rPr>
              <w:t xml:space="preserve"> %</w:t>
            </w:r>
          </w:p>
        </w:tc>
        <w:tc>
          <w:tcPr>
            <w:tcW w:w="1923" w:type="dxa"/>
          </w:tcPr>
          <w:p w14:paraId="0A7A2D0A"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+0,1 %</w:t>
            </w:r>
          </w:p>
        </w:tc>
        <w:tc>
          <w:tcPr>
            <w:tcW w:w="1923" w:type="dxa"/>
          </w:tcPr>
          <w:p w14:paraId="0C1E9FAB"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-7,5 %</w:t>
            </w:r>
          </w:p>
        </w:tc>
        <w:tc>
          <w:tcPr>
            <w:tcW w:w="1586" w:type="dxa"/>
          </w:tcPr>
          <w:p w14:paraId="0DE01E18"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-11,1 %</w:t>
            </w:r>
          </w:p>
        </w:tc>
      </w:tr>
      <w:tr w:rsidR="00B75D0C" w:rsidRPr="00881D21" w14:paraId="43EACB44" w14:textId="77777777" w:rsidTr="002F3744">
        <w:tc>
          <w:tcPr>
            <w:tcW w:w="1838" w:type="dxa"/>
          </w:tcPr>
          <w:p w14:paraId="181D9D12" w14:textId="77777777" w:rsidR="00B75D0C" w:rsidRPr="00881D21" w:rsidRDefault="00B75D0C" w:rsidP="002F3744">
            <w:pPr>
              <w:tabs>
                <w:tab w:val="left" w:pos="310"/>
              </w:tabs>
              <w:spacing w:before="120" w:after="120" w:line="240" w:lineRule="auto"/>
              <w:jc w:val="both"/>
              <w:rPr>
                <w:rFonts w:ascii="Cambria" w:hAnsi="Cambria"/>
                <w:color w:val="FF0000"/>
                <w:sz w:val="20"/>
                <w:szCs w:val="20"/>
              </w:rPr>
            </w:pPr>
            <w:r w:rsidRPr="00881D21">
              <w:rPr>
                <w:rFonts w:ascii="Cambria" w:hAnsi="Cambria"/>
                <w:sz w:val="20"/>
                <w:szCs w:val="20"/>
              </w:rPr>
              <w:t>Mājsaimniecības</w:t>
            </w:r>
          </w:p>
        </w:tc>
        <w:tc>
          <w:tcPr>
            <w:tcW w:w="2075" w:type="dxa"/>
          </w:tcPr>
          <w:p w14:paraId="431F88DD" w14:textId="1620999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6,</w:t>
            </w:r>
            <w:r w:rsidR="000D73B2" w:rsidRPr="00881D21">
              <w:rPr>
                <w:rFonts w:ascii="Cambria" w:hAnsi="Cambria"/>
                <w:sz w:val="20"/>
                <w:szCs w:val="20"/>
              </w:rPr>
              <w:t>7</w:t>
            </w:r>
            <w:r w:rsidRPr="00881D21">
              <w:rPr>
                <w:rFonts w:ascii="Cambria" w:hAnsi="Cambria"/>
                <w:sz w:val="20"/>
                <w:szCs w:val="20"/>
              </w:rPr>
              <w:t xml:space="preserve"> %</w:t>
            </w:r>
          </w:p>
        </w:tc>
        <w:tc>
          <w:tcPr>
            <w:tcW w:w="1923" w:type="dxa"/>
          </w:tcPr>
          <w:p w14:paraId="2BD27182"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-17,4 %</w:t>
            </w:r>
          </w:p>
        </w:tc>
        <w:tc>
          <w:tcPr>
            <w:tcW w:w="1923" w:type="dxa"/>
          </w:tcPr>
          <w:p w14:paraId="43595F4B"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-20,7 %</w:t>
            </w:r>
          </w:p>
        </w:tc>
        <w:tc>
          <w:tcPr>
            <w:tcW w:w="1586" w:type="dxa"/>
          </w:tcPr>
          <w:p w14:paraId="56A99CA2"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-32,7 %</w:t>
            </w:r>
          </w:p>
        </w:tc>
      </w:tr>
      <w:tr w:rsidR="00B75D0C" w:rsidRPr="00881D21" w14:paraId="57A379C4" w14:textId="77777777" w:rsidTr="002F3744">
        <w:tc>
          <w:tcPr>
            <w:tcW w:w="1838" w:type="dxa"/>
          </w:tcPr>
          <w:p w14:paraId="2184D66F" w14:textId="77777777" w:rsidR="00B75D0C" w:rsidRPr="00881D21" w:rsidRDefault="00B75D0C" w:rsidP="002F3744">
            <w:pPr>
              <w:tabs>
                <w:tab w:val="left" w:pos="310"/>
              </w:tabs>
              <w:spacing w:before="120" w:after="120" w:line="240" w:lineRule="auto"/>
              <w:jc w:val="both"/>
              <w:rPr>
                <w:rFonts w:ascii="Cambria" w:hAnsi="Cambria"/>
                <w:color w:val="FF0000"/>
                <w:sz w:val="20"/>
                <w:szCs w:val="20"/>
              </w:rPr>
            </w:pPr>
            <w:r w:rsidRPr="00881D21">
              <w:rPr>
                <w:rFonts w:ascii="Cambria" w:hAnsi="Cambria"/>
                <w:sz w:val="20"/>
                <w:szCs w:val="20"/>
              </w:rPr>
              <w:t>Atkritumu apsaimniekošana</w:t>
            </w:r>
          </w:p>
        </w:tc>
        <w:tc>
          <w:tcPr>
            <w:tcW w:w="2075" w:type="dxa"/>
          </w:tcPr>
          <w:p w14:paraId="002314EE" w14:textId="6262DE34"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6,</w:t>
            </w:r>
            <w:r w:rsidR="004F7DC3" w:rsidRPr="00881D21">
              <w:rPr>
                <w:rFonts w:ascii="Cambria" w:hAnsi="Cambria"/>
                <w:sz w:val="20"/>
                <w:szCs w:val="20"/>
              </w:rPr>
              <w:t>5</w:t>
            </w:r>
            <w:r w:rsidRPr="00881D21">
              <w:rPr>
                <w:rFonts w:ascii="Cambria" w:hAnsi="Cambria"/>
                <w:sz w:val="20"/>
                <w:szCs w:val="20"/>
              </w:rPr>
              <w:t xml:space="preserve"> %</w:t>
            </w:r>
          </w:p>
        </w:tc>
        <w:tc>
          <w:tcPr>
            <w:tcW w:w="1923" w:type="dxa"/>
          </w:tcPr>
          <w:p w14:paraId="5CE68F34"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-17,7 %</w:t>
            </w:r>
          </w:p>
        </w:tc>
        <w:tc>
          <w:tcPr>
            <w:tcW w:w="1923" w:type="dxa"/>
          </w:tcPr>
          <w:p w14:paraId="1410A632"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-19,9 %</w:t>
            </w:r>
          </w:p>
        </w:tc>
        <w:tc>
          <w:tcPr>
            <w:tcW w:w="1586" w:type="dxa"/>
          </w:tcPr>
          <w:p w14:paraId="5DC48808"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-39,0 %</w:t>
            </w:r>
          </w:p>
        </w:tc>
      </w:tr>
      <w:tr w:rsidR="00B75D0C" w:rsidRPr="00881D21" w14:paraId="1B4DE940" w14:textId="77777777" w:rsidTr="002F3744">
        <w:tc>
          <w:tcPr>
            <w:tcW w:w="1838" w:type="dxa"/>
          </w:tcPr>
          <w:p w14:paraId="35832C65" w14:textId="77777777" w:rsidR="00B75D0C" w:rsidRPr="00881D21" w:rsidRDefault="00B75D0C" w:rsidP="002F3744">
            <w:pPr>
              <w:tabs>
                <w:tab w:val="left" w:pos="310"/>
              </w:tabs>
              <w:spacing w:before="120" w:after="120" w:line="240" w:lineRule="auto"/>
              <w:jc w:val="both"/>
              <w:rPr>
                <w:rFonts w:ascii="Cambria" w:hAnsi="Cambria"/>
                <w:color w:val="FF0000"/>
                <w:sz w:val="20"/>
                <w:szCs w:val="20"/>
              </w:rPr>
            </w:pPr>
            <w:r w:rsidRPr="00881D21">
              <w:rPr>
                <w:rFonts w:ascii="Cambria" w:hAnsi="Cambria"/>
                <w:sz w:val="20"/>
                <w:szCs w:val="20"/>
              </w:rPr>
              <w:t>Ne-ETS RPPI</w:t>
            </w:r>
          </w:p>
        </w:tc>
        <w:tc>
          <w:tcPr>
            <w:tcW w:w="2075" w:type="dxa"/>
          </w:tcPr>
          <w:p w14:paraId="044AF084"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3,3 %</w:t>
            </w:r>
          </w:p>
        </w:tc>
        <w:tc>
          <w:tcPr>
            <w:tcW w:w="1923" w:type="dxa"/>
          </w:tcPr>
          <w:p w14:paraId="49F9B8EA"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+106,2 %</w:t>
            </w:r>
          </w:p>
        </w:tc>
        <w:tc>
          <w:tcPr>
            <w:tcW w:w="1923" w:type="dxa"/>
          </w:tcPr>
          <w:p w14:paraId="0C37D55C"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+94,7 %</w:t>
            </w:r>
          </w:p>
        </w:tc>
        <w:tc>
          <w:tcPr>
            <w:tcW w:w="1586" w:type="dxa"/>
          </w:tcPr>
          <w:p w14:paraId="5500D08F" w14:textId="77777777" w:rsidR="00B75D0C" w:rsidRPr="00881D21" w:rsidRDefault="00B75D0C" w:rsidP="002F3744">
            <w:pPr>
              <w:tabs>
                <w:tab w:val="left" w:pos="310"/>
              </w:tabs>
              <w:spacing w:before="120" w:after="120" w:line="240" w:lineRule="auto"/>
              <w:jc w:val="center"/>
              <w:rPr>
                <w:rFonts w:ascii="Cambria" w:hAnsi="Cambria"/>
                <w:sz w:val="20"/>
                <w:szCs w:val="20"/>
              </w:rPr>
            </w:pPr>
            <w:r w:rsidRPr="00881D21">
              <w:rPr>
                <w:rFonts w:ascii="Cambria" w:hAnsi="Cambria"/>
                <w:sz w:val="20"/>
                <w:szCs w:val="20"/>
              </w:rPr>
              <w:t>+59,2 %</w:t>
            </w:r>
          </w:p>
        </w:tc>
      </w:tr>
    </w:tbl>
    <w:p w14:paraId="16F9F3ED" w14:textId="77777777" w:rsidR="00B75D0C" w:rsidRPr="00881D21" w:rsidRDefault="00B75D0C" w:rsidP="00B75D0C">
      <w:pPr>
        <w:spacing w:before="120" w:after="120" w:line="240" w:lineRule="auto"/>
        <w:ind w:firstLine="431"/>
        <w:jc w:val="both"/>
        <w:rPr>
          <w:rFonts w:ascii="Cambria" w:hAnsi="Cambria"/>
          <w:sz w:val="24"/>
          <w:szCs w:val="24"/>
        </w:rPr>
      </w:pPr>
      <w:r w:rsidRPr="00881D21">
        <w:rPr>
          <w:rFonts w:ascii="Cambria" w:hAnsi="Cambria"/>
          <w:sz w:val="24"/>
          <w:szCs w:val="24"/>
        </w:rPr>
        <w:t xml:space="preserve">Ne-ETS darbībās lielākais procentuālais SEG emisiju pieaugums laika posmā no 2005. - 2022. gadam ir ne-ETS rūpniecisko procesu un produktu izmantošanas (RPPI), </w:t>
      </w:r>
      <w:r w:rsidRPr="00881D21">
        <w:rPr>
          <w:rFonts w:ascii="Cambria" w:hAnsi="Cambria"/>
          <w:sz w:val="24"/>
          <w:szCs w:val="24"/>
        </w:rPr>
        <w:lastRenderedPageBreak/>
        <w:t>lauksaimniecības, un transporta sektorā. Mājsaimniecību, citas ne-ETS enerģētikas un atkritumu apsaimniekošanas sektoros tiek novērots SEG emisiju samazinājums.</w:t>
      </w:r>
    </w:p>
    <w:p w14:paraId="0E0F7D01" w14:textId="62BEC8AB" w:rsidR="00B75D0C" w:rsidRPr="00881D21" w:rsidRDefault="00764133" w:rsidP="00B75D0C">
      <w:pPr>
        <w:pStyle w:val="Heading2"/>
        <w:numPr>
          <w:ilvl w:val="1"/>
          <w:numId w:val="0"/>
        </w:numPr>
        <w:tabs>
          <w:tab w:val="num" w:pos="-1690"/>
        </w:tabs>
        <w:spacing w:before="120" w:after="120" w:line="240" w:lineRule="auto"/>
        <w:ind w:left="431" w:hanging="431"/>
        <w:jc w:val="both"/>
        <w:rPr>
          <w:rFonts w:ascii="Cambria" w:hAnsi="Cambria" w:cs="Times New Roman"/>
          <w:b/>
          <w:bCs/>
          <w:sz w:val="24"/>
          <w:szCs w:val="24"/>
        </w:rPr>
      </w:pPr>
      <w:bookmarkStart w:id="17" w:name="_Toc156999870"/>
      <w:r w:rsidRPr="00881D21">
        <w:rPr>
          <w:rFonts w:ascii="Cambria" w:hAnsi="Cambria" w:cs="Times New Roman"/>
          <w:b/>
          <w:bCs/>
          <w:sz w:val="24"/>
          <w:szCs w:val="24"/>
        </w:rPr>
        <w:t xml:space="preserve">3.2. </w:t>
      </w:r>
      <w:r w:rsidR="00B75D0C" w:rsidRPr="00881D21">
        <w:rPr>
          <w:rFonts w:ascii="Cambria" w:hAnsi="Cambria" w:cs="Times New Roman"/>
          <w:b/>
          <w:bCs/>
          <w:sz w:val="24"/>
          <w:szCs w:val="24"/>
        </w:rPr>
        <w:t>Ne-ETS sektora SEG mērķu izpildes prognoze 2021.-2030.gada periodā</w:t>
      </w:r>
      <w:bookmarkEnd w:id="17"/>
      <w:r w:rsidR="00B75D0C" w:rsidRPr="00881D21">
        <w:rPr>
          <w:rFonts w:ascii="Cambria" w:hAnsi="Cambria" w:cs="Times New Roman"/>
          <w:b/>
          <w:bCs/>
          <w:sz w:val="24"/>
          <w:szCs w:val="24"/>
        </w:rPr>
        <w:t xml:space="preserve"> </w:t>
      </w:r>
    </w:p>
    <w:p w14:paraId="033B41CB" w14:textId="64F1BD7B" w:rsidR="00B75D0C" w:rsidRPr="00881D21" w:rsidRDefault="00B75D0C" w:rsidP="00B75D0C">
      <w:pPr>
        <w:spacing w:before="120" w:after="120" w:line="240" w:lineRule="auto"/>
        <w:ind w:firstLine="567"/>
        <w:jc w:val="both"/>
        <w:rPr>
          <w:rFonts w:ascii="Cambria" w:hAnsi="Cambria"/>
          <w:vertAlign w:val="superscript"/>
        </w:rPr>
      </w:pPr>
      <w:r w:rsidRPr="00881D21">
        <w:rPr>
          <w:rFonts w:ascii="Cambria" w:hAnsi="Cambria"/>
          <w:sz w:val="24"/>
          <w:szCs w:val="24"/>
        </w:rPr>
        <w:t>5.tabulā ir apkopots ikgadējais emisiju sadales apjoms katram 2021.–2030. gada perioda gadam (ne-ETS mērķis</w:t>
      </w:r>
      <w:r w:rsidR="002D7DB9" w:rsidRPr="00881D21">
        <w:rPr>
          <w:rFonts w:ascii="Cambria" w:hAnsi="Cambria"/>
          <w:sz w:val="24"/>
          <w:szCs w:val="24"/>
        </w:rPr>
        <w:t>, GES</w:t>
      </w:r>
      <w:r w:rsidRPr="00881D21">
        <w:rPr>
          <w:rFonts w:ascii="Cambria" w:hAnsi="Cambria"/>
          <w:sz w:val="24"/>
          <w:szCs w:val="24"/>
        </w:rPr>
        <w:t>)</w:t>
      </w:r>
      <w:r w:rsidR="00482183" w:rsidRPr="00881D21">
        <w:rPr>
          <w:rFonts w:ascii="Cambria" w:hAnsi="Cambria"/>
          <w:sz w:val="24"/>
          <w:szCs w:val="24"/>
        </w:rPr>
        <w:t>,</w:t>
      </w:r>
      <w:r w:rsidRPr="00881D21">
        <w:rPr>
          <w:rFonts w:ascii="Cambria" w:hAnsi="Cambria"/>
          <w:sz w:val="24"/>
          <w:szCs w:val="24"/>
        </w:rPr>
        <w:t xml:space="preserve"> kā arī  ne-ETS sektora mērķu prognozētā izpilde.</w:t>
      </w:r>
      <w:r w:rsidRPr="00881D21">
        <w:rPr>
          <w:rFonts w:ascii="Cambria" w:hAnsi="Cambria"/>
          <w:vertAlign w:val="superscript"/>
        </w:rPr>
        <w:t xml:space="preserve"> </w:t>
      </w:r>
      <w:r w:rsidRPr="00881D21">
        <w:rPr>
          <w:rFonts w:ascii="Cambria" w:hAnsi="Cambria"/>
          <w:vertAlign w:val="superscript"/>
        </w:rPr>
        <w:footnoteReference w:id="37"/>
      </w:r>
    </w:p>
    <w:p w14:paraId="1357C597" w14:textId="77777777" w:rsidR="00B75D0C" w:rsidRPr="00881D21" w:rsidRDefault="00B75D0C" w:rsidP="00B75D0C">
      <w:pPr>
        <w:pStyle w:val="ListParagraph"/>
        <w:keepNext/>
        <w:spacing w:before="120" w:after="120" w:line="240" w:lineRule="auto"/>
        <w:jc w:val="center"/>
        <w:rPr>
          <w:rFonts w:ascii="Cambria" w:hAnsi="Cambria"/>
          <w:b/>
          <w:sz w:val="24"/>
          <w:szCs w:val="24"/>
        </w:rPr>
      </w:pPr>
      <w:r w:rsidRPr="00881D21">
        <w:rPr>
          <w:rFonts w:ascii="Cambria" w:hAnsi="Cambria"/>
          <w:b/>
          <w:bCs/>
          <w:sz w:val="24"/>
          <w:szCs w:val="24"/>
        </w:rPr>
        <w:t xml:space="preserve">5. tabula Latvijas ne-ETS sektora mērķu prognozētā izpilde 2021.-2030.gada periodā, </w:t>
      </w:r>
      <w:proofErr w:type="spellStart"/>
      <w:r w:rsidRPr="00881D21">
        <w:rPr>
          <w:rFonts w:ascii="Cambria" w:hAnsi="Cambria"/>
          <w:b/>
          <w:bCs/>
          <w:sz w:val="24"/>
          <w:szCs w:val="24"/>
        </w:rPr>
        <w:t>kt</w:t>
      </w:r>
      <w:proofErr w:type="spellEnd"/>
      <w:r w:rsidRPr="00881D21">
        <w:rPr>
          <w:rFonts w:ascii="Cambria" w:hAnsi="Cambria"/>
          <w:b/>
          <w:bCs/>
          <w:sz w:val="24"/>
          <w:szCs w:val="24"/>
        </w:rPr>
        <w:t xml:space="preserve"> CO</w:t>
      </w:r>
      <w:r w:rsidRPr="00881D21">
        <w:rPr>
          <w:rFonts w:ascii="Cambria" w:hAnsi="Cambria"/>
          <w:b/>
          <w:bCs/>
          <w:sz w:val="24"/>
          <w:szCs w:val="24"/>
          <w:vertAlign w:val="subscript"/>
        </w:rPr>
        <w:t>2</w:t>
      </w:r>
      <w:r w:rsidRPr="00881D21">
        <w:rPr>
          <w:rFonts w:ascii="Cambria" w:hAnsi="Cambria"/>
          <w:b/>
          <w:bCs/>
          <w:sz w:val="24"/>
          <w:szCs w:val="24"/>
        </w:rPr>
        <w:t xml:space="preserve"> </w:t>
      </w:r>
      <w:proofErr w:type="spellStart"/>
      <w:r w:rsidRPr="00881D21">
        <w:rPr>
          <w:rFonts w:ascii="Cambria" w:hAnsi="Cambria"/>
          <w:b/>
          <w:bCs/>
          <w:sz w:val="24"/>
          <w:szCs w:val="24"/>
        </w:rPr>
        <w:t>ekv</w:t>
      </w:r>
      <w:proofErr w:type="spellEnd"/>
      <w:r w:rsidRPr="00881D21">
        <w:rPr>
          <w:rFonts w:ascii="Cambria" w:hAnsi="Cambria"/>
          <w:b/>
          <w:bCs/>
          <w:sz w:val="24"/>
          <w:szCs w:val="24"/>
        </w:rPr>
        <w:t>.</w:t>
      </w:r>
      <w:r w:rsidRPr="00881D21">
        <w:rPr>
          <w:rStyle w:val="FootnoteReference"/>
          <w:rFonts w:ascii="Cambria" w:hAnsi="Cambria"/>
          <w:b/>
          <w:bCs/>
          <w:sz w:val="24"/>
          <w:szCs w:val="24"/>
        </w:rPr>
        <w:footnoteReference w:id="38"/>
      </w:r>
    </w:p>
    <w:tbl>
      <w:tblPr>
        <w:tblW w:w="9993" w:type="dxa"/>
        <w:tblInd w:w="-541" w:type="dxa"/>
        <w:tblLook w:val="04A0" w:firstRow="1" w:lastRow="0" w:firstColumn="1" w:lastColumn="0" w:noHBand="0" w:noVBand="1"/>
      </w:tblPr>
      <w:tblGrid>
        <w:gridCol w:w="1845"/>
        <w:gridCol w:w="873"/>
        <w:gridCol w:w="785"/>
        <w:gridCol w:w="785"/>
        <w:gridCol w:w="770"/>
        <w:gridCol w:w="770"/>
        <w:gridCol w:w="770"/>
        <w:gridCol w:w="770"/>
        <w:gridCol w:w="848"/>
        <w:gridCol w:w="850"/>
        <w:gridCol w:w="957"/>
      </w:tblGrid>
      <w:tr w:rsidR="00B75D0C" w:rsidRPr="00881D21" w14:paraId="5E509467" w14:textId="77777777" w:rsidTr="002F3744">
        <w:trPr>
          <w:trHeight w:val="318"/>
        </w:trPr>
        <w:tc>
          <w:tcPr>
            <w:tcW w:w="184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943F838" w14:textId="77777777" w:rsidR="00B75D0C" w:rsidRPr="00881D21" w:rsidRDefault="00B75D0C" w:rsidP="002F3744">
            <w:pPr>
              <w:keepNext/>
              <w:spacing w:after="0" w:line="240" w:lineRule="auto"/>
              <w:rPr>
                <w:rFonts w:ascii="Cambria" w:eastAsia="Times New Roman" w:hAnsi="Cambria" w:cs="Calibri"/>
                <w:color w:val="000000"/>
              </w:rPr>
            </w:pPr>
            <w:r w:rsidRPr="00881D21">
              <w:rPr>
                <w:rFonts w:ascii="Cambria" w:hAnsi="Cambria" w:cs="Calibri"/>
                <w:color w:val="000000" w:themeColor="text1"/>
              </w:rPr>
              <w:t> </w:t>
            </w:r>
          </w:p>
        </w:tc>
        <w:tc>
          <w:tcPr>
            <w:tcW w:w="873" w:type="dxa"/>
            <w:tcBorders>
              <w:top w:val="single" w:sz="8" w:space="0" w:color="auto"/>
              <w:left w:val="nil"/>
              <w:bottom w:val="single" w:sz="8" w:space="0" w:color="auto"/>
              <w:right w:val="single" w:sz="8" w:space="0" w:color="auto"/>
            </w:tcBorders>
            <w:shd w:val="clear" w:color="auto" w:fill="auto"/>
            <w:noWrap/>
            <w:vAlign w:val="center"/>
            <w:hideMark/>
          </w:tcPr>
          <w:p w14:paraId="2F9635F7" w14:textId="77777777" w:rsidR="00B75D0C" w:rsidRPr="00881D21" w:rsidRDefault="00B75D0C" w:rsidP="002F3744">
            <w:pPr>
              <w:keepNext/>
              <w:jc w:val="center"/>
              <w:rPr>
                <w:rFonts w:ascii="Cambria" w:hAnsi="Cambria"/>
                <w:b/>
                <w:bCs/>
                <w:color w:val="000000"/>
                <w:sz w:val="18"/>
                <w:szCs w:val="18"/>
              </w:rPr>
            </w:pPr>
            <w:r w:rsidRPr="00881D21">
              <w:rPr>
                <w:rFonts w:ascii="Cambria" w:hAnsi="Cambria"/>
                <w:b/>
                <w:bCs/>
                <w:color w:val="000000" w:themeColor="text1"/>
                <w:sz w:val="18"/>
                <w:szCs w:val="18"/>
              </w:rPr>
              <w:t>2021</w:t>
            </w:r>
            <w:r w:rsidRPr="00881D21">
              <w:rPr>
                <w:rStyle w:val="FootnoteReference"/>
                <w:rFonts w:ascii="Cambria" w:hAnsi="Cambria"/>
                <w:b/>
                <w:bCs/>
                <w:color w:val="000000" w:themeColor="text1"/>
                <w:sz w:val="18"/>
                <w:szCs w:val="18"/>
              </w:rPr>
              <w:footnoteReference w:id="39"/>
            </w:r>
          </w:p>
        </w:tc>
        <w:tc>
          <w:tcPr>
            <w:tcW w:w="770" w:type="dxa"/>
            <w:tcBorders>
              <w:top w:val="single" w:sz="8" w:space="0" w:color="auto"/>
              <w:left w:val="nil"/>
              <w:bottom w:val="single" w:sz="8" w:space="0" w:color="auto"/>
              <w:right w:val="single" w:sz="8" w:space="0" w:color="auto"/>
            </w:tcBorders>
            <w:shd w:val="clear" w:color="auto" w:fill="auto"/>
            <w:noWrap/>
            <w:vAlign w:val="center"/>
            <w:hideMark/>
          </w:tcPr>
          <w:p w14:paraId="30A1125C" w14:textId="77777777" w:rsidR="00B75D0C" w:rsidRPr="00881D21" w:rsidRDefault="00B75D0C" w:rsidP="002F3744">
            <w:pPr>
              <w:keepNext/>
              <w:jc w:val="center"/>
              <w:rPr>
                <w:rFonts w:ascii="Cambria" w:hAnsi="Cambria"/>
                <w:b/>
                <w:bCs/>
                <w:color w:val="000000"/>
                <w:sz w:val="18"/>
                <w:szCs w:val="18"/>
              </w:rPr>
            </w:pPr>
            <w:r w:rsidRPr="00881D21">
              <w:rPr>
                <w:rFonts w:ascii="Cambria" w:hAnsi="Cambria"/>
                <w:b/>
                <w:bCs/>
                <w:color w:val="000000" w:themeColor="text1"/>
                <w:sz w:val="18"/>
                <w:szCs w:val="18"/>
              </w:rPr>
              <w:t>2022</w:t>
            </w:r>
            <w:r w:rsidRPr="00881D21">
              <w:rPr>
                <w:rStyle w:val="FootnoteReference"/>
                <w:rFonts w:ascii="Cambria" w:hAnsi="Cambria"/>
                <w:b/>
                <w:bCs/>
                <w:color w:val="000000" w:themeColor="text1"/>
                <w:sz w:val="18"/>
                <w:szCs w:val="18"/>
              </w:rPr>
              <w:footnoteReference w:id="40"/>
            </w:r>
          </w:p>
        </w:tc>
        <w:tc>
          <w:tcPr>
            <w:tcW w:w="770" w:type="dxa"/>
            <w:tcBorders>
              <w:top w:val="single" w:sz="8" w:space="0" w:color="auto"/>
              <w:left w:val="nil"/>
              <w:bottom w:val="single" w:sz="8" w:space="0" w:color="auto"/>
              <w:right w:val="single" w:sz="8" w:space="0" w:color="auto"/>
            </w:tcBorders>
            <w:shd w:val="clear" w:color="auto" w:fill="auto"/>
            <w:noWrap/>
            <w:vAlign w:val="center"/>
            <w:hideMark/>
          </w:tcPr>
          <w:p w14:paraId="2E4A0DCB" w14:textId="77777777" w:rsidR="00B75D0C" w:rsidRPr="00881D21" w:rsidRDefault="00B75D0C" w:rsidP="002F3744">
            <w:pPr>
              <w:keepNext/>
              <w:jc w:val="center"/>
              <w:rPr>
                <w:rFonts w:ascii="Cambria" w:hAnsi="Cambria"/>
                <w:b/>
                <w:bCs/>
                <w:color w:val="000000"/>
                <w:sz w:val="18"/>
                <w:szCs w:val="18"/>
              </w:rPr>
            </w:pPr>
            <w:r w:rsidRPr="00881D21">
              <w:rPr>
                <w:rFonts w:ascii="Cambria" w:hAnsi="Cambria"/>
                <w:b/>
                <w:bCs/>
                <w:color w:val="000000" w:themeColor="text1"/>
                <w:sz w:val="18"/>
                <w:szCs w:val="18"/>
              </w:rPr>
              <w:t>2023</w:t>
            </w:r>
            <w:r w:rsidRPr="00881D21">
              <w:rPr>
                <w:rStyle w:val="FootnoteReference"/>
                <w:rFonts w:ascii="Cambria" w:hAnsi="Cambria"/>
                <w:b/>
                <w:bCs/>
                <w:color w:val="000000" w:themeColor="text1"/>
                <w:sz w:val="18"/>
                <w:szCs w:val="18"/>
              </w:rPr>
              <w:footnoteReference w:id="41"/>
            </w:r>
          </w:p>
        </w:tc>
        <w:tc>
          <w:tcPr>
            <w:tcW w:w="770" w:type="dxa"/>
            <w:tcBorders>
              <w:top w:val="single" w:sz="8" w:space="0" w:color="auto"/>
              <w:left w:val="nil"/>
              <w:bottom w:val="single" w:sz="8" w:space="0" w:color="auto"/>
              <w:right w:val="single" w:sz="8" w:space="0" w:color="auto"/>
            </w:tcBorders>
            <w:shd w:val="clear" w:color="auto" w:fill="auto"/>
            <w:noWrap/>
            <w:vAlign w:val="center"/>
            <w:hideMark/>
          </w:tcPr>
          <w:p w14:paraId="69FFEB54" w14:textId="77777777" w:rsidR="00B75D0C" w:rsidRPr="00881D21" w:rsidRDefault="00B75D0C" w:rsidP="002F3744">
            <w:pPr>
              <w:keepNext/>
              <w:jc w:val="center"/>
              <w:rPr>
                <w:rFonts w:ascii="Cambria" w:hAnsi="Cambria"/>
                <w:b/>
                <w:bCs/>
                <w:color w:val="000000"/>
                <w:sz w:val="18"/>
                <w:szCs w:val="18"/>
              </w:rPr>
            </w:pPr>
            <w:r w:rsidRPr="00881D21">
              <w:rPr>
                <w:rFonts w:ascii="Cambria" w:hAnsi="Cambria"/>
                <w:b/>
                <w:bCs/>
                <w:color w:val="000000" w:themeColor="text1"/>
                <w:sz w:val="18"/>
                <w:szCs w:val="18"/>
              </w:rPr>
              <w:t>2024</w:t>
            </w:r>
          </w:p>
        </w:tc>
        <w:tc>
          <w:tcPr>
            <w:tcW w:w="770" w:type="dxa"/>
            <w:tcBorders>
              <w:top w:val="single" w:sz="8" w:space="0" w:color="auto"/>
              <w:left w:val="nil"/>
              <w:bottom w:val="single" w:sz="8" w:space="0" w:color="auto"/>
              <w:right w:val="single" w:sz="8" w:space="0" w:color="auto"/>
            </w:tcBorders>
            <w:shd w:val="clear" w:color="auto" w:fill="auto"/>
            <w:noWrap/>
            <w:vAlign w:val="center"/>
            <w:hideMark/>
          </w:tcPr>
          <w:p w14:paraId="19F3D367" w14:textId="77777777" w:rsidR="00B75D0C" w:rsidRPr="00881D21" w:rsidRDefault="00B75D0C" w:rsidP="002F3744">
            <w:pPr>
              <w:keepNext/>
              <w:jc w:val="center"/>
              <w:rPr>
                <w:rFonts w:ascii="Cambria" w:hAnsi="Cambria"/>
                <w:b/>
                <w:bCs/>
                <w:color w:val="000000"/>
                <w:sz w:val="18"/>
                <w:szCs w:val="18"/>
              </w:rPr>
            </w:pPr>
            <w:r w:rsidRPr="00881D21">
              <w:rPr>
                <w:rFonts w:ascii="Cambria" w:hAnsi="Cambria"/>
                <w:b/>
                <w:bCs/>
                <w:color w:val="000000" w:themeColor="text1"/>
                <w:sz w:val="18"/>
                <w:szCs w:val="18"/>
              </w:rPr>
              <w:t>2025</w:t>
            </w:r>
          </w:p>
        </w:tc>
        <w:tc>
          <w:tcPr>
            <w:tcW w:w="770" w:type="dxa"/>
            <w:tcBorders>
              <w:top w:val="single" w:sz="8" w:space="0" w:color="auto"/>
              <w:left w:val="nil"/>
              <w:bottom w:val="single" w:sz="8" w:space="0" w:color="auto"/>
              <w:right w:val="single" w:sz="8" w:space="0" w:color="auto"/>
            </w:tcBorders>
            <w:shd w:val="clear" w:color="auto" w:fill="auto"/>
            <w:noWrap/>
            <w:vAlign w:val="center"/>
            <w:hideMark/>
          </w:tcPr>
          <w:p w14:paraId="3A01E0BF" w14:textId="77777777" w:rsidR="00B75D0C" w:rsidRPr="00881D21" w:rsidRDefault="00B75D0C" w:rsidP="002F3744">
            <w:pPr>
              <w:keepNext/>
              <w:jc w:val="center"/>
              <w:rPr>
                <w:rFonts w:ascii="Cambria" w:hAnsi="Cambria"/>
                <w:b/>
                <w:bCs/>
                <w:color w:val="000000"/>
                <w:sz w:val="18"/>
                <w:szCs w:val="18"/>
              </w:rPr>
            </w:pPr>
            <w:r w:rsidRPr="00881D21">
              <w:rPr>
                <w:rFonts w:ascii="Cambria" w:hAnsi="Cambria"/>
                <w:b/>
                <w:bCs/>
                <w:color w:val="000000" w:themeColor="text1"/>
                <w:sz w:val="18"/>
                <w:szCs w:val="18"/>
              </w:rPr>
              <w:t>2026</w:t>
            </w:r>
          </w:p>
        </w:tc>
        <w:tc>
          <w:tcPr>
            <w:tcW w:w="770" w:type="dxa"/>
            <w:tcBorders>
              <w:top w:val="single" w:sz="8" w:space="0" w:color="auto"/>
              <w:left w:val="nil"/>
              <w:bottom w:val="single" w:sz="8" w:space="0" w:color="auto"/>
              <w:right w:val="single" w:sz="8" w:space="0" w:color="auto"/>
            </w:tcBorders>
            <w:shd w:val="clear" w:color="auto" w:fill="auto"/>
            <w:noWrap/>
            <w:vAlign w:val="center"/>
            <w:hideMark/>
          </w:tcPr>
          <w:p w14:paraId="7517E06A" w14:textId="77777777" w:rsidR="00B75D0C" w:rsidRPr="00881D21" w:rsidRDefault="00B75D0C" w:rsidP="002F3744">
            <w:pPr>
              <w:keepNext/>
              <w:jc w:val="center"/>
              <w:rPr>
                <w:rFonts w:ascii="Cambria" w:hAnsi="Cambria"/>
                <w:b/>
                <w:bCs/>
                <w:color w:val="000000"/>
                <w:sz w:val="18"/>
                <w:szCs w:val="18"/>
              </w:rPr>
            </w:pPr>
            <w:r w:rsidRPr="00881D21">
              <w:rPr>
                <w:rFonts w:ascii="Cambria" w:hAnsi="Cambria"/>
                <w:b/>
                <w:bCs/>
                <w:color w:val="000000" w:themeColor="text1"/>
                <w:sz w:val="18"/>
                <w:szCs w:val="18"/>
              </w:rPr>
              <w:t>2027</w:t>
            </w:r>
          </w:p>
        </w:tc>
        <w:tc>
          <w:tcPr>
            <w:tcW w:w="848" w:type="dxa"/>
            <w:tcBorders>
              <w:top w:val="single" w:sz="8" w:space="0" w:color="auto"/>
              <w:left w:val="nil"/>
              <w:bottom w:val="single" w:sz="8" w:space="0" w:color="auto"/>
              <w:right w:val="single" w:sz="8" w:space="0" w:color="auto"/>
            </w:tcBorders>
            <w:shd w:val="clear" w:color="auto" w:fill="auto"/>
            <w:noWrap/>
            <w:vAlign w:val="center"/>
            <w:hideMark/>
          </w:tcPr>
          <w:p w14:paraId="30094B54" w14:textId="77777777" w:rsidR="00B75D0C" w:rsidRPr="00881D21" w:rsidRDefault="00B75D0C" w:rsidP="002F3744">
            <w:pPr>
              <w:keepNext/>
              <w:jc w:val="center"/>
              <w:rPr>
                <w:rFonts w:ascii="Cambria" w:hAnsi="Cambria"/>
                <w:b/>
                <w:bCs/>
                <w:color w:val="000000"/>
                <w:sz w:val="18"/>
                <w:szCs w:val="18"/>
              </w:rPr>
            </w:pPr>
            <w:r w:rsidRPr="00881D21">
              <w:rPr>
                <w:rFonts w:ascii="Cambria" w:hAnsi="Cambria"/>
                <w:b/>
                <w:bCs/>
                <w:color w:val="000000" w:themeColor="text1"/>
                <w:sz w:val="18"/>
                <w:szCs w:val="18"/>
              </w:rPr>
              <w:t>2028</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14:paraId="6F9BA310" w14:textId="77777777" w:rsidR="00B75D0C" w:rsidRPr="00881D21" w:rsidRDefault="00B75D0C" w:rsidP="002F3744">
            <w:pPr>
              <w:keepNext/>
              <w:jc w:val="center"/>
              <w:rPr>
                <w:rFonts w:ascii="Cambria" w:hAnsi="Cambria"/>
                <w:b/>
                <w:bCs/>
                <w:color w:val="000000"/>
                <w:sz w:val="18"/>
                <w:szCs w:val="18"/>
              </w:rPr>
            </w:pPr>
            <w:r w:rsidRPr="00881D21">
              <w:rPr>
                <w:rFonts w:ascii="Cambria" w:hAnsi="Cambria"/>
                <w:b/>
                <w:bCs/>
                <w:color w:val="000000" w:themeColor="text1"/>
                <w:sz w:val="18"/>
                <w:szCs w:val="18"/>
              </w:rPr>
              <w:t>2029</w:t>
            </w:r>
          </w:p>
        </w:tc>
        <w:tc>
          <w:tcPr>
            <w:tcW w:w="957" w:type="dxa"/>
            <w:tcBorders>
              <w:top w:val="single" w:sz="8" w:space="0" w:color="auto"/>
              <w:left w:val="nil"/>
              <w:bottom w:val="single" w:sz="8" w:space="0" w:color="auto"/>
              <w:right w:val="single" w:sz="8" w:space="0" w:color="auto"/>
            </w:tcBorders>
            <w:shd w:val="clear" w:color="auto" w:fill="auto"/>
            <w:noWrap/>
            <w:vAlign w:val="center"/>
            <w:hideMark/>
          </w:tcPr>
          <w:p w14:paraId="40CB9CF1" w14:textId="77777777" w:rsidR="00B75D0C" w:rsidRPr="00881D21" w:rsidRDefault="00B75D0C" w:rsidP="002F3744">
            <w:pPr>
              <w:keepNext/>
              <w:jc w:val="center"/>
              <w:rPr>
                <w:rFonts w:ascii="Cambria" w:hAnsi="Cambria"/>
                <w:b/>
                <w:bCs/>
                <w:color w:val="000000"/>
                <w:sz w:val="18"/>
                <w:szCs w:val="18"/>
              </w:rPr>
            </w:pPr>
            <w:r w:rsidRPr="00881D21">
              <w:rPr>
                <w:rFonts w:ascii="Cambria" w:hAnsi="Cambria"/>
                <w:b/>
                <w:bCs/>
                <w:color w:val="000000" w:themeColor="text1"/>
                <w:sz w:val="18"/>
                <w:szCs w:val="18"/>
              </w:rPr>
              <w:t>2030</w:t>
            </w:r>
          </w:p>
        </w:tc>
      </w:tr>
      <w:tr w:rsidR="00B75D0C" w:rsidRPr="00881D21" w14:paraId="4D04561D" w14:textId="77777777" w:rsidTr="002F3744">
        <w:trPr>
          <w:trHeight w:val="831"/>
        </w:trPr>
        <w:tc>
          <w:tcPr>
            <w:tcW w:w="1845" w:type="dxa"/>
            <w:tcBorders>
              <w:top w:val="nil"/>
              <w:left w:val="single" w:sz="8" w:space="0" w:color="auto"/>
              <w:bottom w:val="single" w:sz="8" w:space="0" w:color="auto"/>
              <w:right w:val="single" w:sz="8" w:space="0" w:color="auto"/>
            </w:tcBorders>
            <w:shd w:val="clear" w:color="auto" w:fill="auto"/>
            <w:vAlign w:val="center"/>
            <w:hideMark/>
          </w:tcPr>
          <w:p w14:paraId="545A1EDD" w14:textId="77777777" w:rsidR="00B75D0C" w:rsidRPr="00881D21" w:rsidRDefault="00B75D0C" w:rsidP="002F3744">
            <w:pPr>
              <w:keepNext/>
              <w:rPr>
                <w:rFonts w:ascii="Cambria" w:hAnsi="Cambria"/>
                <w:color w:val="0563C1"/>
                <w:sz w:val="18"/>
                <w:szCs w:val="18"/>
                <w:u w:val="single"/>
              </w:rPr>
            </w:pPr>
            <w:r w:rsidRPr="00881D21">
              <w:rPr>
                <w:rFonts w:ascii="Cambria" w:hAnsi="Cambria"/>
                <w:sz w:val="18"/>
                <w:szCs w:val="18"/>
              </w:rPr>
              <w:t>Ne-ETS sektora mērķis, GES</w:t>
            </w:r>
          </w:p>
        </w:tc>
        <w:tc>
          <w:tcPr>
            <w:tcW w:w="873" w:type="dxa"/>
            <w:tcBorders>
              <w:top w:val="nil"/>
              <w:left w:val="nil"/>
              <w:bottom w:val="single" w:sz="8" w:space="0" w:color="auto"/>
              <w:right w:val="single" w:sz="8" w:space="0" w:color="auto"/>
            </w:tcBorders>
            <w:shd w:val="clear" w:color="auto" w:fill="auto"/>
            <w:noWrap/>
            <w:hideMark/>
          </w:tcPr>
          <w:p w14:paraId="205EF042"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10649,5</w:t>
            </w:r>
          </w:p>
        </w:tc>
        <w:tc>
          <w:tcPr>
            <w:tcW w:w="770" w:type="dxa"/>
            <w:tcBorders>
              <w:top w:val="nil"/>
              <w:left w:val="nil"/>
              <w:bottom w:val="single" w:sz="8" w:space="0" w:color="auto"/>
              <w:right w:val="single" w:sz="8" w:space="0" w:color="auto"/>
            </w:tcBorders>
            <w:shd w:val="clear" w:color="auto" w:fill="auto"/>
            <w:noWrap/>
            <w:hideMark/>
          </w:tcPr>
          <w:p w14:paraId="7533E3FF"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8854,8</w:t>
            </w:r>
          </w:p>
        </w:tc>
        <w:tc>
          <w:tcPr>
            <w:tcW w:w="770" w:type="dxa"/>
            <w:tcBorders>
              <w:top w:val="nil"/>
              <w:left w:val="nil"/>
              <w:bottom w:val="single" w:sz="8" w:space="0" w:color="auto"/>
              <w:right w:val="single" w:sz="8" w:space="0" w:color="auto"/>
            </w:tcBorders>
            <w:shd w:val="clear" w:color="auto" w:fill="auto"/>
            <w:noWrap/>
            <w:hideMark/>
          </w:tcPr>
          <w:p w14:paraId="62BEAD8A"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8640,0</w:t>
            </w:r>
          </w:p>
        </w:tc>
        <w:tc>
          <w:tcPr>
            <w:tcW w:w="770" w:type="dxa"/>
            <w:tcBorders>
              <w:top w:val="nil"/>
              <w:left w:val="nil"/>
              <w:bottom w:val="single" w:sz="8" w:space="0" w:color="auto"/>
              <w:right w:val="single" w:sz="8" w:space="0" w:color="auto"/>
            </w:tcBorders>
            <w:shd w:val="clear" w:color="auto" w:fill="auto"/>
            <w:noWrap/>
            <w:hideMark/>
          </w:tcPr>
          <w:p w14:paraId="4814635F"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8425,2</w:t>
            </w:r>
          </w:p>
        </w:tc>
        <w:tc>
          <w:tcPr>
            <w:tcW w:w="770" w:type="dxa"/>
            <w:tcBorders>
              <w:top w:val="nil"/>
              <w:left w:val="nil"/>
              <w:bottom w:val="single" w:sz="8" w:space="0" w:color="auto"/>
              <w:right w:val="single" w:sz="8" w:space="0" w:color="auto"/>
            </w:tcBorders>
            <w:shd w:val="clear" w:color="auto" w:fill="auto"/>
            <w:noWrap/>
            <w:hideMark/>
          </w:tcPr>
          <w:p w14:paraId="5134FDFD"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8210,3</w:t>
            </w:r>
          </w:p>
        </w:tc>
        <w:tc>
          <w:tcPr>
            <w:tcW w:w="770" w:type="dxa"/>
            <w:tcBorders>
              <w:top w:val="nil"/>
              <w:left w:val="nil"/>
              <w:bottom w:val="single" w:sz="8" w:space="0" w:color="auto"/>
              <w:right w:val="single" w:sz="8" w:space="0" w:color="auto"/>
            </w:tcBorders>
            <w:shd w:val="clear" w:color="auto" w:fill="auto"/>
            <w:noWrap/>
            <w:hideMark/>
          </w:tcPr>
          <w:p w14:paraId="7900C1E0"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8141,9</w:t>
            </w:r>
          </w:p>
        </w:tc>
        <w:tc>
          <w:tcPr>
            <w:tcW w:w="770" w:type="dxa"/>
            <w:tcBorders>
              <w:top w:val="nil"/>
              <w:left w:val="nil"/>
              <w:bottom w:val="single" w:sz="8" w:space="0" w:color="auto"/>
              <w:right w:val="single" w:sz="8" w:space="0" w:color="auto"/>
            </w:tcBorders>
            <w:shd w:val="clear" w:color="auto" w:fill="auto"/>
            <w:noWrap/>
            <w:hideMark/>
          </w:tcPr>
          <w:p w14:paraId="2D1AAEF4"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7890,5</w:t>
            </w:r>
          </w:p>
        </w:tc>
        <w:tc>
          <w:tcPr>
            <w:tcW w:w="848" w:type="dxa"/>
            <w:tcBorders>
              <w:top w:val="nil"/>
              <w:left w:val="nil"/>
              <w:bottom w:val="single" w:sz="8" w:space="0" w:color="auto"/>
              <w:right w:val="single" w:sz="8" w:space="0" w:color="auto"/>
            </w:tcBorders>
            <w:shd w:val="clear" w:color="auto" w:fill="auto"/>
            <w:noWrap/>
            <w:hideMark/>
          </w:tcPr>
          <w:p w14:paraId="73B694CA"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7639,1</w:t>
            </w:r>
          </w:p>
        </w:tc>
        <w:tc>
          <w:tcPr>
            <w:tcW w:w="850" w:type="dxa"/>
            <w:tcBorders>
              <w:top w:val="nil"/>
              <w:left w:val="nil"/>
              <w:bottom w:val="single" w:sz="8" w:space="0" w:color="auto"/>
              <w:right w:val="single" w:sz="8" w:space="0" w:color="auto"/>
            </w:tcBorders>
            <w:shd w:val="clear" w:color="auto" w:fill="auto"/>
            <w:noWrap/>
            <w:hideMark/>
          </w:tcPr>
          <w:p w14:paraId="3E76F488"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7387,6</w:t>
            </w:r>
          </w:p>
        </w:tc>
        <w:tc>
          <w:tcPr>
            <w:tcW w:w="957" w:type="dxa"/>
            <w:tcBorders>
              <w:top w:val="nil"/>
              <w:left w:val="nil"/>
              <w:bottom w:val="single" w:sz="8" w:space="0" w:color="auto"/>
              <w:right w:val="single" w:sz="8" w:space="0" w:color="auto"/>
            </w:tcBorders>
            <w:shd w:val="clear" w:color="auto" w:fill="auto"/>
            <w:noWrap/>
            <w:hideMark/>
          </w:tcPr>
          <w:p w14:paraId="748FD5A7"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7136,2</w:t>
            </w:r>
          </w:p>
        </w:tc>
      </w:tr>
      <w:tr w:rsidR="00B75D0C" w:rsidRPr="00881D21" w14:paraId="257CE360" w14:textId="77777777" w:rsidTr="002F3744">
        <w:trPr>
          <w:trHeight w:val="832"/>
        </w:trPr>
        <w:tc>
          <w:tcPr>
            <w:tcW w:w="1845" w:type="dxa"/>
            <w:tcBorders>
              <w:top w:val="nil"/>
              <w:left w:val="single" w:sz="8" w:space="0" w:color="auto"/>
              <w:bottom w:val="single" w:sz="8" w:space="0" w:color="auto"/>
              <w:right w:val="single" w:sz="8" w:space="0" w:color="auto"/>
            </w:tcBorders>
            <w:shd w:val="clear" w:color="auto" w:fill="auto"/>
            <w:noWrap/>
            <w:vAlign w:val="center"/>
            <w:hideMark/>
          </w:tcPr>
          <w:p w14:paraId="3A68667C" w14:textId="77777777" w:rsidR="00B75D0C" w:rsidRPr="00881D21" w:rsidRDefault="00B75D0C" w:rsidP="002F3744">
            <w:pPr>
              <w:keepNext/>
              <w:rPr>
                <w:rFonts w:ascii="Cambria" w:hAnsi="Cambria"/>
                <w:color w:val="000000"/>
                <w:sz w:val="18"/>
                <w:szCs w:val="18"/>
              </w:rPr>
            </w:pPr>
            <w:r w:rsidRPr="00881D21">
              <w:rPr>
                <w:rFonts w:ascii="Cambria" w:hAnsi="Cambria"/>
                <w:color w:val="000000" w:themeColor="text1"/>
                <w:sz w:val="18"/>
                <w:szCs w:val="18"/>
              </w:rPr>
              <w:t>Ne-ETS SEG emisijas WEM scenārijā</w:t>
            </w:r>
          </w:p>
        </w:tc>
        <w:tc>
          <w:tcPr>
            <w:tcW w:w="873" w:type="dxa"/>
            <w:tcBorders>
              <w:top w:val="nil"/>
              <w:left w:val="nil"/>
              <w:bottom w:val="single" w:sz="8" w:space="0" w:color="auto"/>
              <w:right w:val="single" w:sz="8" w:space="0" w:color="auto"/>
            </w:tcBorders>
            <w:shd w:val="clear" w:color="auto" w:fill="auto"/>
            <w:noWrap/>
            <w:hideMark/>
          </w:tcPr>
          <w:p w14:paraId="5230759E"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8669,0</w:t>
            </w:r>
          </w:p>
        </w:tc>
        <w:tc>
          <w:tcPr>
            <w:tcW w:w="770" w:type="dxa"/>
            <w:tcBorders>
              <w:top w:val="nil"/>
              <w:left w:val="nil"/>
              <w:bottom w:val="single" w:sz="8" w:space="0" w:color="auto"/>
              <w:right w:val="single" w:sz="8" w:space="0" w:color="auto"/>
            </w:tcBorders>
            <w:shd w:val="clear" w:color="auto" w:fill="auto"/>
            <w:noWrap/>
            <w:hideMark/>
          </w:tcPr>
          <w:p w14:paraId="281D0EAF"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8356,9</w:t>
            </w:r>
          </w:p>
        </w:tc>
        <w:tc>
          <w:tcPr>
            <w:tcW w:w="770" w:type="dxa"/>
            <w:tcBorders>
              <w:top w:val="nil"/>
              <w:left w:val="nil"/>
              <w:bottom w:val="single" w:sz="8" w:space="0" w:color="auto"/>
              <w:right w:val="single" w:sz="8" w:space="0" w:color="auto"/>
            </w:tcBorders>
            <w:shd w:val="clear" w:color="auto" w:fill="auto"/>
            <w:noWrap/>
            <w:hideMark/>
          </w:tcPr>
          <w:p w14:paraId="7DC912B5"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8691,2</w:t>
            </w:r>
          </w:p>
        </w:tc>
        <w:tc>
          <w:tcPr>
            <w:tcW w:w="770" w:type="dxa"/>
            <w:tcBorders>
              <w:top w:val="nil"/>
              <w:left w:val="nil"/>
              <w:bottom w:val="single" w:sz="8" w:space="0" w:color="auto"/>
              <w:right w:val="single" w:sz="8" w:space="0" w:color="auto"/>
            </w:tcBorders>
            <w:shd w:val="clear" w:color="auto" w:fill="auto"/>
            <w:noWrap/>
            <w:hideMark/>
          </w:tcPr>
          <w:p w14:paraId="25DFA05E"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8667,3</w:t>
            </w:r>
          </w:p>
        </w:tc>
        <w:tc>
          <w:tcPr>
            <w:tcW w:w="770" w:type="dxa"/>
            <w:tcBorders>
              <w:top w:val="nil"/>
              <w:left w:val="nil"/>
              <w:bottom w:val="single" w:sz="8" w:space="0" w:color="auto"/>
              <w:right w:val="single" w:sz="8" w:space="0" w:color="auto"/>
            </w:tcBorders>
            <w:shd w:val="clear" w:color="auto" w:fill="auto"/>
            <w:noWrap/>
            <w:hideMark/>
          </w:tcPr>
          <w:p w14:paraId="0F17FE4F"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8545,1</w:t>
            </w:r>
          </w:p>
        </w:tc>
        <w:tc>
          <w:tcPr>
            <w:tcW w:w="770" w:type="dxa"/>
            <w:tcBorders>
              <w:top w:val="nil"/>
              <w:left w:val="nil"/>
              <w:bottom w:val="single" w:sz="8" w:space="0" w:color="auto"/>
              <w:right w:val="single" w:sz="8" w:space="0" w:color="auto"/>
            </w:tcBorders>
            <w:shd w:val="clear" w:color="auto" w:fill="auto"/>
            <w:noWrap/>
            <w:hideMark/>
          </w:tcPr>
          <w:p w14:paraId="2683CD1B"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8463,3</w:t>
            </w:r>
          </w:p>
        </w:tc>
        <w:tc>
          <w:tcPr>
            <w:tcW w:w="770" w:type="dxa"/>
            <w:tcBorders>
              <w:top w:val="nil"/>
              <w:left w:val="nil"/>
              <w:bottom w:val="single" w:sz="8" w:space="0" w:color="auto"/>
              <w:right w:val="single" w:sz="8" w:space="0" w:color="auto"/>
            </w:tcBorders>
            <w:shd w:val="clear" w:color="auto" w:fill="auto"/>
            <w:noWrap/>
            <w:hideMark/>
          </w:tcPr>
          <w:p w14:paraId="29604553"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8426,9</w:t>
            </w:r>
          </w:p>
        </w:tc>
        <w:tc>
          <w:tcPr>
            <w:tcW w:w="848" w:type="dxa"/>
            <w:tcBorders>
              <w:top w:val="nil"/>
              <w:left w:val="nil"/>
              <w:bottom w:val="single" w:sz="8" w:space="0" w:color="auto"/>
              <w:right w:val="single" w:sz="8" w:space="0" w:color="auto"/>
            </w:tcBorders>
            <w:shd w:val="clear" w:color="auto" w:fill="auto"/>
            <w:noWrap/>
            <w:hideMark/>
          </w:tcPr>
          <w:p w14:paraId="6D5043B0"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8384,5</w:t>
            </w:r>
          </w:p>
        </w:tc>
        <w:tc>
          <w:tcPr>
            <w:tcW w:w="850" w:type="dxa"/>
            <w:tcBorders>
              <w:top w:val="nil"/>
              <w:left w:val="nil"/>
              <w:bottom w:val="single" w:sz="8" w:space="0" w:color="auto"/>
              <w:right w:val="single" w:sz="8" w:space="0" w:color="auto"/>
            </w:tcBorders>
            <w:shd w:val="clear" w:color="auto" w:fill="auto"/>
            <w:noWrap/>
            <w:hideMark/>
          </w:tcPr>
          <w:p w14:paraId="3B419C2B"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8272,3</w:t>
            </w:r>
          </w:p>
        </w:tc>
        <w:tc>
          <w:tcPr>
            <w:tcW w:w="957" w:type="dxa"/>
            <w:tcBorders>
              <w:top w:val="nil"/>
              <w:left w:val="nil"/>
              <w:bottom w:val="single" w:sz="8" w:space="0" w:color="auto"/>
              <w:right w:val="single" w:sz="8" w:space="0" w:color="auto"/>
            </w:tcBorders>
            <w:shd w:val="clear" w:color="auto" w:fill="auto"/>
            <w:noWrap/>
            <w:hideMark/>
          </w:tcPr>
          <w:p w14:paraId="5F10E061"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8031,9</w:t>
            </w:r>
          </w:p>
        </w:tc>
      </w:tr>
      <w:tr w:rsidR="00B75D0C" w:rsidRPr="00881D21" w14:paraId="3D42C737" w14:textId="77777777" w:rsidTr="002F3744">
        <w:trPr>
          <w:trHeight w:val="318"/>
        </w:trPr>
        <w:tc>
          <w:tcPr>
            <w:tcW w:w="1845" w:type="dxa"/>
            <w:tcBorders>
              <w:top w:val="nil"/>
              <w:left w:val="single" w:sz="8" w:space="0" w:color="auto"/>
              <w:bottom w:val="single" w:sz="8" w:space="0" w:color="auto"/>
              <w:right w:val="single" w:sz="8" w:space="0" w:color="auto"/>
            </w:tcBorders>
            <w:shd w:val="clear" w:color="auto" w:fill="auto"/>
            <w:noWrap/>
            <w:vAlign w:val="center"/>
            <w:hideMark/>
          </w:tcPr>
          <w:p w14:paraId="432B9033" w14:textId="77777777" w:rsidR="00B75D0C" w:rsidRPr="00881D21" w:rsidRDefault="00B75D0C" w:rsidP="002F3744">
            <w:pPr>
              <w:keepNext/>
              <w:rPr>
                <w:rFonts w:ascii="Cambria" w:hAnsi="Cambria"/>
                <w:color w:val="000000"/>
                <w:sz w:val="18"/>
                <w:szCs w:val="18"/>
              </w:rPr>
            </w:pPr>
            <w:r w:rsidRPr="00881D21">
              <w:rPr>
                <w:rFonts w:ascii="Cambria" w:hAnsi="Cambria"/>
                <w:color w:val="000000" w:themeColor="text1"/>
                <w:sz w:val="18"/>
                <w:szCs w:val="18"/>
              </w:rPr>
              <w:t>Ne-ETS SEG emisijas WAM scenārijā</w:t>
            </w:r>
          </w:p>
        </w:tc>
        <w:tc>
          <w:tcPr>
            <w:tcW w:w="873" w:type="dxa"/>
            <w:tcBorders>
              <w:top w:val="nil"/>
              <w:left w:val="nil"/>
              <w:bottom w:val="single" w:sz="8" w:space="0" w:color="auto"/>
              <w:right w:val="single" w:sz="8" w:space="0" w:color="auto"/>
            </w:tcBorders>
            <w:shd w:val="clear" w:color="auto" w:fill="auto"/>
            <w:noWrap/>
            <w:hideMark/>
          </w:tcPr>
          <w:p w14:paraId="7947C273"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8669,0</w:t>
            </w:r>
          </w:p>
        </w:tc>
        <w:tc>
          <w:tcPr>
            <w:tcW w:w="770" w:type="dxa"/>
            <w:tcBorders>
              <w:top w:val="nil"/>
              <w:left w:val="nil"/>
              <w:bottom w:val="single" w:sz="8" w:space="0" w:color="auto"/>
              <w:right w:val="single" w:sz="8" w:space="0" w:color="auto"/>
            </w:tcBorders>
            <w:shd w:val="clear" w:color="auto" w:fill="auto"/>
            <w:noWrap/>
            <w:hideMark/>
          </w:tcPr>
          <w:p w14:paraId="50FBB262"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8356,9</w:t>
            </w:r>
          </w:p>
        </w:tc>
        <w:tc>
          <w:tcPr>
            <w:tcW w:w="770" w:type="dxa"/>
            <w:tcBorders>
              <w:top w:val="nil"/>
              <w:left w:val="nil"/>
              <w:bottom w:val="single" w:sz="8" w:space="0" w:color="auto"/>
              <w:right w:val="single" w:sz="8" w:space="0" w:color="auto"/>
            </w:tcBorders>
            <w:shd w:val="clear" w:color="auto" w:fill="auto"/>
            <w:noWrap/>
            <w:hideMark/>
          </w:tcPr>
          <w:p w14:paraId="62F73623"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8631,7</w:t>
            </w:r>
          </w:p>
        </w:tc>
        <w:tc>
          <w:tcPr>
            <w:tcW w:w="770" w:type="dxa"/>
            <w:tcBorders>
              <w:top w:val="nil"/>
              <w:left w:val="nil"/>
              <w:bottom w:val="single" w:sz="8" w:space="0" w:color="auto"/>
              <w:right w:val="single" w:sz="8" w:space="0" w:color="auto"/>
            </w:tcBorders>
            <w:shd w:val="clear" w:color="auto" w:fill="auto"/>
            <w:noWrap/>
            <w:hideMark/>
          </w:tcPr>
          <w:p w14:paraId="40E4C311"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8587,2</w:t>
            </w:r>
          </w:p>
        </w:tc>
        <w:tc>
          <w:tcPr>
            <w:tcW w:w="770" w:type="dxa"/>
            <w:tcBorders>
              <w:top w:val="nil"/>
              <w:left w:val="nil"/>
              <w:bottom w:val="single" w:sz="8" w:space="0" w:color="auto"/>
              <w:right w:val="single" w:sz="8" w:space="0" w:color="auto"/>
            </w:tcBorders>
            <w:shd w:val="clear" w:color="auto" w:fill="auto"/>
            <w:noWrap/>
            <w:hideMark/>
          </w:tcPr>
          <w:p w14:paraId="231C41AA"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8448,4</w:t>
            </w:r>
          </w:p>
        </w:tc>
        <w:tc>
          <w:tcPr>
            <w:tcW w:w="770" w:type="dxa"/>
            <w:tcBorders>
              <w:top w:val="nil"/>
              <w:left w:val="nil"/>
              <w:bottom w:val="single" w:sz="8" w:space="0" w:color="auto"/>
              <w:right w:val="single" w:sz="8" w:space="0" w:color="auto"/>
            </w:tcBorders>
            <w:shd w:val="clear" w:color="auto" w:fill="auto"/>
            <w:noWrap/>
            <w:hideMark/>
          </w:tcPr>
          <w:p w14:paraId="0E0FCC1C"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8366,8</w:t>
            </w:r>
          </w:p>
        </w:tc>
        <w:tc>
          <w:tcPr>
            <w:tcW w:w="770" w:type="dxa"/>
            <w:tcBorders>
              <w:top w:val="nil"/>
              <w:left w:val="nil"/>
              <w:bottom w:val="single" w:sz="8" w:space="0" w:color="auto"/>
              <w:right w:val="single" w:sz="8" w:space="0" w:color="auto"/>
            </w:tcBorders>
            <w:shd w:val="clear" w:color="auto" w:fill="auto"/>
            <w:noWrap/>
            <w:hideMark/>
          </w:tcPr>
          <w:p w14:paraId="0F160E3D"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8322,6</w:t>
            </w:r>
          </w:p>
        </w:tc>
        <w:tc>
          <w:tcPr>
            <w:tcW w:w="848" w:type="dxa"/>
            <w:tcBorders>
              <w:top w:val="nil"/>
              <w:left w:val="nil"/>
              <w:bottom w:val="single" w:sz="8" w:space="0" w:color="auto"/>
              <w:right w:val="single" w:sz="8" w:space="0" w:color="auto"/>
            </w:tcBorders>
            <w:shd w:val="clear" w:color="auto" w:fill="auto"/>
            <w:noWrap/>
            <w:hideMark/>
          </w:tcPr>
          <w:p w14:paraId="5C2CF940"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8252,9</w:t>
            </w:r>
          </w:p>
        </w:tc>
        <w:tc>
          <w:tcPr>
            <w:tcW w:w="850" w:type="dxa"/>
            <w:tcBorders>
              <w:top w:val="nil"/>
              <w:left w:val="nil"/>
              <w:bottom w:val="single" w:sz="8" w:space="0" w:color="auto"/>
              <w:right w:val="single" w:sz="8" w:space="0" w:color="auto"/>
            </w:tcBorders>
            <w:shd w:val="clear" w:color="auto" w:fill="auto"/>
            <w:noWrap/>
            <w:hideMark/>
          </w:tcPr>
          <w:p w14:paraId="4462E3D7"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8133,0</w:t>
            </w:r>
          </w:p>
        </w:tc>
        <w:tc>
          <w:tcPr>
            <w:tcW w:w="957" w:type="dxa"/>
            <w:tcBorders>
              <w:top w:val="nil"/>
              <w:left w:val="nil"/>
              <w:bottom w:val="single" w:sz="8" w:space="0" w:color="auto"/>
              <w:right w:val="single" w:sz="8" w:space="0" w:color="auto"/>
            </w:tcBorders>
            <w:shd w:val="clear" w:color="auto" w:fill="auto"/>
            <w:noWrap/>
            <w:hideMark/>
          </w:tcPr>
          <w:p w14:paraId="20CB95E9"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7878,5</w:t>
            </w:r>
          </w:p>
        </w:tc>
      </w:tr>
      <w:tr w:rsidR="00B75D0C" w:rsidRPr="00881D21" w14:paraId="7B406FEF" w14:textId="77777777" w:rsidTr="002F3744">
        <w:trPr>
          <w:trHeight w:val="318"/>
        </w:trPr>
        <w:tc>
          <w:tcPr>
            <w:tcW w:w="1845" w:type="dxa"/>
            <w:tcBorders>
              <w:top w:val="nil"/>
              <w:left w:val="single" w:sz="8" w:space="0" w:color="auto"/>
              <w:bottom w:val="single" w:sz="4" w:space="0" w:color="auto"/>
              <w:right w:val="single" w:sz="8" w:space="0" w:color="auto"/>
            </w:tcBorders>
            <w:shd w:val="clear" w:color="auto" w:fill="auto"/>
            <w:noWrap/>
            <w:vAlign w:val="center"/>
            <w:hideMark/>
          </w:tcPr>
          <w:p w14:paraId="45E14BF7" w14:textId="77777777" w:rsidR="00B75D0C" w:rsidRPr="00881D21" w:rsidRDefault="00B75D0C" w:rsidP="002F3744">
            <w:pPr>
              <w:keepNext/>
              <w:rPr>
                <w:rFonts w:ascii="Cambria" w:hAnsi="Cambria"/>
                <w:color w:val="000000"/>
                <w:sz w:val="18"/>
                <w:szCs w:val="18"/>
              </w:rPr>
            </w:pPr>
            <w:r w:rsidRPr="00881D21">
              <w:rPr>
                <w:rFonts w:ascii="Cambria" w:hAnsi="Cambria"/>
                <w:color w:val="000000" w:themeColor="text1"/>
                <w:sz w:val="18"/>
                <w:szCs w:val="18"/>
              </w:rPr>
              <w:t>Ne-ETS mērķa izpilde WEM scenārijā</w:t>
            </w:r>
          </w:p>
        </w:tc>
        <w:tc>
          <w:tcPr>
            <w:tcW w:w="873" w:type="dxa"/>
            <w:tcBorders>
              <w:top w:val="nil"/>
              <w:left w:val="nil"/>
              <w:bottom w:val="single" w:sz="4" w:space="0" w:color="auto"/>
              <w:right w:val="single" w:sz="8" w:space="0" w:color="auto"/>
            </w:tcBorders>
            <w:shd w:val="clear" w:color="auto" w:fill="auto"/>
            <w:noWrap/>
            <w:hideMark/>
          </w:tcPr>
          <w:p w14:paraId="6F2C2B67"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1980,5</w:t>
            </w:r>
          </w:p>
        </w:tc>
        <w:tc>
          <w:tcPr>
            <w:tcW w:w="770" w:type="dxa"/>
            <w:tcBorders>
              <w:top w:val="nil"/>
              <w:left w:val="nil"/>
              <w:bottom w:val="single" w:sz="4" w:space="0" w:color="auto"/>
              <w:right w:val="single" w:sz="8" w:space="0" w:color="auto"/>
            </w:tcBorders>
            <w:shd w:val="clear" w:color="auto" w:fill="auto"/>
            <w:noWrap/>
            <w:hideMark/>
          </w:tcPr>
          <w:p w14:paraId="0C8A051C"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497,9</w:t>
            </w:r>
          </w:p>
        </w:tc>
        <w:tc>
          <w:tcPr>
            <w:tcW w:w="770" w:type="dxa"/>
            <w:tcBorders>
              <w:top w:val="nil"/>
              <w:left w:val="nil"/>
              <w:bottom w:val="single" w:sz="4" w:space="0" w:color="auto"/>
              <w:right w:val="single" w:sz="8" w:space="0" w:color="auto"/>
            </w:tcBorders>
            <w:shd w:val="clear" w:color="auto" w:fill="auto"/>
            <w:noWrap/>
            <w:hideMark/>
          </w:tcPr>
          <w:p w14:paraId="25F2ABDC"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-51,2</w:t>
            </w:r>
          </w:p>
        </w:tc>
        <w:tc>
          <w:tcPr>
            <w:tcW w:w="770" w:type="dxa"/>
            <w:tcBorders>
              <w:top w:val="nil"/>
              <w:left w:val="nil"/>
              <w:bottom w:val="single" w:sz="4" w:space="0" w:color="auto"/>
              <w:right w:val="single" w:sz="8" w:space="0" w:color="auto"/>
            </w:tcBorders>
            <w:shd w:val="clear" w:color="auto" w:fill="auto"/>
            <w:noWrap/>
            <w:hideMark/>
          </w:tcPr>
          <w:p w14:paraId="69B7E299"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-242,2</w:t>
            </w:r>
          </w:p>
        </w:tc>
        <w:tc>
          <w:tcPr>
            <w:tcW w:w="770" w:type="dxa"/>
            <w:tcBorders>
              <w:top w:val="nil"/>
              <w:left w:val="nil"/>
              <w:bottom w:val="single" w:sz="4" w:space="0" w:color="auto"/>
              <w:right w:val="single" w:sz="8" w:space="0" w:color="auto"/>
            </w:tcBorders>
            <w:shd w:val="clear" w:color="auto" w:fill="auto"/>
            <w:noWrap/>
            <w:hideMark/>
          </w:tcPr>
          <w:p w14:paraId="4E7CF2F4"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-334,7</w:t>
            </w:r>
          </w:p>
        </w:tc>
        <w:tc>
          <w:tcPr>
            <w:tcW w:w="770" w:type="dxa"/>
            <w:tcBorders>
              <w:top w:val="nil"/>
              <w:left w:val="nil"/>
              <w:bottom w:val="single" w:sz="4" w:space="0" w:color="auto"/>
              <w:right w:val="single" w:sz="8" w:space="0" w:color="auto"/>
            </w:tcBorders>
            <w:shd w:val="clear" w:color="auto" w:fill="auto"/>
            <w:noWrap/>
            <w:hideMark/>
          </w:tcPr>
          <w:p w14:paraId="2A815FA5"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-321,3</w:t>
            </w:r>
          </w:p>
        </w:tc>
        <w:tc>
          <w:tcPr>
            <w:tcW w:w="770" w:type="dxa"/>
            <w:tcBorders>
              <w:top w:val="nil"/>
              <w:left w:val="nil"/>
              <w:bottom w:val="single" w:sz="4" w:space="0" w:color="auto"/>
              <w:right w:val="single" w:sz="8" w:space="0" w:color="auto"/>
            </w:tcBorders>
            <w:shd w:val="clear" w:color="auto" w:fill="auto"/>
            <w:noWrap/>
            <w:hideMark/>
          </w:tcPr>
          <w:p w14:paraId="403F1116"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-536,4</w:t>
            </w:r>
          </w:p>
        </w:tc>
        <w:tc>
          <w:tcPr>
            <w:tcW w:w="848" w:type="dxa"/>
            <w:tcBorders>
              <w:top w:val="nil"/>
              <w:left w:val="nil"/>
              <w:bottom w:val="single" w:sz="4" w:space="0" w:color="auto"/>
              <w:right w:val="single" w:sz="8" w:space="0" w:color="auto"/>
            </w:tcBorders>
            <w:shd w:val="clear" w:color="auto" w:fill="auto"/>
            <w:noWrap/>
            <w:hideMark/>
          </w:tcPr>
          <w:p w14:paraId="4E7F5228"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-745,5</w:t>
            </w:r>
          </w:p>
        </w:tc>
        <w:tc>
          <w:tcPr>
            <w:tcW w:w="850" w:type="dxa"/>
            <w:tcBorders>
              <w:top w:val="nil"/>
              <w:left w:val="nil"/>
              <w:bottom w:val="single" w:sz="4" w:space="0" w:color="auto"/>
              <w:right w:val="single" w:sz="8" w:space="0" w:color="auto"/>
            </w:tcBorders>
            <w:shd w:val="clear" w:color="auto" w:fill="auto"/>
            <w:noWrap/>
            <w:hideMark/>
          </w:tcPr>
          <w:p w14:paraId="057FA838"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-884,7</w:t>
            </w:r>
          </w:p>
        </w:tc>
        <w:tc>
          <w:tcPr>
            <w:tcW w:w="957" w:type="dxa"/>
            <w:tcBorders>
              <w:top w:val="nil"/>
              <w:left w:val="nil"/>
              <w:bottom w:val="single" w:sz="4" w:space="0" w:color="auto"/>
              <w:right w:val="single" w:sz="8" w:space="0" w:color="auto"/>
            </w:tcBorders>
            <w:shd w:val="clear" w:color="auto" w:fill="auto"/>
            <w:noWrap/>
            <w:hideMark/>
          </w:tcPr>
          <w:p w14:paraId="0D651E19"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-895,7</w:t>
            </w:r>
          </w:p>
        </w:tc>
      </w:tr>
      <w:tr w:rsidR="00B75D0C" w:rsidRPr="00881D21" w14:paraId="030D5EF9" w14:textId="77777777" w:rsidTr="002F3744">
        <w:trPr>
          <w:trHeight w:val="318"/>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30F45" w14:textId="77777777" w:rsidR="00B75D0C" w:rsidRPr="00881D21" w:rsidRDefault="00B75D0C" w:rsidP="002F3744">
            <w:pPr>
              <w:keepNext/>
              <w:rPr>
                <w:rFonts w:ascii="Cambria" w:hAnsi="Cambria"/>
                <w:color w:val="000000"/>
                <w:sz w:val="18"/>
                <w:szCs w:val="18"/>
              </w:rPr>
            </w:pPr>
            <w:r w:rsidRPr="00881D21">
              <w:rPr>
                <w:rFonts w:ascii="Cambria" w:hAnsi="Cambria"/>
                <w:color w:val="000000" w:themeColor="text1"/>
                <w:sz w:val="18"/>
                <w:szCs w:val="18"/>
              </w:rPr>
              <w:t>Ne-ETS mērķa izpilde WAM scenārijā</w:t>
            </w:r>
          </w:p>
        </w:tc>
        <w:tc>
          <w:tcPr>
            <w:tcW w:w="873" w:type="dxa"/>
            <w:tcBorders>
              <w:top w:val="single" w:sz="4" w:space="0" w:color="auto"/>
              <w:left w:val="single" w:sz="4" w:space="0" w:color="auto"/>
              <w:bottom w:val="single" w:sz="4" w:space="0" w:color="auto"/>
              <w:right w:val="single" w:sz="4" w:space="0" w:color="auto"/>
            </w:tcBorders>
            <w:shd w:val="clear" w:color="auto" w:fill="auto"/>
            <w:noWrap/>
            <w:hideMark/>
          </w:tcPr>
          <w:p w14:paraId="603DB630"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1980,5</w:t>
            </w:r>
          </w:p>
        </w:tc>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14:paraId="3A832D79"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497,9</w:t>
            </w:r>
          </w:p>
        </w:tc>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14:paraId="55745339"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8,3</w:t>
            </w:r>
          </w:p>
        </w:tc>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14:paraId="6AA98A7F"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-162,0</w:t>
            </w:r>
          </w:p>
        </w:tc>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14:paraId="05330D58"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-238,0</w:t>
            </w:r>
          </w:p>
        </w:tc>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14:paraId="1293AF54"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-224,9</w:t>
            </w:r>
          </w:p>
        </w:tc>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14:paraId="46B9F27F"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-432,1</w:t>
            </w:r>
          </w:p>
        </w:tc>
        <w:tc>
          <w:tcPr>
            <w:tcW w:w="848" w:type="dxa"/>
            <w:tcBorders>
              <w:top w:val="single" w:sz="4" w:space="0" w:color="auto"/>
              <w:left w:val="single" w:sz="4" w:space="0" w:color="auto"/>
              <w:bottom w:val="single" w:sz="4" w:space="0" w:color="auto"/>
              <w:right w:val="single" w:sz="4" w:space="0" w:color="auto"/>
            </w:tcBorders>
            <w:shd w:val="clear" w:color="auto" w:fill="auto"/>
            <w:noWrap/>
            <w:hideMark/>
          </w:tcPr>
          <w:p w14:paraId="6698C8D4"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-613,8</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0E5D4CED" w14:textId="77777777" w:rsidR="00B75D0C" w:rsidRPr="00881D21" w:rsidRDefault="00B75D0C" w:rsidP="002F3744">
            <w:pPr>
              <w:keepNext/>
              <w:jc w:val="center"/>
              <w:rPr>
                <w:rFonts w:ascii="Cambria" w:hAnsi="Cambria"/>
                <w:color w:val="000000"/>
                <w:sz w:val="18"/>
                <w:szCs w:val="18"/>
              </w:rPr>
            </w:pPr>
            <w:r w:rsidRPr="00881D21">
              <w:rPr>
                <w:rFonts w:ascii="Cambria" w:hAnsi="Cambria"/>
                <w:sz w:val="18"/>
                <w:szCs w:val="18"/>
              </w:rPr>
              <w:t>-745,4</w:t>
            </w:r>
          </w:p>
        </w:tc>
        <w:tc>
          <w:tcPr>
            <w:tcW w:w="957" w:type="dxa"/>
            <w:tcBorders>
              <w:top w:val="single" w:sz="4" w:space="0" w:color="auto"/>
              <w:left w:val="single" w:sz="4" w:space="0" w:color="auto"/>
              <w:bottom w:val="single" w:sz="4" w:space="0" w:color="auto"/>
              <w:right w:val="single" w:sz="4" w:space="0" w:color="auto"/>
            </w:tcBorders>
            <w:shd w:val="clear" w:color="auto" w:fill="auto"/>
            <w:noWrap/>
            <w:hideMark/>
          </w:tcPr>
          <w:p w14:paraId="2C5CE6C2" w14:textId="77777777" w:rsidR="00B75D0C" w:rsidRPr="00881D21" w:rsidRDefault="00B75D0C" w:rsidP="002F3744">
            <w:pPr>
              <w:keepNext/>
              <w:jc w:val="center"/>
              <w:rPr>
                <w:rFonts w:ascii="Cambria" w:hAnsi="Cambria"/>
                <w:sz w:val="18"/>
                <w:szCs w:val="18"/>
              </w:rPr>
            </w:pPr>
            <w:r w:rsidRPr="00881D21">
              <w:rPr>
                <w:rFonts w:ascii="Cambria" w:hAnsi="Cambria"/>
                <w:sz w:val="18"/>
                <w:szCs w:val="18"/>
              </w:rPr>
              <w:t>-742,3</w:t>
            </w:r>
          </w:p>
        </w:tc>
      </w:tr>
      <w:tr w:rsidR="00B75D0C" w:rsidRPr="00881D21" w14:paraId="4766DB75" w14:textId="77777777" w:rsidTr="002F3744">
        <w:trPr>
          <w:trHeight w:val="318"/>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1164D" w14:textId="77777777" w:rsidR="00B75D0C" w:rsidRPr="00881D21" w:rsidRDefault="00B75D0C" w:rsidP="002F3744">
            <w:pPr>
              <w:keepNext/>
              <w:rPr>
                <w:rFonts w:ascii="Cambria" w:hAnsi="Cambria"/>
                <w:color w:val="000000" w:themeColor="text1"/>
                <w:sz w:val="18"/>
                <w:szCs w:val="18"/>
              </w:rPr>
            </w:pPr>
            <w:r w:rsidRPr="00881D21">
              <w:rPr>
                <w:rFonts w:ascii="Cambria" w:hAnsi="Cambria"/>
                <w:color w:val="000000" w:themeColor="text1"/>
                <w:sz w:val="18"/>
                <w:szCs w:val="18"/>
              </w:rPr>
              <w:t>Ne-ETS mērķa kumulatīvais pārpalikums/ iztrūkums WAM scenārijā</w:t>
            </w:r>
          </w:p>
        </w:tc>
        <w:tc>
          <w:tcPr>
            <w:tcW w:w="873" w:type="dxa"/>
            <w:tcBorders>
              <w:top w:val="single" w:sz="4" w:space="0" w:color="auto"/>
              <w:left w:val="single" w:sz="4" w:space="0" w:color="auto"/>
              <w:bottom w:val="single" w:sz="4" w:space="0" w:color="auto"/>
              <w:right w:val="single" w:sz="4" w:space="0" w:color="auto"/>
            </w:tcBorders>
            <w:shd w:val="clear" w:color="auto" w:fill="auto"/>
            <w:noWrap/>
          </w:tcPr>
          <w:p w14:paraId="4BC16962" w14:textId="77777777" w:rsidR="00B75D0C" w:rsidRPr="00881D21" w:rsidRDefault="00B75D0C" w:rsidP="002F3744">
            <w:pPr>
              <w:keepNext/>
              <w:jc w:val="center"/>
              <w:rPr>
                <w:rFonts w:ascii="Cambria" w:hAnsi="Cambria"/>
                <w:sz w:val="18"/>
                <w:szCs w:val="18"/>
              </w:rPr>
            </w:pPr>
            <w:r w:rsidRPr="00881D21">
              <w:rPr>
                <w:rFonts w:ascii="Cambria" w:hAnsi="Cambria"/>
                <w:sz w:val="18"/>
                <w:szCs w:val="18"/>
              </w:rPr>
              <w:t>1980,5</w:t>
            </w:r>
          </w:p>
        </w:tc>
        <w:tc>
          <w:tcPr>
            <w:tcW w:w="770" w:type="dxa"/>
            <w:tcBorders>
              <w:top w:val="single" w:sz="4" w:space="0" w:color="auto"/>
              <w:left w:val="single" w:sz="4" w:space="0" w:color="auto"/>
              <w:bottom w:val="single" w:sz="4" w:space="0" w:color="auto"/>
              <w:right w:val="single" w:sz="4" w:space="0" w:color="auto"/>
            </w:tcBorders>
            <w:shd w:val="clear" w:color="auto" w:fill="auto"/>
            <w:noWrap/>
          </w:tcPr>
          <w:p w14:paraId="55F4A42D" w14:textId="77777777" w:rsidR="00B75D0C" w:rsidRPr="00881D21" w:rsidRDefault="00B75D0C" w:rsidP="002F3744">
            <w:pPr>
              <w:keepNext/>
              <w:jc w:val="center"/>
              <w:rPr>
                <w:rFonts w:ascii="Cambria" w:hAnsi="Cambria"/>
                <w:sz w:val="18"/>
                <w:szCs w:val="18"/>
              </w:rPr>
            </w:pPr>
            <w:r w:rsidRPr="00881D21">
              <w:rPr>
                <w:rFonts w:ascii="Cambria" w:hAnsi="Cambria"/>
                <w:sz w:val="18"/>
                <w:szCs w:val="18"/>
              </w:rPr>
              <w:t>2478,4</w:t>
            </w:r>
          </w:p>
        </w:tc>
        <w:tc>
          <w:tcPr>
            <w:tcW w:w="770" w:type="dxa"/>
            <w:tcBorders>
              <w:top w:val="single" w:sz="4" w:space="0" w:color="auto"/>
              <w:left w:val="single" w:sz="4" w:space="0" w:color="auto"/>
              <w:bottom w:val="single" w:sz="4" w:space="0" w:color="auto"/>
              <w:right w:val="single" w:sz="4" w:space="0" w:color="auto"/>
            </w:tcBorders>
            <w:shd w:val="clear" w:color="auto" w:fill="auto"/>
            <w:noWrap/>
          </w:tcPr>
          <w:p w14:paraId="254B2871" w14:textId="77777777" w:rsidR="00B75D0C" w:rsidRPr="00881D21" w:rsidRDefault="00B75D0C" w:rsidP="002F3744">
            <w:pPr>
              <w:keepNext/>
              <w:jc w:val="center"/>
              <w:rPr>
                <w:rFonts w:ascii="Cambria" w:hAnsi="Cambria"/>
                <w:sz w:val="18"/>
                <w:szCs w:val="18"/>
              </w:rPr>
            </w:pPr>
            <w:r w:rsidRPr="00881D21">
              <w:rPr>
                <w:rFonts w:ascii="Cambria" w:hAnsi="Cambria"/>
                <w:sz w:val="18"/>
                <w:szCs w:val="18"/>
              </w:rPr>
              <w:t>2486,7</w:t>
            </w:r>
          </w:p>
        </w:tc>
        <w:tc>
          <w:tcPr>
            <w:tcW w:w="770" w:type="dxa"/>
            <w:tcBorders>
              <w:top w:val="single" w:sz="4" w:space="0" w:color="auto"/>
              <w:left w:val="single" w:sz="4" w:space="0" w:color="auto"/>
              <w:bottom w:val="single" w:sz="4" w:space="0" w:color="auto"/>
              <w:right w:val="single" w:sz="4" w:space="0" w:color="auto"/>
            </w:tcBorders>
            <w:shd w:val="clear" w:color="auto" w:fill="auto"/>
            <w:noWrap/>
          </w:tcPr>
          <w:p w14:paraId="4F5B4593" w14:textId="77777777" w:rsidR="00B75D0C" w:rsidRPr="00881D21" w:rsidRDefault="00B75D0C" w:rsidP="002F3744">
            <w:pPr>
              <w:keepNext/>
              <w:jc w:val="center"/>
              <w:rPr>
                <w:rFonts w:ascii="Cambria" w:hAnsi="Cambria"/>
                <w:sz w:val="18"/>
                <w:szCs w:val="18"/>
              </w:rPr>
            </w:pPr>
            <w:r w:rsidRPr="00881D21">
              <w:rPr>
                <w:rFonts w:ascii="Cambria" w:hAnsi="Cambria"/>
                <w:sz w:val="18"/>
                <w:szCs w:val="18"/>
              </w:rPr>
              <w:t>2324,7</w:t>
            </w:r>
          </w:p>
        </w:tc>
        <w:tc>
          <w:tcPr>
            <w:tcW w:w="770" w:type="dxa"/>
            <w:tcBorders>
              <w:top w:val="single" w:sz="4" w:space="0" w:color="auto"/>
              <w:left w:val="single" w:sz="4" w:space="0" w:color="auto"/>
              <w:bottom w:val="single" w:sz="4" w:space="0" w:color="auto"/>
              <w:right w:val="single" w:sz="4" w:space="0" w:color="auto"/>
            </w:tcBorders>
            <w:shd w:val="clear" w:color="auto" w:fill="auto"/>
            <w:noWrap/>
          </w:tcPr>
          <w:p w14:paraId="7B890006" w14:textId="77777777" w:rsidR="00B75D0C" w:rsidRPr="00881D21" w:rsidRDefault="00B75D0C" w:rsidP="002F3744">
            <w:pPr>
              <w:keepNext/>
              <w:jc w:val="center"/>
              <w:rPr>
                <w:rFonts w:ascii="Cambria" w:hAnsi="Cambria"/>
                <w:sz w:val="18"/>
                <w:szCs w:val="18"/>
              </w:rPr>
            </w:pPr>
            <w:r w:rsidRPr="00881D21">
              <w:rPr>
                <w:rFonts w:ascii="Cambria" w:hAnsi="Cambria"/>
                <w:sz w:val="18"/>
                <w:szCs w:val="18"/>
              </w:rPr>
              <w:t>2086,6</w:t>
            </w:r>
          </w:p>
        </w:tc>
        <w:tc>
          <w:tcPr>
            <w:tcW w:w="770" w:type="dxa"/>
            <w:tcBorders>
              <w:top w:val="single" w:sz="4" w:space="0" w:color="auto"/>
              <w:left w:val="single" w:sz="4" w:space="0" w:color="auto"/>
              <w:bottom w:val="single" w:sz="4" w:space="0" w:color="auto"/>
              <w:right w:val="single" w:sz="4" w:space="0" w:color="auto"/>
            </w:tcBorders>
            <w:shd w:val="clear" w:color="auto" w:fill="auto"/>
            <w:noWrap/>
          </w:tcPr>
          <w:p w14:paraId="51D2EE66" w14:textId="77777777" w:rsidR="00B75D0C" w:rsidRPr="00881D21" w:rsidRDefault="00B75D0C" w:rsidP="002F3744">
            <w:pPr>
              <w:keepNext/>
              <w:jc w:val="center"/>
              <w:rPr>
                <w:rFonts w:ascii="Cambria" w:hAnsi="Cambria"/>
                <w:sz w:val="18"/>
                <w:szCs w:val="18"/>
              </w:rPr>
            </w:pPr>
            <w:r w:rsidRPr="00881D21">
              <w:rPr>
                <w:rFonts w:ascii="Cambria" w:hAnsi="Cambria"/>
                <w:sz w:val="18"/>
                <w:szCs w:val="18"/>
              </w:rPr>
              <w:t>1861,7</w:t>
            </w:r>
          </w:p>
        </w:tc>
        <w:tc>
          <w:tcPr>
            <w:tcW w:w="770" w:type="dxa"/>
            <w:tcBorders>
              <w:top w:val="single" w:sz="4" w:space="0" w:color="auto"/>
              <w:left w:val="single" w:sz="4" w:space="0" w:color="auto"/>
              <w:bottom w:val="single" w:sz="4" w:space="0" w:color="auto"/>
              <w:right w:val="single" w:sz="4" w:space="0" w:color="auto"/>
            </w:tcBorders>
            <w:shd w:val="clear" w:color="auto" w:fill="auto"/>
            <w:noWrap/>
          </w:tcPr>
          <w:p w14:paraId="2410A196" w14:textId="77777777" w:rsidR="00B75D0C" w:rsidRPr="00881D21" w:rsidRDefault="00B75D0C" w:rsidP="002F3744">
            <w:pPr>
              <w:keepNext/>
              <w:jc w:val="center"/>
              <w:rPr>
                <w:rFonts w:ascii="Cambria" w:hAnsi="Cambria"/>
                <w:sz w:val="18"/>
                <w:szCs w:val="18"/>
              </w:rPr>
            </w:pPr>
            <w:r w:rsidRPr="00881D21">
              <w:rPr>
                <w:rFonts w:ascii="Cambria" w:hAnsi="Cambria"/>
                <w:sz w:val="18"/>
                <w:szCs w:val="18"/>
              </w:rPr>
              <w:t>1429,6</w:t>
            </w:r>
          </w:p>
        </w:tc>
        <w:tc>
          <w:tcPr>
            <w:tcW w:w="848" w:type="dxa"/>
            <w:tcBorders>
              <w:top w:val="single" w:sz="4" w:space="0" w:color="auto"/>
              <w:left w:val="single" w:sz="4" w:space="0" w:color="auto"/>
              <w:bottom w:val="single" w:sz="4" w:space="0" w:color="auto"/>
              <w:right w:val="single" w:sz="4" w:space="0" w:color="auto"/>
            </w:tcBorders>
            <w:shd w:val="clear" w:color="auto" w:fill="auto"/>
            <w:noWrap/>
          </w:tcPr>
          <w:p w14:paraId="2D13CBDD" w14:textId="77777777" w:rsidR="00B75D0C" w:rsidRPr="00881D21" w:rsidRDefault="00B75D0C" w:rsidP="002F3744">
            <w:pPr>
              <w:keepNext/>
              <w:jc w:val="center"/>
              <w:rPr>
                <w:rFonts w:ascii="Cambria" w:hAnsi="Cambria"/>
                <w:sz w:val="18"/>
                <w:szCs w:val="18"/>
              </w:rPr>
            </w:pPr>
            <w:r w:rsidRPr="00881D21">
              <w:rPr>
                <w:rFonts w:ascii="Cambria" w:hAnsi="Cambria"/>
                <w:sz w:val="18"/>
                <w:szCs w:val="18"/>
              </w:rPr>
              <w:t>815,8</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6B80A4FD" w14:textId="77777777" w:rsidR="00B75D0C" w:rsidRPr="00881D21" w:rsidRDefault="00B75D0C" w:rsidP="002F3744">
            <w:pPr>
              <w:keepNext/>
              <w:jc w:val="center"/>
              <w:rPr>
                <w:rFonts w:ascii="Cambria" w:hAnsi="Cambria"/>
                <w:sz w:val="18"/>
                <w:szCs w:val="18"/>
              </w:rPr>
            </w:pPr>
            <w:r w:rsidRPr="00881D21">
              <w:rPr>
                <w:rFonts w:ascii="Cambria" w:hAnsi="Cambria"/>
                <w:sz w:val="18"/>
                <w:szCs w:val="18"/>
              </w:rPr>
              <w:t>70,4</w:t>
            </w:r>
          </w:p>
        </w:tc>
        <w:tc>
          <w:tcPr>
            <w:tcW w:w="957" w:type="dxa"/>
            <w:tcBorders>
              <w:top w:val="single" w:sz="4" w:space="0" w:color="auto"/>
              <w:left w:val="single" w:sz="4" w:space="0" w:color="auto"/>
              <w:bottom w:val="single" w:sz="4" w:space="0" w:color="auto"/>
              <w:right w:val="single" w:sz="4" w:space="0" w:color="auto"/>
            </w:tcBorders>
            <w:shd w:val="clear" w:color="auto" w:fill="auto"/>
            <w:noWrap/>
          </w:tcPr>
          <w:p w14:paraId="41467798" w14:textId="77777777" w:rsidR="00B75D0C" w:rsidRPr="00881D21" w:rsidRDefault="00B75D0C" w:rsidP="002F3744">
            <w:pPr>
              <w:keepNext/>
              <w:jc w:val="center"/>
              <w:rPr>
                <w:rFonts w:ascii="Cambria" w:hAnsi="Cambria"/>
                <w:sz w:val="18"/>
                <w:szCs w:val="18"/>
              </w:rPr>
            </w:pPr>
            <w:r w:rsidRPr="00881D21">
              <w:rPr>
                <w:rFonts w:ascii="Cambria" w:hAnsi="Cambria"/>
                <w:sz w:val="18"/>
                <w:szCs w:val="18"/>
              </w:rPr>
              <w:t>-671,9</w:t>
            </w:r>
          </w:p>
        </w:tc>
      </w:tr>
    </w:tbl>
    <w:p w14:paraId="4FFDFE28"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t>Atbilstoši 2023. gada ziņojumam par politikām, pasākumiem un SEG prognozēm</w:t>
      </w:r>
      <w:r w:rsidRPr="00881D21">
        <w:rPr>
          <w:rStyle w:val="FootnoteReference"/>
          <w:rFonts w:ascii="Cambria" w:hAnsi="Cambria"/>
          <w:sz w:val="24"/>
          <w:szCs w:val="24"/>
        </w:rPr>
        <w:footnoteReference w:id="42"/>
      </w:r>
      <w:r w:rsidRPr="00881D21">
        <w:rPr>
          <w:rFonts w:ascii="Cambria" w:hAnsi="Cambria"/>
          <w:sz w:val="24"/>
          <w:szCs w:val="24"/>
        </w:rPr>
        <w:t xml:space="preserve"> Latvija 2030. gada ne-ETS sektora SEG emisiju samazinājuma mērķi -17 % salīdzinājumā ar 2005. gadu nevarēs sasniegt ne scenārijā ar esošajiem pasākumiem (2030. gadā prognozēts -7% samazinājums pret 2005. gadu), ne arī scenārijā ar papildus pasākumiem (2030. gadā prognozēts 8% samazinājums pret 2005. gadu). </w:t>
      </w:r>
      <w:r w:rsidRPr="00881D21">
        <w:rPr>
          <w:rFonts w:ascii="Cambria" w:hAnsi="Cambria"/>
          <w:b/>
          <w:bCs/>
          <w:sz w:val="24"/>
          <w:szCs w:val="24"/>
        </w:rPr>
        <w:t xml:space="preserve">Jau sākot no 2024.gada, gan WEM, gan WAM scenārijā netiks izpildīts ne-ETS sektora SEG emisiju mērķis. </w:t>
      </w:r>
      <w:r w:rsidRPr="00881D21">
        <w:rPr>
          <w:rFonts w:ascii="Cambria" w:hAnsi="Cambria"/>
          <w:sz w:val="24"/>
          <w:szCs w:val="24"/>
        </w:rPr>
        <w:t xml:space="preserve">SEG mērķu izpildei var tikt izmantotas Regulas 2018/842 5. panta 4. un 5. punktā minētās elastības iespējas. Ja </w:t>
      </w:r>
      <w:r w:rsidRPr="00881D21">
        <w:rPr>
          <w:rFonts w:ascii="Cambria" w:hAnsi="Cambria"/>
          <w:sz w:val="24"/>
          <w:szCs w:val="24"/>
        </w:rPr>
        <w:lastRenderedPageBreak/>
        <w:t xml:space="preserve">EK ikgadējā </w:t>
      </w:r>
      <w:proofErr w:type="spellStart"/>
      <w:r w:rsidRPr="00881D21">
        <w:rPr>
          <w:rFonts w:ascii="Cambria" w:hAnsi="Cambria"/>
          <w:sz w:val="24"/>
          <w:szCs w:val="24"/>
        </w:rPr>
        <w:t>izvērtējumā</w:t>
      </w:r>
      <w:proofErr w:type="spellEnd"/>
      <w:r w:rsidRPr="00881D21">
        <w:rPr>
          <w:rFonts w:ascii="Cambria" w:hAnsi="Cambria"/>
          <w:sz w:val="24"/>
          <w:szCs w:val="24"/>
        </w:rPr>
        <w:t>, kas veikts saskaņā ar Regulas 2018/1999 29. pantu, un ņemot vērā dalībvalstu plānus izmantot elastības iespējas, konstatē, ka dalībvalsts virzība uz mērķu izpildi ir nepietiekama, tad trīs mēnešu laikā EK iesniedz korektīvo rīcību plānu. Saskaņā ar iepriekš minēto 2023. gada ziņojumu par politikām, pasākumiem un SEG prognozēm, gan EK 2023. gada ikgadējo izvērtējamu</w:t>
      </w:r>
      <w:r w:rsidRPr="00881D21">
        <w:rPr>
          <w:rStyle w:val="FootnoteReference"/>
          <w:rFonts w:ascii="Cambria" w:hAnsi="Cambria"/>
          <w:sz w:val="24"/>
          <w:szCs w:val="24"/>
        </w:rPr>
        <w:footnoteReference w:id="43"/>
      </w:r>
      <w:r w:rsidRPr="00881D21">
        <w:rPr>
          <w:rFonts w:ascii="Cambria" w:hAnsi="Cambria"/>
          <w:sz w:val="24"/>
          <w:szCs w:val="24"/>
        </w:rPr>
        <w:t xml:space="preserve"> 2021. gada mērķi Latvija izpilda.</w:t>
      </w:r>
    </w:p>
    <w:p w14:paraId="5E0C1886" w14:textId="77777777" w:rsidR="00B75D0C" w:rsidRPr="00881D21" w:rsidRDefault="00B75D0C" w:rsidP="00B75D0C">
      <w:pPr>
        <w:spacing w:before="120" w:after="120" w:line="240" w:lineRule="auto"/>
        <w:ind w:firstLine="567"/>
        <w:jc w:val="both"/>
        <w:rPr>
          <w:rFonts w:ascii="Cambria" w:hAnsi="Cambria"/>
          <w:color w:val="FF0000"/>
          <w:sz w:val="24"/>
          <w:szCs w:val="24"/>
        </w:rPr>
      </w:pPr>
      <w:r w:rsidRPr="00881D21">
        <w:rPr>
          <w:rFonts w:ascii="Cambria" w:hAnsi="Cambria"/>
          <w:sz w:val="24"/>
          <w:szCs w:val="24"/>
        </w:rPr>
        <w:t xml:space="preserve">Latvijai ir svarīgi nodrošināt, ka netiek uzsākti tādi pasākumi, kas ne-ETS darbību SEG emisiju samazināšanas mērķa izpildi varētu negatīvi ietekmēt vai kādu no SEG emisiju samazināšanas īstenošanas pasākumiem pārtrauktu īstenot. Latvijas SEG prognozes ir sagatavotas ar pieņēmumu, ka esošie SEG emisiju samazinošie pasākumi tiek īstenoti visā periodā, kā arī ar pieņēmumu, ka politikās ieplānotie pasākumi tiek īstenoti. </w:t>
      </w:r>
    </w:p>
    <w:p w14:paraId="1115BE46" w14:textId="77777777" w:rsidR="00B75D0C" w:rsidRPr="00881D21" w:rsidRDefault="00B75D0C" w:rsidP="00B75D0C">
      <w:pPr>
        <w:spacing w:before="120" w:after="120" w:line="240" w:lineRule="auto"/>
        <w:ind w:firstLine="567"/>
        <w:jc w:val="both"/>
        <w:rPr>
          <w:rFonts w:ascii="Cambria" w:hAnsi="Cambria"/>
        </w:rPr>
      </w:pPr>
    </w:p>
    <w:p w14:paraId="0A3144FF" w14:textId="3D1D5933" w:rsidR="00B75D0C" w:rsidRPr="00881D21" w:rsidRDefault="00B75D0C" w:rsidP="00764133">
      <w:pPr>
        <w:pStyle w:val="Heading1"/>
        <w:numPr>
          <w:ilvl w:val="0"/>
          <w:numId w:val="29"/>
        </w:numPr>
        <w:spacing w:before="120" w:after="120" w:line="240" w:lineRule="auto"/>
        <w:jc w:val="both"/>
        <w:rPr>
          <w:rFonts w:ascii="Cambria" w:hAnsi="Cambria" w:cs="Times New Roman"/>
          <w:b/>
          <w:bCs/>
          <w:color w:val="006666"/>
          <w:sz w:val="28"/>
          <w:szCs w:val="28"/>
        </w:rPr>
      </w:pPr>
      <w:bookmarkStart w:id="18" w:name="_Toc156999871"/>
      <w:r w:rsidRPr="00881D21">
        <w:rPr>
          <w:rFonts w:ascii="Cambria" w:hAnsi="Cambria" w:cs="Times New Roman"/>
          <w:b/>
          <w:bCs/>
          <w:color w:val="006666"/>
          <w:sz w:val="28"/>
          <w:szCs w:val="28"/>
        </w:rPr>
        <w:t xml:space="preserve">ZEMES IZMANTOŠANAS, ZEMES IZMANTOŠANAS MAIŅAS UN MEŽSAIMNIECĪBAS SEKTORĀ NOTEIKTO uzskaites un </w:t>
      </w:r>
      <w:r w:rsidR="00764133" w:rsidRPr="00881D21">
        <w:rPr>
          <w:rFonts w:ascii="Cambria" w:hAnsi="Cambria" w:cs="Times New Roman"/>
          <w:b/>
          <w:bCs/>
          <w:color w:val="006666"/>
          <w:sz w:val="28"/>
          <w:szCs w:val="28"/>
        </w:rPr>
        <w:t>z</w:t>
      </w:r>
      <w:r w:rsidRPr="00881D21">
        <w:rPr>
          <w:rFonts w:ascii="Cambria" w:hAnsi="Cambria" w:cs="Times New Roman"/>
          <w:b/>
          <w:bCs/>
          <w:color w:val="006666"/>
          <w:sz w:val="28"/>
          <w:szCs w:val="28"/>
        </w:rPr>
        <w:t>iņošanas KATEGORIJU MĒRĶU IZPILDE</w:t>
      </w:r>
      <w:bookmarkEnd w:id="18"/>
      <w:r w:rsidRPr="00881D21">
        <w:rPr>
          <w:rFonts w:ascii="Cambria" w:hAnsi="Cambria" w:cs="Times New Roman"/>
          <w:b/>
          <w:bCs/>
          <w:color w:val="006666"/>
          <w:sz w:val="28"/>
          <w:szCs w:val="28"/>
        </w:rPr>
        <w:t xml:space="preserve"> </w:t>
      </w:r>
    </w:p>
    <w:p w14:paraId="1F309BA4" w14:textId="77777777" w:rsidR="00B75D0C" w:rsidRPr="00881D21" w:rsidRDefault="00B75D0C" w:rsidP="00B75D0C">
      <w:pPr>
        <w:spacing w:before="120" w:after="120" w:line="240" w:lineRule="auto"/>
        <w:ind w:firstLine="567"/>
        <w:rPr>
          <w:rFonts w:ascii="Cambria" w:hAnsi="Cambria"/>
          <w:b/>
          <w:bCs/>
          <w:sz w:val="24"/>
          <w:szCs w:val="24"/>
        </w:rPr>
      </w:pPr>
      <w:r w:rsidRPr="00881D21">
        <w:rPr>
          <w:rFonts w:ascii="Cambria" w:hAnsi="Cambria"/>
          <w:sz w:val="24"/>
          <w:szCs w:val="24"/>
        </w:rPr>
        <w:tab/>
        <w:t>Sākot no 2021. gada līdz 2025.gadam, Latvijai ir jānodrošina SEG emisiju un CO</w:t>
      </w:r>
      <w:r w:rsidRPr="00881D21">
        <w:rPr>
          <w:rFonts w:ascii="Cambria" w:hAnsi="Cambria"/>
          <w:sz w:val="24"/>
          <w:szCs w:val="24"/>
          <w:vertAlign w:val="subscript"/>
        </w:rPr>
        <w:t>2</w:t>
      </w:r>
      <w:r w:rsidRPr="00881D21">
        <w:rPr>
          <w:rFonts w:ascii="Cambria" w:hAnsi="Cambria"/>
          <w:sz w:val="24"/>
          <w:szCs w:val="24"/>
        </w:rPr>
        <w:t xml:space="preserve"> piesaistes uzskaite saskaņā ar ZIZIMM regulas 2.panta 1.daļu šādās uzskaites kategorijās: </w:t>
      </w:r>
    </w:p>
    <w:p w14:paraId="26CFB47A" w14:textId="77777777" w:rsidR="00B75D0C" w:rsidRPr="00881D21" w:rsidRDefault="00B75D0C" w:rsidP="00B75D0C">
      <w:pPr>
        <w:pStyle w:val="ListParagraph"/>
        <w:numPr>
          <w:ilvl w:val="0"/>
          <w:numId w:val="3"/>
        </w:numPr>
        <w:spacing w:before="120" w:after="120" w:line="240" w:lineRule="auto"/>
        <w:ind w:left="0" w:firstLine="567"/>
        <w:rPr>
          <w:rFonts w:ascii="Cambria" w:hAnsi="Cambria"/>
          <w:sz w:val="24"/>
          <w:szCs w:val="24"/>
          <w:lang w:eastAsia="lv-LV"/>
        </w:rPr>
      </w:pPr>
      <w:r w:rsidRPr="00881D21">
        <w:rPr>
          <w:rFonts w:ascii="Cambria" w:hAnsi="Cambria"/>
          <w:sz w:val="24"/>
          <w:szCs w:val="24"/>
          <w:lang w:eastAsia="lv-LV"/>
        </w:rPr>
        <w:t>Apmežota zeme;</w:t>
      </w:r>
    </w:p>
    <w:p w14:paraId="094B7441" w14:textId="77777777" w:rsidR="00B75D0C" w:rsidRPr="00881D21" w:rsidRDefault="00B75D0C" w:rsidP="00B75D0C">
      <w:pPr>
        <w:pStyle w:val="ListParagraph"/>
        <w:numPr>
          <w:ilvl w:val="0"/>
          <w:numId w:val="3"/>
        </w:numPr>
        <w:spacing w:before="120" w:after="120" w:line="240" w:lineRule="auto"/>
        <w:ind w:left="0" w:firstLine="567"/>
        <w:rPr>
          <w:rFonts w:ascii="Cambria" w:hAnsi="Cambria"/>
          <w:sz w:val="24"/>
          <w:szCs w:val="24"/>
          <w:lang w:eastAsia="lv-LV"/>
        </w:rPr>
      </w:pPr>
      <w:r w:rsidRPr="00881D21">
        <w:rPr>
          <w:rFonts w:ascii="Cambria" w:hAnsi="Cambria"/>
          <w:sz w:val="24"/>
          <w:szCs w:val="24"/>
          <w:lang w:eastAsia="lv-LV"/>
        </w:rPr>
        <w:t>Atmežota zeme;</w:t>
      </w:r>
    </w:p>
    <w:p w14:paraId="2EB7A37A" w14:textId="77777777" w:rsidR="00B75D0C" w:rsidRPr="00881D21" w:rsidRDefault="00B75D0C" w:rsidP="00B75D0C">
      <w:pPr>
        <w:pStyle w:val="ListParagraph"/>
        <w:numPr>
          <w:ilvl w:val="0"/>
          <w:numId w:val="3"/>
        </w:numPr>
        <w:spacing w:before="120" w:after="120" w:line="240" w:lineRule="auto"/>
        <w:ind w:left="0" w:firstLine="567"/>
        <w:rPr>
          <w:rFonts w:ascii="Cambria" w:hAnsi="Cambria"/>
          <w:sz w:val="24"/>
          <w:szCs w:val="24"/>
          <w:lang w:eastAsia="lv-LV"/>
        </w:rPr>
      </w:pPr>
      <w:r w:rsidRPr="00881D21">
        <w:rPr>
          <w:rFonts w:ascii="Cambria" w:hAnsi="Cambria"/>
          <w:sz w:val="24"/>
          <w:szCs w:val="24"/>
          <w:lang w:eastAsia="lv-LV"/>
        </w:rPr>
        <w:t>Apsaimniekota meža zeme;</w:t>
      </w:r>
    </w:p>
    <w:p w14:paraId="56074C32" w14:textId="77777777" w:rsidR="00B75D0C" w:rsidRPr="00881D21" w:rsidRDefault="00B75D0C" w:rsidP="00B75D0C">
      <w:pPr>
        <w:pStyle w:val="ListParagraph"/>
        <w:numPr>
          <w:ilvl w:val="0"/>
          <w:numId w:val="3"/>
        </w:numPr>
        <w:spacing w:before="120" w:after="120" w:line="240" w:lineRule="auto"/>
        <w:ind w:left="0" w:firstLine="567"/>
        <w:rPr>
          <w:rFonts w:ascii="Cambria" w:hAnsi="Cambria"/>
          <w:sz w:val="24"/>
          <w:szCs w:val="24"/>
          <w:lang w:eastAsia="lv-LV"/>
        </w:rPr>
      </w:pPr>
      <w:r w:rsidRPr="00881D21">
        <w:rPr>
          <w:rFonts w:ascii="Cambria" w:hAnsi="Cambria"/>
          <w:sz w:val="24"/>
          <w:szCs w:val="24"/>
          <w:lang w:eastAsia="lv-LV"/>
        </w:rPr>
        <w:t>Apsaimniekoti zālāji;</w:t>
      </w:r>
    </w:p>
    <w:p w14:paraId="710301F0" w14:textId="77777777" w:rsidR="00B75D0C" w:rsidRPr="00881D21" w:rsidRDefault="00B75D0C" w:rsidP="00B75D0C">
      <w:pPr>
        <w:pStyle w:val="ListParagraph"/>
        <w:numPr>
          <w:ilvl w:val="0"/>
          <w:numId w:val="3"/>
        </w:numPr>
        <w:spacing w:before="120" w:after="120" w:line="240" w:lineRule="auto"/>
        <w:ind w:left="0" w:firstLine="567"/>
        <w:rPr>
          <w:rFonts w:ascii="Cambria" w:hAnsi="Cambria"/>
          <w:sz w:val="24"/>
          <w:szCs w:val="24"/>
          <w:lang w:eastAsia="lv-LV"/>
        </w:rPr>
      </w:pPr>
      <w:r w:rsidRPr="00881D21">
        <w:rPr>
          <w:rFonts w:ascii="Cambria" w:hAnsi="Cambria"/>
          <w:sz w:val="24"/>
          <w:szCs w:val="24"/>
          <w:lang w:eastAsia="lv-LV"/>
        </w:rPr>
        <w:t>Apsaimniekota aramzeme.</w:t>
      </w:r>
    </w:p>
    <w:p w14:paraId="1B6E43FC" w14:textId="77777777" w:rsidR="00B75D0C" w:rsidRPr="00881D21" w:rsidRDefault="00B75D0C" w:rsidP="00B75D0C">
      <w:pPr>
        <w:pStyle w:val="ListParagraph"/>
        <w:spacing w:before="120" w:after="120" w:line="240" w:lineRule="auto"/>
        <w:ind w:left="0" w:firstLine="567"/>
        <w:jc w:val="both"/>
        <w:rPr>
          <w:rFonts w:ascii="Cambria" w:hAnsi="Cambria"/>
        </w:rPr>
      </w:pPr>
    </w:p>
    <w:p w14:paraId="7032CE52" w14:textId="77777777" w:rsidR="00B75D0C" w:rsidRPr="00881D21" w:rsidRDefault="00B75D0C" w:rsidP="00B75D0C">
      <w:pPr>
        <w:pStyle w:val="ListParagraph"/>
        <w:spacing w:before="120" w:after="120" w:line="240" w:lineRule="auto"/>
        <w:ind w:left="0" w:firstLine="567"/>
        <w:jc w:val="both"/>
        <w:rPr>
          <w:rFonts w:ascii="Cambria" w:hAnsi="Cambria"/>
        </w:rPr>
      </w:pPr>
      <w:r w:rsidRPr="00881D21">
        <w:rPr>
          <w:rFonts w:ascii="Cambria" w:hAnsi="Cambria"/>
        </w:rPr>
        <w:t>SEG emisiju un CO</w:t>
      </w:r>
      <w:r w:rsidRPr="00881D21">
        <w:rPr>
          <w:rFonts w:ascii="Cambria" w:hAnsi="Cambria"/>
          <w:vertAlign w:val="subscript"/>
        </w:rPr>
        <w:t>2</w:t>
      </w:r>
      <w:r w:rsidRPr="00881D21">
        <w:rPr>
          <w:rFonts w:ascii="Cambria" w:hAnsi="Cambria"/>
        </w:rPr>
        <w:t xml:space="preserve"> piesaistes uzskaite veicama atbilstoši ZIZIMM regulas 5. panta nosacījumiem, rēķinot SEG apjoma izmaiņas pret ZIZIMM regulā 5., 6., 7., 8., 9., 10. pantā noteiktajiem atskaites līmeņiem, izņemot apmežotas un atmežotas zemes uzskaites kategorijas, kurām tiek piemērota “</w:t>
      </w:r>
      <w:proofErr w:type="spellStart"/>
      <w:r w:rsidRPr="00881D21">
        <w:rPr>
          <w:rFonts w:ascii="Cambria" w:hAnsi="Cambria"/>
          <w:i/>
          <w:iCs/>
        </w:rPr>
        <w:t>gross</w:t>
      </w:r>
      <w:proofErr w:type="spellEnd"/>
      <w:r w:rsidRPr="00881D21">
        <w:rPr>
          <w:rFonts w:ascii="Cambria" w:hAnsi="Cambria"/>
          <w:i/>
          <w:iCs/>
        </w:rPr>
        <w:t>-net</w:t>
      </w:r>
      <w:r w:rsidRPr="00881D21">
        <w:rPr>
          <w:rFonts w:ascii="Cambria" w:hAnsi="Cambria"/>
        </w:rPr>
        <w:t>” pieeja - netiek noteikts atskaites līmenis, un uzskaitē tiek ietverts viss attiecīgajā periodā radītais SEG emisiju un CO</w:t>
      </w:r>
      <w:r w:rsidRPr="00881D21">
        <w:rPr>
          <w:rFonts w:ascii="Cambria" w:hAnsi="Cambria"/>
          <w:vertAlign w:val="subscript"/>
        </w:rPr>
        <w:t>2</w:t>
      </w:r>
      <w:r w:rsidRPr="00881D21">
        <w:rPr>
          <w:rFonts w:ascii="Cambria" w:hAnsi="Cambria"/>
        </w:rPr>
        <w:t xml:space="preserve"> piesaistes apjoms .</w:t>
      </w:r>
    </w:p>
    <w:p w14:paraId="68220D55"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lang w:eastAsia="lv-LV"/>
        </w:rPr>
        <w:t xml:space="preserve">Saskaņā ar 2023. gada ziņojumu par politikām, pasākumiem un SEG prognozēm </w:t>
      </w:r>
      <w:r w:rsidRPr="00881D21">
        <w:rPr>
          <w:rFonts w:ascii="Cambria" w:hAnsi="Cambria"/>
          <w:sz w:val="24"/>
          <w:szCs w:val="24"/>
        </w:rPr>
        <w:t>periodā 2021. - 2025. gads un 2023.gada SEG inventarizāciju Latvija izpilda ZIZIMM sektoram noteikto mērķi – visās uzskaites kategorijās kopumā netiek radītas neto SEG emisijas (7. tabula). Vērtējot katru uzskaites kategoriju atsevišķi, prognozēts, ka SEG emisijas pret bāzes vērtību radīs zālāju (pļavu un ganību) apsaimniekošana, aramzemes apsaimniekošanā SEG emisijas pārsniegs bāzes vērtību, bet apmežošanas radītais SEG emisiju samazinājums nenosegs atmežošanas radītās SEG emisijas. Aramzemes apsaimniekošanā prognozētais SEG emisiju pieaugums lielā mērā saistīts ar organisko augšņu radītajām emisijām platībās, kas mainījušas zemes izmantošanas veidu. Arī zālāju apsaimniekošanas gadījumā SEG emisiju pieaugums saistīts arī ar kopējās zālāju platības palielināšanos, vienlaicīgi pieaugot SEG emisijām no organiskajām augsnēm zālājos un samazinoties SEG emisijām no organiskajām augsnēm aramzemēs.</w:t>
      </w:r>
    </w:p>
    <w:p w14:paraId="7D66654B" w14:textId="77777777" w:rsidR="00B75D0C" w:rsidRPr="00881D21" w:rsidRDefault="00B75D0C" w:rsidP="00B75D0C">
      <w:pPr>
        <w:spacing w:after="0" w:line="240" w:lineRule="auto"/>
        <w:rPr>
          <w:rFonts w:ascii="Cambria" w:hAnsi="Cambria"/>
          <w:sz w:val="24"/>
          <w:szCs w:val="24"/>
        </w:rPr>
      </w:pPr>
      <w:r w:rsidRPr="00881D21">
        <w:rPr>
          <w:rFonts w:ascii="Cambria" w:hAnsi="Cambria"/>
          <w:sz w:val="24"/>
          <w:szCs w:val="24"/>
        </w:rPr>
        <w:br w:type="page"/>
      </w:r>
    </w:p>
    <w:p w14:paraId="5C48F245"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lastRenderedPageBreak/>
        <w:t xml:space="preserve"> </w:t>
      </w:r>
    </w:p>
    <w:p w14:paraId="75831D00" w14:textId="77777777" w:rsidR="00B75D0C" w:rsidRPr="00881D21" w:rsidRDefault="00B75D0C" w:rsidP="00B75D0C">
      <w:pPr>
        <w:spacing w:line="240" w:lineRule="auto"/>
        <w:ind w:firstLine="720"/>
        <w:jc w:val="center"/>
        <w:rPr>
          <w:rFonts w:ascii="Cambria" w:hAnsi="Cambria"/>
          <w:b/>
          <w:bCs/>
          <w:sz w:val="24"/>
          <w:szCs w:val="24"/>
        </w:rPr>
      </w:pPr>
      <w:r w:rsidRPr="00881D21">
        <w:rPr>
          <w:rFonts w:ascii="Cambria" w:hAnsi="Cambria"/>
          <w:b/>
          <w:bCs/>
          <w:sz w:val="24"/>
          <w:szCs w:val="24"/>
        </w:rPr>
        <w:t>7. tabula. SEG emisiju un CO</w:t>
      </w:r>
      <w:r w:rsidRPr="00881D21">
        <w:rPr>
          <w:rFonts w:ascii="Cambria" w:hAnsi="Cambria"/>
          <w:b/>
          <w:bCs/>
          <w:sz w:val="24"/>
          <w:szCs w:val="24"/>
          <w:vertAlign w:val="subscript"/>
        </w:rPr>
        <w:t>2</w:t>
      </w:r>
      <w:r w:rsidRPr="00881D21">
        <w:rPr>
          <w:rFonts w:ascii="Cambria" w:hAnsi="Cambria"/>
          <w:b/>
          <w:bCs/>
          <w:sz w:val="24"/>
          <w:szCs w:val="24"/>
        </w:rPr>
        <w:t xml:space="preserve"> piesaistes indikatīvā prognoze ZIZIMM uzskaites kategorijās 2021. - 2025. gada periodā, </w:t>
      </w:r>
      <w:proofErr w:type="spellStart"/>
      <w:r w:rsidRPr="00881D21">
        <w:rPr>
          <w:rFonts w:ascii="Cambria" w:hAnsi="Cambria"/>
          <w:b/>
          <w:bCs/>
          <w:sz w:val="24"/>
          <w:szCs w:val="24"/>
        </w:rPr>
        <w:t>kt</w:t>
      </w:r>
      <w:proofErr w:type="spellEnd"/>
      <w:r w:rsidRPr="00881D21">
        <w:rPr>
          <w:rFonts w:ascii="Cambria" w:hAnsi="Cambria"/>
          <w:b/>
          <w:bCs/>
          <w:sz w:val="24"/>
          <w:szCs w:val="24"/>
        </w:rPr>
        <w:t xml:space="preserve"> CO</w:t>
      </w:r>
      <w:r w:rsidRPr="00881D21">
        <w:rPr>
          <w:rFonts w:ascii="Cambria" w:hAnsi="Cambria"/>
          <w:b/>
          <w:bCs/>
          <w:sz w:val="24"/>
          <w:szCs w:val="24"/>
          <w:vertAlign w:val="subscript"/>
        </w:rPr>
        <w:t>2</w:t>
      </w:r>
      <w:r w:rsidRPr="00881D21">
        <w:rPr>
          <w:rFonts w:ascii="Cambria" w:hAnsi="Cambria"/>
          <w:b/>
          <w:bCs/>
          <w:sz w:val="24"/>
          <w:szCs w:val="24"/>
        </w:rPr>
        <w:t xml:space="preserve"> </w:t>
      </w:r>
      <w:proofErr w:type="spellStart"/>
      <w:r w:rsidRPr="00881D21">
        <w:rPr>
          <w:rFonts w:ascii="Cambria" w:hAnsi="Cambria"/>
          <w:b/>
          <w:bCs/>
          <w:sz w:val="24"/>
          <w:szCs w:val="24"/>
        </w:rPr>
        <w:t>ekv</w:t>
      </w:r>
      <w:proofErr w:type="spellEnd"/>
      <w:r w:rsidRPr="00881D21">
        <w:rPr>
          <w:rFonts w:ascii="Cambria" w:hAnsi="Cambria"/>
          <w:b/>
          <w:bCs/>
          <w:sz w:val="24"/>
          <w:szCs w:val="24"/>
        </w:rPr>
        <w:t>. gadā</w:t>
      </w:r>
    </w:p>
    <w:tbl>
      <w:tblPr>
        <w:tblW w:w="9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4"/>
        <w:gridCol w:w="1070"/>
        <w:gridCol w:w="936"/>
        <w:gridCol w:w="936"/>
        <w:gridCol w:w="937"/>
        <w:gridCol w:w="936"/>
        <w:gridCol w:w="939"/>
        <w:gridCol w:w="1071"/>
        <w:gridCol w:w="1740"/>
      </w:tblGrid>
      <w:tr w:rsidR="00B75D0C" w:rsidRPr="00881D21" w14:paraId="43CBB3DC" w14:textId="77777777" w:rsidTr="002F3744">
        <w:trPr>
          <w:trHeight w:val="366"/>
          <w:jc w:val="center"/>
        </w:trPr>
        <w:tc>
          <w:tcPr>
            <w:tcW w:w="1334" w:type="dxa"/>
            <w:vMerge w:val="restart"/>
            <w:vAlign w:val="center"/>
          </w:tcPr>
          <w:p w14:paraId="41FC8455" w14:textId="77777777" w:rsidR="00B75D0C" w:rsidRPr="00881D21" w:rsidRDefault="00B75D0C" w:rsidP="002F3744">
            <w:pPr>
              <w:spacing w:after="0" w:line="240" w:lineRule="auto"/>
              <w:jc w:val="center"/>
              <w:rPr>
                <w:rFonts w:ascii="Cambria" w:eastAsia="Times New Roman" w:hAnsi="Cambria"/>
                <w:sz w:val="18"/>
                <w:szCs w:val="18"/>
                <w:lang w:eastAsia="lv-LV"/>
              </w:rPr>
            </w:pPr>
            <w:bookmarkStart w:id="19" w:name="OLE_LINK1"/>
            <w:bookmarkEnd w:id="19"/>
            <w:r w:rsidRPr="00881D21">
              <w:rPr>
                <w:rFonts w:ascii="Cambria" w:eastAsia="Times New Roman" w:hAnsi="Cambria"/>
                <w:sz w:val="18"/>
                <w:szCs w:val="18"/>
                <w:lang w:eastAsia="lv-LV"/>
              </w:rPr>
              <w:t>ZIZIMM uzskaites kategorija</w:t>
            </w:r>
          </w:p>
        </w:tc>
        <w:tc>
          <w:tcPr>
            <w:tcW w:w="1070" w:type="dxa"/>
            <w:vMerge w:val="restart"/>
            <w:vAlign w:val="center"/>
          </w:tcPr>
          <w:p w14:paraId="0F6D8A1F"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b/>
                <w:bCs/>
                <w:sz w:val="18"/>
                <w:szCs w:val="18"/>
                <w:lang w:eastAsia="lv-LV"/>
              </w:rPr>
              <w:t>Provizoriskā</w:t>
            </w:r>
            <w:r w:rsidRPr="00881D21">
              <w:rPr>
                <w:rFonts w:ascii="Cambria" w:eastAsia="Times New Roman" w:hAnsi="Cambria"/>
                <w:sz w:val="18"/>
                <w:szCs w:val="18"/>
                <w:lang w:eastAsia="lv-LV"/>
              </w:rPr>
              <w:t xml:space="preserve"> bāzes vērtība</w:t>
            </w:r>
            <w:r w:rsidRPr="00881D21">
              <w:rPr>
                <w:rStyle w:val="FootnoteAnchor"/>
                <w:rFonts w:ascii="Cambria" w:eastAsia="Times New Roman" w:hAnsi="Cambria"/>
                <w:sz w:val="18"/>
                <w:szCs w:val="18"/>
                <w:lang w:eastAsia="lv-LV"/>
              </w:rPr>
              <w:footnoteReference w:id="44"/>
            </w:r>
            <w:r w:rsidRPr="00881D21">
              <w:rPr>
                <w:rFonts w:ascii="Cambria" w:eastAsia="Times New Roman" w:hAnsi="Cambria"/>
                <w:sz w:val="18"/>
                <w:szCs w:val="18"/>
                <w:lang w:eastAsia="lv-LV"/>
              </w:rPr>
              <w:t xml:space="preserve"> </w:t>
            </w:r>
          </w:p>
          <w:p w14:paraId="7858878C" w14:textId="77777777" w:rsidR="00B75D0C" w:rsidRPr="00881D21" w:rsidRDefault="00B75D0C" w:rsidP="002F3744">
            <w:pPr>
              <w:spacing w:after="0" w:line="240" w:lineRule="auto"/>
              <w:jc w:val="center"/>
              <w:rPr>
                <w:rFonts w:ascii="Cambria" w:eastAsia="Times New Roman" w:hAnsi="Cambria"/>
                <w:sz w:val="18"/>
                <w:szCs w:val="18"/>
              </w:rPr>
            </w:pPr>
            <w:proofErr w:type="spellStart"/>
            <w:r w:rsidRPr="00881D21">
              <w:rPr>
                <w:rFonts w:ascii="Cambria" w:eastAsia="Times New Roman" w:hAnsi="Cambria"/>
                <w:sz w:val="18"/>
                <w:szCs w:val="18"/>
                <w:lang w:eastAsia="lv-LV"/>
              </w:rPr>
              <w:t>kt</w:t>
            </w:r>
            <w:proofErr w:type="spellEnd"/>
            <w:r w:rsidRPr="00881D21">
              <w:rPr>
                <w:rFonts w:ascii="Cambria" w:eastAsia="Times New Roman" w:hAnsi="Cambria"/>
                <w:sz w:val="18"/>
                <w:szCs w:val="18"/>
                <w:lang w:eastAsia="lv-LV"/>
              </w:rPr>
              <w:t xml:space="preserve"> CO</w:t>
            </w:r>
            <w:r w:rsidRPr="00881D21">
              <w:rPr>
                <w:rFonts w:ascii="Cambria" w:eastAsia="Times New Roman" w:hAnsi="Cambria"/>
                <w:sz w:val="18"/>
                <w:szCs w:val="18"/>
                <w:vertAlign w:val="subscript"/>
                <w:lang w:eastAsia="lv-LV"/>
              </w:rPr>
              <w:t>2</w:t>
            </w:r>
            <w:r w:rsidRPr="00881D21">
              <w:rPr>
                <w:rFonts w:ascii="Cambria" w:eastAsia="Times New Roman" w:hAnsi="Cambria"/>
                <w:sz w:val="18"/>
                <w:szCs w:val="18"/>
                <w:lang w:eastAsia="lv-LV"/>
              </w:rPr>
              <w:t xml:space="preserve"> </w:t>
            </w:r>
            <w:proofErr w:type="spellStart"/>
            <w:r w:rsidRPr="00881D21">
              <w:rPr>
                <w:rFonts w:ascii="Cambria" w:eastAsia="Times New Roman" w:hAnsi="Cambria"/>
                <w:sz w:val="18"/>
                <w:szCs w:val="18"/>
                <w:lang w:eastAsia="lv-LV"/>
              </w:rPr>
              <w:t>ekv</w:t>
            </w:r>
            <w:proofErr w:type="spellEnd"/>
            <w:r w:rsidRPr="00881D21">
              <w:rPr>
                <w:rFonts w:ascii="Cambria" w:eastAsia="Times New Roman" w:hAnsi="Cambria"/>
                <w:sz w:val="18"/>
                <w:szCs w:val="18"/>
                <w:lang w:eastAsia="lv-LV"/>
              </w:rPr>
              <w:t>. gadā</w:t>
            </w:r>
          </w:p>
        </w:tc>
        <w:tc>
          <w:tcPr>
            <w:tcW w:w="5754" w:type="dxa"/>
            <w:gridSpan w:val="6"/>
            <w:vAlign w:val="center"/>
          </w:tcPr>
          <w:p w14:paraId="77550037" w14:textId="77777777" w:rsidR="00B75D0C" w:rsidRPr="00881D21" w:rsidRDefault="00B75D0C" w:rsidP="002F3744">
            <w:pPr>
              <w:spacing w:after="0" w:line="240" w:lineRule="auto"/>
              <w:jc w:val="center"/>
              <w:rPr>
                <w:rFonts w:ascii="Cambria" w:eastAsia="Times New Roman" w:hAnsi="Cambria"/>
                <w:b/>
                <w:bCs/>
                <w:sz w:val="18"/>
                <w:szCs w:val="18"/>
                <w:lang w:eastAsia="lv-LV"/>
              </w:rPr>
            </w:pPr>
            <w:r w:rsidRPr="00881D21">
              <w:rPr>
                <w:rFonts w:ascii="Cambria" w:eastAsia="Times New Roman" w:hAnsi="Cambria"/>
                <w:sz w:val="18"/>
                <w:szCs w:val="18"/>
                <w:lang w:eastAsia="lv-LV"/>
              </w:rPr>
              <w:t xml:space="preserve">Neto emisiju/piesaistes prognoze, </w:t>
            </w:r>
            <w:proofErr w:type="spellStart"/>
            <w:r w:rsidRPr="00881D21">
              <w:rPr>
                <w:rFonts w:ascii="Cambria" w:eastAsia="Times New Roman" w:hAnsi="Cambria"/>
                <w:sz w:val="18"/>
                <w:szCs w:val="18"/>
                <w:lang w:eastAsia="lv-LV"/>
              </w:rPr>
              <w:t>kt</w:t>
            </w:r>
            <w:proofErr w:type="spellEnd"/>
            <w:r w:rsidRPr="00881D21">
              <w:rPr>
                <w:rFonts w:ascii="Cambria" w:eastAsia="Times New Roman" w:hAnsi="Cambria"/>
                <w:sz w:val="18"/>
                <w:szCs w:val="18"/>
                <w:lang w:eastAsia="lv-LV"/>
              </w:rPr>
              <w:t xml:space="preserve"> CO</w:t>
            </w:r>
            <w:r w:rsidRPr="00881D21">
              <w:rPr>
                <w:rFonts w:ascii="Cambria" w:eastAsia="Times New Roman" w:hAnsi="Cambria"/>
                <w:sz w:val="18"/>
                <w:szCs w:val="18"/>
                <w:vertAlign w:val="subscript"/>
                <w:lang w:eastAsia="lv-LV"/>
              </w:rPr>
              <w:t>2</w:t>
            </w:r>
            <w:r w:rsidRPr="00881D21">
              <w:rPr>
                <w:rFonts w:ascii="Cambria" w:eastAsia="Times New Roman" w:hAnsi="Cambria"/>
                <w:sz w:val="18"/>
                <w:szCs w:val="18"/>
                <w:lang w:eastAsia="lv-LV"/>
              </w:rPr>
              <w:t xml:space="preserve"> </w:t>
            </w:r>
            <w:proofErr w:type="spellStart"/>
            <w:r w:rsidRPr="00881D21">
              <w:rPr>
                <w:rFonts w:ascii="Cambria" w:eastAsia="Times New Roman" w:hAnsi="Cambria"/>
                <w:sz w:val="18"/>
                <w:szCs w:val="18"/>
                <w:lang w:eastAsia="lv-LV"/>
              </w:rPr>
              <w:t>ekv</w:t>
            </w:r>
            <w:proofErr w:type="spellEnd"/>
            <w:r w:rsidRPr="00881D21">
              <w:rPr>
                <w:rFonts w:ascii="Cambria" w:eastAsia="Times New Roman" w:hAnsi="Cambria"/>
                <w:sz w:val="18"/>
                <w:szCs w:val="18"/>
                <w:lang w:eastAsia="lv-LV"/>
              </w:rPr>
              <w:t>.</w:t>
            </w:r>
            <w:r w:rsidRPr="00881D21">
              <w:rPr>
                <w:rStyle w:val="FootnoteReference"/>
                <w:rFonts w:ascii="Cambria" w:eastAsia="Times New Roman" w:hAnsi="Cambria"/>
                <w:sz w:val="18"/>
                <w:szCs w:val="18"/>
                <w:lang w:eastAsia="lv-LV"/>
              </w:rPr>
              <w:footnoteReference w:id="45"/>
            </w:r>
          </w:p>
        </w:tc>
        <w:tc>
          <w:tcPr>
            <w:tcW w:w="1740" w:type="dxa"/>
            <w:vAlign w:val="center"/>
          </w:tcPr>
          <w:p w14:paraId="12F62FA6"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b/>
                <w:bCs/>
                <w:sz w:val="18"/>
                <w:szCs w:val="18"/>
                <w:lang w:eastAsia="lv-LV"/>
              </w:rPr>
              <w:t>Provizoriski uzskaitītais daudzums</w:t>
            </w:r>
            <w:r w:rsidRPr="00881D21">
              <w:rPr>
                <w:rStyle w:val="FootnoteAnchor"/>
                <w:rFonts w:ascii="Cambria" w:eastAsia="Times New Roman" w:hAnsi="Cambria"/>
                <w:sz w:val="18"/>
                <w:szCs w:val="18"/>
                <w:lang w:eastAsia="lv-LV"/>
              </w:rPr>
              <w:footnoteReference w:id="46"/>
            </w:r>
            <w:r w:rsidRPr="00881D21">
              <w:rPr>
                <w:rFonts w:ascii="Cambria" w:eastAsia="Times New Roman" w:hAnsi="Cambria"/>
                <w:sz w:val="18"/>
                <w:szCs w:val="18"/>
                <w:lang w:eastAsia="lv-LV"/>
              </w:rPr>
              <w:t xml:space="preserve"> </w:t>
            </w:r>
          </w:p>
          <w:p w14:paraId="098EBBEA"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w:t>
            </w:r>
            <w:proofErr w:type="spellStart"/>
            <w:r w:rsidRPr="00881D21">
              <w:rPr>
                <w:rFonts w:ascii="Cambria" w:eastAsia="Times New Roman" w:hAnsi="Cambria"/>
                <w:sz w:val="18"/>
                <w:szCs w:val="18"/>
                <w:lang w:eastAsia="lv-LV"/>
              </w:rPr>
              <w:t>kt</w:t>
            </w:r>
            <w:proofErr w:type="spellEnd"/>
            <w:r w:rsidRPr="00881D21">
              <w:rPr>
                <w:rFonts w:ascii="Cambria" w:eastAsia="Times New Roman" w:hAnsi="Cambria"/>
                <w:sz w:val="18"/>
                <w:szCs w:val="18"/>
              </w:rPr>
              <w:t xml:space="preserve"> </w:t>
            </w:r>
            <w:r w:rsidRPr="00881D21">
              <w:rPr>
                <w:rFonts w:ascii="Cambria" w:eastAsia="Times New Roman" w:hAnsi="Cambria"/>
                <w:sz w:val="18"/>
                <w:szCs w:val="18"/>
                <w:lang w:eastAsia="lv-LV"/>
              </w:rPr>
              <w:t>CO</w:t>
            </w:r>
            <w:r w:rsidRPr="00881D21">
              <w:rPr>
                <w:rFonts w:ascii="Cambria" w:eastAsia="Times New Roman" w:hAnsi="Cambria"/>
                <w:sz w:val="18"/>
                <w:szCs w:val="18"/>
                <w:vertAlign w:val="subscript"/>
                <w:lang w:eastAsia="lv-LV"/>
              </w:rPr>
              <w:t>2</w:t>
            </w:r>
            <w:r w:rsidRPr="00881D21">
              <w:rPr>
                <w:rFonts w:ascii="Cambria" w:eastAsia="Times New Roman" w:hAnsi="Cambria"/>
                <w:sz w:val="18"/>
                <w:szCs w:val="18"/>
                <w:lang w:eastAsia="lv-LV"/>
              </w:rPr>
              <w:t xml:space="preserve"> </w:t>
            </w:r>
            <w:proofErr w:type="spellStart"/>
            <w:r w:rsidRPr="00881D21">
              <w:rPr>
                <w:rFonts w:ascii="Cambria" w:eastAsia="Times New Roman" w:hAnsi="Cambria"/>
                <w:sz w:val="18"/>
                <w:szCs w:val="18"/>
                <w:lang w:eastAsia="lv-LV"/>
              </w:rPr>
              <w:t>ekv</w:t>
            </w:r>
            <w:proofErr w:type="spellEnd"/>
            <w:r w:rsidRPr="00881D21">
              <w:rPr>
                <w:rFonts w:ascii="Cambria" w:eastAsia="Times New Roman" w:hAnsi="Cambria"/>
                <w:sz w:val="18"/>
                <w:szCs w:val="18"/>
                <w:lang w:eastAsia="lv-LV"/>
              </w:rPr>
              <w:t>.)</w:t>
            </w:r>
          </w:p>
        </w:tc>
      </w:tr>
      <w:tr w:rsidR="00B75D0C" w:rsidRPr="00881D21" w14:paraId="14AFC402" w14:textId="77777777" w:rsidTr="002F3744">
        <w:trPr>
          <w:trHeight w:val="426"/>
          <w:jc w:val="center"/>
        </w:trPr>
        <w:tc>
          <w:tcPr>
            <w:tcW w:w="1334" w:type="dxa"/>
            <w:vMerge/>
            <w:vAlign w:val="bottom"/>
          </w:tcPr>
          <w:p w14:paraId="78BFCD12" w14:textId="77777777" w:rsidR="00B75D0C" w:rsidRPr="00881D21" w:rsidRDefault="00B75D0C" w:rsidP="002F3744">
            <w:pPr>
              <w:rPr>
                <w:rFonts w:ascii="Cambria" w:hAnsi="Cambria"/>
                <w:sz w:val="18"/>
                <w:szCs w:val="18"/>
              </w:rPr>
            </w:pPr>
          </w:p>
        </w:tc>
        <w:tc>
          <w:tcPr>
            <w:tcW w:w="1070" w:type="dxa"/>
            <w:vMerge/>
            <w:vAlign w:val="bottom"/>
          </w:tcPr>
          <w:p w14:paraId="712B16AF" w14:textId="77777777" w:rsidR="00B75D0C" w:rsidRPr="00881D21" w:rsidRDefault="00B75D0C" w:rsidP="002F3744">
            <w:pPr>
              <w:rPr>
                <w:rFonts w:ascii="Cambria" w:hAnsi="Cambria"/>
                <w:sz w:val="18"/>
                <w:szCs w:val="18"/>
              </w:rPr>
            </w:pPr>
          </w:p>
        </w:tc>
        <w:tc>
          <w:tcPr>
            <w:tcW w:w="936" w:type="dxa"/>
            <w:vAlign w:val="center"/>
          </w:tcPr>
          <w:p w14:paraId="1D122E30"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2021</w:t>
            </w:r>
            <w:r w:rsidRPr="00881D21">
              <w:rPr>
                <w:rStyle w:val="FootnoteReference"/>
                <w:rFonts w:ascii="Cambria" w:eastAsia="Times New Roman" w:hAnsi="Cambria"/>
                <w:sz w:val="18"/>
                <w:szCs w:val="18"/>
                <w:lang w:eastAsia="lv-LV"/>
              </w:rPr>
              <w:footnoteReference w:id="47"/>
            </w:r>
          </w:p>
        </w:tc>
        <w:tc>
          <w:tcPr>
            <w:tcW w:w="936" w:type="dxa"/>
            <w:vAlign w:val="center"/>
          </w:tcPr>
          <w:p w14:paraId="5D82AF98"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2022</w:t>
            </w:r>
            <w:r w:rsidRPr="00881D21">
              <w:rPr>
                <w:rStyle w:val="FootnoteReference"/>
                <w:rFonts w:ascii="Cambria" w:eastAsia="Times New Roman" w:hAnsi="Cambria"/>
                <w:sz w:val="18"/>
                <w:szCs w:val="18"/>
                <w:lang w:eastAsia="lv-LV"/>
              </w:rPr>
              <w:footnoteReference w:id="48"/>
            </w:r>
          </w:p>
        </w:tc>
        <w:tc>
          <w:tcPr>
            <w:tcW w:w="937" w:type="dxa"/>
            <w:vAlign w:val="center"/>
          </w:tcPr>
          <w:p w14:paraId="799730FC"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2023</w:t>
            </w:r>
          </w:p>
        </w:tc>
        <w:tc>
          <w:tcPr>
            <w:tcW w:w="936" w:type="dxa"/>
            <w:vAlign w:val="center"/>
          </w:tcPr>
          <w:p w14:paraId="383F1A6D"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2024</w:t>
            </w:r>
          </w:p>
        </w:tc>
        <w:tc>
          <w:tcPr>
            <w:tcW w:w="936" w:type="dxa"/>
            <w:vAlign w:val="center"/>
          </w:tcPr>
          <w:p w14:paraId="67E58A35"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2025</w:t>
            </w:r>
          </w:p>
        </w:tc>
        <w:tc>
          <w:tcPr>
            <w:tcW w:w="1070" w:type="dxa"/>
            <w:vAlign w:val="center"/>
          </w:tcPr>
          <w:p w14:paraId="6BF3FF73" w14:textId="77777777" w:rsidR="00B75D0C" w:rsidRPr="00881D21" w:rsidRDefault="00B75D0C" w:rsidP="002F3744">
            <w:pPr>
              <w:rPr>
                <w:rFonts w:ascii="Cambria" w:eastAsia="Times New Roman" w:hAnsi="Cambria"/>
                <w:sz w:val="18"/>
                <w:szCs w:val="18"/>
              </w:rPr>
            </w:pPr>
            <w:r w:rsidRPr="00881D21">
              <w:rPr>
                <w:rFonts w:ascii="Cambria" w:eastAsia="Times New Roman" w:hAnsi="Cambria"/>
                <w:sz w:val="18"/>
                <w:szCs w:val="18"/>
              </w:rPr>
              <w:t xml:space="preserve">       Kopā</w:t>
            </w:r>
            <w:r w:rsidRPr="00881D21">
              <w:rPr>
                <w:rStyle w:val="FootnoteReference"/>
                <w:rFonts w:ascii="Cambria" w:eastAsia="Times New Roman" w:hAnsi="Cambria"/>
                <w:sz w:val="18"/>
                <w:szCs w:val="18"/>
              </w:rPr>
              <w:footnoteReference w:id="49"/>
            </w:r>
          </w:p>
        </w:tc>
        <w:tc>
          <w:tcPr>
            <w:tcW w:w="1740" w:type="dxa"/>
            <w:vAlign w:val="center"/>
          </w:tcPr>
          <w:p w14:paraId="0A9BC3B6" w14:textId="77777777" w:rsidR="00B75D0C" w:rsidRPr="00881D21" w:rsidRDefault="00B75D0C" w:rsidP="002F3744">
            <w:pPr>
              <w:jc w:val="center"/>
              <w:rPr>
                <w:rFonts w:ascii="Cambria" w:eastAsia="Times New Roman" w:hAnsi="Cambria"/>
                <w:sz w:val="18"/>
                <w:szCs w:val="18"/>
              </w:rPr>
            </w:pPr>
          </w:p>
        </w:tc>
      </w:tr>
      <w:tr w:rsidR="00B75D0C" w:rsidRPr="00881D21" w14:paraId="7BC66C80" w14:textId="77777777" w:rsidTr="002F3744">
        <w:trPr>
          <w:trHeight w:val="299"/>
          <w:jc w:val="center"/>
        </w:trPr>
        <w:tc>
          <w:tcPr>
            <w:tcW w:w="8159" w:type="dxa"/>
            <w:gridSpan w:val="8"/>
            <w:vAlign w:val="center"/>
          </w:tcPr>
          <w:p w14:paraId="35FF3E9E"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Obligātās uzskaites kategorijas</w:t>
            </w:r>
          </w:p>
        </w:tc>
        <w:tc>
          <w:tcPr>
            <w:tcW w:w="1740" w:type="dxa"/>
            <w:vAlign w:val="center"/>
          </w:tcPr>
          <w:p w14:paraId="1C120E97" w14:textId="77777777" w:rsidR="00B75D0C" w:rsidRPr="00881D21" w:rsidRDefault="00B75D0C" w:rsidP="002F3744">
            <w:pPr>
              <w:spacing w:after="0" w:line="240" w:lineRule="auto"/>
              <w:jc w:val="center"/>
              <w:rPr>
                <w:rFonts w:ascii="Cambria" w:eastAsia="Times New Roman" w:hAnsi="Cambria"/>
                <w:sz w:val="18"/>
                <w:szCs w:val="18"/>
              </w:rPr>
            </w:pPr>
          </w:p>
        </w:tc>
      </w:tr>
      <w:tr w:rsidR="00B75D0C" w:rsidRPr="00881D21" w14:paraId="07EC64DB" w14:textId="77777777" w:rsidTr="002F3744">
        <w:trPr>
          <w:trHeight w:val="299"/>
          <w:jc w:val="center"/>
        </w:trPr>
        <w:tc>
          <w:tcPr>
            <w:tcW w:w="1334" w:type="dxa"/>
            <w:vAlign w:val="center"/>
          </w:tcPr>
          <w:p w14:paraId="063D6CCE"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Apsaimniekota meža zeme:</w:t>
            </w:r>
          </w:p>
        </w:tc>
        <w:tc>
          <w:tcPr>
            <w:tcW w:w="1070" w:type="dxa"/>
            <w:shd w:val="clear" w:color="auto" w:fill="D9D9D9" w:themeFill="background1" w:themeFillShade="D9"/>
            <w:vAlign w:val="center"/>
          </w:tcPr>
          <w:p w14:paraId="7D83C983" w14:textId="77777777" w:rsidR="00B75D0C" w:rsidRPr="00881D21" w:rsidRDefault="00B75D0C" w:rsidP="002F3744">
            <w:pPr>
              <w:spacing w:after="0" w:line="240" w:lineRule="auto"/>
              <w:jc w:val="center"/>
              <w:rPr>
                <w:rFonts w:ascii="Cambria" w:eastAsia="Times New Roman" w:hAnsi="Cambria"/>
                <w:sz w:val="18"/>
                <w:szCs w:val="18"/>
                <w:lang w:eastAsia="lv-LV"/>
              </w:rPr>
            </w:pPr>
          </w:p>
        </w:tc>
        <w:tc>
          <w:tcPr>
            <w:tcW w:w="936" w:type="dxa"/>
            <w:shd w:val="clear" w:color="auto" w:fill="auto"/>
            <w:vAlign w:val="center"/>
          </w:tcPr>
          <w:p w14:paraId="43D6AD03"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-3644,6</w:t>
            </w:r>
          </w:p>
        </w:tc>
        <w:tc>
          <w:tcPr>
            <w:tcW w:w="936" w:type="dxa"/>
            <w:shd w:val="clear" w:color="auto" w:fill="auto"/>
            <w:vAlign w:val="center"/>
          </w:tcPr>
          <w:p w14:paraId="1DB820D6"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-3779,42 </w:t>
            </w:r>
          </w:p>
        </w:tc>
        <w:tc>
          <w:tcPr>
            <w:tcW w:w="937" w:type="dxa"/>
            <w:shd w:val="clear" w:color="auto" w:fill="auto"/>
            <w:vAlign w:val="center"/>
          </w:tcPr>
          <w:p w14:paraId="3BD075ED"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-3490,26 </w:t>
            </w:r>
          </w:p>
        </w:tc>
        <w:tc>
          <w:tcPr>
            <w:tcW w:w="936" w:type="dxa"/>
            <w:shd w:val="clear" w:color="auto" w:fill="auto"/>
            <w:vAlign w:val="center"/>
          </w:tcPr>
          <w:p w14:paraId="4748EA2D"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-3266,14 </w:t>
            </w:r>
          </w:p>
        </w:tc>
        <w:tc>
          <w:tcPr>
            <w:tcW w:w="936" w:type="dxa"/>
            <w:shd w:val="clear" w:color="auto" w:fill="auto"/>
            <w:vAlign w:val="center"/>
          </w:tcPr>
          <w:p w14:paraId="534C9B76"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-3031,59 </w:t>
            </w:r>
          </w:p>
        </w:tc>
        <w:tc>
          <w:tcPr>
            <w:tcW w:w="1070" w:type="dxa"/>
            <w:vAlign w:val="center"/>
          </w:tcPr>
          <w:p w14:paraId="3CF4D2E9"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hAnsi="Cambria"/>
                <w:sz w:val="18"/>
                <w:szCs w:val="18"/>
                <w:lang w:eastAsia="lv-LV"/>
              </w:rPr>
              <w:t>-17212,01</w:t>
            </w:r>
          </w:p>
        </w:tc>
        <w:tc>
          <w:tcPr>
            <w:tcW w:w="1740" w:type="dxa"/>
            <w:vAlign w:val="center"/>
          </w:tcPr>
          <w:p w14:paraId="174C14B5" w14:textId="77777777" w:rsidR="00B75D0C" w:rsidRPr="00881D21" w:rsidRDefault="00B75D0C" w:rsidP="002F3744">
            <w:pPr>
              <w:spacing w:after="0" w:line="240" w:lineRule="auto"/>
              <w:jc w:val="center"/>
              <w:textAlignment w:val="baseline"/>
              <w:rPr>
                <w:rFonts w:ascii="Cambria" w:hAnsi="Cambria"/>
                <w:sz w:val="18"/>
                <w:szCs w:val="18"/>
                <w:lang w:eastAsia="lv-LV"/>
              </w:rPr>
            </w:pPr>
            <w:r w:rsidRPr="00881D21">
              <w:rPr>
                <w:rFonts w:ascii="Cambria" w:eastAsia="Times New Roman" w:hAnsi="Cambria"/>
                <w:sz w:val="18"/>
                <w:szCs w:val="18"/>
                <w:lang w:eastAsia="lv-LV"/>
              </w:rPr>
              <w:t xml:space="preserve"> </w:t>
            </w:r>
            <w:r w:rsidRPr="00881D21">
              <w:rPr>
                <w:rFonts w:ascii="Cambria" w:hAnsi="Cambria"/>
                <w:sz w:val="18"/>
                <w:szCs w:val="18"/>
                <w:lang w:eastAsia="lv-LV"/>
              </w:rPr>
              <w:t xml:space="preserve">-8667,01 </w:t>
            </w:r>
          </w:p>
          <w:p w14:paraId="5CC311FC" w14:textId="77777777" w:rsidR="00B75D0C" w:rsidRPr="00881D21" w:rsidRDefault="00B75D0C" w:rsidP="002F3744">
            <w:pPr>
              <w:spacing w:after="0" w:line="240" w:lineRule="auto"/>
              <w:jc w:val="center"/>
              <w:textAlignment w:val="baseline"/>
              <w:rPr>
                <w:rFonts w:ascii="Cambria" w:eastAsia="Times New Roman" w:hAnsi="Cambria"/>
                <w:sz w:val="18"/>
                <w:szCs w:val="18"/>
                <w:lang w:eastAsia="lv-LV"/>
              </w:rPr>
            </w:pPr>
            <w:r w:rsidRPr="00881D21">
              <w:rPr>
                <w:rFonts w:ascii="Cambria" w:eastAsia="Times New Roman" w:hAnsi="Cambria"/>
                <w:sz w:val="18"/>
                <w:szCs w:val="18"/>
                <w:lang w:eastAsia="lv-LV"/>
              </w:rPr>
              <w:t>(bez CAP)</w:t>
            </w:r>
          </w:p>
          <w:p w14:paraId="4295CD29"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-4561,04 (ar CAP) </w:t>
            </w:r>
          </w:p>
        </w:tc>
      </w:tr>
      <w:tr w:rsidR="00B75D0C" w:rsidRPr="00881D21" w14:paraId="2BBAB232" w14:textId="77777777" w:rsidTr="002F3744">
        <w:trPr>
          <w:trHeight w:val="299"/>
          <w:jc w:val="center"/>
        </w:trPr>
        <w:tc>
          <w:tcPr>
            <w:tcW w:w="1334" w:type="dxa"/>
            <w:vAlign w:val="center"/>
          </w:tcPr>
          <w:p w14:paraId="12E5D990"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Meža references līmenis (MRL)</w:t>
            </w:r>
            <w:r w:rsidRPr="00881D21">
              <w:rPr>
                <w:rStyle w:val="FootnoteReference"/>
                <w:rFonts w:ascii="Cambria" w:eastAsia="Times New Roman" w:hAnsi="Cambria"/>
                <w:sz w:val="18"/>
                <w:szCs w:val="18"/>
                <w:lang w:eastAsia="lv-LV"/>
              </w:rPr>
              <w:footnoteReference w:id="50"/>
            </w:r>
            <w:r w:rsidRPr="00881D21">
              <w:rPr>
                <w:rStyle w:val="FootnoteAnchor"/>
                <w:rFonts w:ascii="Cambria" w:eastAsia="Times New Roman" w:hAnsi="Cambria"/>
                <w:sz w:val="18"/>
                <w:szCs w:val="18"/>
                <w:lang w:eastAsia="lv-LV"/>
              </w:rPr>
              <w:t xml:space="preserve"> </w:t>
            </w:r>
          </w:p>
        </w:tc>
        <w:tc>
          <w:tcPr>
            <w:tcW w:w="6825" w:type="dxa"/>
            <w:gridSpan w:val="7"/>
            <w:vAlign w:val="center"/>
          </w:tcPr>
          <w:p w14:paraId="16D81F0A"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rPr>
              <w:t>-1709</w:t>
            </w:r>
          </w:p>
        </w:tc>
        <w:tc>
          <w:tcPr>
            <w:tcW w:w="1740" w:type="dxa"/>
            <w:vAlign w:val="center"/>
          </w:tcPr>
          <w:p w14:paraId="7C2B7F2C" w14:textId="77777777" w:rsidR="00B75D0C" w:rsidRPr="00881D21" w:rsidRDefault="00B75D0C" w:rsidP="002F3744">
            <w:pPr>
              <w:spacing w:after="0" w:line="240" w:lineRule="auto"/>
              <w:jc w:val="center"/>
              <w:rPr>
                <w:rFonts w:ascii="Cambria" w:eastAsia="Times New Roman" w:hAnsi="Cambria"/>
                <w:sz w:val="18"/>
                <w:szCs w:val="18"/>
              </w:rPr>
            </w:pPr>
          </w:p>
        </w:tc>
      </w:tr>
      <w:tr w:rsidR="00B75D0C" w:rsidRPr="00881D21" w14:paraId="7C06DAFB" w14:textId="77777777" w:rsidTr="002F3744">
        <w:trPr>
          <w:trHeight w:val="299"/>
          <w:jc w:val="center"/>
        </w:trPr>
        <w:tc>
          <w:tcPr>
            <w:tcW w:w="1334" w:type="dxa"/>
            <w:vAlign w:val="center"/>
          </w:tcPr>
          <w:p w14:paraId="345301B4"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Maksimālais izmantojamais piesaistes apjoms no apsaimniekotas meža zemes (CAP)</w:t>
            </w:r>
            <w:r w:rsidRPr="00881D21">
              <w:rPr>
                <w:rStyle w:val="FootnoteReference"/>
                <w:rFonts w:ascii="Cambria" w:eastAsia="Times New Roman" w:hAnsi="Cambria"/>
                <w:sz w:val="18"/>
                <w:szCs w:val="18"/>
                <w:lang w:eastAsia="lv-LV"/>
              </w:rPr>
              <w:footnoteReference w:id="51"/>
            </w:r>
          </w:p>
        </w:tc>
        <w:tc>
          <w:tcPr>
            <w:tcW w:w="5754" w:type="dxa"/>
            <w:gridSpan w:val="6"/>
            <w:shd w:val="clear" w:color="auto" w:fill="D9D9D9" w:themeFill="background1" w:themeFillShade="D9"/>
            <w:vAlign w:val="center"/>
          </w:tcPr>
          <w:p w14:paraId="6F75328D" w14:textId="77777777" w:rsidR="00B75D0C" w:rsidRPr="00881D21" w:rsidRDefault="00B75D0C" w:rsidP="002F3744">
            <w:pPr>
              <w:spacing w:after="0" w:line="240" w:lineRule="auto"/>
              <w:jc w:val="center"/>
              <w:rPr>
                <w:rFonts w:ascii="Cambria" w:eastAsia="Times New Roman" w:hAnsi="Cambria"/>
                <w:sz w:val="18"/>
                <w:szCs w:val="18"/>
              </w:rPr>
            </w:pPr>
          </w:p>
        </w:tc>
        <w:tc>
          <w:tcPr>
            <w:tcW w:w="1070" w:type="dxa"/>
            <w:vAlign w:val="center"/>
          </w:tcPr>
          <w:p w14:paraId="7E213518"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4561,04</w:t>
            </w:r>
            <w:r w:rsidRPr="00881D21">
              <w:rPr>
                <w:rStyle w:val="FootnoteReference"/>
                <w:rFonts w:ascii="Cambria" w:eastAsia="Times New Roman" w:hAnsi="Cambria"/>
                <w:sz w:val="18"/>
                <w:szCs w:val="18"/>
              </w:rPr>
              <w:footnoteReference w:id="52"/>
            </w:r>
          </w:p>
        </w:tc>
        <w:tc>
          <w:tcPr>
            <w:tcW w:w="1740" w:type="dxa"/>
            <w:vAlign w:val="center"/>
          </w:tcPr>
          <w:p w14:paraId="5AFECCE2" w14:textId="77777777" w:rsidR="00B75D0C" w:rsidRPr="00881D21" w:rsidRDefault="00B75D0C" w:rsidP="002F3744">
            <w:pPr>
              <w:spacing w:after="0" w:line="240" w:lineRule="auto"/>
              <w:jc w:val="center"/>
              <w:rPr>
                <w:rFonts w:ascii="Cambria" w:eastAsia="Times New Roman" w:hAnsi="Cambria"/>
                <w:sz w:val="18"/>
                <w:szCs w:val="18"/>
              </w:rPr>
            </w:pPr>
          </w:p>
        </w:tc>
      </w:tr>
      <w:tr w:rsidR="00B75D0C" w:rsidRPr="00881D21" w14:paraId="3990AA43" w14:textId="77777777" w:rsidTr="002F3744">
        <w:trPr>
          <w:trHeight w:val="299"/>
          <w:jc w:val="center"/>
        </w:trPr>
        <w:tc>
          <w:tcPr>
            <w:tcW w:w="1334" w:type="dxa"/>
            <w:vAlign w:val="center"/>
          </w:tcPr>
          <w:p w14:paraId="2E0BCA11"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Apmežota zeme</w:t>
            </w:r>
          </w:p>
        </w:tc>
        <w:tc>
          <w:tcPr>
            <w:tcW w:w="1070" w:type="dxa"/>
            <w:shd w:val="clear" w:color="auto" w:fill="D9D9D9" w:themeFill="background1" w:themeFillShade="D9"/>
            <w:vAlign w:val="center"/>
          </w:tcPr>
          <w:p w14:paraId="1553C3D2" w14:textId="77777777" w:rsidR="00B75D0C" w:rsidRPr="00881D21" w:rsidRDefault="00B75D0C" w:rsidP="002F3744">
            <w:pPr>
              <w:spacing w:after="0" w:line="240" w:lineRule="auto"/>
              <w:jc w:val="center"/>
              <w:rPr>
                <w:rFonts w:ascii="Cambria" w:eastAsia="Times New Roman" w:hAnsi="Cambria"/>
                <w:sz w:val="18"/>
                <w:szCs w:val="18"/>
                <w:lang w:eastAsia="lv-LV"/>
              </w:rPr>
            </w:pPr>
          </w:p>
        </w:tc>
        <w:tc>
          <w:tcPr>
            <w:tcW w:w="936" w:type="dxa"/>
            <w:vAlign w:val="center"/>
          </w:tcPr>
          <w:p w14:paraId="498C1A5E"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hAnsi="Cambria"/>
                <w:sz w:val="18"/>
                <w:szCs w:val="18"/>
                <w:lang w:eastAsia="lv-LV"/>
              </w:rPr>
              <w:t>-182,07</w:t>
            </w:r>
          </w:p>
        </w:tc>
        <w:tc>
          <w:tcPr>
            <w:tcW w:w="936" w:type="dxa"/>
            <w:vAlign w:val="center"/>
          </w:tcPr>
          <w:p w14:paraId="1EDC6224"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-182,46 </w:t>
            </w:r>
          </w:p>
        </w:tc>
        <w:tc>
          <w:tcPr>
            <w:tcW w:w="937" w:type="dxa"/>
            <w:vAlign w:val="center"/>
          </w:tcPr>
          <w:p w14:paraId="07ADB854"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-196,59 </w:t>
            </w:r>
          </w:p>
        </w:tc>
        <w:tc>
          <w:tcPr>
            <w:tcW w:w="936" w:type="dxa"/>
            <w:vAlign w:val="center"/>
          </w:tcPr>
          <w:p w14:paraId="2E85194D"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-211,56 </w:t>
            </w:r>
          </w:p>
        </w:tc>
        <w:tc>
          <w:tcPr>
            <w:tcW w:w="936" w:type="dxa"/>
            <w:vAlign w:val="center"/>
          </w:tcPr>
          <w:p w14:paraId="43286DF2"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-225,14 </w:t>
            </w:r>
          </w:p>
        </w:tc>
        <w:tc>
          <w:tcPr>
            <w:tcW w:w="1070" w:type="dxa"/>
            <w:vAlign w:val="center"/>
          </w:tcPr>
          <w:p w14:paraId="010EC7FE"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hAnsi="Cambria"/>
                <w:sz w:val="18"/>
                <w:szCs w:val="18"/>
                <w:lang w:eastAsia="lv-LV"/>
              </w:rPr>
              <w:t>-999,82</w:t>
            </w:r>
          </w:p>
        </w:tc>
        <w:tc>
          <w:tcPr>
            <w:tcW w:w="1740" w:type="dxa"/>
            <w:vAlign w:val="center"/>
          </w:tcPr>
          <w:p w14:paraId="2F1AFE0B"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-999,82 </w:t>
            </w:r>
          </w:p>
        </w:tc>
      </w:tr>
      <w:tr w:rsidR="00B75D0C" w:rsidRPr="00881D21" w14:paraId="77522B41" w14:textId="77777777" w:rsidTr="002F3744">
        <w:trPr>
          <w:trHeight w:val="299"/>
          <w:jc w:val="center"/>
        </w:trPr>
        <w:tc>
          <w:tcPr>
            <w:tcW w:w="1334" w:type="dxa"/>
            <w:vAlign w:val="center"/>
          </w:tcPr>
          <w:p w14:paraId="7DE0AF81"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Atmežota zeme</w:t>
            </w:r>
          </w:p>
        </w:tc>
        <w:tc>
          <w:tcPr>
            <w:tcW w:w="1070" w:type="dxa"/>
            <w:shd w:val="clear" w:color="auto" w:fill="D9D9D9" w:themeFill="background1" w:themeFillShade="D9"/>
            <w:vAlign w:val="center"/>
          </w:tcPr>
          <w:p w14:paraId="2FB9E43F" w14:textId="77777777" w:rsidR="00B75D0C" w:rsidRPr="00881D21" w:rsidRDefault="00B75D0C" w:rsidP="002F3744">
            <w:pPr>
              <w:spacing w:after="0" w:line="240" w:lineRule="auto"/>
              <w:jc w:val="center"/>
              <w:rPr>
                <w:rFonts w:ascii="Cambria" w:eastAsia="Times New Roman" w:hAnsi="Cambria"/>
                <w:sz w:val="18"/>
                <w:szCs w:val="18"/>
                <w:lang w:eastAsia="lv-LV"/>
              </w:rPr>
            </w:pPr>
          </w:p>
        </w:tc>
        <w:tc>
          <w:tcPr>
            <w:tcW w:w="936" w:type="dxa"/>
            <w:vAlign w:val="center"/>
          </w:tcPr>
          <w:p w14:paraId="09760C72" w14:textId="77777777" w:rsidR="00B75D0C" w:rsidRPr="00881D21" w:rsidRDefault="00B75D0C" w:rsidP="002F3744">
            <w:pPr>
              <w:spacing w:after="0" w:line="240" w:lineRule="auto"/>
              <w:jc w:val="center"/>
              <w:rPr>
                <w:rFonts w:ascii="Cambria" w:hAnsi="Cambria"/>
                <w:sz w:val="18"/>
                <w:szCs w:val="18"/>
                <w:lang w:eastAsia="lv-LV"/>
              </w:rPr>
            </w:pPr>
            <w:r w:rsidRPr="00881D21">
              <w:rPr>
                <w:rFonts w:ascii="Cambria" w:hAnsi="Cambria"/>
                <w:sz w:val="18"/>
                <w:szCs w:val="18"/>
                <w:lang w:eastAsia="lv-LV"/>
              </w:rPr>
              <w:t>1084,05</w:t>
            </w:r>
          </w:p>
          <w:p w14:paraId="10C836CD" w14:textId="77777777" w:rsidR="00B75D0C" w:rsidRPr="00881D21" w:rsidRDefault="00B75D0C" w:rsidP="002F3744">
            <w:pPr>
              <w:spacing w:after="0" w:line="240" w:lineRule="auto"/>
              <w:jc w:val="center"/>
              <w:rPr>
                <w:rFonts w:ascii="Cambria" w:eastAsia="Times New Roman" w:hAnsi="Cambria"/>
                <w:sz w:val="18"/>
                <w:szCs w:val="18"/>
              </w:rPr>
            </w:pPr>
          </w:p>
        </w:tc>
        <w:tc>
          <w:tcPr>
            <w:tcW w:w="936" w:type="dxa"/>
            <w:vAlign w:val="center"/>
          </w:tcPr>
          <w:p w14:paraId="6BEB1197"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938,59 </w:t>
            </w:r>
          </w:p>
        </w:tc>
        <w:tc>
          <w:tcPr>
            <w:tcW w:w="937" w:type="dxa"/>
            <w:vAlign w:val="center"/>
          </w:tcPr>
          <w:p w14:paraId="340EB3C2"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865,91 </w:t>
            </w:r>
          </w:p>
        </w:tc>
        <w:tc>
          <w:tcPr>
            <w:tcW w:w="936" w:type="dxa"/>
            <w:vAlign w:val="center"/>
          </w:tcPr>
          <w:p w14:paraId="3312F484"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793,99 </w:t>
            </w:r>
          </w:p>
        </w:tc>
        <w:tc>
          <w:tcPr>
            <w:tcW w:w="936" w:type="dxa"/>
            <w:vAlign w:val="center"/>
          </w:tcPr>
          <w:p w14:paraId="793B3A06"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722,83 </w:t>
            </w:r>
          </w:p>
        </w:tc>
        <w:tc>
          <w:tcPr>
            <w:tcW w:w="1070" w:type="dxa"/>
            <w:vAlign w:val="center"/>
          </w:tcPr>
          <w:p w14:paraId="702E02B8" w14:textId="77777777" w:rsidR="00B75D0C" w:rsidRPr="00881D21" w:rsidRDefault="00B75D0C" w:rsidP="002F3744">
            <w:pPr>
              <w:spacing w:after="0"/>
              <w:jc w:val="center"/>
              <w:rPr>
                <w:rFonts w:ascii="Cambria" w:hAnsi="Cambria"/>
                <w:sz w:val="18"/>
                <w:szCs w:val="18"/>
                <w:lang w:eastAsia="lv-LV"/>
              </w:rPr>
            </w:pPr>
            <w:r w:rsidRPr="00881D21">
              <w:rPr>
                <w:rFonts w:ascii="Cambria" w:hAnsi="Cambria"/>
                <w:sz w:val="18"/>
                <w:szCs w:val="18"/>
              </w:rPr>
              <w:t>4405,37</w:t>
            </w:r>
          </w:p>
          <w:p w14:paraId="302B4781" w14:textId="77777777" w:rsidR="00B75D0C" w:rsidRPr="00881D21" w:rsidRDefault="00B75D0C" w:rsidP="002F3744">
            <w:pPr>
              <w:spacing w:after="0" w:line="240" w:lineRule="auto"/>
              <w:jc w:val="center"/>
              <w:rPr>
                <w:rFonts w:ascii="Cambria" w:eastAsia="Times New Roman" w:hAnsi="Cambria"/>
                <w:sz w:val="18"/>
                <w:szCs w:val="18"/>
              </w:rPr>
            </w:pPr>
          </w:p>
        </w:tc>
        <w:tc>
          <w:tcPr>
            <w:tcW w:w="1740" w:type="dxa"/>
            <w:vAlign w:val="center"/>
          </w:tcPr>
          <w:p w14:paraId="0762E0AE" w14:textId="77777777" w:rsidR="00B75D0C" w:rsidRPr="00881D21" w:rsidRDefault="00B75D0C" w:rsidP="002F3744">
            <w:pPr>
              <w:jc w:val="center"/>
              <w:rPr>
                <w:rFonts w:ascii="Cambria" w:eastAsia="Times New Roman" w:hAnsi="Cambria"/>
                <w:sz w:val="18"/>
                <w:szCs w:val="18"/>
              </w:rPr>
            </w:pPr>
            <w:r w:rsidRPr="00881D21">
              <w:rPr>
                <w:rFonts w:ascii="Cambria" w:hAnsi="Cambria"/>
                <w:sz w:val="18"/>
                <w:szCs w:val="18"/>
              </w:rPr>
              <w:t xml:space="preserve">4405,37 </w:t>
            </w:r>
          </w:p>
        </w:tc>
      </w:tr>
      <w:tr w:rsidR="00B75D0C" w:rsidRPr="00881D21" w14:paraId="4C264FDD" w14:textId="77777777" w:rsidTr="002F3744">
        <w:trPr>
          <w:trHeight w:val="299"/>
          <w:jc w:val="center"/>
        </w:trPr>
        <w:tc>
          <w:tcPr>
            <w:tcW w:w="1334" w:type="dxa"/>
            <w:vAlign w:val="center"/>
          </w:tcPr>
          <w:p w14:paraId="265257B9"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Apsaimniekota aramzeme</w:t>
            </w:r>
          </w:p>
        </w:tc>
        <w:tc>
          <w:tcPr>
            <w:tcW w:w="1070" w:type="dxa"/>
            <w:shd w:val="clear" w:color="auto" w:fill="auto"/>
            <w:vAlign w:val="center"/>
          </w:tcPr>
          <w:p w14:paraId="3FFC1878" w14:textId="77777777" w:rsidR="00B75D0C" w:rsidRPr="00881D21" w:rsidRDefault="00B75D0C" w:rsidP="002F3744">
            <w:pPr>
              <w:spacing w:after="0" w:line="240" w:lineRule="auto"/>
              <w:jc w:val="center"/>
              <w:rPr>
                <w:rFonts w:ascii="Cambria" w:hAnsi="Cambria"/>
                <w:sz w:val="18"/>
                <w:szCs w:val="18"/>
                <w:lang w:eastAsia="lv-LV"/>
              </w:rPr>
            </w:pPr>
            <w:r w:rsidRPr="00881D21">
              <w:rPr>
                <w:rFonts w:ascii="Cambria" w:hAnsi="Cambria"/>
                <w:sz w:val="18"/>
                <w:szCs w:val="18"/>
                <w:lang w:eastAsia="lv-LV"/>
              </w:rPr>
              <w:t>1580,36</w:t>
            </w:r>
          </w:p>
          <w:p w14:paraId="45437947" w14:textId="77777777" w:rsidR="00B75D0C" w:rsidRPr="00881D21" w:rsidRDefault="00B75D0C" w:rsidP="002F3744">
            <w:pPr>
              <w:spacing w:after="0" w:line="240" w:lineRule="auto"/>
              <w:jc w:val="center"/>
              <w:rPr>
                <w:rFonts w:ascii="Cambria" w:eastAsia="Times New Roman" w:hAnsi="Cambria"/>
                <w:sz w:val="18"/>
                <w:szCs w:val="18"/>
                <w:lang w:eastAsia="lv-LV"/>
              </w:rPr>
            </w:pPr>
          </w:p>
        </w:tc>
        <w:tc>
          <w:tcPr>
            <w:tcW w:w="936" w:type="dxa"/>
            <w:vAlign w:val="center"/>
          </w:tcPr>
          <w:p w14:paraId="48906FC9" w14:textId="77777777" w:rsidR="00B75D0C" w:rsidRPr="00881D21" w:rsidRDefault="00B75D0C" w:rsidP="002F3744">
            <w:pPr>
              <w:spacing w:after="0" w:line="240" w:lineRule="auto"/>
              <w:jc w:val="center"/>
              <w:rPr>
                <w:rFonts w:ascii="Cambria" w:hAnsi="Cambria"/>
                <w:sz w:val="18"/>
                <w:szCs w:val="18"/>
                <w:lang w:eastAsia="lv-LV"/>
              </w:rPr>
            </w:pPr>
            <w:r w:rsidRPr="00881D21">
              <w:rPr>
                <w:rFonts w:ascii="Cambria" w:hAnsi="Cambria"/>
                <w:sz w:val="18"/>
                <w:szCs w:val="18"/>
                <w:lang w:eastAsia="lv-LV"/>
              </w:rPr>
              <w:t>1607,68</w:t>
            </w:r>
          </w:p>
          <w:p w14:paraId="681D4770" w14:textId="77777777" w:rsidR="00B75D0C" w:rsidRPr="00881D21" w:rsidRDefault="00B75D0C" w:rsidP="002F3744">
            <w:pPr>
              <w:spacing w:after="0" w:line="240" w:lineRule="auto"/>
              <w:jc w:val="center"/>
              <w:rPr>
                <w:rFonts w:ascii="Cambria" w:eastAsia="Times New Roman" w:hAnsi="Cambria"/>
                <w:sz w:val="18"/>
                <w:szCs w:val="18"/>
                <w:lang w:eastAsia="lv-LV"/>
              </w:rPr>
            </w:pPr>
          </w:p>
        </w:tc>
        <w:tc>
          <w:tcPr>
            <w:tcW w:w="936" w:type="dxa"/>
            <w:vAlign w:val="center"/>
          </w:tcPr>
          <w:p w14:paraId="464A7039"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1294,94</w:t>
            </w:r>
          </w:p>
        </w:tc>
        <w:tc>
          <w:tcPr>
            <w:tcW w:w="937" w:type="dxa"/>
            <w:vAlign w:val="center"/>
          </w:tcPr>
          <w:p w14:paraId="30C0210F"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1197,90</w:t>
            </w:r>
          </w:p>
        </w:tc>
        <w:tc>
          <w:tcPr>
            <w:tcW w:w="936" w:type="dxa"/>
            <w:vAlign w:val="center"/>
          </w:tcPr>
          <w:p w14:paraId="55C11AEF"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1189,08</w:t>
            </w:r>
          </w:p>
        </w:tc>
        <w:tc>
          <w:tcPr>
            <w:tcW w:w="936" w:type="dxa"/>
            <w:vAlign w:val="center"/>
          </w:tcPr>
          <w:p w14:paraId="6C331E89"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1180,26</w:t>
            </w:r>
          </w:p>
        </w:tc>
        <w:tc>
          <w:tcPr>
            <w:tcW w:w="1070" w:type="dxa"/>
            <w:vAlign w:val="center"/>
          </w:tcPr>
          <w:p w14:paraId="00275433"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hAnsi="Cambria"/>
                <w:sz w:val="18"/>
                <w:szCs w:val="18"/>
              </w:rPr>
              <w:t>6469,86</w:t>
            </w:r>
          </w:p>
        </w:tc>
        <w:tc>
          <w:tcPr>
            <w:tcW w:w="1740" w:type="dxa"/>
            <w:vAlign w:val="center"/>
          </w:tcPr>
          <w:p w14:paraId="7FD5E7B0"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hAnsi="Cambria"/>
                <w:sz w:val="18"/>
                <w:szCs w:val="18"/>
              </w:rPr>
              <w:t>-1431,92</w:t>
            </w:r>
            <w:r w:rsidRPr="00881D21">
              <w:rPr>
                <w:rStyle w:val="FootnoteReference"/>
                <w:rFonts w:ascii="Cambria" w:eastAsia="Times New Roman" w:hAnsi="Cambria"/>
                <w:sz w:val="18"/>
                <w:szCs w:val="18"/>
                <w:lang w:eastAsia="lv-LV"/>
              </w:rPr>
              <w:footnoteReference w:id="53"/>
            </w:r>
          </w:p>
        </w:tc>
      </w:tr>
      <w:tr w:rsidR="00B75D0C" w:rsidRPr="00881D21" w14:paraId="4F5A44E3" w14:textId="77777777" w:rsidTr="002F3744">
        <w:trPr>
          <w:trHeight w:val="299"/>
          <w:jc w:val="center"/>
        </w:trPr>
        <w:tc>
          <w:tcPr>
            <w:tcW w:w="1334" w:type="dxa"/>
            <w:vAlign w:val="center"/>
          </w:tcPr>
          <w:p w14:paraId="74D29BFC"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Apsaimniekoti zālāji</w:t>
            </w:r>
          </w:p>
        </w:tc>
        <w:tc>
          <w:tcPr>
            <w:tcW w:w="1070" w:type="dxa"/>
            <w:shd w:val="clear" w:color="auto" w:fill="auto"/>
            <w:vAlign w:val="center"/>
          </w:tcPr>
          <w:p w14:paraId="4EB7166C" w14:textId="77777777" w:rsidR="00B75D0C" w:rsidRPr="00881D21" w:rsidRDefault="00B75D0C" w:rsidP="002F3744">
            <w:pPr>
              <w:spacing w:after="0" w:line="240" w:lineRule="auto"/>
              <w:jc w:val="center"/>
              <w:rPr>
                <w:rFonts w:ascii="Cambria" w:hAnsi="Cambria"/>
                <w:sz w:val="18"/>
                <w:szCs w:val="18"/>
                <w:lang w:eastAsia="lv-LV"/>
              </w:rPr>
            </w:pPr>
            <w:r w:rsidRPr="00881D21">
              <w:rPr>
                <w:rFonts w:ascii="Cambria" w:hAnsi="Cambria"/>
                <w:sz w:val="18"/>
                <w:szCs w:val="18"/>
                <w:lang w:eastAsia="lv-LV"/>
              </w:rPr>
              <w:t>1027,60</w:t>
            </w:r>
          </w:p>
          <w:p w14:paraId="60E3FB15"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rPr>
              <w:t xml:space="preserve">860,64 </w:t>
            </w:r>
          </w:p>
        </w:tc>
        <w:tc>
          <w:tcPr>
            <w:tcW w:w="936" w:type="dxa"/>
            <w:vAlign w:val="center"/>
          </w:tcPr>
          <w:p w14:paraId="25244A45" w14:textId="77777777" w:rsidR="00B75D0C" w:rsidRPr="00881D21" w:rsidRDefault="00B75D0C" w:rsidP="002F3744">
            <w:pPr>
              <w:spacing w:after="0" w:line="240" w:lineRule="auto"/>
              <w:jc w:val="center"/>
              <w:rPr>
                <w:rFonts w:ascii="Cambria" w:hAnsi="Cambria"/>
                <w:sz w:val="18"/>
                <w:szCs w:val="18"/>
                <w:lang w:eastAsia="lv-LV"/>
              </w:rPr>
            </w:pPr>
            <w:r w:rsidRPr="00881D21">
              <w:rPr>
                <w:rFonts w:ascii="Cambria" w:hAnsi="Cambria"/>
                <w:sz w:val="18"/>
                <w:szCs w:val="18"/>
                <w:lang w:eastAsia="lv-LV"/>
              </w:rPr>
              <w:t>539,7</w:t>
            </w:r>
          </w:p>
          <w:p w14:paraId="7C41F348" w14:textId="77777777" w:rsidR="00B75D0C" w:rsidRPr="00881D21" w:rsidRDefault="00B75D0C" w:rsidP="002F3744">
            <w:pPr>
              <w:spacing w:after="0" w:line="240" w:lineRule="auto"/>
              <w:jc w:val="center"/>
              <w:rPr>
                <w:rFonts w:ascii="Cambria" w:eastAsia="Times New Roman" w:hAnsi="Cambria"/>
                <w:sz w:val="18"/>
                <w:szCs w:val="18"/>
                <w:lang w:eastAsia="lv-LV"/>
              </w:rPr>
            </w:pPr>
          </w:p>
        </w:tc>
        <w:tc>
          <w:tcPr>
            <w:tcW w:w="936" w:type="dxa"/>
            <w:vAlign w:val="center"/>
          </w:tcPr>
          <w:p w14:paraId="091F1688"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686,54</w:t>
            </w:r>
          </w:p>
        </w:tc>
        <w:tc>
          <w:tcPr>
            <w:tcW w:w="937" w:type="dxa"/>
            <w:vAlign w:val="center"/>
          </w:tcPr>
          <w:p w14:paraId="08B01F2D"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758,41</w:t>
            </w:r>
          </w:p>
        </w:tc>
        <w:tc>
          <w:tcPr>
            <w:tcW w:w="936" w:type="dxa"/>
            <w:vAlign w:val="center"/>
          </w:tcPr>
          <w:p w14:paraId="67A8A490"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829,57</w:t>
            </w:r>
          </w:p>
        </w:tc>
        <w:tc>
          <w:tcPr>
            <w:tcW w:w="936" w:type="dxa"/>
            <w:vAlign w:val="center"/>
          </w:tcPr>
          <w:p w14:paraId="4BBE1063"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900,02</w:t>
            </w:r>
          </w:p>
        </w:tc>
        <w:tc>
          <w:tcPr>
            <w:tcW w:w="1070" w:type="dxa"/>
            <w:vAlign w:val="center"/>
          </w:tcPr>
          <w:p w14:paraId="55878B44"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hAnsi="Cambria"/>
                <w:sz w:val="18"/>
                <w:szCs w:val="18"/>
              </w:rPr>
              <w:t>3714,24</w:t>
            </w:r>
          </w:p>
        </w:tc>
        <w:tc>
          <w:tcPr>
            <w:tcW w:w="1740" w:type="dxa"/>
            <w:vAlign w:val="center"/>
          </w:tcPr>
          <w:p w14:paraId="4BF69FB8" w14:textId="77777777" w:rsidR="00B75D0C" w:rsidRPr="00881D21" w:rsidRDefault="00B75D0C" w:rsidP="002F3744">
            <w:pPr>
              <w:spacing w:after="0" w:line="240" w:lineRule="auto"/>
              <w:jc w:val="center"/>
              <w:rPr>
                <w:rFonts w:ascii="Cambria" w:eastAsia="Times New Roman" w:hAnsi="Cambria"/>
                <w:sz w:val="18"/>
                <w:szCs w:val="18"/>
                <w:lang w:eastAsia="lv-LV"/>
              </w:rPr>
            </w:pPr>
            <w:r w:rsidRPr="00881D21">
              <w:rPr>
                <w:rFonts w:ascii="Cambria" w:hAnsi="Cambria"/>
                <w:sz w:val="18"/>
                <w:szCs w:val="18"/>
              </w:rPr>
              <w:t>-1423,78</w:t>
            </w:r>
            <w:r w:rsidRPr="00881D21">
              <w:rPr>
                <w:rStyle w:val="FootnoteReference"/>
                <w:rFonts w:ascii="Cambria" w:eastAsia="Times New Roman" w:hAnsi="Cambria"/>
                <w:sz w:val="18"/>
                <w:szCs w:val="18"/>
                <w:lang w:eastAsia="lv-LV"/>
              </w:rPr>
              <w:footnoteReference w:id="54"/>
            </w:r>
          </w:p>
        </w:tc>
      </w:tr>
      <w:tr w:rsidR="00B75D0C" w:rsidRPr="00881D21" w14:paraId="7ECA8B66" w14:textId="77777777" w:rsidTr="002F3744">
        <w:trPr>
          <w:trHeight w:val="299"/>
          <w:jc w:val="center"/>
        </w:trPr>
        <w:tc>
          <w:tcPr>
            <w:tcW w:w="8159" w:type="dxa"/>
            <w:gridSpan w:val="8"/>
            <w:shd w:val="clear" w:color="auto" w:fill="D9D9D9" w:themeFill="background1" w:themeFillShade="D9"/>
            <w:vAlign w:val="center"/>
          </w:tcPr>
          <w:p w14:paraId="551199A5"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sz w:val="18"/>
                <w:szCs w:val="18"/>
                <w:lang w:eastAsia="lv-LV"/>
              </w:rPr>
              <w:t>Kopā</w:t>
            </w:r>
          </w:p>
        </w:tc>
        <w:tc>
          <w:tcPr>
            <w:tcW w:w="1740" w:type="dxa"/>
            <w:shd w:val="clear" w:color="auto" w:fill="D9D9D9" w:themeFill="background1" w:themeFillShade="D9"/>
            <w:vAlign w:val="center"/>
          </w:tcPr>
          <w:p w14:paraId="1F403F56" w14:textId="77777777" w:rsidR="00B75D0C" w:rsidRPr="00881D21" w:rsidRDefault="00B75D0C" w:rsidP="002F3744">
            <w:pPr>
              <w:spacing w:after="0" w:line="240" w:lineRule="auto"/>
              <w:jc w:val="center"/>
              <w:rPr>
                <w:rFonts w:ascii="Cambria" w:eastAsia="Times New Roman" w:hAnsi="Cambria"/>
                <w:sz w:val="18"/>
                <w:szCs w:val="18"/>
              </w:rPr>
            </w:pPr>
            <w:r w:rsidRPr="00881D21">
              <w:rPr>
                <w:rFonts w:ascii="Cambria" w:eastAsia="Times New Roman" w:hAnsi="Cambria"/>
                <w:b/>
                <w:bCs/>
                <w:sz w:val="18"/>
                <w:szCs w:val="18"/>
                <w:lang w:eastAsia="lv-LV"/>
              </w:rPr>
              <w:t xml:space="preserve">- </w:t>
            </w:r>
            <w:r w:rsidRPr="00881D21">
              <w:rPr>
                <w:rFonts w:ascii="Cambria" w:hAnsi="Cambria"/>
                <w:b/>
                <w:bCs/>
                <w:sz w:val="18"/>
                <w:szCs w:val="18"/>
              </w:rPr>
              <w:t>4009,19</w:t>
            </w:r>
          </w:p>
        </w:tc>
      </w:tr>
    </w:tbl>
    <w:p w14:paraId="3B52BAFF" w14:textId="77777777" w:rsidR="00B75D0C" w:rsidRPr="00881D21" w:rsidRDefault="00B75D0C" w:rsidP="00B75D0C">
      <w:pPr>
        <w:spacing w:after="120"/>
        <w:jc w:val="both"/>
        <w:rPr>
          <w:rFonts w:ascii="Cambria" w:hAnsi="Cambria"/>
          <w:b/>
          <w:sz w:val="24"/>
          <w:szCs w:val="24"/>
          <w:lang w:eastAsia="lv-LV"/>
        </w:rPr>
      </w:pPr>
    </w:p>
    <w:p w14:paraId="6FDC94B0" w14:textId="77777777" w:rsidR="00B75D0C" w:rsidRPr="00881D21" w:rsidRDefault="00B75D0C" w:rsidP="00B75D0C">
      <w:pPr>
        <w:spacing w:before="120" w:after="120" w:line="240" w:lineRule="auto"/>
        <w:ind w:firstLine="567"/>
        <w:jc w:val="both"/>
        <w:rPr>
          <w:rFonts w:ascii="Cambria" w:hAnsi="Cambria"/>
          <w:b/>
          <w:bCs/>
          <w:sz w:val="24"/>
          <w:szCs w:val="24"/>
          <w:lang w:eastAsia="lv-LV"/>
        </w:rPr>
      </w:pPr>
      <w:r w:rsidRPr="00881D21">
        <w:rPr>
          <w:rFonts w:ascii="Cambria" w:hAnsi="Cambria"/>
          <w:b/>
          <w:bCs/>
          <w:sz w:val="24"/>
          <w:szCs w:val="24"/>
          <w:lang w:eastAsia="lv-LV"/>
        </w:rPr>
        <w:t xml:space="preserve">Kopumā </w:t>
      </w:r>
      <w:r w:rsidRPr="00881D21">
        <w:rPr>
          <w:rFonts w:ascii="Cambria" w:hAnsi="Cambria"/>
          <w:sz w:val="24"/>
          <w:szCs w:val="24"/>
          <w:lang w:eastAsia="lv-LV"/>
        </w:rPr>
        <w:t xml:space="preserve">saskaņā ar 2023. gada ziņojumu par politikām, pasākumiem un SEG prognozēm  2021. - 2025. gada periodā ZIZIMM uzskaites kategorijās </w:t>
      </w:r>
      <w:r w:rsidRPr="00881D21">
        <w:rPr>
          <w:rFonts w:ascii="Cambria" w:hAnsi="Cambria"/>
          <w:b/>
          <w:bCs/>
          <w:sz w:val="24"/>
          <w:szCs w:val="24"/>
          <w:lang w:eastAsia="lv-LV"/>
        </w:rPr>
        <w:t xml:space="preserve">prognozēta saistību </w:t>
      </w:r>
      <w:proofErr w:type="spellStart"/>
      <w:r w:rsidRPr="00881D21">
        <w:rPr>
          <w:rFonts w:ascii="Cambria" w:hAnsi="Cambria"/>
          <w:b/>
          <w:bCs/>
          <w:sz w:val="24"/>
          <w:szCs w:val="24"/>
          <w:lang w:eastAsia="lv-LV"/>
        </w:rPr>
        <w:t>pārpilde</w:t>
      </w:r>
      <w:proofErr w:type="spellEnd"/>
      <w:r w:rsidRPr="00881D21">
        <w:rPr>
          <w:rFonts w:ascii="Cambria" w:hAnsi="Cambria"/>
          <w:b/>
          <w:bCs/>
          <w:sz w:val="24"/>
          <w:szCs w:val="24"/>
          <w:lang w:eastAsia="lv-LV"/>
        </w:rPr>
        <w:t xml:space="preserve"> par -4009,19 </w:t>
      </w:r>
      <w:proofErr w:type="spellStart"/>
      <w:r w:rsidRPr="00881D21">
        <w:rPr>
          <w:rFonts w:ascii="Cambria" w:hAnsi="Cambria"/>
          <w:b/>
          <w:bCs/>
          <w:sz w:val="24"/>
          <w:szCs w:val="24"/>
          <w:lang w:eastAsia="lv-LV"/>
        </w:rPr>
        <w:t>kt</w:t>
      </w:r>
      <w:proofErr w:type="spellEnd"/>
      <w:r w:rsidRPr="00881D21">
        <w:rPr>
          <w:rFonts w:ascii="Cambria" w:hAnsi="Cambria"/>
          <w:b/>
          <w:bCs/>
          <w:sz w:val="24"/>
          <w:szCs w:val="24"/>
          <w:lang w:eastAsia="lv-LV"/>
        </w:rPr>
        <w:t> CO</w:t>
      </w:r>
      <w:r w:rsidRPr="00881D21">
        <w:rPr>
          <w:rFonts w:ascii="Cambria" w:hAnsi="Cambria"/>
          <w:b/>
          <w:bCs/>
          <w:sz w:val="24"/>
          <w:szCs w:val="24"/>
          <w:vertAlign w:val="subscript"/>
          <w:lang w:eastAsia="lv-LV"/>
        </w:rPr>
        <w:t>2</w:t>
      </w:r>
      <w:r w:rsidRPr="00881D21">
        <w:rPr>
          <w:rFonts w:ascii="Cambria" w:hAnsi="Cambria"/>
          <w:b/>
          <w:bCs/>
          <w:sz w:val="24"/>
          <w:szCs w:val="24"/>
          <w:lang w:eastAsia="lv-LV"/>
        </w:rPr>
        <w:t> </w:t>
      </w:r>
      <w:proofErr w:type="spellStart"/>
      <w:r w:rsidRPr="00881D21">
        <w:rPr>
          <w:rFonts w:ascii="Cambria" w:hAnsi="Cambria"/>
          <w:b/>
          <w:bCs/>
          <w:sz w:val="24"/>
          <w:szCs w:val="24"/>
          <w:lang w:eastAsia="lv-LV"/>
        </w:rPr>
        <w:t>ekv</w:t>
      </w:r>
      <w:proofErr w:type="spellEnd"/>
      <w:r w:rsidRPr="00881D21">
        <w:rPr>
          <w:rFonts w:ascii="Cambria" w:hAnsi="Cambria"/>
          <w:b/>
          <w:bCs/>
          <w:sz w:val="24"/>
          <w:szCs w:val="24"/>
          <w:lang w:eastAsia="lv-LV"/>
        </w:rPr>
        <w:t>. vienībām.</w:t>
      </w:r>
    </w:p>
    <w:p w14:paraId="7C410BC9" w14:textId="0F7DD9BD"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t>Kā jau iepriekš tika minēts š</w:t>
      </w:r>
      <w:r w:rsidR="00867361" w:rsidRPr="00881D21">
        <w:rPr>
          <w:rFonts w:ascii="Cambria" w:hAnsi="Cambria"/>
          <w:sz w:val="24"/>
          <w:szCs w:val="24"/>
        </w:rPr>
        <w:t>ā</w:t>
      </w:r>
      <w:r w:rsidRPr="00881D21">
        <w:rPr>
          <w:rFonts w:ascii="Cambria" w:hAnsi="Cambria"/>
          <w:sz w:val="24"/>
          <w:szCs w:val="24"/>
        </w:rPr>
        <w:t xml:space="preserve"> ziņojuma 2.nodaļā, balstoties uz 2023. gada 19. aprīļa grozījumiem ZIZIMM regulā periodā no 2026. gada Latvijai noteiktais mērķis (piesaiste ZIZIMM </w:t>
      </w:r>
      <w:r w:rsidRPr="00881D21">
        <w:rPr>
          <w:rFonts w:ascii="Cambria" w:hAnsi="Cambria"/>
          <w:b/>
          <w:bCs/>
          <w:sz w:val="24"/>
          <w:szCs w:val="24"/>
        </w:rPr>
        <w:t>ziņošanas</w:t>
      </w:r>
      <w:r w:rsidRPr="00881D21">
        <w:rPr>
          <w:rFonts w:ascii="Cambria" w:hAnsi="Cambria"/>
          <w:sz w:val="24"/>
          <w:szCs w:val="24"/>
        </w:rPr>
        <w:t xml:space="preserve"> kategorijās - meža zeme, aramzeme, zālājs, mitrāji, infrastruktūra, nocirstas koksnes produkti) ir –639 </w:t>
      </w:r>
      <w:proofErr w:type="spellStart"/>
      <w:r w:rsidRPr="00881D21">
        <w:rPr>
          <w:rFonts w:ascii="Cambria" w:hAnsi="Cambria"/>
          <w:sz w:val="24"/>
          <w:szCs w:val="24"/>
        </w:rPr>
        <w:t>kt</w:t>
      </w:r>
      <w:proofErr w:type="spellEnd"/>
      <w:r w:rsidRPr="00881D21">
        <w:rPr>
          <w:rFonts w:ascii="Cambria" w:hAnsi="Cambria"/>
          <w:sz w:val="24"/>
          <w:szCs w:val="24"/>
        </w:rPr>
        <w:t xml:space="preserve"> CO</w:t>
      </w:r>
      <w:r w:rsidRPr="00881D21">
        <w:rPr>
          <w:rFonts w:ascii="Cambria" w:hAnsi="Cambria"/>
          <w:sz w:val="24"/>
          <w:szCs w:val="24"/>
          <w:vertAlign w:val="subscript"/>
        </w:rPr>
        <w:t>2</w:t>
      </w:r>
      <w:r w:rsidRPr="00881D21">
        <w:rPr>
          <w:rFonts w:ascii="Cambria" w:hAnsi="Cambria"/>
          <w:sz w:val="24"/>
          <w:szCs w:val="24"/>
        </w:rPr>
        <w:t xml:space="preserve"> </w:t>
      </w:r>
      <w:proofErr w:type="spellStart"/>
      <w:r w:rsidRPr="00881D21">
        <w:rPr>
          <w:rFonts w:ascii="Cambria" w:hAnsi="Cambria"/>
          <w:sz w:val="24"/>
          <w:szCs w:val="24"/>
        </w:rPr>
        <w:t>ekv</w:t>
      </w:r>
      <w:proofErr w:type="spellEnd"/>
      <w:r w:rsidRPr="00881D21">
        <w:rPr>
          <w:rFonts w:ascii="Cambria" w:hAnsi="Cambria"/>
          <w:sz w:val="24"/>
          <w:szCs w:val="24"/>
        </w:rPr>
        <w:t xml:space="preserve">.+ 2016.-2018. gada vidējās emisijas 2032.gada SEG inventarizācijā. Ņemot par pamatu jaunākos datus (2023.gada SEG inventarizāciju), redzams, ka Latvijai 2030.gada </w:t>
      </w:r>
      <w:proofErr w:type="spellStart"/>
      <w:r w:rsidRPr="00881D21">
        <w:rPr>
          <w:rFonts w:ascii="Cambria" w:hAnsi="Cambria"/>
          <w:sz w:val="24"/>
          <w:szCs w:val="24"/>
        </w:rPr>
        <w:t>mērķrādītājs</w:t>
      </w:r>
      <w:proofErr w:type="spellEnd"/>
      <w:r w:rsidRPr="00881D21">
        <w:rPr>
          <w:rFonts w:ascii="Cambria" w:hAnsi="Cambria"/>
          <w:sz w:val="24"/>
          <w:szCs w:val="24"/>
        </w:rPr>
        <w:t xml:space="preserve"> būtu jau: </w:t>
      </w:r>
      <w:r w:rsidRPr="00881D21">
        <w:rPr>
          <w:rFonts w:ascii="Cambria" w:hAnsi="Cambria"/>
          <w:i/>
          <w:iCs/>
          <w:sz w:val="24"/>
          <w:szCs w:val="24"/>
        </w:rPr>
        <w:t xml:space="preserve">-639 </w:t>
      </w:r>
      <w:proofErr w:type="spellStart"/>
      <w:r w:rsidRPr="00881D21">
        <w:rPr>
          <w:rFonts w:ascii="Cambria" w:hAnsi="Cambria"/>
          <w:i/>
          <w:iCs/>
          <w:sz w:val="24"/>
          <w:szCs w:val="24"/>
        </w:rPr>
        <w:t>kt</w:t>
      </w:r>
      <w:proofErr w:type="spellEnd"/>
      <w:r w:rsidRPr="00881D21">
        <w:rPr>
          <w:rFonts w:ascii="Cambria" w:hAnsi="Cambria"/>
          <w:i/>
          <w:iCs/>
          <w:sz w:val="24"/>
          <w:szCs w:val="24"/>
        </w:rPr>
        <w:t xml:space="preserve"> CO</w:t>
      </w:r>
      <w:r w:rsidRPr="00881D21">
        <w:rPr>
          <w:rFonts w:ascii="Cambria" w:hAnsi="Cambria"/>
          <w:i/>
          <w:iCs/>
          <w:sz w:val="24"/>
          <w:szCs w:val="24"/>
          <w:vertAlign w:val="subscript"/>
        </w:rPr>
        <w:t>2</w:t>
      </w:r>
      <w:r w:rsidRPr="00881D21">
        <w:rPr>
          <w:rFonts w:ascii="Cambria" w:hAnsi="Cambria"/>
          <w:i/>
          <w:iCs/>
          <w:sz w:val="24"/>
          <w:szCs w:val="24"/>
        </w:rPr>
        <w:t xml:space="preserve"> </w:t>
      </w:r>
      <w:proofErr w:type="spellStart"/>
      <w:r w:rsidRPr="00881D21">
        <w:rPr>
          <w:rFonts w:ascii="Cambria" w:hAnsi="Cambria"/>
          <w:i/>
          <w:iCs/>
          <w:sz w:val="24"/>
          <w:szCs w:val="24"/>
        </w:rPr>
        <w:t>ekv</w:t>
      </w:r>
      <w:proofErr w:type="spellEnd"/>
      <w:r w:rsidRPr="00881D21">
        <w:rPr>
          <w:rFonts w:ascii="Cambria" w:hAnsi="Cambria"/>
          <w:i/>
          <w:iCs/>
          <w:sz w:val="24"/>
          <w:szCs w:val="24"/>
        </w:rPr>
        <w:t xml:space="preserve">.+ (-1794,7) </w:t>
      </w:r>
      <w:proofErr w:type="spellStart"/>
      <w:r w:rsidRPr="00881D21">
        <w:rPr>
          <w:rFonts w:ascii="Cambria" w:hAnsi="Cambria"/>
          <w:i/>
          <w:iCs/>
          <w:sz w:val="24"/>
          <w:szCs w:val="24"/>
        </w:rPr>
        <w:t>kt</w:t>
      </w:r>
      <w:proofErr w:type="spellEnd"/>
      <w:r w:rsidRPr="00881D21">
        <w:rPr>
          <w:rFonts w:ascii="Cambria" w:hAnsi="Cambria"/>
          <w:i/>
          <w:iCs/>
          <w:sz w:val="24"/>
          <w:szCs w:val="24"/>
        </w:rPr>
        <w:t xml:space="preserve"> CO</w:t>
      </w:r>
      <w:r w:rsidRPr="00881D21">
        <w:rPr>
          <w:rFonts w:ascii="Cambria" w:hAnsi="Cambria"/>
          <w:i/>
          <w:iCs/>
          <w:sz w:val="24"/>
          <w:szCs w:val="24"/>
          <w:vertAlign w:val="subscript"/>
        </w:rPr>
        <w:t>2</w:t>
      </w:r>
      <w:r w:rsidRPr="00881D21">
        <w:rPr>
          <w:rFonts w:ascii="Cambria" w:hAnsi="Cambria"/>
          <w:i/>
          <w:iCs/>
          <w:sz w:val="24"/>
          <w:szCs w:val="24"/>
        </w:rPr>
        <w:t xml:space="preserve"> </w:t>
      </w:r>
      <w:proofErr w:type="spellStart"/>
      <w:r w:rsidRPr="00881D21">
        <w:rPr>
          <w:rFonts w:ascii="Cambria" w:hAnsi="Cambria"/>
          <w:i/>
          <w:iCs/>
          <w:sz w:val="24"/>
          <w:szCs w:val="24"/>
        </w:rPr>
        <w:t>ekv</w:t>
      </w:r>
      <w:proofErr w:type="spellEnd"/>
      <w:r w:rsidRPr="00881D21">
        <w:rPr>
          <w:rFonts w:ascii="Cambria" w:hAnsi="Cambria"/>
          <w:i/>
          <w:iCs/>
          <w:sz w:val="24"/>
          <w:szCs w:val="24"/>
        </w:rPr>
        <w:t xml:space="preserve">. (vidējās neto SEG emisijas 2016.-2018.gadā) = -2433,7 </w:t>
      </w:r>
      <w:proofErr w:type="spellStart"/>
      <w:r w:rsidRPr="00881D21">
        <w:rPr>
          <w:rFonts w:ascii="Cambria" w:hAnsi="Cambria"/>
          <w:i/>
          <w:iCs/>
          <w:sz w:val="24"/>
          <w:szCs w:val="24"/>
        </w:rPr>
        <w:t>kt</w:t>
      </w:r>
      <w:proofErr w:type="spellEnd"/>
      <w:r w:rsidRPr="00881D21">
        <w:rPr>
          <w:rFonts w:ascii="Cambria" w:hAnsi="Cambria"/>
          <w:i/>
          <w:iCs/>
          <w:sz w:val="24"/>
          <w:szCs w:val="24"/>
        </w:rPr>
        <w:t xml:space="preserve"> CO</w:t>
      </w:r>
      <w:r w:rsidRPr="00881D21">
        <w:rPr>
          <w:rFonts w:ascii="Cambria" w:hAnsi="Cambria"/>
          <w:i/>
          <w:iCs/>
          <w:sz w:val="24"/>
          <w:szCs w:val="24"/>
          <w:vertAlign w:val="subscript"/>
        </w:rPr>
        <w:t>2</w:t>
      </w:r>
      <w:r w:rsidRPr="00881D21">
        <w:rPr>
          <w:rFonts w:ascii="Cambria" w:hAnsi="Cambria"/>
          <w:i/>
          <w:iCs/>
          <w:sz w:val="24"/>
          <w:szCs w:val="24"/>
        </w:rPr>
        <w:t xml:space="preserve"> </w:t>
      </w:r>
      <w:proofErr w:type="spellStart"/>
      <w:r w:rsidRPr="00881D21">
        <w:rPr>
          <w:rFonts w:ascii="Cambria" w:hAnsi="Cambria"/>
          <w:i/>
          <w:iCs/>
          <w:sz w:val="24"/>
          <w:szCs w:val="24"/>
        </w:rPr>
        <w:t>ekv</w:t>
      </w:r>
      <w:proofErr w:type="spellEnd"/>
      <w:r w:rsidRPr="00881D21">
        <w:rPr>
          <w:rFonts w:ascii="Cambria" w:hAnsi="Cambria"/>
          <w:i/>
          <w:iCs/>
          <w:sz w:val="24"/>
          <w:szCs w:val="24"/>
        </w:rPr>
        <w:t>.</w:t>
      </w:r>
    </w:p>
    <w:p w14:paraId="666E14EE"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b/>
          <w:bCs/>
          <w:sz w:val="24"/>
          <w:szCs w:val="24"/>
        </w:rPr>
        <w:lastRenderedPageBreak/>
        <w:t>Saskaņā ar 2023. gada ziņojumu  par politikām, pasākumiem un SEG prognozēm periodā 2026. - 2030. gads Latvija neizpilda ZIZIMM sektoram noteikto mērķi</w:t>
      </w:r>
      <w:r w:rsidRPr="00881D21">
        <w:rPr>
          <w:rFonts w:ascii="Cambria" w:hAnsi="Cambria"/>
          <w:sz w:val="24"/>
          <w:szCs w:val="24"/>
        </w:rPr>
        <w:t xml:space="preserve">, jo ZIZIMM sektora neto SEG emisijas 2030. gadā prognozētas 3294,60 </w:t>
      </w:r>
      <w:proofErr w:type="spellStart"/>
      <w:r w:rsidRPr="00881D21">
        <w:rPr>
          <w:rFonts w:ascii="Cambria" w:hAnsi="Cambria"/>
          <w:sz w:val="24"/>
          <w:szCs w:val="24"/>
        </w:rPr>
        <w:t>kt</w:t>
      </w:r>
      <w:proofErr w:type="spellEnd"/>
      <w:r w:rsidRPr="00881D21">
        <w:rPr>
          <w:rFonts w:ascii="Cambria" w:hAnsi="Cambria"/>
          <w:sz w:val="24"/>
          <w:szCs w:val="24"/>
        </w:rPr>
        <w:t xml:space="preserve"> CO</w:t>
      </w:r>
      <w:r w:rsidRPr="00881D21">
        <w:rPr>
          <w:rFonts w:ascii="Cambria" w:hAnsi="Cambria"/>
          <w:sz w:val="24"/>
          <w:szCs w:val="24"/>
          <w:vertAlign w:val="subscript"/>
        </w:rPr>
        <w:t>2</w:t>
      </w:r>
      <w:r w:rsidRPr="00881D21">
        <w:rPr>
          <w:rFonts w:ascii="Cambria" w:hAnsi="Cambria"/>
          <w:sz w:val="24"/>
          <w:szCs w:val="24"/>
        </w:rPr>
        <w:t xml:space="preserve"> </w:t>
      </w:r>
      <w:proofErr w:type="spellStart"/>
      <w:r w:rsidRPr="00881D21">
        <w:rPr>
          <w:rFonts w:ascii="Cambria" w:hAnsi="Cambria"/>
          <w:sz w:val="24"/>
          <w:szCs w:val="24"/>
        </w:rPr>
        <w:t>ekv</w:t>
      </w:r>
      <w:proofErr w:type="spellEnd"/>
      <w:r w:rsidRPr="00881D21">
        <w:rPr>
          <w:rFonts w:ascii="Cambria" w:hAnsi="Cambria"/>
          <w:sz w:val="24"/>
          <w:szCs w:val="24"/>
        </w:rPr>
        <w:t xml:space="preserve">. ar esošajiem pasākumiem (WEM) un 2563,90 </w:t>
      </w:r>
      <w:proofErr w:type="spellStart"/>
      <w:r w:rsidRPr="00881D21">
        <w:rPr>
          <w:rFonts w:ascii="Cambria" w:hAnsi="Cambria"/>
          <w:sz w:val="24"/>
          <w:szCs w:val="24"/>
        </w:rPr>
        <w:t>kt</w:t>
      </w:r>
      <w:proofErr w:type="spellEnd"/>
      <w:r w:rsidRPr="00881D21">
        <w:rPr>
          <w:rFonts w:ascii="Cambria" w:hAnsi="Cambria"/>
          <w:sz w:val="24"/>
          <w:szCs w:val="24"/>
        </w:rPr>
        <w:t xml:space="preserve"> CO</w:t>
      </w:r>
      <w:r w:rsidRPr="00881D21">
        <w:rPr>
          <w:rFonts w:ascii="Cambria" w:hAnsi="Cambria"/>
          <w:sz w:val="24"/>
          <w:szCs w:val="24"/>
          <w:vertAlign w:val="subscript"/>
        </w:rPr>
        <w:t>2</w:t>
      </w:r>
      <w:r w:rsidRPr="00881D21">
        <w:rPr>
          <w:rFonts w:ascii="Cambria" w:hAnsi="Cambria"/>
          <w:sz w:val="24"/>
          <w:szCs w:val="24"/>
        </w:rPr>
        <w:t xml:space="preserve"> </w:t>
      </w:r>
      <w:proofErr w:type="spellStart"/>
      <w:r w:rsidRPr="00881D21">
        <w:rPr>
          <w:rFonts w:ascii="Cambria" w:hAnsi="Cambria"/>
          <w:sz w:val="24"/>
          <w:szCs w:val="24"/>
        </w:rPr>
        <w:t>ekv</w:t>
      </w:r>
      <w:proofErr w:type="spellEnd"/>
      <w:r w:rsidRPr="00881D21">
        <w:rPr>
          <w:rFonts w:ascii="Cambria" w:hAnsi="Cambria"/>
          <w:sz w:val="24"/>
          <w:szCs w:val="24"/>
        </w:rPr>
        <w:t>. ar papildus pasākumiem (WAM), skatīt 8.tabulā.</w:t>
      </w:r>
    </w:p>
    <w:p w14:paraId="2825D27E" w14:textId="77777777" w:rsidR="00B75D0C" w:rsidRPr="00881D21" w:rsidRDefault="00B75D0C" w:rsidP="00B75D0C">
      <w:pPr>
        <w:spacing w:before="120" w:after="120" w:line="240" w:lineRule="auto"/>
        <w:jc w:val="center"/>
        <w:rPr>
          <w:rFonts w:ascii="Cambria" w:hAnsi="Cambria"/>
          <w:b/>
          <w:bCs/>
          <w:sz w:val="24"/>
          <w:szCs w:val="24"/>
        </w:rPr>
      </w:pPr>
      <w:r w:rsidRPr="00881D21">
        <w:rPr>
          <w:rFonts w:ascii="Cambria" w:hAnsi="Cambria"/>
          <w:b/>
          <w:bCs/>
          <w:sz w:val="24"/>
          <w:szCs w:val="24"/>
        </w:rPr>
        <w:t xml:space="preserve">8. tabula. Neto SEG emisijas ZIZIMM sektorā 2026. – 2030. gadā WEM un WAM scenārijā, </w:t>
      </w:r>
      <w:proofErr w:type="spellStart"/>
      <w:r w:rsidRPr="00881D21">
        <w:rPr>
          <w:rFonts w:ascii="Cambria" w:hAnsi="Cambria"/>
          <w:b/>
          <w:bCs/>
          <w:sz w:val="24"/>
          <w:szCs w:val="24"/>
        </w:rPr>
        <w:t>kt</w:t>
      </w:r>
      <w:proofErr w:type="spellEnd"/>
      <w:r w:rsidRPr="00881D21">
        <w:rPr>
          <w:rFonts w:ascii="Cambria" w:hAnsi="Cambria"/>
          <w:b/>
          <w:bCs/>
          <w:sz w:val="24"/>
          <w:szCs w:val="24"/>
        </w:rPr>
        <w:t xml:space="preserve"> CO</w:t>
      </w:r>
      <w:r w:rsidRPr="00881D21">
        <w:rPr>
          <w:rFonts w:ascii="Cambria" w:hAnsi="Cambria"/>
          <w:b/>
          <w:bCs/>
          <w:sz w:val="24"/>
          <w:szCs w:val="24"/>
          <w:vertAlign w:val="subscript"/>
        </w:rPr>
        <w:t>2</w:t>
      </w:r>
      <w:r w:rsidRPr="00881D21">
        <w:rPr>
          <w:rFonts w:ascii="Cambria" w:hAnsi="Cambria"/>
          <w:b/>
          <w:bCs/>
          <w:sz w:val="24"/>
          <w:szCs w:val="24"/>
        </w:rPr>
        <w:t xml:space="preserve"> </w:t>
      </w:r>
      <w:proofErr w:type="spellStart"/>
      <w:r w:rsidRPr="00881D21">
        <w:rPr>
          <w:rFonts w:ascii="Cambria" w:hAnsi="Cambria"/>
          <w:b/>
          <w:bCs/>
          <w:sz w:val="24"/>
          <w:szCs w:val="24"/>
        </w:rPr>
        <w:t>ekv</w:t>
      </w:r>
      <w:proofErr w:type="spellEnd"/>
      <w:r w:rsidRPr="00881D21">
        <w:rPr>
          <w:rFonts w:ascii="Cambria" w:hAnsi="Cambria"/>
          <w:b/>
          <w:bCs/>
          <w:sz w:val="24"/>
          <w:szCs w:val="24"/>
        </w:rPr>
        <w:t>.</w:t>
      </w:r>
      <w:r w:rsidRPr="00881D21">
        <w:rPr>
          <w:rStyle w:val="FootnoteReference"/>
          <w:rFonts w:ascii="Cambria" w:hAnsi="Cambria"/>
          <w:b/>
          <w:bCs/>
          <w:sz w:val="24"/>
          <w:szCs w:val="24"/>
        </w:rPr>
        <w:footnoteReference w:id="55"/>
      </w:r>
    </w:p>
    <w:tbl>
      <w:tblPr>
        <w:tblW w:w="9923" w:type="dxa"/>
        <w:tblInd w:w="-289" w:type="dxa"/>
        <w:tblLook w:val="04A0" w:firstRow="1" w:lastRow="0" w:firstColumn="1" w:lastColumn="0" w:noHBand="0" w:noVBand="1"/>
      </w:tblPr>
      <w:tblGrid>
        <w:gridCol w:w="1321"/>
        <w:gridCol w:w="829"/>
        <w:gridCol w:w="829"/>
        <w:gridCol w:w="829"/>
        <w:gridCol w:w="829"/>
        <w:gridCol w:w="829"/>
        <w:gridCol w:w="829"/>
        <w:gridCol w:w="829"/>
        <w:gridCol w:w="829"/>
        <w:gridCol w:w="829"/>
        <w:gridCol w:w="1244"/>
      </w:tblGrid>
      <w:tr w:rsidR="00B75D0C" w:rsidRPr="00881D21" w14:paraId="29AD3C57" w14:textId="77777777" w:rsidTr="002F3744">
        <w:trPr>
          <w:trHeight w:val="266"/>
        </w:trPr>
        <w:tc>
          <w:tcPr>
            <w:tcW w:w="12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08F20E"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ZIZIMM ziņošanas kategorijās (sektors)</w:t>
            </w:r>
          </w:p>
        </w:tc>
        <w:tc>
          <w:tcPr>
            <w:tcW w:w="165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83AEB76"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2026</w:t>
            </w:r>
          </w:p>
        </w:tc>
        <w:tc>
          <w:tcPr>
            <w:tcW w:w="1658" w:type="dxa"/>
            <w:gridSpan w:val="2"/>
            <w:tcBorders>
              <w:top w:val="single" w:sz="4" w:space="0" w:color="auto"/>
              <w:left w:val="single" w:sz="4" w:space="0" w:color="auto"/>
              <w:bottom w:val="single" w:sz="4" w:space="0" w:color="auto"/>
              <w:right w:val="single" w:sz="4" w:space="0" w:color="000000" w:themeColor="text1"/>
            </w:tcBorders>
            <w:shd w:val="clear" w:color="auto" w:fill="auto"/>
            <w:noWrap/>
            <w:vAlign w:val="center"/>
            <w:hideMark/>
          </w:tcPr>
          <w:p w14:paraId="1767E8AF"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2027</w:t>
            </w:r>
          </w:p>
        </w:tc>
        <w:tc>
          <w:tcPr>
            <w:tcW w:w="1658" w:type="dxa"/>
            <w:gridSpan w:val="2"/>
            <w:tcBorders>
              <w:top w:val="single" w:sz="4" w:space="0" w:color="auto"/>
              <w:left w:val="nil"/>
              <w:bottom w:val="single" w:sz="4" w:space="0" w:color="auto"/>
              <w:right w:val="single" w:sz="4" w:space="0" w:color="000000" w:themeColor="text1"/>
            </w:tcBorders>
            <w:shd w:val="clear" w:color="auto" w:fill="auto"/>
            <w:noWrap/>
            <w:vAlign w:val="center"/>
            <w:hideMark/>
          </w:tcPr>
          <w:p w14:paraId="08563AC0"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2028</w:t>
            </w:r>
          </w:p>
        </w:tc>
        <w:tc>
          <w:tcPr>
            <w:tcW w:w="1658" w:type="dxa"/>
            <w:gridSpan w:val="2"/>
            <w:tcBorders>
              <w:top w:val="single" w:sz="4" w:space="0" w:color="auto"/>
              <w:left w:val="nil"/>
              <w:bottom w:val="single" w:sz="4" w:space="0" w:color="auto"/>
              <w:right w:val="single" w:sz="4" w:space="0" w:color="000000" w:themeColor="text1"/>
            </w:tcBorders>
            <w:shd w:val="clear" w:color="auto" w:fill="auto"/>
            <w:noWrap/>
            <w:vAlign w:val="center"/>
            <w:hideMark/>
          </w:tcPr>
          <w:p w14:paraId="6F187B90"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2029</w:t>
            </w:r>
          </w:p>
        </w:tc>
        <w:tc>
          <w:tcPr>
            <w:tcW w:w="2073" w:type="dxa"/>
            <w:gridSpan w:val="2"/>
            <w:tcBorders>
              <w:top w:val="single" w:sz="4" w:space="0" w:color="auto"/>
              <w:left w:val="nil"/>
              <w:bottom w:val="single" w:sz="4" w:space="0" w:color="auto"/>
              <w:right w:val="single" w:sz="4" w:space="0" w:color="000000" w:themeColor="text1"/>
            </w:tcBorders>
            <w:shd w:val="clear" w:color="auto" w:fill="auto"/>
            <w:noWrap/>
            <w:vAlign w:val="center"/>
            <w:hideMark/>
          </w:tcPr>
          <w:p w14:paraId="19493CC6"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2030</w:t>
            </w:r>
          </w:p>
        </w:tc>
      </w:tr>
      <w:tr w:rsidR="00B75D0C" w:rsidRPr="00881D21" w14:paraId="775A4A39" w14:textId="77777777" w:rsidTr="002F3744">
        <w:trPr>
          <w:trHeight w:val="266"/>
        </w:trPr>
        <w:tc>
          <w:tcPr>
            <w:tcW w:w="1218" w:type="dxa"/>
            <w:vMerge/>
            <w:tcBorders>
              <w:top w:val="single" w:sz="4" w:space="0" w:color="auto"/>
              <w:left w:val="single" w:sz="4" w:space="0" w:color="auto"/>
              <w:bottom w:val="single" w:sz="4" w:space="0" w:color="auto"/>
              <w:right w:val="single" w:sz="4" w:space="0" w:color="auto"/>
            </w:tcBorders>
            <w:vAlign w:val="center"/>
            <w:hideMark/>
          </w:tcPr>
          <w:p w14:paraId="75F0A939" w14:textId="77777777" w:rsidR="00B75D0C" w:rsidRPr="00881D21" w:rsidRDefault="00B75D0C" w:rsidP="002F3744">
            <w:pPr>
              <w:suppressAutoHyphens w:val="0"/>
              <w:spacing w:after="0" w:line="240" w:lineRule="auto"/>
              <w:rPr>
                <w:rFonts w:ascii="Cambria" w:eastAsia="Times New Roman" w:hAnsi="Cambria"/>
                <w:sz w:val="18"/>
                <w:szCs w:val="18"/>
                <w:lang w:eastAsia="lv-LV"/>
              </w:rPr>
            </w:pP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8E4D2"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WEM</w:t>
            </w:r>
          </w:p>
        </w:tc>
        <w:tc>
          <w:tcPr>
            <w:tcW w:w="829" w:type="dxa"/>
            <w:tcBorders>
              <w:top w:val="nil"/>
              <w:left w:val="nil"/>
              <w:bottom w:val="single" w:sz="4" w:space="0" w:color="auto"/>
              <w:right w:val="single" w:sz="4" w:space="0" w:color="auto"/>
            </w:tcBorders>
            <w:shd w:val="clear" w:color="auto" w:fill="auto"/>
            <w:noWrap/>
            <w:vAlign w:val="center"/>
            <w:hideMark/>
          </w:tcPr>
          <w:p w14:paraId="008F2289"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WAM</w:t>
            </w:r>
          </w:p>
        </w:tc>
        <w:tc>
          <w:tcPr>
            <w:tcW w:w="829" w:type="dxa"/>
            <w:tcBorders>
              <w:top w:val="nil"/>
              <w:left w:val="nil"/>
              <w:bottom w:val="single" w:sz="4" w:space="0" w:color="auto"/>
              <w:right w:val="single" w:sz="4" w:space="0" w:color="auto"/>
            </w:tcBorders>
            <w:shd w:val="clear" w:color="auto" w:fill="auto"/>
            <w:noWrap/>
            <w:vAlign w:val="center"/>
            <w:hideMark/>
          </w:tcPr>
          <w:p w14:paraId="0E2C97DF"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WEM</w:t>
            </w:r>
          </w:p>
        </w:tc>
        <w:tc>
          <w:tcPr>
            <w:tcW w:w="829" w:type="dxa"/>
            <w:tcBorders>
              <w:top w:val="nil"/>
              <w:left w:val="nil"/>
              <w:bottom w:val="single" w:sz="4" w:space="0" w:color="auto"/>
              <w:right w:val="single" w:sz="4" w:space="0" w:color="auto"/>
            </w:tcBorders>
            <w:shd w:val="clear" w:color="auto" w:fill="auto"/>
            <w:noWrap/>
            <w:vAlign w:val="center"/>
            <w:hideMark/>
          </w:tcPr>
          <w:p w14:paraId="5FCAFF08"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WAM</w:t>
            </w:r>
          </w:p>
        </w:tc>
        <w:tc>
          <w:tcPr>
            <w:tcW w:w="829" w:type="dxa"/>
            <w:tcBorders>
              <w:top w:val="nil"/>
              <w:left w:val="nil"/>
              <w:bottom w:val="single" w:sz="4" w:space="0" w:color="auto"/>
              <w:right w:val="single" w:sz="4" w:space="0" w:color="auto"/>
            </w:tcBorders>
            <w:shd w:val="clear" w:color="auto" w:fill="auto"/>
            <w:noWrap/>
            <w:vAlign w:val="center"/>
            <w:hideMark/>
          </w:tcPr>
          <w:p w14:paraId="09A6C404"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WEM</w:t>
            </w:r>
          </w:p>
        </w:tc>
        <w:tc>
          <w:tcPr>
            <w:tcW w:w="829" w:type="dxa"/>
            <w:tcBorders>
              <w:top w:val="nil"/>
              <w:left w:val="nil"/>
              <w:bottom w:val="single" w:sz="4" w:space="0" w:color="auto"/>
              <w:right w:val="single" w:sz="4" w:space="0" w:color="auto"/>
            </w:tcBorders>
            <w:shd w:val="clear" w:color="auto" w:fill="auto"/>
            <w:noWrap/>
            <w:vAlign w:val="center"/>
            <w:hideMark/>
          </w:tcPr>
          <w:p w14:paraId="5DBA9109"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WAM</w:t>
            </w:r>
          </w:p>
        </w:tc>
        <w:tc>
          <w:tcPr>
            <w:tcW w:w="829" w:type="dxa"/>
            <w:tcBorders>
              <w:top w:val="nil"/>
              <w:left w:val="nil"/>
              <w:bottom w:val="single" w:sz="4" w:space="0" w:color="auto"/>
              <w:right w:val="single" w:sz="4" w:space="0" w:color="auto"/>
            </w:tcBorders>
            <w:shd w:val="clear" w:color="auto" w:fill="auto"/>
            <w:noWrap/>
            <w:vAlign w:val="center"/>
            <w:hideMark/>
          </w:tcPr>
          <w:p w14:paraId="595B0054"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WEM</w:t>
            </w:r>
          </w:p>
        </w:tc>
        <w:tc>
          <w:tcPr>
            <w:tcW w:w="829" w:type="dxa"/>
            <w:tcBorders>
              <w:top w:val="nil"/>
              <w:left w:val="nil"/>
              <w:bottom w:val="single" w:sz="4" w:space="0" w:color="auto"/>
              <w:right w:val="single" w:sz="4" w:space="0" w:color="auto"/>
            </w:tcBorders>
            <w:shd w:val="clear" w:color="auto" w:fill="auto"/>
            <w:noWrap/>
            <w:vAlign w:val="center"/>
            <w:hideMark/>
          </w:tcPr>
          <w:p w14:paraId="13286C3D"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WAM</w:t>
            </w:r>
          </w:p>
        </w:tc>
        <w:tc>
          <w:tcPr>
            <w:tcW w:w="829" w:type="dxa"/>
            <w:tcBorders>
              <w:top w:val="nil"/>
              <w:left w:val="nil"/>
              <w:bottom w:val="single" w:sz="4" w:space="0" w:color="auto"/>
              <w:right w:val="single" w:sz="4" w:space="0" w:color="auto"/>
            </w:tcBorders>
            <w:shd w:val="clear" w:color="auto" w:fill="auto"/>
            <w:noWrap/>
            <w:vAlign w:val="center"/>
            <w:hideMark/>
          </w:tcPr>
          <w:p w14:paraId="10CD0BD9"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WEM</w:t>
            </w:r>
          </w:p>
        </w:tc>
        <w:tc>
          <w:tcPr>
            <w:tcW w:w="1244" w:type="dxa"/>
            <w:tcBorders>
              <w:top w:val="nil"/>
              <w:left w:val="nil"/>
              <w:bottom w:val="single" w:sz="4" w:space="0" w:color="auto"/>
              <w:right w:val="single" w:sz="4" w:space="0" w:color="auto"/>
            </w:tcBorders>
            <w:shd w:val="clear" w:color="auto" w:fill="auto"/>
            <w:noWrap/>
            <w:vAlign w:val="center"/>
            <w:hideMark/>
          </w:tcPr>
          <w:p w14:paraId="254C3357"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WAM</w:t>
            </w:r>
          </w:p>
        </w:tc>
      </w:tr>
      <w:tr w:rsidR="00B75D0C" w:rsidRPr="00881D21" w14:paraId="69D4A89F" w14:textId="77777777" w:rsidTr="002F3744">
        <w:trPr>
          <w:trHeight w:val="266"/>
        </w:trPr>
        <w:tc>
          <w:tcPr>
            <w:tcW w:w="12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E60B2"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bookmarkStart w:id="20" w:name="_Hlk117779906"/>
            <w:r w:rsidRPr="00881D21">
              <w:rPr>
                <w:rFonts w:ascii="Cambria" w:eastAsia="Times New Roman" w:hAnsi="Cambria"/>
                <w:sz w:val="18"/>
                <w:szCs w:val="18"/>
                <w:lang w:eastAsia="lv-LV"/>
              </w:rPr>
              <w:t>Meža zeme</w:t>
            </w:r>
            <w:bookmarkEnd w:id="20"/>
          </w:p>
        </w:tc>
        <w:tc>
          <w:tcPr>
            <w:tcW w:w="829" w:type="dxa"/>
            <w:tcBorders>
              <w:top w:val="single" w:sz="4" w:space="0" w:color="auto"/>
              <w:left w:val="nil"/>
              <w:bottom w:val="single" w:sz="4" w:space="0" w:color="auto"/>
              <w:right w:val="single" w:sz="4" w:space="0" w:color="auto"/>
            </w:tcBorders>
            <w:shd w:val="clear" w:color="auto" w:fill="auto"/>
            <w:noWrap/>
            <w:vAlign w:val="center"/>
            <w:hideMark/>
          </w:tcPr>
          <w:p w14:paraId="37306D66"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6"/>
                <w:szCs w:val="16"/>
                <w:lang w:eastAsia="lv-LV"/>
              </w:rPr>
              <w:t>-205,20</w:t>
            </w:r>
          </w:p>
        </w:tc>
        <w:tc>
          <w:tcPr>
            <w:tcW w:w="829" w:type="dxa"/>
            <w:tcBorders>
              <w:top w:val="nil"/>
              <w:left w:val="nil"/>
              <w:bottom w:val="single" w:sz="4" w:space="0" w:color="auto"/>
              <w:right w:val="single" w:sz="4" w:space="0" w:color="auto"/>
            </w:tcBorders>
            <w:shd w:val="clear" w:color="auto" w:fill="auto"/>
            <w:noWrap/>
            <w:vAlign w:val="center"/>
          </w:tcPr>
          <w:p w14:paraId="57E1A8A3"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6"/>
                <w:szCs w:val="16"/>
                <w:lang w:eastAsia="lv-LV"/>
              </w:rPr>
              <w:t>-469,04</w:t>
            </w:r>
          </w:p>
        </w:tc>
        <w:tc>
          <w:tcPr>
            <w:tcW w:w="829" w:type="dxa"/>
            <w:tcBorders>
              <w:top w:val="nil"/>
              <w:left w:val="nil"/>
              <w:bottom w:val="single" w:sz="4" w:space="0" w:color="auto"/>
              <w:right w:val="single" w:sz="4" w:space="0" w:color="auto"/>
            </w:tcBorders>
            <w:shd w:val="clear" w:color="auto" w:fill="auto"/>
            <w:noWrap/>
            <w:vAlign w:val="center"/>
          </w:tcPr>
          <w:p w14:paraId="070F531B"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80,62</w:t>
            </w:r>
          </w:p>
        </w:tc>
        <w:tc>
          <w:tcPr>
            <w:tcW w:w="829" w:type="dxa"/>
            <w:tcBorders>
              <w:top w:val="nil"/>
              <w:left w:val="nil"/>
              <w:bottom w:val="single" w:sz="4" w:space="0" w:color="auto"/>
              <w:right w:val="single" w:sz="4" w:space="0" w:color="auto"/>
            </w:tcBorders>
            <w:shd w:val="clear" w:color="auto" w:fill="auto"/>
            <w:noWrap/>
            <w:vAlign w:val="center"/>
          </w:tcPr>
          <w:p w14:paraId="71F3D6C5"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6"/>
                <w:szCs w:val="16"/>
                <w:lang w:eastAsia="lv-LV"/>
              </w:rPr>
              <w:t>-249,18</w:t>
            </w:r>
          </w:p>
        </w:tc>
        <w:tc>
          <w:tcPr>
            <w:tcW w:w="829" w:type="dxa"/>
            <w:tcBorders>
              <w:top w:val="nil"/>
              <w:left w:val="nil"/>
              <w:bottom w:val="single" w:sz="4" w:space="0" w:color="auto"/>
              <w:right w:val="single" w:sz="4" w:space="0" w:color="auto"/>
            </w:tcBorders>
            <w:shd w:val="clear" w:color="auto" w:fill="auto"/>
            <w:noWrap/>
            <w:vAlign w:val="center"/>
          </w:tcPr>
          <w:p w14:paraId="32834AF7"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360,59</w:t>
            </w:r>
          </w:p>
        </w:tc>
        <w:tc>
          <w:tcPr>
            <w:tcW w:w="829" w:type="dxa"/>
            <w:tcBorders>
              <w:top w:val="nil"/>
              <w:left w:val="nil"/>
              <w:bottom w:val="single" w:sz="4" w:space="0" w:color="auto"/>
              <w:right w:val="single" w:sz="4" w:space="0" w:color="auto"/>
            </w:tcBorders>
            <w:shd w:val="clear" w:color="auto" w:fill="auto"/>
            <w:noWrap/>
            <w:vAlign w:val="center"/>
          </w:tcPr>
          <w:p w14:paraId="71DFA1E5"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30,79</w:t>
            </w:r>
          </w:p>
        </w:tc>
        <w:tc>
          <w:tcPr>
            <w:tcW w:w="829" w:type="dxa"/>
            <w:tcBorders>
              <w:top w:val="nil"/>
              <w:left w:val="nil"/>
              <w:bottom w:val="single" w:sz="4" w:space="0" w:color="auto"/>
              <w:right w:val="single" w:sz="4" w:space="0" w:color="auto"/>
            </w:tcBorders>
            <w:shd w:val="clear" w:color="auto" w:fill="auto"/>
            <w:noWrap/>
            <w:vAlign w:val="center"/>
          </w:tcPr>
          <w:p w14:paraId="2B52C8ED"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387,48</w:t>
            </w:r>
          </w:p>
        </w:tc>
        <w:tc>
          <w:tcPr>
            <w:tcW w:w="829" w:type="dxa"/>
            <w:tcBorders>
              <w:top w:val="nil"/>
              <w:left w:val="nil"/>
              <w:bottom w:val="single" w:sz="4" w:space="0" w:color="auto"/>
              <w:right w:val="single" w:sz="4" w:space="0" w:color="auto"/>
            </w:tcBorders>
            <w:shd w:val="clear" w:color="auto" w:fill="auto"/>
            <w:noWrap/>
            <w:vAlign w:val="center"/>
          </w:tcPr>
          <w:p w14:paraId="21F2F3F5"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57,68</w:t>
            </w:r>
          </w:p>
        </w:tc>
        <w:tc>
          <w:tcPr>
            <w:tcW w:w="829" w:type="dxa"/>
            <w:tcBorders>
              <w:top w:val="nil"/>
              <w:left w:val="nil"/>
              <w:bottom w:val="single" w:sz="4" w:space="0" w:color="auto"/>
              <w:right w:val="single" w:sz="4" w:space="0" w:color="auto"/>
            </w:tcBorders>
            <w:shd w:val="clear" w:color="auto" w:fill="auto"/>
            <w:noWrap/>
            <w:vAlign w:val="center"/>
          </w:tcPr>
          <w:p w14:paraId="0085B8E7" w14:textId="77777777" w:rsidR="00B75D0C" w:rsidRPr="00881D21" w:rsidRDefault="00B75D0C" w:rsidP="002F3744">
            <w:pPr>
              <w:suppressAutoHyphens w:val="0"/>
              <w:spacing w:after="0" w:line="240" w:lineRule="auto"/>
              <w:jc w:val="center"/>
              <w:rPr>
                <w:rFonts w:ascii="Cambria" w:eastAsia="Times New Roman" w:hAnsi="Cambria"/>
                <w:b/>
                <w:bCs/>
                <w:sz w:val="16"/>
                <w:szCs w:val="16"/>
                <w:lang w:eastAsia="lv-LV"/>
              </w:rPr>
            </w:pPr>
            <w:r w:rsidRPr="00881D21">
              <w:rPr>
                <w:rFonts w:ascii="Cambria" w:eastAsia="Times New Roman" w:hAnsi="Cambria"/>
                <w:b/>
                <w:bCs/>
                <w:sz w:val="16"/>
                <w:szCs w:val="16"/>
                <w:lang w:eastAsia="lv-LV"/>
              </w:rPr>
              <w:t>346,70</w:t>
            </w:r>
          </w:p>
        </w:tc>
        <w:tc>
          <w:tcPr>
            <w:tcW w:w="1244" w:type="dxa"/>
            <w:tcBorders>
              <w:top w:val="nil"/>
              <w:left w:val="nil"/>
              <w:bottom w:val="single" w:sz="4" w:space="0" w:color="auto"/>
              <w:right w:val="single" w:sz="4" w:space="0" w:color="auto"/>
            </w:tcBorders>
            <w:shd w:val="clear" w:color="auto" w:fill="auto"/>
            <w:noWrap/>
            <w:vAlign w:val="center"/>
          </w:tcPr>
          <w:p w14:paraId="2513208E" w14:textId="77777777" w:rsidR="00B75D0C" w:rsidRPr="00881D21" w:rsidRDefault="00B75D0C" w:rsidP="002F3744">
            <w:pPr>
              <w:suppressAutoHyphens w:val="0"/>
              <w:spacing w:after="0" w:line="240" w:lineRule="auto"/>
              <w:jc w:val="center"/>
              <w:rPr>
                <w:rFonts w:ascii="Cambria" w:eastAsia="Times New Roman" w:hAnsi="Cambria"/>
                <w:b/>
                <w:bCs/>
                <w:sz w:val="16"/>
                <w:szCs w:val="16"/>
                <w:lang w:eastAsia="lv-LV"/>
              </w:rPr>
            </w:pPr>
            <w:r w:rsidRPr="00881D21">
              <w:rPr>
                <w:rFonts w:ascii="Cambria" w:eastAsia="Times New Roman" w:hAnsi="Cambria"/>
                <w:b/>
                <w:bCs/>
                <w:sz w:val="16"/>
                <w:szCs w:val="16"/>
                <w:lang w:eastAsia="lv-LV"/>
              </w:rPr>
              <w:t>16,90</w:t>
            </w:r>
          </w:p>
        </w:tc>
      </w:tr>
      <w:tr w:rsidR="00B75D0C" w:rsidRPr="00881D21" w14:paraId="76B4E1A4" w14:textId="77777777" w:rsidTr="002F3744">
        <w:trPr>
          <w:trHeight w:val="266"/>
        </w:trPr>
        <w:tc>
          <w:tcPr>
            <w:tcW w:w="12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5DA95"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Aramzeme</w:t>
            </w:r>
          </w:p>
        </w:tc>
        <w:tc>
          <w:tcPr>
            <w:tcW w:w="829" w:type="dxa"/>
            <w:tcBorders>
              <w:top w:val="single" w:sz="4" w:space="0" w:color="auto"/>
              <w:left w:val="nil"/>
              <w:bottom w:val="single" w:sz="4" w:space="0" w:color="auto"/>
              <w:right w:val="single" w:sz="4" w:space="0" w:color="auto"/>
            </w:tcBorders>
            <w:shd w:val="clear" w:color="auto" w:fill="auto"/>
            <w:noWrap/>
            <w:vAlign w:val="center"/>
            <w:hideMark/>
          </w:tcPr>
          <w:p w14:paraId="5EAF36D5"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1615,37</w:t>
            </w:r>
          </w:p>
          <w:p w14:paraId="02D765C5"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p>
        </w:tc>
        <w:tc>
          <w:tcPr>
            <w:tcW w:w="829" w:type="dxa"/>
            <w:tcBorders>
              <w:top w:val="nil"/>
              <w:left w:val="nil"/>
              <w:bottom w:val="single" w:sz="4" w:space="0" w:color="auto"/>
              <w:right w:val="single" w:sz="4" w:space="0" w:color="auto"/>
            </w:tcBorders>
            <w:shd w:val="clear" w:color="auto" w:fill="auto"/>
            <w:noWrap/>
            <w:vAlign w:val="center"/>
          </w:tcPr>
          <w:p w14:paraId="1C67E89F"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1314,75</w:t>
            </w:r>
          </w:p>
        </w:tc>
        <w:tc>
          <w:tcPr>
            <w:tcW w:w="829" w:type="dxa"/>
            <w:tcBorders>
              <w:top w:val="nil"/>
              <w:left w:val="nil"/>
              <w:bottom w:val="single" w:sz="4" w:space="0" w:color="auto"/>
              <w:right w:val="single" w:sz="4" w:space="0" w:color="auto"/>
            </w:tcBorders>
            <w:shd w:val="clear" w:color="auto" w:fill="auto"/>
            <w:noWrap/>
            <w:vAlign w:val="center"/>
          </w:tcPr>
          <w:p w14:paraId="5953DC20"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1677,05</w:t>
            </w:r>
          </w:p>
        </w:tc>
        <w:tc>
          <w:tcPr>
            <w:tcW w:w="829" w:type="dxa"/>
            <w:tcBorders>
              <w:top w:val="nil"/>
              <w:left w:val="nil"/>
              <w:bottom w:val="single" w:sz="4" w:space="0" w:color="auto"/>
              <w:right w:val="single" w:sz="4" w:space="0" w:color="auto"/>
            </w:tcBorders>
            <w:shd w:val="clear" w:color="auto" w:fill="auto"/>
            <w:noWrap/>
            <w:vAlign w:val="center"/>
          </w:tcPr>
          <w:p w14:paraId="0130A998"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1301,28</w:t>
            </w:r>
          </w:p>
        </w:tc>
        <w:tc>
          <w:tcPr>
            <w:tcW w:w="829" w:type="dxa"/>
            <w:tcBorders>
              <w:top w:val="nil"/>
              <w:left w:val="nil"/>
              <w:bottom w:val="single" w:sz="4" w:space="0" w:color="auto"/>
              <w:right w:val="single" w:sz="4" w:space="0" w:color="auto"/>
            </w:tcBorders>
            <w:shd w:val="clear" w:color="auto" w:fill="auto"/>
            <w:noWrap/>
            <w:vAlign w:val="center"/>
          </w:tcPr>
          <w:p w14:paraId="42E6EA42"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1672,44</w:t>
            </w:r>
          </w:p>
        </w:tc>
        <w:tc>
          <w:tcPr>
            <w:tcW w:w="829" w:type="dxa"/>
            <w:tcBorders>
              <w:top w:val="nil"/>
              <w:left w:val="nil"/>
              <w:bottom w:val="single" w:sz="4" w:space="0" w:color="auto"/>
              <w:right w:val="single" w:sz="4" w:space="0" w:color="auto"/>
            </w:tcBorders>
            <w:shd w:val="clear" w:color="auto" w:fill="auto"/>
            <w:noWrap/>
            <w:vAlign w:val="center"/>
          </w:tcPr>
          <w:p w14:paraId="2FB5CF1A"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1296,66</w:t>
            </w:r>
          </w:p>
        </w:tc>
        <w:tc>
          <w:tcPr>
            <w:tcW w:w="829" w:type="dxa"/>
            <w:tcBorders>
              <w:top w:val="nil"/>
              <w:left w:val="nil"/>
              <w:bottom w:val="single" w:sz="4" w:space="0" w:color="auto"/>
              <w:right w:val="single" w:sz="4" w:space="0" w:color="auto"/>
            </w:tcBorders>
            <w:shd w:val="clear" w:color="auto" w:fill="auto"/>
            <w:noWrap/>
            <w:vAlign w:val="center"/>
          </w:tcPr>
          <w:p w14:paraId="6CD6F7AD"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1668,31</w:t>
            </w:r>
          </w:p>
        </w:tc>
        <w:tc>
          <w:tcPr>
            <w:tcW w:w="829" w:type="dxa"/>
            <w:tcBorders>
              <w:top w:val="nil"/>
              <w:left w:val="nil"/>
              <w:bottom w:val="single" w:sz="4" w:space="0" w:color="auto"/>
              <w:right w:val="single" w:sz="4" w:space="0" w:color="auto"/>
            </w:tcBorders>
            <w:shd w:val="clear" w:color="auto" w:fill="auto"/>
            <w:noWrap/>
            <w:vAlign w:val="center"/>
          </w:tcPr>
          <w:p w14:paraId="0DE8A2E2"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1292,54</w:t>
            </w:r>
          </w:p>
        </w:tc>
        <w:tc>
          <w:tcPr>
            <w:tcW w:w="829" w:type="dxa"/>
            <w:tcBorders>
              <w:top w:val="nil"/>
              <w:left w:val="nil"/>
              <w:bottom w:val="single" w:sz="4" w:space="0" w:color="auto"/>
              <w:right w:val="single" w:sz="4" w:space="0" w:color="auto"/>
            </w:tcBorders>
            <w:shd w:val="clear" w:color="auto" w:fill="auto"/>
            <w:noWrap/>
            <w:vAlign w:val="center"/>
          </w:tcPr>
          <w:p w14:paraId="30BD7578" w14:textId="77777777" w:rsidR="00B75D0C" w:rsidRPr="00881D21" w:rsidRDefault="00B75D0C" w:rsidP="002F3744">
            <w:pPr>
              <w:suppressAutoHyphens w:val="0"/>
              <w:spacing w:after="0" w:line="240" w:lineRule="auto"/>
              <w:jc w:val="center"/>
              <w:rPr>
                <w:rFonts w:ascii="Cambria" w:eastAsia="Times New Roman" w:hAnsi="Cambria"/>
                <w:b/>
                <w:bCs/>
                <w:sz w:val="16"/>
                <w:szCs w:val="16"/>
                <w:lang w:eastAsia="lv-LV"/>
              </w:rPr>
            </w:pPr>
            <w:r w:rsidRPr="00881D21">
              <w:rPr>
                <w:rFonts w:ascii="Cambria" w:eastAsia="Times New Roman" w:hAnsi="Cambria"/>
                <w:b/>
                <w:bCs/>
                <w:sz w:val="16"/>
                <w:szCs w:val="16"/>
                <w:lang w:eastAsia="lv-LV"/>
              </w:rPr>
              <w:t>1662,30</w:t>
            </w:r>
          </w:p>
        </w:tc>
        <w:tc>
          <w:tcPr>
            <w:tcW w:w="1244" w:type="dxa"/>
            <w:tcBorders>
              <w:top w:val="nil"/>
              <w:left w:val="nil"/>
              <w:bottom w:val="single" w:sz="4" w:space="0" w:color="auto"/>
              <w:right w:val="single" w:sz="4" w:space="0" w:color="auto"/>
            </w:tcBorders>
            <w:shd w:val="clear" w:color="auto" w:fill="auto"/>
            <w:noWrap/>
            <w:vAlign w:val="center"/>
          </w:tcPr>
          <w:p w14:paraId="6F504D5D" w14:textId="77777777" w:rsidR="00B75D0C" w:rsidRPr="00881D21" w:rsidRDefault="00B75D0C" w:rsidP="002F3744">
            <w:pPr>
              <w:suppressAutoHyphens w:val="0"/>
              <w:spacing w:after="0" w:line="240" w:lineRule="auto"/>
              <w:jc w:val="center"/>
              <w:rPr>
                <w:rFonts w:ascii="Cambria" w:eastAsia="Times New Roman" w:hAnsi="Cambria"/>
                <w:b/>
                <w:bCs/>
                <w:sz w:val="16"/>
                <w:szCs w:val="16"/>
                <w:lang w:eastAsia="lv-LV"/>
              </w:rPr>
            </w:pPr>
            <w:r w:rsidRPr="00881D21">
              <w:rPr>
                <w:rFonts w:ascii="Cambria" w:eastAsia="Times New Roman" w:hAnsi="Cambria"/>
                <w:b/>
                <w:bCs/>
                <w:sz w:val="16"/>
                <w:szCs w:val="16"/>
                <w:lang w:eastAsia="lv-LV"/>
              </w:rPr>
              <w:t>1286,53</w:t>
            </w:r>
          </w:p>
        </w:tc>
      </w:tr>
      <w:tr w:rsidR="00B75D0C" w:rsidRPr="00881D21" w14:paraId="61AD8074" w14:textId="77777777" w:rsidTr="002F3744">
        <w:trPr>
          <w:trHeight w:val="266"/>
        </w:trPr>
        <w:tc>
          <w:tcPr>
            <w:tcW w:w="12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15055"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Zālājs</w:t>
            </w:r>
          </w:p>
        </w:tc>
        <w:tc>
          <w:tcPr>
            <w:tcW w:w="829" w:type="dxa"/>
            <w:tcBorders>
              <w:top w:val="single" w:sz="4" w:space="0" w:color="auto"/>
              <w:left w:val="nil"/>
              <w:bottom w:val="single" w:sz="4" w:space="0" w:color="auto"/>
              <w:right w:val="single" w:sz="4" w:space="0" w:color="auto"/>
            </w:tcBorders>
            <w:shd w:val="clear" w:color="auto" w:fill="auto"/>
            <w:noWrap/>
            <w:vAlign w:val="center"/>
            <w:hideMark/>
          </w:tcPr>
          <w:p w14:paraId="28B39B2E"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1151,91</w:t>
            </w:r>
          </w:p>
          <w:p w14:paraId="0D55066F"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p>
        </w:tc>
        <w:tc>
          <w:tcPr>
            <w:tcW w:w="829" w:type="dxa"/>
            <w:tcBorders>
              <w:top w:val="nil"/>
              <w:left w:val="nil"/>
              <w:bottom w:val="single" w:sz="4" w:space="0" w:color="auto"/>
              <w:right w:val="single" w:sz="4" w:space="0" w:color="auto"/>
            </w:tcBorders>
            <w:shd w:val="clear" w:color="auto" w:fill="auto"/>
            <w:noWrap/>
            <w:vAlign w:val="center"/>
          </w:tcPr>
          <w:p w14:paraId="11E4982F"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1151,91</w:t>
            </w:r>
          </w:p>
        </w:tc>
        <w:tc>
          <w:tcPr>
            <w:tcW w:w="829" w:type="dxa"/>
            <w:tcBorders>
              <w:top w:val="nil"/>
              <w:left w:val="nil"/>
              <w:bottom w:val="single" w:sz="4" w:space="0" w:color="auto"/>
              <w:right w:val="single" w:sz="4" w:space="0" w:color="auto"/>
            </w:tcBorders>
            <w:shd w:val="clear" w:color="auto" w:fill="auto"/>
            <w:noWrap/>
            <w:vAlign w:val="center"/>
          </w:tcPr>
          <w:p w14:paraId="09AEFDF9"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1163,65</w:t>
            </w:r>
          </w:p>
        </w:tc>
        <w:tc>
          <w:tcPr>
            <w:tcW w:w="829" w:type="dxa"/>
            <w:tcBorders>
              <w:top w:val="nil"/>
              <w:left w:val="nil"/>
              <w:bottom w:val="single" w:sz="4" w:space="0" w:color="auto"/>
              <w:right w:val="single" w:sz="4" w:space="0" w:color="auto"/>
            </w:tcBorders>
            <w:shd w:val="clear" w:color="auto" w:fill="auto"/>
            <w:noWrap/>
            <w:vAlign w:val="center"/>
          </w:tcPr>
          <w:p w14:paraId="1951E418"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1163,65</w:t>
            </w:r>
          </w:p>
        </w:tc>
        <w:tc>
          <w:tcPr>
            <w:tcW w:w="829" w:type="dxa"/>
            <w:tcBorders>
              <w:top w:val="nil"/>
              <w:left w:val="nil"/>
              <w:bottom w:val="single" w:sz="4" w:space="0" w:color="auto"/>
              <w:right w:val="single" w:sz="4" w:space="0" w:color="auto"/>
            </w:tcBorders>
            <w:shd w:val="clear" w:color="auto" w:fill="auto"/>
            <w:noWrap/>
            <w:vAlign w:val="center"/>
          </w:tcPr>
          <w:p w14:paraId="75A82DC1"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1175,39</w:t>
            </w:r>
          </w:p>
        </w:tc>
        <w:tc>
          <w:tcPr>
            <w:tcW w:w="829" w:type="dxa"/>
            <w:tcBorders>
              <w:top w:val="nil"/>
              <w:left w:val="nil"/>
              <w:bottom w:val="single" w:sz="4" w:space="0" w:color="auto"/>
              <w:right w:val="single" w:sz="4" w:space="0" w:color="auto"/>
            </w:tcBorders>
            <w:shd w:val="clear" w:color="auto" w:fill="auto"/>
            <w:noWrap/>
            <w:vAlign w:val="center"/>
          </w:tcPr>
          <w:p w14:paraId="4FF0386D"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1175,39</w:t>
            </w:r>
          </w:p>
        </w:tc>
        <w:tc>
          <w:tcPr>
            <w:tcW w:w="829" w:type="dxa"/>
            <w:tcBorders>
              <w:top w:val="nil"/>
              <w:left w:val="nil"/>
              <w:bottom w:val="single" w:sz="4" w:space="0" w:color="auto"/>
              <w:right w:val="single" w:sz="4" w:space="0" w:color="auto"/>
            </w:tcBorders>
            <w:shd w:val="clear" w:color="auto" w:fill="auto"/>
            <w:noWrap/>
            <w:vAlign w:val="center"/>
          </w:tcPr>
          <w:p w14:paraId="4DB19C6B"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1185,60</w:t>
            </w:r>
          </w:p>
        </w:tc>
        <w:tc>
          <w:tcPr>
            <w:tcW w:w="829" w:type="dxa"/>
            <w:tcBorders>
              <w:top w:val="nil"/>
              <w:left w:val="nil"/>
              <w:bottom w:val="single" w:sz="4" w:space="0" w:color="auto"/>
              <w:right w:val="single" w:sz="4" w:space="0" w:color="auto"/>
            </w:tcBorders>
            <w:shd w:val="clear" w:color="auto" w:fill="auto"/>
            <w:noWrap/>
            <w:vAlign w:val="center"/>
          </w:tcPr>
          <w:p w14:paraId="31CA8126"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1185,60</w:t>
            </w:r>
          </w:p>
        </w:tc>
        <w:tc>
          <w:tcPr>
            <w:tcW w:w="829" w:type="dxa"/>
            <w:tcBorders>
              <w:top w:val="nil"/>
              <w:left w:val="nil"/>
              <w:bottom w:val="single" w:sz="4" w:space="0" w:color="auto"/>
              <w:right w:val="single" w:sz="4" w:space="0" w:color="auto"/>
            </w:tcBorders>
            <w:shd w:val="clear" w:color="auto" w:fill="auto"/>
            <w:noWrap/>
            <w:vAlign w:val="center"/>
          </w:tcPr>
          <w:p w14:paraId="40C96533" w14:textId="77777777" w:rsidR="00B75D0C" w:rsidRPr="00881D21" w:rsidRDefault="00B75D0C" w:rsidP="002F3744">
            <w:pPr>
              <w:suppressAutoHyphens w:val="0"/>
              <w:spacing w:after="0" w:line="240" w:lineRule="auto"/>
              <w:jc w:val="center"/>
              <w:rPr>
                <w:rFonts w:ascii="Cambria" w:eastAsia="Times New Roman" w:hAnsi="Cambria"/>
                <w:b/>
                <w:bCs/>
                <w:sz w:val="16"/>
                <w:szCs w:val="16"/>
                <w:lang w:eastAsia="lv-LV"/>
              </w:rPr>
            </w:pPr>
            <w:r w:rsidRPr="00881D21">
              <w:rPr>
                <w:rFonts w:ascii="Cambria" w:eastAsia="Times New Roman" w:hAnsi="Cambria"/>
                <w:b/>
                <w:bCs/>
                <w:sz w:val="16"/>
                <w:szCs w:val="16"/>
                <w:lang w:eastAsia="lv-LV"/>
              </w:rPr>
              <w:t>1195,81</w:t>
            </w:r>
          </w:p>
        </w:tc>
        <w:tc>
          <w:tcPr>
            <w:tcW w:w="1244" w:type="dxa"/>
            <w:tcBorders>
              <w:top w:val="nil"/>
              <w:left w:val="nil"/>
              <w:bottom w:val="single" w:sz="4" w:space="0" w:color="auto"/>
              <w:right w:val="single" w:sz="4" w:space="0" w:color="auto"/>
            </w:tcBorders>
            <w:shd w:val="clear" w:color="auto" w:fill="auto"/>
            <w:noWrap/>
            <w:vAlign w:val="center"/>
          </w:tcPr>
          <w:p w14:paraId="093C1991" w14:textId="77777777" w:rsidR="00B75D0C" w:rsidRPr="00881D21" w:rsidRDefault="00B75D0C" w:rsidP="002F3744">
            <w:pPr>
              <w:suppressAutoHyphens w:val="0"/>
              <w:spacing w:after="0" w:line="240" w:lineRule="auto"/>
              <w:jc w:val="center"/>
              <w:rPr>
                <w:rFonts w:ascii="Cambria" w:eastAsia="Times New Roman" w:hAnsi="Cambria"/>
                <w:b/>
                <w:bCs/>
                <w:sz w:val="16"/>
                <w:szCs w:val="16"/>
                <w:lang w:eastAsia="lv-LV"/>
              </w:rPr>
            </w:pPr>
            <w:r w:rsidRPr="00881D21">
              <w:rPr>
                <w:rFonts w:ascii="Cambria" w:eastAsia="Times New Roman" w:hAnsi="Cambria"/>
                <w:b/>
                <w:bCs/>
                <w:sz w:val="16"/>
                <w:szCs w:val="16"/>
                <w:lang w:eastAsia="lv-LV"/>
              </w:rPr>
              <w:t>1195,81</w:t>
            </w:r>
          </w:p>
        </w:tc>
      </w:tr>
      <w:tr w:rsidR="00B75D0C" w:rsidRPr="00881D21" w14:paraId="27DA5E02" w14:textId="77777777" w:rsidTr="002F3744">
        <w:trPr>
          <w:trHeight w:val="266"/>
        </w:trPr>
        <w:tc>
          <w:tcPr>
            <w:tcW w:w="12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5C57F"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Mitrāji</w:t>
            </w:r>
          </w:p>
        </w:tc>
        <w:tc>
          <w:tcPr>
            <w:tcW w:w="829" w:type="dxa"/>
            <w:tcBorders>
              <w:top w:val="single" w:sz="4" w:space="0" w:color="auto"/>
              <w:left w:val="nil"/>
              <w:bottom w:val="single" w:sz="4" w:space="0" w:color="auto"/>
              <w:right w:val="single" w:sz="4" w:space="0" w:color="auto"/>
            </w:tcBorders>
            <w:shd w:val="clear" w:color="auto" w:fill="auto"/>
            <w:noWrap/>
            <w:vAlign w:val="center"/>
            <w:hideMark/>
          </w:tcPr>
          <w:p w14:paraId="3C166D6E"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1509,31</w:t>
            </w:r>
          </w:p>
          <w:p w14:paraId="4370FC10"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p>
        </w:tc>
        <w:tc>
          <w:tcPr>
            <w:tcW w:w="829" w:type="dxa"/>
            <w:tcBorders>
              <w:top w:val="nil"/>
              <w:left w:val="nil"/>
              <w:bottom w:val="single" w:sz="4" w:space="0" w:color="auto"/>
              <w:right w:val="single" w:sz="4" w:space="0" w:color="auto"/>
            </w:tcBorders>
            <w:shd w:val="clear" w:color="auto" w:fill="auto"/>
            <w:noWrap/>
            <w:vAlign w:val="center"/>
          </w:tcPr>
          <w:p w14:paraId="6082C941"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1476,97</w:t>
            </w:r>
          </w:p>
        </w:tc>
        <w:tc>
          <w:tcPr>
            <w:tcW w:w="829" w:type="dxa"/>
            <w:tcBorders>
              <w:top w:val="nil"/>
              <w:left w:val="nil"/>
              <w:bottom w:val="single" w:sz="4" w:space="0" w:color="auto"/>
              <w:right w:val="single" w:sz="4" w:space="0" w:color="auto"/>
            </w:tcBorders>
            <w:shd w:val="clear" w:color="auto" w:fill="auto"/>
            <w:noWrap/>
            <w:vAlign w:val="center"/>
          </w:tcPr>
          <w:p w14:paraId="146F9B7B"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1508,16</w:t>
            </w:r>
          </w:p>
        </w:tc>
        <w:tc>
          <w:tcPr>
            <w:tcW w:w="829" w:type="dxa"/>
            <w:tcBorders>
              <w:top w:val="nil"/>
              <w:left w:val="nil"/>
              <w:bottom w:val="single" w:sz="4" w:space="0" w:color="auto"/>
              <w:right w:val="single" w:sz="4" w:space="0" w:color="auto"/>
            </w:tcBorders>
            <w:shd w:val="clear" w:color="auto" w:fill="auto"/>
            <w:noWrap/>
            <w:vAlign w:val="center"/>
          </w:tcPr>
          <w:p w14:paraId="18AC817F"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1476,97</w:t>
            </w:r>
          </w:p>
        </w:tc>
        <w:tc>
          <w:tcPr>
            <w:tcW w:w="829" w:type="dxa"/>
            <w:tcBorders>
              <w:top w:val="nil"/>
              <w:left w:val="nil"/>
              <w:bottom w:val="single" w:sz="4" w:space="0" w:color="auto"/>
              <w:right w:val="single" w:sz="4" w:space="0" w:color="auto"/>
            </w:tcBorders>
            <w:shd w:val="clear" w:color="auto" w:fill="auto"/>
            <w:noWrap/>
            <w:vAlign w:val="center"/>
          </w:tcPr>
          <w:p w14:paraId="2CF0A760"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1507,00</w:t>
            </w:r>
          </w:p>
        </w:tc>
        <w:tc>
          <w:tcPr>
            <w:tcW w:w="829" w:type="dxa"/>
            <w:tcBorders>
              <w:top w:val="nil"/>
              <w:left w:val="nil"/>
              <w:bottom w:val="single" w:sz="4" w:space="0" w:color="auto"/>
              <w:right w:val="single" w:sz="4" w:space="0" w:color="auto"/>
            </w:tcBorders>
            <w:shd w:val="clear" w:color="auto" w:fill="auto"/>
            <w:noWrap/>
            <w:vAlign w:val="center"/>
          </w:tcPr>
          <w:p w14:paraId="2751D73B"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1476,97</w:t>
            </w:r>
          </w:p>
        </w:tc>
        <w:tc>
          <w:tcPr>
            <w:tcW w:w="829" w:type="dxa"/>
            <w:tcBorders>
              <w:top w:val="nil"/>
              <w:left w:val="nil"/>
              <w:bottom w:val="single" w:sz="4" w:space="0" w:color="auto"/>
              <w:right w:val="single" w:sz="4" w:space="0" w:color="auto"/>
            </w:tcBorders>
            <w:shd w:val="clear" w:color="auto" w:fill="auto"/>
            <w:noWrap/>
            <w:vAlign w:val="center"/>
          </w:tcPr>
          <w:p w14:paraId="09BAC59C"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1504,42</w:t>
            </w:r>
          </w:p>
        </w:tc>
        <w:tc>
          <w:tcPr>
            <w:tcW w:w="829" w:type="dxa"/>
            <w:tcBorders>
              <w:top w:val="nil"/>
              <w:left w:val="nil"/>
              <w:bottom w:val="single" w:sz="4" w:space="0" w:color="auto"/>
              <w:right w:val="single" w:sz="4" w:space="0" w:color="auto"/>
            </w:tcBorders>
            <w:shd w:val="clear" w:color="auto" w:fill="auto"/>
            <w:noWrap/>
            <w:vAlign w:val="center"/>
          </w:tcPr>
          <w:p w14:paraId="5D3B969C"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1476,95</w:t>
            </w:r>
          </w:p>
        </w:tc>
        <w:tc>
          <w:tcPr>
            <w:tcW w:w="829" w:type="dxa"/>
            <w:tcBorders>
              <w:top w:val="nil"/>
              <w:left w:val="nil"/>
              <w:bottom w:val="single" w:sz="4" w:space="0" w:color="auto"/>
              <w:right w:val="single" w:sz="4" w:space="0" w:color="auto"/>
            </w:tcBorders>
            <w:shd w:val="clear" w:color="auto" w:fill="auto"/>
            <w:noWrap/>
            <w:vAlign w:val="center"/>
          </w:tcPr>
          <w:p w14:paraId="520DCD91" w14:textId="77777777" w:rsidR="00B75D0C" w:rsidRPr="00881D21" w:rsidRDefault="00B75D0C" w:rsidP="002F3744">
            <w:pPr>
              <w:suppressAutoHyphens w:val="0"/>
              <w:spacing w:after="0" w:line="240" w:lineRule="auto"/>
              <w:jc w:val="center"/>
              <w:rPr>
                <w:rFonts w:ascii="Cambria" w:eastAsia="Times New Roman" w:hAnsi="Cambria"/>
                <w:b/>
                <w:bCs/>
                <w:sz w:val="16"/>
                <w:szCs w:val="16"/>
                <w:lang w:eastAsia="lv-LV"/>
              </w:rPr>
            </w:pPr>
            <w:r w:rsidRPr="00881D21">
              <w:rPr>
                <w:rFonts w:ascii="Cambria" w:eastAsia="Times New Roman" w:hAnsi="Cambria"/>
                <w:b/>
                <w:bCs/>
                <w:sz w:val="16"/>
                <w:szCs w:val="16"/>
                <w:lang w:eastAsia="lv-LV"/>
              </w:rPr>
              <w:t>1502,08</w:t>
            </w:r>
          </w:p>
        </w:tc>
        <w:tc>
          <w:tcPr>
            <w:tcW w:w="1244" w:type="dxa"/>
            <w:tcBorders>
              <w:top w:val="nil"/>
              <w:left w:val="nil"/>
              <w:bottom w:val="single" w:sz="4" w:space="0" w:color="auto"/>
              <w:right w:val="single" w:sz="4" w:space="0" w:color="auto"/>
            </w:tcBorders>
            <w:shd w:val="clear" w:color="auto" w:fill="auto"/>
            <w:noWrap/>
            <w:vAlign w:val="center"/>
          </w:tcPr>
          <w:p w14:paraId="769406EB" w14:textId="77777777" w:rsidR="00B75D0C" w:rsidRPr="00881D21" w:rsidRDefault="00B75D0C" w:rsidP="002F3744">
            <w:pPr>
              <w:suppressAutoHyphens w:val="0"/>
              <w:spacing w:after="0" w:line="240" w:lineRule="auto"/>
              <w:jc w:val="center"/>
              <w:rPr>
                <w:rFonts w:ascii="Cambria" w:eastAsia="Times New Roman" w:hAnsi="Cambria"/>
                <w:b/>
                <w:bCs/>
                <w:sz w:val="16"/>
                <w:szCs w:val="16"/>
                <w:lang w:eastAsia="lv-LV"/>
              </w:rPr>
            </w:pPr>
            <w:r w:rsidRPr="00881D21">
              <w:rPr>
                <w:rFonts w:ascii="Cambria" w:eastAsia="Times New Roman" w:hAnsi="Cambria"/>
                <w:b/>
                <w:bCs/>
                <w:sz w:val="16"/>
                <w:szCs w:val="16"/>
                <w:lang w:eastAsia="lv-LV"/>
              </w:rPr>
              <w:t>1476,95</w:t>
            </w:r>
          </w:p>
        </w:tc>
      </w:tr>
      <w:tr w:rsidR="00B75D0C" w:rsidRPr="00881D21" w14:paraId="77116865" w14:textId="77777777" w:rsidTr="002F3744">
        <w:trPr>
          <w:trHeight w:val="266"/>
        </w:trPr>
        <w:tc>
          <w:tcPr>
            <w:tcW w:w="1218" w:type="dxa"/>
            <w:tcBorders>
              <w:top w:val="nil"/>
              <w:left w:val="single" w:sz="4" w:space="0" w:color="auto"/>
              <w:bottom w:val="single" w:sz="4" w:space="0" w:color="auto"/>
              <w:right w:val="single" w:sz="4" w:space="0" w:color="auto"/>
            </w:tcBorders>
            <w:shd w:val="clear" w:color="auto" w:fill="auto"/>
            <w:vAlign w:val="center"/>
            <w:hideMark/>
          </w:tcPr>
          <w:p w14:paraId="7F553748"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lang w:eastAsia="lv-LV"/>
              </w:rPr>
              <w:t>Infrastruktūra</w:t>
            </w:r>
          </w:p>
        </w:tc>
        <w:tc>
          <w:tcPr>
            <w:tcW w:w="829" w:type="dxa"/>
            <w:tcBorders>
              <w:top w:val="nil"/>
              <w:left w:val="nil"/>
              <w:bottom w:val="single" w:sz="4" w:space="0" w:color="auto"/>
              <w:right w:val="single" w:sz="4" w:space="0" w:color="auto"/>
            </w:tcBorders>
            <w:shd w:val="clear" w:color="auto" w:fill="auto"/>
            <w:noWrap/>
            <w:vAlign w:val="center"/>
            <w:hideMark/>
          </w:tcPr>
          <w:p w14:paraId="0336CD15"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204,51</w:t>
            </w:r>
          </w:p>
          <w:p w14:paraId="68663EEC"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p>
        </w:tc>
        <w:tc>
          <w:tcPr>
            <w:tcW w:w="829" w:type="dxa"/>
            <w:tcBorders>
              <w:top w:val="nil"/>
              <w:left w:val="nil"/>
              <w:bottom w:val="single" w:sz="4" w:space="0" w:color="auto"/>
              <w:right w:val="single" w:sz="4" w:space="0" w:color="auto"/>
            </w:tcBorders>
            <w:shd w:val="clear" w:color="auto" w:fill="auto"/>
            <w:noWrap/>
            <w:vAlign w:val="center"/>
          </w:tcPr>
          <w:p w14:paraId="3588C897"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204,51</w:t>
            </w:r>
          </w:p>
        </w:tc>
        <w:tc>
          <w:tcPr>
            <w:tcW w:w="829" w:type="dxa"/>
            <w:tcBorders>
              <w:top w:val="nil"/>
              <w:left w:val="nil"/>
              <w:bottom w:val="single" w:sz="4" w:space="0" w:color="auto"/>
              <w:right w:val="single" w:sz="4" w:space="0" w:color="auto"/>
            </w:tcBorders>
            <w:shd w:val="clear" w:color="auto" w:fill="auto"/>
            <w:noWrap/>
            <w:vAlign w:val="center"/>
          </w:tcPr>
          <w:p w14:paraId="5B842611"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205,88</w:t>
            </w:r>
          </w:p>
        </w:tc>
        <w:tc>
          <w:tcPr>
            <w:tcW w:w="829" w:type="dxa"/>
            <w:tcBorders>
              <w:top w:val="nil"/>
              <w:left w:val="nil"/>
              <w:bottom w:val="single" w:sz="4" w:space="0" w:color="auto"/>
              <w:right w:val="single" w:sz="4" w:space="0" w:color="auto"/>
            </w:tcBorders>
            <w:shd w:val="clear" w:color="auto" w:fill="auto"/>
            <w:noWrap/>
            <w:vAlign w:val="center"/>
          </w:tcPr>
          <w:p w14:paraId="77B53283"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205,88</w:t>
            </w:r>
          </w:p>
        </w:tc>
        <w:tc>
          <w:tcPr>
            <w:tcW w:w="829" w:type="dxa"/>
            <w:tcBorders>
              <w:top w:val="nil"/>
              <w:left w:val="nil"/>
              <w:bottom w:val="single" w:sz="4" w:space="0" w:color="auto"/>
              <w:right w:val="single" w:sz="4" w:space="0" w:color="auto"/>
            </w:tcBorders>
            <w:shd w:val="clear" w:color="auto" w:fill="auto"/>
            <w:noWrap/>
            <w:vAlign w:val="center"/>
          </w:tcPr>
          <w:p w14:paraId="7D5FD1B5"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207,25</w:t>
            </w:r>
          </w:p>
        </w:tc>
        <w:tc>
          <w:tcPr>
            <w:tcW w:w="829" w:type="dxa"/>
            <w:tcBorders>
              <w:top w:val="nil"/>
              <w:left w:val="nil"/>
              <w:bottom w:val="single" w:sz="4" w:space="0" w:color="auto"/>
              <w:right w:val="single" w:sz="4" w:space="0" w:color="auto"/>
            </w:tcBorders>
            <w:shd w:val="clear" w:color="auto" w:fill="auto"/>
            <w:noWrap/>
            <w:vAlign w:val="center"/>
          </w:tcPr>
          <w:p w14:paraId="5FFD1259"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207,25</w:t>
            </w:r>
          </w:p>
        </w:tc>
        <w:tc>
          <w:tcPr>
            <w:tcW w:w="829" w:type="dxa"/>
            <w:tcBorders>
              <w:top w:val="nil"/>
              <w:left w:val="nil"/>
              <w:bottom w:val="single" w:sz="4" w:space="0" w:color="auto"/>
              <w:right w:val="single" w:sz="4" w:space="0" w:color="auto"/>
            </w:tcBorders>
            <w:shd w:val="clear" w:color="auto" w:fill="auto"/>
            <w:noWrap/>
            <w:vAlign w:val="center"/>
          </w:tcPr>
          <w:p w14:paraId="0AB5DB71"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203,45</w:t>
            </w:r>
          </w:p>
        </w:tc>
        <w:tc>
          <w:tcPr>
            <w:tcW w:w="829" w:type="dxa"/>
            <w:tcBorders>
              <w:top w:val="nil"/>
              <w:left w:val="nil"/>
              <w:bottom w:val="single" w:sz="4" w:space="0" w:color="auto"/>
              <w:right w:val="single" w:sz="4" w:space="0" w:color="auto"/>
            </w:tcBorders>
            <w:shd w:val="clear" w:color="auto" w:fill="auto"/>
            <w:noWrap/>
            <w:vAlign w:val="center"/>
          </w:tcPr>
          <w:p w14:paraId="7DB0423B"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203,45</w:t>
            </w:r>
          </w:p>
        </w:tc>
        <w:tc>
          <w:tcPr>
            <w:tcW w:w="829" w:type="dxa"/>
            <w:tcBorders>
              <w:top w:val="nil"/>
              <w:left w:val="nil"/>
              <w:bottom w:val="single" w:sz="4" w:space="0" w:color="auto"/>
              <w:right w:val="single" w:sz="4" w:space="0" w:color="auto"/>
            </w:tcBorders>
            <w:shd w:val="clear" w:color="auto" w:fill="auto"/>
            <w:noWrap/>
            <w:vAlign w:val="center"/>
          </w:tcPr>
          <w:p w14:paraId="6DE9DCDF" w14:textId="77777777" w:rsidR="00B75D0C" w:rsidRPr="00881D21" w:rsidRDefault="00B75D0C" w:rsidP="002F3744">
            <w:pPr>
              <w:suppressAutoHyphens w:val="0"/>
              <w:spacing w:after="0" w:line="240" w:lineRule="auto"/>
              <w:jc w:val="center"/>
              <w:rPr>
                <w:rFonts w:ascii="Cambria" w:eastAsia="Times New Roman" w:hAnsi="Cambria"/>
                <w:b/>
                <w:bCs/>
                <w:sz w:val="16"/>
                <w:szCs w:val="16"/>
                <w:lang w:eastAsia="lv-LV"/>
              </w:rPr>
            </w:pPr>
            <w:r w:rsidRPr="00881D21">
              <w:rPr>
                <w:rFonts w:ascii="Cambria" w:eastAsia="Times New Roman" w:hAnsi="Cambria"/>
                <w:b/>
                <w:bCs/>
                <w:sz w:val="16"/>
                <w:szCs w:val="16"/>
                <w:lang w:eastAsia="lv-LV"/>
              </w:rPr>
              <w:t>199,65</w:t>
            </w:r>
          </w:p>
        </w:tc>
        <w:tc>
          <w:tcPr>
            <w:tcW w:w="1244" w:type="dxa"/>
            <w:tcBorders>
              <w:top w:val="nil"/>
              <w:left w:val="nil"/>
              <w:bottom w:val="single" w:sz="4" w:space="0" w:color="auto"/>
              <w:right w:val="single" w:sz="4" w:space="0" w:color="auto"/>
            </w:tcBorders>
            <w:shd w:val="clear" w:color="auto" w:fill="auto"/>
            <w:noWrap/>
            <w:vAlign w:val="center"/>
          </w:tcPr>
          <w:p w14:paraId="3FCB5890"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b/>
                <w:bCs/>
                <w:sz w:val="16"/>
                <w:szCs w:val="16"/>
                <w:lang w:eastAsia="lv-LV"/>
              </w:rPr>
              <w:t>199,65</w:t>
            </w:r>
          </w:p>
        </w:tc>
      </w:tr>
      <w:tr w:rsidR="00B75D0C" w:rsidRPr="00881D21" w14:paraId="36B892B6" w14:textId="77777777" w:rsidTr="002F3744">
        <w:trPr>
          <w:trHeight w:val="532"/>
        </w:trPr>
        <w:tc>
          <w:tcPr>
            <w:tcW w:w="1218" w:type="dxa"/>
            <w:tcBorders>
              <w:top w:val="nil"/>
              <w:left w:val="single" w:sz="4" w:space="0" w:color="auto"/>
              <w:bottom w:val="single" w:sz="4" w:space="0" w:color="auto"/>
              <w:right w:val="single" w:sz="4" w:space="0" w:color="auto"/>
            </w:tcBorders>
            <w:shd w:val="clear" w:color="auto" w:fill="auto"/>
            <w:vAlign w:val="center"/>
            <w:hideMark/>
          </w:tcPr>
          <w:p w14:paraId="71DEF3F5" w14:textId="77777777" w:rsidR="00B75D0C" w:rsidRPr="00881D21" w:rsidRDefault="00B75D0C" w:rsidP="002F3744">
            <w:pPr>
              <w:suppressAutoHyphens w:val="0"/>
              <w:spacing w:after="0" w:line="240" w:lineRule="auto"/>
              <w:rPr>
                <w:rFonts w:ascii="Cambria" w:eastAsia="Times New Roman" w:hAnsi="Cambria"/>
                <w:sz w:val="18"/>
                <w:szCs w:val="18"/>
                <w:lang w:eastAsia="lv-LV"/>
              </w:rPr>
            </w:pPr>
            <w:bookmarkStart w:id="21" w:name="_Hlk117779958"/>
            <w:r w:rsidRPr="00881D21">
              <w:rPr>
                <w:rFonts w:ascii="Cambria" w:eastAsia="Times New Roman" w:hAnsi="Cambria"/>
                <w:sz w:val="18"/>
                <w:szCs w:val="18"/>
                <w:lang w:eastAsia="lv-LV"/>
              </w:rPr>
              <w:t xml:space="preserve"> koksnes produkti</w:t>
            </w:r>
            <w:bookmarkEnd w:id="21"/>
          </w:p>
        </w:tc>
        <w:tc>
          <w:tcPr>
            <w:tcW w:w="829" w:type="dxa"/>
            <w:tcBorders>
              <w:top w:val="nil"/>
              <w:left w:val="nil"/>
              <w:bottom w:val="single" w:sz="4" w:space="0" w:color="auto"/>
              <w:right w:val="single" w:sz="4" w:space="0" w:color="auto"/>
            </w:tcBorders>
            <w:shd w:val="clear" w:color="auto" w:fill="auto"/>
            <w:noWrap/>
            <w:vAlign w:val="center"/>
            <w:hideMark/>
          </w:tcPr>
          <w:p w14:paraId="1141F538" w14:textId="53357EC9" w:rsidR="00B75D0C" w:rsidRPr="00FE2EEC" w:rsidRDefault="00FE2EEC" w:rsidP="002F3744">
            <w:pPr>
              <w:suppressAutoHyphens w:val="0"/>
              <w:spacing w:after="0" w:line="240" w:lineRule="auto"/>
              <w:jc w:val="center"/>
              <w:rPr>
                <w:rFonts w:ascii="Cambria" w:eastAsia="Times New Roman" w:hAnsi="Cambria"/>
                <w:sz w:val="14"/>
                <w:szCs w:val="14"/>
                <w:lang w:eastAsia="lv-LV"/>
              </w:rPr>
            </w:pPr>
            <w:r w:rsidRPr="00FE2EEC">
              <w:rPr>
                <w:rFonts w:ascii="Cambria" w:eastAsia="Times New Roman" w:hAnsi="Cambria"/>
                <w:sz w:val="14"/>
                <w:szCs w:val="14"/>
                <w:lang w:eastAsia="lv-LV"/>
              </w:rPr>
              <w:t>-</w:t>
            </w:r>
            <w:r w:rsidR="00B75D0C" w:rsidRPr="00FE2EEC">
              <w:rPr>
                <w:rFonts w:ascii="Cambria" w:eastAsia="Times New Roman" w:hAnsi="Cambria"/>
                <w:sz w:val="14"/>
                <w:szCs w:val="14"/>
                <w:lang w:eastAsia="lv-LV"/>
              </w:rPr>
              <w:t>1783,76</w:t>
            </w:r>
          </w:p>
          <w:p w14:paraId="2A691885"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p>
        </w:tc>
        <w:tc>
          <w:tcPr>
            <w:tcW w:w="829" w:type="dxa"/>
            <w:tcBorders>
              <w:top w:val="nil"/>
              <w:left w:val="nil"/>
              <w:bottom w:val="single" w:sz="4" w:space="0" w:color="auto"/>
              <w:right w:val="single" w:sz="4" w:space="0" w:color="auto"/>
            </w:tcBorders>
            <w:shd w:val="clear" w:color="auto" w:fill="auto"/>
            <w:noWrap/>
            <w:vAlign w:val="center"/>
          </w:tcPr>
          <w:p w14:paraId="1CDE827B"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r w:rsidRPr="00FE2EEC">
              <w:rPr>
                <w:rFonts w:ascii="Cambria" w:eastAsia="Times New Roman" w:hAnsi="Cambria"/>
                <w:sz w:val="14"/>
                <w:szCs w:val="14"/>
                <w:lang w:eastAsia="lv-LV"/>
              </w:rPr>
              <w:t>-1783,76</w:t>
            </w:r>
          </w:p>
        </w:tc>
        <w:tc>
          <w:tcPr>
            <w:tcW w:w="829" w:type="dxa"/>
            <w:tcBorders>
              <w:top w:val="nil"/>
              <w:left w:val="nil"/>
              <w:bottom w:val="single" w:sz="4" w:space="0" w:color="auto"/>
              <w:right w:val="single" w:sz="4" w:space="0" w:color="auto"/>
            </w:tcBorders>
            <w:shd w:val="clear" w:color="auto" w:fill="auto"/>
            <w:noWrap/>
            <w:vAlign w:val="center"/>
            <w:hideMark/>
          </w:tcPr>
          <w:p w14:paraId="1F406C32"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r w:rsidRPr="00FE2EEC">
              <w:rPr>
                <w:rFonts w:ascii="Cambria" w:eastAsia="Times New Roman" w:hAnsi="Cambria"/>
                <w:sz w:val="14"/>
                <w:szCs w:val="14"/>
                <w:lang w:eastAsia="lv-LV"/>
              </w:rPr>
              <w:t>-1742,76</w:t>
            </w:r>
          </w:p>
          <w:p w14:paraId="058386E5"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p>
        </w:tc>
        <w:tc>
          <w:tcPr>
            <w:tcW w:w="829" w:type="dxa"/>
            <w:tcBorders>
              <w:top w:val="nil"/>
              <w:left w:val="nil"/>
              <w:bottom w:val="single" w:sz="4" w:space="0" w:color="auto"/>
              <w:right w:val="single" w:sz="4" w:space="0" w:color="auto"/>
            </w:tcBorders>
            <w:shd w:val="clear" w:color="auto" w:fill="auto"/>
            <w:noWrap/>
            <w:vAlign w:val="center"/>
          </w:tcPr>
          <w:p w14:paraId="21DAB2AB"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r w:rsidRPr="00FE2EEC">
              <w:rPr>
                <w:rFonts w:ascii="Cambria" w:eastAsia="Times New Roman" w:hAnsi="Cambria"/>
                <w:sz w:val="14"/>
                <w:szCs w:val="14"/>
                <w:lang w:eastAsia="lv-LV"/>
              </w:rPr>
              <w:t>-1742,76</w:t>
            </w:r>
          </w:p>
        </w:tc>
        <w:tc>
          <w:tcPr>
            <w:tcW w:w="829" w:type="dxa"/>
            <w:tcBorders>
              <w:top w:val="nil"/>
              <w:left w:val="nil"/>
              <w:bottom w:val="single" w:sz="4" w:space="0" w:color="auto"/>
              <w:right w:val="single" w:sz="4" w:space="0" w:color="auto"/>
            </w:tcBorders>
            <w:shd w:val="clear" w:color="auto" w:fill="auto"/>
            <w:noWrap/>
            <w:vAlign w:val="center"/>
            <w:hideMark/>
          </w:tcPr>
          <w:p w14:paraId="5E051BCB"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r w:rsidRPr="00FE2EEC">
              <w:rPr>
                <w:rFonts w:ascii="Cambria" w:eastAsia="Times New Roman" w:hAnsi="Cambria"/>
                <w:sz w:val="14"/>
                <w:szCs w:val="14"/>
                <w:lang w:eastAsia="lv-LV"/>
              </w:rPr>
              <w:t>-1702,41</w:t>
            </w:r>
          </w:p>
          <w:p w14:paraId="05081424"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p>
        </w:tc>
        <w:tc>
          <w:tcPr>
            <w:tcW w:w="829" w:type="dxa"/>
            <w:tcBorders>
              <w:top w:val="nil"/>
              <w:left w:val="nil"/>
              <w:bottom w:val="single" w:sz="4" w:space="0" w:color="auto"/>
              <w:right w:val="single" w:sz="4" w:space="0" w:color="auto"/>
            </w:tcBorders>
            <w:shd w:val="clear" w:color="auto" w:fill="auto"/>
            <w:noWrap/>
            <w:vAlign w:val="center"/>
          </w:tcPr>
          <w:p w14:paraId="21F950F1"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r w:rsidRPr="00FE2EEC">
              <w:rPr>
                <w:rFonts w:ascii="Cambria" w:eastAsia="Times New Roman" w:hAnsi="Cambria"/>
                <w:sz w:val="14"/>
                <w:szCs w:val="14"/>
                <w:lang w:eastAsia="lv-LV"/>
              </w:rPr>
              <w:t>-1702,41</w:t>
            </w:r>
          </w:p>
        </w:tc>
        <w:tc>
          <w:tcPr>
            <w:tcW w:w="829" w:type="dxa"/>
            <w:tcBorders>
              <w:top w:val="nil"/>
              <w:left w:val="nil"/>
              <w:bottom w:val="single" w:sz="4" w:space="0" w:color="auto"/>
              <w:right w:val="single" w:sz="4" w:space="0" w:color="auto"/>
            </w:tcBorders>
            <w:shd w:val="clear" w:color="auto" w:fill="auto"/>
            <w:noWrap/>
            <w:vAlign w:val="center"/>
            <w:hideMark/>
          </w:tcPr>
          <w:p w14:paraId="74A2F94D"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r w:rsidRPr="00FE2EEC">
              <w:rPr>
                <w:rFonts w:ascii="Cambria" w:eastAsia="Times New Roman" w:hAnsi="Cambria"/>
                <w:sz w:val="14"/>
                <w:szCs w:val="14"/>
                <w:lang w:eastAsia="lv-LV"/>
              </w:rPr>
              <w:t>-1662,95</w:t>
            </w:r>
          </w:p>
          <w:p w14:paraId="2B42F151"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p>
        </w:tc>
        <w:tc>
          <w:tcPr>
            <w:tcW w:w="829" w:type="dxa"/>
            <w:tcBorders>
              <w:top w:val="nil"/>
              <w:left w:val="nil"/>
              <w:bottom w:val="single" w:sz="4" w:space="0" w:color="auto"/>
              <w:right w:val="single" w:sz="4" w:space="0" w:color="auto"/>
            </w:tcBorders>
            <w:shd w:val="clear" w:color="auto" w:fill="auto"/>
            <w:noWrap/>
            <w:vAlign w:val="center"/>
          </w:tcPr>
          <w:p w14:paraId="42306B18"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r w:rsidRPr="00FE2EEC">
              <w:rPr>
                <w:rFonts w:ascii="Cambria" w:eastAsia="Times New Roman" w:hAnsi="Cambria"/>
                <w:sz w:val="14"/>
                <w:szCs w:val="14"/>
                <w:lang w:eastAsia="lv-LV"/>
              </w:rPr>
              <w:t>-1662,95</w:t>
            </w:r>
          </w:p>
        </w:tc>
        <w:tc>
          <w:tcPr>
            <w:tcW w:w="829" w:type="dxa"/>
            <w:tcBorders>
              <w:top w:val="nil"/>
              <w:left w:val="nil"/>
              <w:bottom w:val="single" w:sz="4" w:space="0" w:color="auto"/>
              <w:right w:val="single" w:sz="4" w:space="0" w:color="auto"/>
            </w:tcBorders>
            <w:shd w:val="clear" w:color="auto" w:fill="auto"/>
            <w:noWrap/>
            <w:vAlign w:val="center"/>
            <w:hideMark/>
          </w:tcPr>
          <w:p w14:paraId="56895A2C"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r w:rsidRPr="00FE2EEC">
              <w:rPr>
                <w:rFonts w:ascii="Cambria" w:eastAsia="Times New Roman" w:hAnsi="Cambria"/>
                <w:b/>
                <w:bCs/>
                <w:sz w:val="14"/>
                <w:szCs w:val="14"/>
                <w:lang w:eastAsia="lv-LV"/>
              </w:rPr>
              <w:t>-1611,95</w:t>
            </w:r>
          </w:p>
          <w:p w14:paraId="6E553DBF"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p>
        </w:tc>
        <w:tc>
          <w:tcPr>
            <w:tcW w:w="1244" w:type="dxa"/>
            <w:tcBorders>
              <w:top w:val="nil"/>
              <w:left w:val="nil"/>
              <w:bottom w:val="single" w:sz="4" w:space="0" w:color="auto"/>
              <w:right w:val="single" w:sz="4" w:space="0" w:color="auto"/>
            </w:tcBorders>
            <w:shd w:val="clear" w:color="auto" w:fill="auto"/>
            <w:noWrap/>
            <w:vAlign w:val="center"/>
          </w:tcPr>
          <w:p w14:paraId="572EBA94" w14:textId="77777777" w:rsidR="00B75D0C" w:rsidRPr="00FE2EEC" w:rsidRDefault="00B75D0C" w:rsidP="002F3744">
            <w:pPr>
              <w:suppressAutoHyphens w:val="0"/>
              <w:spacing w:after="0" w:line="240" w:lineRule="auto"/>
              <w:jc w:val="center"/>
              <w:rPr>
                <w:rFonts w:ascii="Cambria" w:eastAsia="Times New Roman" w:hAnsi="Cambria"/>
                <w:sz w:val="14"/>
                <w:szCs w:val="14"/>
                <w:lang w:eastAsia="lv-LV"/>
              </w:rPr>
            </w:pPr>
            <w:r w:rsidRPr="00FE2EEC">
              <w:rPr>
                <w:rFonts w:ascii="Cambria" w:eastAsia="Times New Roman" w:hAnsi="Cambria"/>
                <w:b/>
                <w:bCs/>
                <w:sz w:val="14"/>
                <w:szCs w:val="14"/>
                <w:lang w:eastAsia="lv-LV"/>
              </w:rPr>
              <w:t>-1611,95</w:t>
            </w:r>
          </w:p>
        </w:tc>
      </w:tr>
      <w:tr w:rsidR="00B75D0C" w:rsidRPr="00881D21" w14:paraId="262019D3" w14:textId="77777777" w:rsidTr="002F3744">
        <w:trPr>
          <w:trHeight w:val="532"/>
        </w:trPr>
        <w:tc>
          <w:tcPr>
            <w:tcW w:w="1218" w:type="dxa"/>
            <w:tcBorders>
              <w:top w:val="single" w:sz="4" w:space="0" w:color="auto"/>
              <w:left w:val="single" w:sz="4" w:space="0" w:color="auto"/>
              <w:bottom w:val="single" w:sz="4" w:space="0" w:color="auto"/>
              <w:right w:val="single" w:sz="4" w:space="0" w:color="auto"/>
            </w:tcBorders>
            <w:shd w:val="clear" w:color="auto" w:fill="auto"/>
            <w:vAlign w:val="center"/>
          </w:tcPr>
          <w:p w14:paraId="61E12CE0" w14:textId="77777777" w:rsidR="00B75D0C" w:rsidRPr="00881D21" w:rsidRDefault="00B75D0C" w:rsidP="002F3744">
            <w:pPr>
              <w:suppressAutoHyphens w:val="0"/>
              <w:spacing w:after="0" w:line="240" w:lineRule="auto"/>
              <w:jc w:val="center"/>
              <w:rPr>
                <w:rFonts w:ascii="Cambria" w:eastAsia="Times New Roman" w:hAnsi="Cambria"/>
                <w:sz w:val="18"/>
                <w:szCs w:val="18"/>
              </w:rPr>
            </w:pPr>
          </w:p>
          <w:p w14:paraId="168388A3"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8"/>
                <w:szCs w:val="18"/>
              </w:rPr>
              <w:t xml:space="preserve">Neto SEG emisijas </w:t>
            </w:r>
            <w:proofErr w:type="spellStart"/>
            <w:r w:rsidRPr="00881D21">
              <w:rPr>
                <w:rFonts w:ascii="Cambria" w:eastAsia="Times New Roman" w:hAnsi="Cambria"/>
                <w:sz w:val="18"/>
                <w:szCs w:val="18"/>
              </w:rPr>
              <w:t>kt</w:t>
            </w:r>
            <w:proofErr w:type="spellEnd"/>
            <w:r w:rsidRPr="00881D21">
              <w:rPr>
                <w:rFonts w:ascii="Cambria" w:eastAsia="Times New Roman" w:hAnsi="Cambria"/>
                <w:sz w:val="18"/>
                <w:szCs w:val="18"/>
              </w:rPr>
              <w:t xml:space="preserve"> CO</w:t>
            </w:r>
            <w:r w:rsidRPr="00881D21">
              <w:rPr>
                <w:rFonts w:ascii="Cambria" w:eastAsia="Times New Roman" w:hAnsi="Cambria"/>
                <w:sz w:val="18"/>
                <w:szCs w:val="18"/>
                <w:vertAlign w:val="subscript"/>
              </w:rPr>
              <w:t>2</w:t>
            </w:r>
            <w:r w:rsidRPr="00881D21">
              <w:rPr>
                <w:rFonts w:ascii="Cambria" w:eastAsia="Times New Roman" w:hAnsi="Cambria"/>
                <w:sz w:val="18"/>
                <w:szCs w:val="18"/>
              </w:rPr>
              <w:t xml:space="preserve"> </w:t>
            </w:r>
            <w:proofErr w:type="spellStart"/>
            <w:r w:rsidRPr="00881D21">
              <w:rPr>
                <w:rFonts w:ascii="Cambria" w:eastAsia="Times New Roman" w:hAnsi="Cambria"/>
                <w:sz w:val="18"/>
                <w:szCs w:val="18"/>
              </w:rPr>
              <w:t>ekv</w:t>
            </w:r>
            <w:proofErr w:type="spellEnd"/>
            <w:r w:rsidRPr="00881D21">
              <w:rPr>
                <w:rFonts w:ascii="Cambria" w:eastAsia="Times New Roman" w:hAnsi="Cambria"/>
                <w:sz w:val="18"/>
                <w:szCs w:val="18"/>
              </w:rPr>
              <w:t>.</w:t>
            </w:r>
          </w:p>
        </w:tc>
        <w:tc>
          <w:tcPr>
            <w:tcW w:w="829" w:type="dxa"/>
            <w:tcBorders>
              <w:top w:val="single" w:sz="4" w:space="0" w:color="auto"/>
              <w:left w:val="nil"/>
              <w:bottom w:val="single" w:sz="4" w:space="0" w:color="auto"/>
              <w:right w:val="single" w:sz="4" w:space="0" w:color="auto"/>
            </w:tcBorders>
            <w:shd w:val="clear" w:color="auto" w:fill="auto"/>
            <w:noWrap/>
            <w:vAlign w:val="center"/>
          </w:tcPr>
          <w:p w14:paraId="4F1D80F9" w14:textId="77777777" w:rsidR="00B75D0C" w:rsidRPr="00881D21" w:rsidRDefault="00B75D0C" w:rsidP="002F3744">
            <w:pPr>
              <w:suppressAutoHyphens w:val="0"/>
              <w:spacing w:after="0" w:line="240" w:lineRule="auto"/>
              <w:jc w:val="center"/>
              <w:rPr>
                <w:rFonts w:ascii="Cambria" w:eastAsia="Times New Roman" w:hAnsi="Cambria"/>
                <w:sz w:val="16"/>
                <w:szCs w:val="16"/>
                <w:lang w:eastAsia="lv-LV"/>
              </w:rPr>
            </w:pPr>
            <w:r w:rsidRPr="00881D21">
              <w:rPr>
                <w:rFonts w:ascii="Cambria" w:eastAsia="Times New Roman" w:hAnsi="Cambria"/>
                <w:sz w:val="16"/>
                <w:szCs w:val="16"/>
                <w:lang w:eastAsia="lv-LV"/>
              </w:rPr>
              <w:t>2492,16</w:t>
            </w:r>
          </w:p>
        </w:tc>
        <w:tc>
          <w:tcPr>
            <w:tcW w:w="829" w:type="dxa"/>
            <w:tcBorders>
              <w:top w:val="single" w:sz="4" w:space="0" w:color="auto"/>
              <w:left w:val="nil"/>
              <w:bottom w:val="single" w:sz="4" w:space="0" w:color="auto"/>
              <w:right w:val="single" w:sz="4" w:space="0" w:color="auto"/>
            </w:tcBorders>
            <w:shd w:val="clear" w:color="auto" w:fill="auto"/>
            <w:noWrap/>
            <w:vAlign w:val="center"/>
          </w:tcPr>
          <w:p w14:paraId="39E9AD4B" w14:textId="77777777" w:rsidR="00B75D0C" w:rsidRPr="00881D21" w:rsidRDefault="00B75D0C" w:rsidP="002F3744">
            <w:pPr>
              <w:suppressAutoHyphens w:val="0"/>
              <w:spacing w:after="0" w:line="240" w:lineRule="auto"/>
              <w:jc w:val="center"/>
              <w:rPr>
                <w:rFonts w:ascii="Cambria" w:eastAsia="Times New Roman" w:hAnsi="Cambria"/>
                <w:sz w:val="18"/>
                <w:szCs w:val="18"/>
              </w:rPr>
            </w:pPr>
            <w:r w:rsidRPr="00881D21">
              <w:rPr>
                <w:rFonts w:ascii="Cambria" w:eastAsia="Times New Roman" w:hAnsi="Cambria"/>
                <w:sz w:val="16"/>
                <w:szCs w:val="16"/>
                <w:lang w:eastAsia="lv-LV"/>
              </w:rPr>
              <w:t>1895,36</w:t>
            </w:r>
          </w:p>
        </w:tc>
        <w:tc>
          <w:tcPr>
            <w:tcW w:w="829" w:type="dxa"/>
            <w:tcBorders>
              <w:top w:val="single" w:sz="4" w:space="0" w:color="auto"/>
              <w:left w:val="nil"/>
              <w:bottom w:val="single" w:sz="4" w:space="0" w:color="auto"/>
              <w:right w:val="single" w:sz="4" w:space="0" w:color="auto"/>
            </w:tcBorders>
            <w:shd w:val="clear" w:color="auto" w:fill="auto"/>
            <w:noWrap/>
            <w:vAlign w:val="center"/>
          </w:tcPr>
          <w:p w14:paraId="54A9F21B" w14:textId="77777777" w:rsidR="00B75D0C" w:rsidRPr="00881D21" w:rsidRDefault="00B75D0C" w:rsidP="002F3744">
            <w:pPr>
              <w:suppressAutoHyphens w:val="0"/>
              <w:spacing w:after="0" w:line="240" w:lineRule="auto"/>
              <w:jc w:val="center"/>
              <w:rPr>
                <w:rFonts w:ascii="Cambria" w:eastAsia="Times New Roman" w:hAnsi="Cambria"/>
                <w:sz w:val="18"/>
                <w:szCs w:val="18"/>
              </w:rPr>
            </w:pPr>
            <w:r w:rsidRPr="00881D21">
              <w:rPr>
                <w:rFonts w:ascii="Cambria" w:eastAsia="Times New Roman" w:hAnsi="Cambria"/>
                <w:sz w:val="16"/>
                <w:szCs w:val="16"/>
                <w:lang w:eastAsia="lv-LV"/>
              </w:rPr>
              <w:t>2892,60</w:t>
            </w:r>
          </w:p>
        </w:tc>
        <w:tc>
          <w:tcPr>
            <w:tcW w:w="829" w:type="dxa"/>
            <w:tcBorders>
              <w:top w:val="single" w:sz="4" w:space="0" w:color="auto"/>
              <w:left w:val="nil"/>
              <w:bottom w:val="single" w:sz="4" w:space="0" w:color="auto"/>
              <w:right w:val="single" w:sz="4" w:space="0" w:color="auto"/>
            </w:tcBorders>
            <w:shd w:val="clear" w:color="auto" w:fill="auto"/>
            <w:noWrap/>
            <w:vAlign w:val="center"/>
          </w:tcPr>
          <w:p w14:paraId="16B9EA2D"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6"/>
                <w:szCs w:val="16"/>
                <w:lang w:eastAsia="lv-LV"/>
              </w:rPr>
              <w:t>2155,84</w:t>
            </w:r>
          </w:p>
        </w:tc>
        <w:tc>
          <w:tcPr>
            <w:tcW w:w="829" w:type="dxa"/>
            <w:tcBorders>
              <w:top w:val="single" w:sz="4" w:space="0" w:color="auto"/>
              <w:left w:val="nil"/>
              <w:bottom w:val="single" w:sz="4" w:space="0" w:color="auto"/>
              <w:right w:val="single" w:sz="4" w:space="0" w:color="auto"/>
            </w:tcBorders>
            <w:shd w:val="clear" w:color="auto" w:fill="auto"/>
            <w:noWrap/>
            <w:vAlign w:val="center"/>
          </w:tcPr>
          <w:p w14:paraId="75597731" w14:textId="77777777" w:rsidR="00B75D0C" w:rsidRPr="00881D21" w:rsidRDefault="00B75D0C" w:rsidP="002F3744">
            <w:pPr>
              <w:suppressAutoHyphens w:val="0"/>
              <w:spacing w:after="0" w:line="240" w:lineRule="auto"/>
              <w:jc w:val="center"/>
              <w:rPr>
                <w:rFonts w:ascii="Cambria" w:eastAsia="Times New Roman" w:hAnsi="Cambria"/>
                <w:sz w:val="18"/>
                <w:szCs w:val="18"/>
              </w:rPr>
            </w:pPr>
            <w:r w:rsidRPr="00881D21">
              <w:rPr>
                <w:rFonts w:ascii="Cambria" w:eastAsia="Times New Roman" w:hAnsi="Cambria"/>
                <w:sz w:val="16"/>
                <w:szCs w:val="16"/>
                <w:lang w:eastAsia="lv-LV"/>
              </w:rPr>
              <w:t>3220,25</w:t>
            </w:r>
          </w:p>
        </w:tc>
        <w:tc>
          <w:tcPr>
            <w:tcW w:w="829" w:type="dxa"/>
            <w:tcBorders>
              <w:top w:val="single" w:sz="4" w:space="0" w:color="auto"/>
              <w:left w:val="nil"/>
              <w:bottom w:val="single" w:sz="4" w:space="0" w:color="auto"/>
              <w:right w:val="single" w:sz="4" w:space="0" w:color="auto"/>
            </w:tcBorders>
            <w:shd w:val="clear" w:color="auto" w:fill="auto"/>
            <w:noWrap/>
            <w:vAlign w:val="center"/>
          </w:tcPr>
          <w:p w14:paraId="043E9182"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6"/>
                <w:szCs w:val="16"/>
                <w:lang w:eastAsia="lv-LV"/>
              </w:rPr>
              <w:t>2484,65</w:t>
            </w:r>
          </w:p>
        </w:tc>
        <w:tc>
          <w:tcPr>
            <w:tcW w:w="829" w:type="dxa"/>
            <w:tcBorders>
              <w:top w:val="single" w:sz="4" w:space="0" w:color="auto"/>
              <w:left w:val="nil"/>
              <w:bottom w:val="single" w:sz="4" w:space="0" w:color="auto"/>
              <w:right w:val="single" w:sz="4" w:space="0" w:color="auto"/>
            </w:tcBorders>
            <w:shd w:val="clear" w:color="auto" w:fill="auto"/>
            <w:noWrap/>
            <w:vAlign w:val="center"/>
          </w:tcPr>
          <w:p w14:paraId="6F60E1B2" w14:textId="77777777" w:rsidR="00B75D0C" w:rsidRPr="00881D21" w:rsidRDefault="00B75D0C" w:rsidP="002F3744">
            <w:pPr>
              <w:suppressAutoHyphens w:val="0"/>
              <w:spacing w:after="0" w:line="240" w:lineRule="auto"/>
              <w:jc w:val="center"/>
              <w:rPr>
                <w:rFonts w:ascii="Cambria" w:eastAsia="Times New Roman" w:hAnsi="Cambria"/>
                <w:sz w:val="18"/>
                <w:szCs w:val="18"/>
              </w:rPr>
            </w:pPr>
            <w:r w:rsidRPr="00881D21">
              <w:rPr>
                <w:rFonts w:ascii="Cambria" w:eastAsia="Times New Roman" w:hAnsi="Cambria"/>
                <w:sz w:val="16"/>
                <w:szCs w:val="16"/>
                <w:lang w:eastAsia="lv-LV"/>
              </w:rPr>
              <w:t>3286,31</w:t>
            </w:r>
          </w:p>
        </w:tc>
        <w:tc>
          <w:tcPr>
            <w:tcW w:w="829" w:type="dxa"/>
            <w:tcBorders>
              <w:top w:val="single" w:sz="4" w:space="0" w:color="auto"/>
              <w:left w:val="nil"/>
              <w:bottom w:val="single" w:sz="4" w:space="0" w:color="auto"/>
              <w:right w:val="single" w:sz="4" w:space="0" w:color="auto"/>
            </w:tcBorders>
            <w:shd w:val="clear" w:color="auto" w:fill="auto"/>
            <w:noWrap/>
            <w:vAlign w:val="center"/>
          </w:tcPr>
          <w:p w14:paraId="72BF4FB7" w14:textId="77777777" w:rsidR="00B75D0C" w:rsidRPr="00881D21" w:rsidRDefault="00B75D0C" w:rsidP="002F3744">
            <w:pPr>
              <w:suppressAutoHyphens w:val="0"/>
              <w:spacing w:after="0" w:line="240" w:lineRule="auto"/>
              <w:jc w:val="center"/>
              <w:rPr>
                <w:rFonts w:ascii="Cambria" w:eastAsia="Times New Roman" w:hAnsi="Cambria"/>
                <w:sz w:val="18"/>
                <w:szCs w:val="18"/>
                <w:lang w:eastAsia="lv-LV"/>
              </w:rPr>
            </w:pPr>
            <w:r w:rsidRPr="00881D21">
              <w:rPr>
                <w:rFonts w:ascii="Cambria" w:eastAsia="Times New Roman" w:hAnsi="Cambria"/>
                <w:sz w:val="16"/>
                <w:szCs w:val="16"/>
                <w:lang w:eastAsia="lv-LV"/>
              </w:rPr>
              <w:t>2553,27</w:t>
            </w:r>
          </w:p>
        </w:tc>
        <w:tc>
          <w:tcPr>
            <w:tcW w:w="829" w:type="dxa"/>
            <w:tcBorders>
              <w:top w:val="single" w:sz="4" w:space="0" w:color="auto"/>
              <w:left w:val="nil"/>
              <w:bottom w:val="single" w:sz="4" w:space="0" w:color="auto"/>
              <w:right w:val="single" w:sz="4" w:space="0" w:color="auto"/>
            </w:tcBorders>
            <w:shd w:val="clear" w:color="auto" w:fill="auto"/>
            <w:noWrap/>
            <w:vAlign w:val="center"/>
          </w:tcPr>
          <w:p w14:paraId="3062089B" w14:textId="77777777" w:rsidR="00B75D0C" w:rsidRPr="00881D21" w:rsidRDefault="00B75D0C" w:rsidP="002F3744">
            <w:pPr>
              <w:suppressAutoHyphens w:val="0"/>
              <w:spacing w:after="0" w:line="240" w:lineRule="auto"/>
              <w:jc w:val="center"/>
              <w:rPr>
                <w:rFonts w:ascii="Cambria" w:eastAsia="Times New Roman" w:hAnsi="Cambria"/>
                <w:sz w:val="18"/>
                <w:szCs w:val="18"/>
              </w:rPr>
            </w:pPr>
            <w:r w:rsidRPr="00881D21">
              <w:rPr>
                <w:rFonts w:ascii="Cambria" w:eastAsia="Times New Roman" w:hAnsi="Cambria"/>
                <w:b/>
                <w:bCs/>
                <w:sz w:val="16"/>
                <w:szCs w:val="16"/>
                <w:lang w:eastAsia="lv-LV"/>
              </w:rPr>
              <w:t>3294,60</w:t>
            </w:r>
          </w:p>
        </w:tc>
        <w:tc>
          <w:tcPr>
            <w:tcW w:w="1244" w:type="dxa"/>
            <w:tcBorders>
              <w:top w:val="single" w:sz="4" w:space="0" w:color="auto"/>
              <w:left w:val="nil"/>
              <w:bottom w:val="single" w:sz="4" w:space="0" w:color="auto"/>
              <w:right w:val="single" w:sz="4" w:space="0" w:color="auto"/>
            </w:tcBorders>
            <w:shd w:val="clear" w:color="auto" w:fill="auto"/>
            <w:noWrap/>
            <w:vAlign w:val="center"/>
          </w:tcPr>
          <w:p w14:paraId="3BF0F627" w14:textId="77777777" w:rsidR="00B75D0C" w:rsidRPr="00881D21" w:rsidRDefault="00B75D0C" w:rsidP="002F3744">
            <w:pPr>
              <w:suppressAutoHyphens w:val="0"/>
              <w:spacing w:after="0" w:line="240" w:lineRule="auto"/>
              <w:jc w:val="center"/>
              <w:rPr>
                <w:rFonts w:ascii="Cambria" w:eastAsia="Times New Roman" w:hAnsi="Cambria"/>
                <w:sz w:val="18"/>
                <w:szCs w:val="18"/>
              </w:rPr>
            </w:pPr>
            <w:r w:rsidRPr="00881D21">
              <w:rPr>
                <w:rFonts w:ascii="Cambria" w:eastAsia="Times New Roman" w:hAnsi="Cambria"/>
                <w:b/>
                <w:bCs/>
                <w:sz w:val="16"/>
                <w:szCs w:val="16"/>
                <w:lang w:eastAsia="lv-LV"/>
              </w:rPr>
              <w:t>2563,90</w:t>
            </w:r>
          </w:p>
        </w:tc>
      </w:tr>
    </w:tbl>
    <w:p w14:paraId="388B7D75" w14:textId="77777777" w:rsidR="00B75D0C" w:rsidRPr="00881D21" w:rsidRDefault="00B75D0C" w:rsidP="00B75D0C">
      <w:pPr>
        <w:spacing w:before="120" w:after="120" w:line="240" w:lineRule="auto"/>
        <w:ind w:firstLine="567"/>
        <w:jc w:val="both"/>
        <w:rPr>
          <w:rFonts w:ascii="Cambria" w:hAnsi="Cambria"/>
          <w:bCs/>
          <w:sz w:val="24"/>
          <w:szCs w:val="24"/>
        </w:rPr>
      </w:pPr>
      <w:r w:rsidRPr="00881D21">
        <w:rPr>
          <w:rFonts w:ascii="Cambria" w:hAnsi="Cambria"/>
          <w:sz w:val="24"/>
          <w:szCs w:val="24"/>
        </w:rPr>
        <w:t>8. tabulā attēloto ikgadējo neto</w:t>
      </w:r>
      <w:r w:rsidRPr="00881D21">
        <w:rPr>
          <w:rStyle w:val="FootnoteReference"/>
          <w:rFonts w:ascii="Cambria" w:hAnsi="Cambria"/>
          <w:sz w:val="24"/>
          <w:szCs w:val="24"/>
        </w:rPr>
        <w:footnoteReference w:id="56"/>
      </w:r>
      <w:r w:rsidRPr="00881D21">
        <w:rPr>
          <w:rFonts w:ascii="Cambria" w:hAnsi="Cambria"/>
          <w:sz w:val="24"/>
          <w:szCs w:val="24"/>
        </w:rPr>
        <w:t xml:space="preserve"> SEG emisiju svārstību galvenais iemesls ir mežizstrādes apjoma izmaiņas, bet konstanta CO</w:t>
      </w:r>
      <w:r w:rsidRPr="00881D21">
        <w:rPr>
          <w:rFonts w:ascii="Cambria" w:hAnsi="Cambria"/>
          <w:sz w:val="24"/>
          <w:szCs w:val="24"/>
          <w:vertAlign w:val="subscript"/>
        </w:rPr>
        <w:t>2</w:t>
      </w:r>
      <w:r w:rsidRPr="00881D21">
        <w:rPr>
          <w:rFonts w:ascii="Cambria" w:hAnsi="Cambria"/>
          <w:sz w:val="24"/>
          <w:szCs w:val="24"/>
        </w:rPr>
        <w:t xml:space="preserve"> piesaistes samazinājuma iemesls ir CO</w:t>
      </w:r>
      <w:r w:rsidRPr="00881D21">
        <w:rPr>
          <w:rFonts w:ascii="Cambria" w:hAnsi="Cambria"/>
          <w:sz w:val="24"/>
          <w:szCs w:val="24"/>
          <w:vertAlign w:val="subscript"/>
        </w:rPr>
        <w:t>2</w:t>
      </w:r>
      <w:r w:rsidRPr="00881D21">
        <w:rPr>
          <w:rFonts w:ascii="Cambria" w:hAnsi="Cambria"/>
          <w:sz w:val="24"/>
          <w:szCs w:val="24"/>
        </w:rPr>
        <w:t xml:space="preserve"> piesaistes samazinājums koksnes produktos, stabilizējoties mežizstrādes apjomam.</w:t>
      </w:r>
    </w:p>
    <w:p w14:paraId="5A58C81F" w14:textId="77777777" w:rsidR="00B75D0C" w:rsidRPr="00881D21" w:rsidRDefault="00B75D0C" w:rsidP="00B75D0C">
      <w:pPr>
        <w:spacing w:before="120" w:after="120" w:line="240" w:lineRule="auto"/>
        <w:ind w:firstLine="567"/>
        <w:jc w:val="both"/>
        <w:rPr>
          <w:rFonts w:ascii="Cambria" w:hAnsi="Cambria"/>
          <w:sz w:val="24"/>
          <w:szCs w:val="24"/>
        </w:rPr>
      </w:pPr>
      <w:r w:rsidRPr="00881D21">
        <w:rPr>
          <w:rFonts w:ascii="Cambria" w:hAnsi="Cambria"/>
          <w:sz w:val="24"/>
          <w:szCs w:val="24"/>
        </w:rPr>
        <w:t xml:space="preserve">KEM kopā ar ZM ir noteikts izstrādāt un iesniegt izskatīšanai Ministru kabinetā informatīvo ziņojumu par ZIZIMM sektora virzību uz </w:t>
      </w:r>
      <w:proofErr w:type="spellStart"/>
      <w:r w:rsidRPr="00881D21">
        <w:rPr>
          <w:rFonts w:ascii="Cambria" w:hAnsi="Cambria"/>
          <w:sz w:val="24"/>
          <w:szCs w:val="24"/>
        </w:rPr>
        <w:t>klimatneitralitāti</w:t>
      </w:r>
      <w:proofErr w:type="spellEnd"/>
      <w:r w:rsidRPr="00881D21">
        <w:rPr>
          <w:rFonts w:ascii="Cambria" w:hAnsi="Cambria"/>
          <w:sz w:val="24"/>
          <w:szCs w:val="24"/>
        </w:rPr>
        <w:t xml:space="preserve"> (27.04.2021. MK sēdes protokols Nr.36. §28), tai skaitā jādefinē pasākumi un politikas arī 2030. gada mērķa izpildei - “Mērķa scenārijs”. Papildus Latvijai ir jānodrošina 2023. gada</w:t>
      </w:r>
      <w:r w:rsidRPr="00881D21">
        <w:rPr>
          <w:rFonts w:ascii="Cambria" w:hAnsi="Cambria"/>
        </w:rPr>
        <w:t xml:space="preserve"> </w:t>
      </w:r>
      <w:r w:rsidRPr="00881D21">
        <w:rPr>
          <w:rFonts w:ascii="Cambria" w:hAnsi="Cambria"/>
          <w:sz w:val="24"/>
          <w:szCs w:val="24"/>
        </w:rPr>
        <w:t>Nacionālā enerģētikas un klimata plāna projektā  EK sniegto rekomendāciju izpilde par ZIZIMM sektora lomas izpēti 2030. gada mērķu sasniegšanā.</w:t>
      </w:r>
      <w:r w:rsidRPr="00881D21">
        <w:rPr>
          <w:rStyle w:val="FootnoteReference"/>
          <w:rFonts w:ascii="Cambria" w:hAnsi="Cambria"/>
          <w:sz w:val="24"/>
          <w:szCs w:val="24"/>
        </w:rPr>
        <w:footnoteReference w:id="57"/>
      </w:r>
      <w:r w:rsidRPr="00881D21">
        <w:rPr>
          <w:rFonts w:ascii="Cambria" w:hAnsi="Cambria"/>
          <w:sz w:val="24"/>
          <w:szCs w:val="24"/>
        </w:rPr>
        <w:t xml:space="preserve"> </w:t>
      </w:r>
    </w:p>
    <w:p w14:paraId="1B022634" w14:textId="77777777" w:rsidR="00B75D0C" w:rsidRPr="00881D21" w:rsidRDefault="00B75D0C" w:rsidP="00B75D0C">
      <w:pPr>
        <w:spacing w:after="0" w:line="240" w:lineRule="auto"/>
        <w:rPr>
          <w:rFonts w:ascii="Cambria" w:hAnsi="Cambria"/>
          <w:bCs/>
          <w:sz w:val="24"/>
          <w:szCs w:val="24"/>
        </w:rPr>
      </w:pPr>
      <w:r w:rsidRPr="00881D21">
        <w:rPr>
          <w:rFonts w:ascii="Cambria" w:hAnsi="Cambria"/>
          <w:bCs/>
          <w:sz w:val="24"/>
          <w:szCs w:val="24"/>
        </w:rPr>
        <w:br w:type="page"/>
      </w:r>
    </w:p>
    <w:p w14:paraId="3C8063AB" w14:textId="77777777" w:rsidR="00B75D0C" w:rsidRPr="00881D21" w:rsidRDefault="00B75D0C" w:rsidP="00B75D0C">
      <w:pPr>
        <w:spacing w:before="120" w:after="120" w:line="240" w:lineRule="auto"/>
        <w:ind w:firstLine="567"/>
        <w:jc w:val="both"/>
        <w:rPr>
          <w:rFonts w:ascii="Cambria" w:hAnsi="Cambria"/>
          <w:bCs/>
          <w:sz w:val="24"/>
          <w:szCs w:val="24"/>
        </w:rPr>
      </w:pPr>
    </w:p>
    <w:p w14:paraId="569E8CAC" w14:textId="79EF3859" w:rsidR="00B75D0C" w:rsidRPr="00881D21" w:rsidRDefault="00764133" w:rsidP="00764133">
      <w:pPr>
        <w:pStyle w:val="Heading1"/>
        <w:ind w:left="360"/>
        <w:rPr>
          <w:rFonts w:ascii="Cambria" w:hAnsi="Cambria" w:cs="Times New Roman"/>
          <w:b/>
          <w:bCs/>
          <w:color w:val="006666"/>
          <w:sz w:val="28"/>
          <w:szCs w:val="28"/>
        </w:rPr>
      </w:pPr>
      <w:bookmarkStart w:id="22" w:name="_Hlk117807146"/>
      <w:bookmarkStart w:id="23" w:name="_Toc156999872"/>
      <w:r w:rsidRPr="00881D21">
        <w:rPr>
          <w:rFonts w:ascii="Cambria" w:hAnsi="Cambria" w:cs="Times New Roman"/>
          <w:b/>
          <w:bCs/>
          <w:color w:val="006666"/>
          <w:sz w:val="28"/>
          <w:szCs w:val="28"/>
        </w:rPr>
        <w:t>5</w:t>
      </w:r>
      <w:r w:rsidR="00B75D0C" w:rsidRPr="00881D21">
        <w:rPr>
          <w:rFonts w:ascii="Cambria" w:hAnsi="Cambria" w:cs="Times New Roman"/>
          <w:b/>
          <w:bCs/>
          <w:color w:val="006666"/>
          <w:sz w:val="28"/>
          <w:szCs w:val="28"/>
        </w:rPr>
        <w:t>. SECINĀJUMI</w:t>
      </w:r>
      <w:bookmarkEnd w:id="22"/>
      <w:bookmarkEnd w:id="23"/>
    </w:p>
    <w:p w14:paraId="1B879880" w14:textId="77777777" w:rsidR="00B75D0C" w:rsidRPr="00881D21" w:rsidRDefault="00B75D0C" w:rsidP="00881D21">
      <w:pPr>
        <w:pStyle w:val="ListParagraph"/>
        <w:numPr>
          <w:ilvl w:val="0"/>
          <w:numId w:val="15"/>
        </w:numPr>
        <w:spacing w:before="120" w:after="120" w:line="240" w:lineRule="auto"/>
        <w:ind w:left="426" w:hanging="426"/>
        <w:jc w:val="both"/>
        <w:rPr>
          <w:rFonts w:ascii="Cambria" w:hAnsi="Cambria"/>
          <w:sz w:val="24"/>
          <w:szCs w:val="24"/>
        </w:rPr>
      </w:pPr>
      <w:r w:rsidRPr="00881D21">
        <w:rPr>
          <w:rFonts w:ascii="Cambria" w:hAnsi="Cambria"/>
          <w:sz w:val="24"/>
          <w:szCs w:val="24"/>
        </w:rPr>
        <w:t xml:space="preserve">Latvijas īstermiņa un vidēja termiņa klimata politikas mērķu sasniegšanā, ir jāņem vērā gan ES, gan Latvijas noteikto ilgtermiņa mērķi: virzību uz </w:t>
      </w:r>
      <w:proofErr w:type="spellStart"/>
      <w:r w:rsidRPr="00881D21">
        <w:rPr>
          <w:rFonts w:ascii="Cambria" w:hAnsi="Cambria"/>
          <w:sz w:val="24"/>
          <w:szCs w:val="24"/>
        </w:rPr>
        <w:t>klimatneitralitāti</w:t>
      </w:r>
      <w:proofErr w:type="spellEnd"/>
      <w:r w:rsidRPr="00881D21">
        <w:rPr>
          <w:rFonts w:ascii="Cambria" w:hAnsi="Cambria"/>
          <w:sz w:val="24"/>
          <w:szCs w:val="24"/>
        </w:rPr>
        <w:t>.</w:t>
      </w:r>
    </w:p>
    <w:p w14:paraId="3BF21D33" w14:textId="77777777" w:rsidR="00B75D0C" w:rsidRPr="00881D21" w:rsidRDefault="00B75D0C" w:rsidP="00881D21">
      <w:pPr>
        <w:pStyle w:val="ListParagraph"/>
        <w:numPr>
          <w:ilvl w:val="0"/>
          <w:numId w:val="15"/>
        </w:numPr>
        <w:spacing w:before="120" w:after="120" w:line="240" w:lineRule="auto"/>
        <w:ind w:left="426" w:hanging="426"/>
        <w:jc w:val="both"/>
        <w:rPr>
          <w:rFonts w:ascii="Cambria" w:hAnsi="Cambria"/>
          <w:sz w:val="24"/>
          <w:szCs w:val="24"/>
        </w:rPr>
      </w:pPr>
      <w:r w:rsidRPr="00881D21">
        <w:rPr>
          <w:rFonts w:ascii="Cambria" w:hAnsi="Cambria"/>
          <w:b/>
          <w:bCs/>
          <w:sz w:val="24"/>
          <w:szCs w:val="24"/>
        </w:rPr>
        <w:t>Latvijai saistību izpilde ne-ETS sektoram un ZIZIMM sektoram par periodu 2021. – 2025. gads būs jānodrošina 2027. gadā</w:t>
      </w:r>
      <w:r w:rsidRPr="00881D21">
        <w:rPr>
          <w:rFonts w:ascii="Cambria" w:hAnsi="Cambria"/>
          <w:sz w:val="24"/>
          <w:szCs w:val="24"/>
        </w:rPr>
        <w:t xml:space="preserve">, bet par periodu </w:t>
      </w:r>
      <w:r w:rsidRPr="00881D21">
        <w:rPr>
          <w:rFonts w:ascii="Cambria" w:hAnsi="Cambria"/>
          <w:b/>
          <w:bCs/>
          <w:sz w:val="24"/>
          <w:szCs w:val="24"/>
        </w:rPr>
        <w:t>2026. – 2030. gads 2032. gadā</w:t>
      </w:r>
      <w:r w:rsidRPr="00881D21">
        <w:rPr>
          <w:rFonts w:ascii="Cambria" w:hAnsi="Cambria"/>
          <w:sz w:val="24"/>
          <w:szCs w:val="24"/>
        </w:rPr>
        <w:t xml:space="preserve"> balstoties uz iesniegtām un pārbaudītām SEG inventarizācijām. Līdz tam, katru gadu jāatskaitās EK par progresu noteikto SEG mērķu izpildē. EK sagatavo ikgadējo </w:t>
      </w:r>
      <w:proofErr w:type="spellStart"/>
      <w:r w:rsidRPr="00881D21">
        <w:rPr>
          <w:rFonts w:ascii="Cambria" w:hAnsi="Cambria"/>
          <w:sz w:val="24"/>
          <w:szCs w:val="24"/>
        </w:rPr>
        <w:t>izvērtējumu</w:t>
      </w:r>
      <w:proofErr w:type="spellEnd"/>
      <w:r w:rsidRPr="00881D21">
        <w:rPr>
          <w:rFonts w:ascii="Cambria" w:hAnsi="Cambria"/>
          <w:sz w:val="24"/>
          <w:szCs w:val="24"/>
        </w:rPr>
        <w:t xml:space="preserve"> par dalībvalstu virzību uz noteikto mērķu izpildi.</w:t>
      </w:r>
    </w:p>
    <w:p w14:paraId="5256F7EE" w14:textId="4EDBCCBA" w:rsidR="00B75D0C" w:rsidRPr="00881D21" w:rsidRDefault="00B75D0C" w:rsidP="00881D21">
      <w:pPr>
        <w:pStyle w:val="ListParagraph"/>
        <w:numPr>
          <w:ilvl w:val="0"/>
          <w:numId w:val="15"/>
        </w:numPr>
        <w:spacing w:before="120" w:after="120" w:line="240" w:lineRule="auto"/>
        <w:ind w:left="426" w:hanging="426"/>
        <w:jc w:val="both"/>
        <w:rPr>
          <w:rFonts w:ascii="Cambria" w:hAnsi="Cambria"/>
          <w:sz w:val="24"/>
          <w:szCs w:val="24"/>
        </w:rPr>
      </w:pPr>
      <w:r w:rsidRPr="00881D21">
        <w:rPr>
          <w:rFonts w:ascii="Cambria" w:hAnsi="Cambria"/>
          <w:b/>
          <w:bCs/>
          <w:sz w:val="24"/>
          <w:szCs w:val="24"/>
        </w:rPr>
        <w:t>Līdz 2024. gada beigām</w:t>
      </w:r>
      <w:r w:rsidRPr="00881D21">
        <w:rPr>
          <w:rFonts w:ascii="Cambria" w:hAnsi="Cambria"/>
          <w:sz w:val="24"/>
          <w:szCs w:val="24"/>
        </w:rPr>
        <w:t xml:space="preserve"> Latvijai jāiesniedz ANO Vispārējās konvencijas par klimata pārmaiņām un tās Parīzes nolīguma ietvaros pirmais </w:t>
      </w:r>
      <w:r w:rsidR="00611121" w:rsidRPr="00881D21">
        <w:rPr>
          <w:rFonts w:ascii="Cambria" w:hAnsi="Cambria"/>
          <w:sz w:val="24"/>
          <w:szCs w:val="24"/>
        </w:rPr>
        <w:t xml:space="preserve">divgadu </w:t>
      </w:r>
      <w:r w:rsidR="006C4B0F" w:rsidRPr="00881D21">
        <w:rPr>
          <w:rFonts w:ascii="Cambria" w:hAnsi="Cambria"/>
          <w:sz w:val="24"/>
          <w:szCs w:val="24"/>
        </w:rPr>
        <w:t>pārskatāmības</w:t>
      </w:r>
      <w:r w:rsidRPr="00881D21">
        <w:rPr>
          <w:rFonts w:ascii="Cambria" w:hAnsi="Cambria"/>
          <w:sz w:val="24"/>
          <w:szCs w:val="24"/>
        </w:rPr>
        <w:t xml:space="preserve"> ziņojums</w:t>
      </w:r>
      <w:r w:rsidR="006C4B0F" w:rsidRPr="00881D21">
        <w:rPr>
          <w:rFonts w:ascii="Cambria" w:hAnsi="Cambria"/>
          <w:sz w:val="24"/>
          <w:szCs w:val="24"/>
        </w:rPr>
        <w:t xml:space="preserve"> (</w:t>
      </w:r>
      <w:proofErr w:type="spellStart"/>
      <w:r w:rsidR="005C69DC">
        <w:rPr>
          <w:rFonts w:ascii="Cambria" w:hAnsi="Cambria"/>
          <w:i/>
          <w:iCs/>
          <w:sz w:val="24"/>
          <w:szCs w:val="24"/>
        </w:rPr>
        <w:t>B</w:t>
      </w:r>
      <w:r w:rsidR="006C4B0F" w:rsidRPr="00881D21">
        <w:rPr>
          <w:rFonts w:ascii="Cambria" w:hAnsi="Cambria"/>
          <w:i/>
          <w:iCs/>
          <w:sz w:val="24"/>
          <w:szCs w:val="24"/>
        </w:rPr>
        <w:t>iennial</w:t>
      </w:r>
      <w:proofErr w:type="spellEnd"/>
      <w:r w:rsidR="006C4B0F" w:rsidRPr="00881D21">
        <w:rPr>
          <w:rFonts w:ascii="Cambria" w:hAnsi="Cambria"/>
          <w:i/>
          <w:iCs/>
          <w:sz w:val="24"/>
          <w:szCs w:val="24"/>
        </w:rPr>
        <w:t xml:space="preserve"> </w:t>
      </w:r>
      <w:proofErr w:type="spellStart"/>
      <w:r w:rsidR="006C4B0F" w:rsidRPr="00881D21">
        <w:rPr>
          <w:rFonts w:ascii="Cambria" w:hAnsi="Cambria"/>
          <w:i/>
          <w:iCs/>
          <w:sz w:val="24"/>
          <w:szCs w:val="24"/>
        </w:rPr>
        <w:t>transparency</w:t>
      </w:r>
      <w:proofErr w:type="spellEnd"/>
      <w:r w:rsidR="006C4B0F" w:rsidRPr="00881D21">
        <w:rPr>
          <w:rFonts w:ascii="Cambria" w:hAnsi="Cambria"/>
          <w:i/>
          <w:iCs/>
          <w:sz w:val="24"/>
          <w:szCs w:val="24"/>
        </w:rPr>
        <w:t xml:space="preserve"> </w:t>
      </w:r>
      <w:proofErr w:type="spellStart"/>
      <w:r w:rsidR="006C4B0F" w:rsidRPr="00881D21">
        <w:rPr>
          <w:rFonts w:ascii="Cambria" w:hAnsi="Cambria"/>
          <w:i/>
          <w:iCs/>
          <w:sz w:val="24"/>
          <w:szCs w:val="24"/>
        </w:rPr>
        <w:t>report</w:t>
      </w:r>
      <w:proofErr w:type="spellEnd"/>
      <w:r w:rsidR="006C4B0F" w:rsidRPr="00881D21">
        <w:rPr>
          <w:rFonts w:ascii="Cambria" w:hAnsi="Cambria"/>
          <w:sz w:val="24"/>
          <w:szCs w:val="24"/>
        </w:rPr>
        <w:t>)</w:t>
      </w:r>
      <w:r w:rsidRPr="00881D21">
        <w:rPr>
          <w:rFonts w:ascii="Cambria" w:hAnsi="Cambria"/>
          <w:sz w:val="24"/>
          <w:szCs w:val="24"/>
        </w:rPr>
        <w:t>, kura ietvaros jāatspoguļo progress virzībā uz noteikto mērķu izpildi.</w:t>
      </w:r>
    </w:p>
    <w:p w14:paraId="6D724D75" w14:textId="77777777" w:rsidR="00B75D0C" w:rsidRPr="00881D21" w:rsidRDefault="00B75D0C" w:rsidP="00881D21">
      <w:pPr>
        <w:pStyle w:val="ListParagraph"/>
        <w:numPr>
          <w:ilvl w:val="0"/>
          <w:numId w:val="15"/>
        </w:numPr>
        <w:spacing w:before="120" w:after="120" w:line="240" w:lineRule="auto"/>
        <w:ind w:left="426" w:hanging="426"/>
        <w:jc w:val="both"/>
        <w:rPr>
          <w:rFonts w:ascii="Cambria" w:hAnsi="Cambria"/>
          <w:sz w:val="24"/>
          <w:szCs w:val="24"/>
        </w:rPr>
      </w:pPr>
      <w:r w:rsidRPr="00881D21">
        <w:rPr>
          <w:rFonts w:ascii="Cambria" w:hAnsi="Cambria"/>
          <w:sz w:val="24"/>
          <w:szCs w:val="24"/>
        </w:rPr>
        <w:t>Pamatojoties uz 2023. gada SEG inventarizāciju</w:t>
      </w:r>
      <w:r w:rsidRPr="00881D21">
        <w:rPr>
          <w:rFonts w:ascii="Cambria" w:hAnsi="Cambria"/>
          <w:b/>
          <w:bCs/>
          <w:sz w:val="24"/>
          <w:szCs w:val="24"/>
        </w:rPr>
        <w:t xml:space="preserve">, Latvija sasniegs ne-ETS sektora noteikto mērķi 2021. gadam </w:t>
      </w:r>
      <w:r w:rsidRPr="00881D21">
        <w:rPr>
          <w:rFonts w:ascii="Cambria" w:hAnsi="Cambria"/>
          <w:sz w:val="24"/>
          <w:szCs w:val="24"/>
        </w:rPr>
        <w:t xml:space="preserve">10649,5 </w:t>
      </w:r>
      <w:proofErr w:type="spellStart"/>
      <w:r w:rsidRPr="00881D21">
        <w:rPr>
          <w:rFonts w:ascii="Cambria" w:hAnsi="Cambria"/>
          <w:sz w:val="24"/>
          <w:szCs w:val="24"/>
        </w:rPr>
        <w:t>kt</w:t>
      </w:r>
      <w:proofErr w:type="spellEnd"/>
      <w:r w:rsidRPr="00881D21">
        <w:rPr>
          <w:rFonts w:ascii="Cambria" w:hAnsi="Cambria"/>
          <w:sz w:val="24"/>
          <w:szCs w:val="24"/>
        </w:rPr>
        <w:t xml:space="preserve"> CO</w:t>
      </w:r>
      <w:r w:rsidRPr="00881D21">
        <w:rPr>
          <w:rFonts w:ascii="Cambria" w:hAnsi="Cambria"/>
          <w:sz w:val="24"/>
          <w:szCs w:val="24"/>
          <w:vertAlign w:val="subscript"/>
        </w:rPr>
        <w:t>2</w:t>
      </w:r>
      <w:r w:rsidRPr="00881D21">
        <w:rPr>
          <w:rFonts w:ascii="Cambria" w:hAnsi="Cambria"/>
          <w:sz w:val="24"/>
          <w:szCs w:val="24"/>
        </w:rPr>
        <w:t xml:space="preserve"> </w:t>
      </w:r>
      <w:proofErr w:type="spellStart"/>
      <w:r w:rsidRPr="00881D21">
        <w:rPr>
          <w:rFonts w:ascii="Cambria" w:hAnsi="Cambria"/>
          <w:sz w:val="24"/>
          <w:szCs w:val="24"/>
        </w:rPr>
        <w:t>ekv</w:t>
      </w:r>
      <w:proofErr w:type="spellEnd"/>
      <w:r w:rsidRPr="00881D21">
        <w:rPr>
          <w:rFonts w:ascii="Cambria" w:hAnsi="Cambria"/>
          <w:sz w:val="24"/>
          <w:szCs w:val="24"/>
        </w:rPr>
        <w:t>.</w:t>
      </w:r>
    </w:p>
    <w:p w14:paraId="55128633" w14:textId="77777777" w:rsidR="00B75D0C" w:rsidRPr="00881D21" w:rsidRDefault="00B75D0C" w:rsidP="00881D21">
      <w:pPr>
        <w:pStyle w:val="ListParagraph"/>
        <w:numPr>
          <w:ilvl w:val="0"/>
          <w:numId w:val="15"/>
        </w:numPr>
        <w:spacing w:before="120" w:after="120" w:line="240" w:lineRule="auto"/>
        <w:ind w:left="426" w:hanging="426"/>
        <w:jc w:val="both"/>
        <w:rPr>
          <w:rFonts w:ascii="Cambria" w:hAnsi="Cambria"/>
          <w:sz w:val="24"/>
          <w:szCs w:val="24"/>
        </w:rPr>
      </w:pPr>
      <w:r w:rsidRPr="00881D21">
        <w:rPr>
          <w:rFonts w:ascii="Cambria" w:hAnsi="Cambria"/>
          <w:sz w:val="24"/>
          <w:szCs w:val="24"/>
        </w:rPr>
        <w:t xml:space="preserve">Saskaņā ar 2023. gada ziņojumu par politikām, pasākumiem un SEG prognozēm,  Latvija </w:t>
      </w:r>
      <w:r w:rsidRPr="00881D21">
        <w:rPr>
          <w:rFonts w:ascii="Cambria" w:hAnsi="Cambria"/>
          <w:b/>
          <w:bCs/>
          <w:sz w:val="24"/>
          <w:szCs w:val="24"/>
        </w:rPr>
        <w:t>2030. gada ne-ETS SEG emisiju samazinājuma mērķi -17 % salīdzinājumā ar 2005. gadu nevarēs sasniegt</w:t>
      </w:r>
      <w:r w:rsidRPr="00881D21">
        <w:rPr>
          <w:rFonts w:ascii="Cambria" w:hAnsi="Cambria"/>
          <w:sz w:val="24"/>
          <w:szCs w:val="24"/>
        </w:rPr>
        <w:t xml:space="preserve"> ne scenārijā ar esošajiem pasākumiem (WEM) -7%, ne arī scenārijā ar papildus pasākumiem (WAM) -8%:</w:t>
      </w:r>
    </w:p>
    <w:p w14:paraId="42B346BE" w14:textId="582D2ACD" w:rsidR="00B75D0C" w:rsidRPr="00881D21" w:rsidRDefault="00B75D0C" w:rsidP="00881D21">
      <w:pPr>
        <w:pStyle w:val="ListParagraph"/>
        <w:numPr>
          <w:ilvl w:val="0"/>
          <w:numId w:val="22"/>
        </w:numPr>
        <w:spacing w:before="120" w:after="120" w:line="240" w:lineRule="auto"/>
        <w:ind w:left="851" w:hanging="426"/>
        <w:jc w:val="both"/>
        <w:rPr>
          <w:rFonts w:ascii="Cambria" w:hAnsi="Cambria"/>
          <w:sz w:val="24"/>
          <w:szCs w:val="24"/>
        </w:rPr>
      </w:pPr>
      <w:r w:rsidRPr="00881D21">
        <w:rPr>
          <w:rFonts w:ascii="Cambria" w:hAnsi="Cambria"/>
          <w:sz w:val="24"/>
          <w:szCs w:val="24"/>
        </w:rPr>
        <w:t>sākot no 2024.gada WEM un WAM scenārijā netiks izpildīts ne-ETS sektora SEG emisiju mērķis bez papildu elastīb</w:t>
      </w:r>
      <w:r w:rsidR="00B95F42" w:rsidRPr="00881D21">
        <w:rPr>
          <w:rFonts w:ascii="Cambria" w:hAnsi="Cambria"/>
          <w:sz w:val="24"/>
          <w:szCs w:val="24"/>
        </w:rPr>
        <w:t>u piemē</w:t>
      </w:r>
      <w:r w:rsidR="000E42DB" w:rsidRPr="00881D21">
        <w:rPr>
          <w:rFonts w:ascii="Cambria" w:hAnsi="Cambria"/>
          <w:sz w:val="24"/>
          <w:szCs w:val="24"/>
        </w:rPr>
        <w:t>rošanas</w:t>
      </w:r>
      <w:r w:rsidRPr="00881D21">
        <w:rPr>
          <w:rFonts w:ascii="Cambria" w:hAnsi="Cambria"/>
          <w:sz w:val="24"/>
          <w:szCs w:val="24"/>
        </w:rPr>
        <w:t>;</w:t>
      </w:r>
    </w:p>
    <w:p w14:paraId="72ADB64B" w14:textId="77777777" w:rsidR="00B75D0C" w:rsidRPr="00881D21" w:rsidRDefault="00B75D0C" w:rsidP="00881D21">
      <w:pPr>
        <w:pStyle w:val="ListParagraph"/>
        <w:numPr>
          <w:ilvl w:val="0"/>
          <w:numId w:val="22"/>
        </w:numPr>
        <w:spacing w:before="120" w:after="120" w:line="240" w:lineRule="auto"/>
        <w:ind w:left="851" w:hanging="426"/>
        <w:jc w:val="both"/>
        <w:rPr>
          <w:rFonts w:ascii="Cambria" w:hAnsi="Cambria"/>
          <w:sz w:val="24"/>
          <w:szCs w:val="24"/>
        </w:rPr>
      </w:pPr>
      <w:r w:rsidRPr="00881D21">
        <w:rPr>
          <w:rFonts w:ascii="Cambria" w:hAnsi="Cambria"/>
          <w:b/>
          <w:bCs/>
          <w:sz w:val="24"/>
          <w:szCs w:val="24"/>
        </w:rPr>
        <w:t>periodā 2021. - 2025. gads Latvija kopumā izpildīs ZIZIMM uzskaites kategoriju mērķi,</w:t>
      </w:r>
      <w:r w:rsidRPr="00881D21">
        <w:rPr>
          <w:rFonts w:ascii="Cambria" w:hAnsi="Cambria"/>
          <w:sz w:val="24"/>
          <w:szCs w:val="24"/>
        </w:rPr>
        <w:t xml:space="preserve"> galvenokārt tādēļ, ka SEG emisijas aramzemēs samazināsies un plānots, ka pieaugs CO</w:t>
      </w:r>
      <w:r w:rsidRPr="00881D21">
        <w:rPr>
          <w:rFonts w:ascii="Cambria" w:hAnsi="Cambria"/>
          <w:sz w:val="24"/>
          <w:szCs w:val="24"/>
          <w:vertAlign w:val="subscript"/>
        </w:rPr>
        <w:t>2</w:t>
      </w:r>
      <w:r w:rsidRPr="00881D21">
        <w:rPr>
          <w:rFonts w:ascii="Cambria" w:hAnsi="Cambria"/>
          <w:sz w:val="24"/>
          <w:szCs w:val="24"/>
        </w:rPr>
        <w:t xml:space="preserve"> piesaiste meža zemēs pret prognozēto mežsaimniecības references līmeni saistībā ar </w:t>
      </w:r>
      <w:r w:rsidRPr="00881D21">
        <w:rPr>
          <w:rFonts w:ascii="Cambria" w:hAnsi="Cambria"/>
          <w:b/>
          <w:bCs/>
          <w:sz w:val="24"/>
          <w:szCs w:val="24"/>
        </w:rPr>
        <w:t>prognozēto</w:t>
      </w:r>
      <w:r w:rsidRPr="00881D21">
        <w:rPr>
          <w:rFonts w:ascii="Cambria" w:hAnsi="Cambria"/>
          <w:sz w:val="24"/>
          <w:szCs w:val="24"/>
        </w:rPr>
        <w:t xml:space="preserve"> koksnes resursu izmantošanas efektivitāti un intensitāti. </w:t>
      </w:r>
    </w:p>
    <w:p w14:paraId="0D376232" w14:textId="77777777" w:rsidR="00B75D0C" w:rsidRPr="00881D21" w:rsidRDefault="00B75D0C" w:rsidP="00881D21">
      <w:pPr>
        <w:pStyle w:val="ListParagraph"/>
        <w:numPr>
          <w:ilvl w:val="0"/>
          <w:numId w:val="22"/>
        </w:numPr>
        <w:spacing w:before="120" w:after="120" w:line="240" w:lineRule="auto"/>
        <w:ind w:left="851" w:hanging="426"/>
        <w:jc w:val="both"/>
        <w:rPr>
          <w:rFonts w:ascii="Cambria" w:hAnsi="Cambria"/>
          <w:sz w:val="24"/>
          <w:szCs w:val="24"/>
        </w:rPr>
      </w:pPr>
      <w:r w:rsidRPr="00881D21">
        <w:rPr>
          <w:rFonts w:ascii="Cambria" w:hAnsi="Cambria"/>
          <w:b/>
          <w:bCs/>
          <w:sz w:val="24"/>
          <w:szCs w:val="24"/>
        </w:rPr>
        <w:t xml:space="preserve">2026. - 2030. gada periodā Latvija neizpildīs gan indikatīvo ZIZIMM ziņošanas kategoriju mērķi -644 </w:t>
      </w:r>
      <w:proofErr w:type="spellStart"/>
      <w:r w:rsidRPr="00881D21">
        <w:rPr>
          <w:rFonts w:ascii="Cambria" w:hAnsi="Cambria"/>
          <w:b/>
          <w:bCs/>
          <w:sz w:val="24"/>
          <w:szCs w:val="24"/>
        </w:rPr>
        <w:t>kt</w:t>
      </w:r>
      <w:proofErr w:type="spellEnd"/>
      <w:r w:rsidRPr="00881D21">
        <w:rPr>
          <w:rFonts w:ascii="Cambria" w:hAnsi="Cambria"/>
          <w:b/>
          <w:bCs/>
          <w:sz w:val="24"/>
          <w:szCs w:val="24"/>
        </w:rPr>
        <w:t xml:space="preserve"> CO</w:t>
      </w:r>
      <w:r w:rsidRPr="00881D21">
        <w:rPr>
          <w:rFonts w:ascii="Cambria" w:hAnsi="Cambria"/>
          <w:b/>
          <w:bCs/>
          <w:sz w:val="24"/>
          <w:szCs w:val="24"/>
          <w:vertAlign w:val="subscript"/>
        </w:rPr>
        <w:t>2</w:t>
      </w:r>
      <w:r w:rsidRPr="00881D21">
        <w:rPr>
          <w:rFonts w:ascii="Cambria" w:hAnsi="Cambria"/>
          <w:b/>
          <w:bCs/>
          <w:sz w:val="24"/>
          <w:szCs w:val="24"/>
        </w:rPr>
        <w:t xml:space="preserve"> </w:t>
      </w:r>
      <w:proofErr w:type="spellStart"/>
      <w:r w:rsidRPr="00881D21">
        <w:rPr>
          <w:rFonts w:ascii="Cambria" w:hAnsi="Cambria"/>
          <w:b/>
          <w:bCs/>
          <w:sz w:val="24"/>
          <w:szCs w:val="24"/>
        </w:rPr>
        <w:t>ekv</w:t>
      </w:r>
      <w:proofErr w:type="spellEnd"/>
      <w:r w:rsidRPr="00881D21">
        <w:rPr>
          <w:rFonts w:ascii="Cambria" w:hAnsi="Cambria"/>
          <w:b/>
          <w:bCs/>
          <w:sz w:val="24"/>
          <w:szCs w:val="24"/>
          <w:u w:val="single"/>
        </w:rPr>
        <w:t>.</w:t>
      </w:r>
      <w:r w:rsidRPr="00881D21">
        <w:rPr>
          <w:rFonts w:ascii="Cambria" w:hAnsi="Cambria"/>
          <w:b/>
          <w:bCs/>
          <w:sz w:val="24"/>
          <w:szCs w:val="24"/>
        </w:rPr>
        <w:t xml:space="preserve">, gan indikatīvo  mērķi  kāds tas būtu pēc 2023.gada SEG inventarizācijas -2433,7 </w:t>
      </w:r>
      <w:proofErr w:type="spellStart"/>
      <w:r w:rsidRPr="00881D21">
        <w:rPr>
          <w:rFonts w:ascii="Cambria" w:hAnsi="Cambria"/>
          <w:b/>
          <w:bCs/>
          <w:sz w:val="24"/>
          <w:szCs w:val="24"/>
        </w:rPr>
        <w:t>kt</w:t>
      </w:r>
      <w:proofErr w:type="spellEnd"/>
      <w:r w:rsidRPr="00881D21">
        <w:rPr>
          <w:rFonts w:ascii="Cambria" w:hAnsi="Cambria"/>
          <w:b/>
          <w:bCs/>
          <w:sz w:val="24"/>
          <w:szCs w:val="24"/>
        </w:rPr>
        <w:t xml:space="preserve"> CO</w:t>
      </w:r>
      <w:r w:rsidRPr="00881D21">
        <w:rPr>
          <w:rFonts w:ascii="Cambria" w:hAnsi="Cambria"/>
          <w:b/>
          <w:bCs/>
          <w:sz w:val="24"/>
          <w:szCs w:val="24"/>
          <w:vertAlign w:val="subscript"/>
        </w:rPr>
        <w:t>2</w:t>
      </w:r>
      <w:r w:rsidRPr="00881D21">
        <w:rPr>
          <w:rFonts w:ascii="Cambria" w:hAnsi="Cambria"/>
          <w:b/>
          <w:bCs/>
          <w:sz w:val="24"/>
          <w:szCs w:val="24"/>
        </w:rPr>
        <w:t xml:space="preserve"> </w:t>
      </w:r>
      <w:proofErr w:type="spellStart"/>
      <w:r w:rsidRPr="00881D21">
        <w:rPr>
          <w:rFonts w:ascii="Cambria" w:hAnsi="Cambria"/>
          <w:b/>
          <w:bCs/>
          <w:sz w:val="24"/>
          <w:szCs w:val="24"/>
        </w:rPr>
        <w:t>ekv</w:t>
      </w:r>
      <w:proofErr w:type="spellEnd"/>
      <w:r w:rsidRPr="00881D21">
        <w:rPr>
          <w:rFonts w:ascii="Cambria" w:hAnsi="Cambria"/>
          <w:b/>
          <w:bCs/>
          <w:sz w:val="24"/>
          <w:szCs w:val="24"/>
        </w:rPr>
        <w:t>.</w:t>
      </w:r>
    </w:p>
    <w:p w14:paraId="20BED0E3" w14:textId="4BECCE7E" w:rsidR="00B75D0C" w:rsidRPr="00590C1F" w:rsidRDefault="00B75D0C" w:rsidP="00881D21">
      <w:pPr>
        <w:pStyle w:val="ListParagraph"/>
        <w:numPr>
          <w:ilvl w:val="0"/>
          <w:numId w:val="15"/>
        </w:numPr>
        <w:spacing w:before="120" w:after="120" w:line="240" w:lineRule="auto"/>
        <w:ind w:left="426" w:hanging="426"/>
        <w:jc w:val="both"/>
        <w:rPr>
          <w:rFonts w:ascii="Cambria" w:hAnsi="Cambria"/>
          <w:b/>
          <w:bCs/>
          <w:sz w:val="24"/>
          <w:szCs w:val="24"/>
        </w:rPr>
      </w:pPr>
      <w:r w:rsidRPr="00590C1F">
        <w:rPr>
          <w:rFonts w:ascii="Cambria" w:hAnsi="Cambria"/>
          <w:sz w:val="24"/>
          <w:szCs w:val="24"/>
        </w:rPr>
        <w:t xml:space="preserve">Lai sasniegtu Latvijai noteiktos </w:t>
      </w:r>
      <w:r w:rsidR="00881D21" w:rsidRPr="00590C1F">
        <w:rPr>
          <w:rFonts w:ascii="Cambria" w:hAnsi="Cambria"/>
          <w:sz w:val="24"/>
          <w:szCs w:val="24"/>
        </w:rPr>
        <w:t xml:space="preserve">aktualizētos </w:t>
      </w:r>
      <w:r w:rsidRPr="00590C1F">
        <w:rPr>
          <w:rFonts w:ascii="Cambria" w:hAnsi="Cambria"/>
          <w:sz w:val="24"/>
          <w:szCs w:val="24"/>
        </w:rPr>
        <w:t>klimata mērķus ne-ETS sektoram un ZIZIMM sektoram, jāīsteno jau esošā Klimata un enerģētikas nacionālajā plānā 2021.- 2030. gadam noteiktās politikas un</w:t>
      </w:r>
      <w:r w:rsidRPr="00881D21">
        <w:rPr>
          <w:rFonts w:ascii="Cambria" w:hAnsi="Cambria"/>
          <w:sz w:val="24"/>
          <w:szCs w:val="24"/>
        </w:rPr>
        <w:t xml:space="preserve"> pasākumus nozaru politikās, </w:t>
      </w:r>
      <w:r w:rsidRPr="00590C1F">
        <w:rPr>
          <w:rFonts w:ascii="Cambria" w:hAnsi="Cambria"/>
          <w:b/>
          <w:bCs/>
          <w:sz w:val="24"/>
          <w:szCs w:val="24"/>
        </w:rPr>
        <w:t>kā arī jānosaka papildus politikas un pasākumi aktualizētā Latvijas Nacionālā enerģētikas un klimata plāna 2021. - 2030. gadam ietvaros, kurš EK jāiesniedz līdz 2024. gada 30.</w:t>
      </w:r>
      <w:r w:rsidR="004350B7">
        <w:rPr>
          <w:rFonts w:ascii="Cambria" w:hAnsi="Cambria"/>
          <w:b/>
          <w:bCs/>
          <w:sz w:val="24"/>
          <w:szCs w:val="24"/>
        </w:rPr>
        <w:t xml:space="preserve"> </w:t>
      </w:r>
      <w:r w:rsidRPr="00590C1F">
        <w:rPr>
          <w:rFonts w:ascii="Cambria" w:hAnsi="Cambria"/>
          <w:b/>
          <w:bCs/>
          <w:sz w:val="24"/>
          <w:szCs w:val="24"/>
        </w:rPr>
        <w:t>jūnijam.</w:t>
      </w:r>
    </w:p>
    <w:p w14:paraId="53605B32" w14:textId="0BB103E8" w:rsidR="00B75D0C" w:rsidRPr="00580DC6" w:rsidRDefault="00B75D0C" w:rsidP="00881D21">
      <w:pPr>
        <w:pStyle w:val="ListParagraph"/>
        <w:numPr>
          <w:ilvl w:val="0"/>
          <w:numId w:val="15"/>
        </w:numPr>
        <w:spacing w:before="120" w:after="120" w:line="240" w:lineRule="auto"/>
        <w:ind w:left="426" w:hanging="426"/>
        <w:jc w:val="both"/>
        <w:rPr>
          <w:rFonts w:ascii="Cambria" w:hAnsi="Cambria"/>
          <w:sz w:val="24"/>
          <w:szCs w:val="24"/>
        </w:rPr>
      </w:pPr>
      <w:r w:rsidRPr="00881D21">
        <w:rPr>
          <w:rFonts w:ascii="Cambria" w:hAnsi="Cambria"/>
          <w:sz w:val="24"/>
          <w:szCs w:val="24"/>
        </w:rPr>
        <w:t>Turpināms darbs pie SEG emisiju aprēķinu datu precizēšanas, nenoteiktības samazināšanas un augstāku līmeņa (</w:t>
      </w:r>
      <w:proofErr w:type="spellStart"/>
      <w:r w:rsidRPr="00881D21">
        <w:rPr>
          <w:rFonts w:ascii="Cambria" w:hAnsi="Cambria"/>
          <w:i/>
          <w:iCs/>
          <w:sz w:val="24"/>
          <w:szCs w:val="24"/>
        </w:rPr>
        <w:t>Tier</w:t>
      </w:r>
      <w:proofErr w:type="spellEnd"/>
      <w:r w:rsidRPr="00881D21">
        <w:rPr>
          <w:rFonts w:ascii="Cambria" w:hAnsi="Cambria"/>
          <w:sz w:val="24"/>
          <w:szCs w:val="24"/>
        </w:rPr>
        <w:t xml:space="preserve">) metodoloģiju piemērošanas – īpaši galvenajos </w:t>
      </w:r>
      <w:r w:rsidRPr="00580DC6">
        <w:rPr>
          <w:rFonts w:ascii="Cambria" w:hAnsi="Cambria"/>
          <w:sz w:val="24"/>
          <w:szCs w:val="24"/>
        </w:rPr>
        <w:t>SEG emisiju avotos/sektoros (</w:t>
      </w:r>
      <w:proofErr w:type="spellStart"/>
      <w:r w:rsidRPr="00580DC6">
        <w:rPr>
          <w:rFonts w:ascii="Cambria" w:hAnsi="Cambria"/>
          <w:i/>
          <w:iCs/>
          <w:sz w:val="24"/>
          <w:szCs w:val="24"/>
        </w:rPr>
        <w:t>key</w:t>
      </w:r>
      <w:proofErr w:type="spellEnd"/>
      <w:r w:rsidRPr="00580DC6">
        <w:rPr>
          <w:rFonts w:ascii="Cambria" w:hAnsi="Cambria"/>
          <w:i/>
          <w:iCs/>
          <w:sz w:val="24"/>
          <w:szCs w:val="24"/>
        </w:rPr>
        <w:t xml:space="preserve"> </w:t>
      </w:r>
      <w:proofErr w:type="spellStart"/>
      <w:r w:rsidRPr="00580DC6">
        <w:rPr>
          <w:rFonts w:ascii="Cambria" w:hAnsi="Cambria"/>
          <w:i/>
          <w:iCs/>
          <w:sz w:val="24"/>
          <w:szCs w:val="24"/>
        </w:rPr>
        <w:t>categories</w:t>
      </w:r>
      <w:proofErr w:type="spellEnd"/>
      <w:r w:rsidRPr="00580DC6">
        <w:rPr>
          <w:rFonts w:ascii="Cambria" w:hAnsi="Cambria"/>
          <w:sz w:val="24"/>
          <w:szCs w:val="24"/>
        </w:rPr>
        <w:t xml:space="preserve">).  </w:t>
      </w:r>
    </w:p>
    <w:p w14:paraId="36BA0260" w14:textId="6E63D406" w:rsidR="00580DC6" w:rsidRPr="00580DC6" w:rsidRDefault="00580DC6" w:rsidP="00881D21">
      <w:pPr>
        <w:pStyle w:val="ListParagraph"/>
        <w:numPr>
          <w:ilvl w:val="0"/>
          <w:numId w:val="15"/>
        </w:numPr>
        <w:spacing w:before="120" w:after="120" w:line="240" w:lineRule="auto"/>
        <w:ind w:left="426" w:hanging="426"/>
        <w:jc w:val="both"/>
        <w:rPr>
          <w:rFonts w:ascii="Cambria" w:hAnsi="Cambria"/>
          <w:sz w:val="24"/>
          <w:szCs w:val="24"/>
        </w:rPr>
      </w:pPr>
      <w:r w:rsidRPr="008954AB">
        <w:rPr>
          <w:rStyle w:val="ui-provider"/>
          <w:rFonts w:ascii="Cambria" w:hAnsi="Cambria"/>
          <w:sz w:val="24"/>
          <w:szCs w:val="24"/>
        </w:rPr>
        <w:t>Apzinoties savstarpēji veicinošo mijiedarbību starp SEG emisiju mazināšanu, CO</w:t>
      </w:r>
      <w:r w:rsidRPr="00A34EC6">
        <w:rPr>
          <w:rStyle w:val="ui-provider"/>
          <w:rFonts w:ascii="Cambria" w:hAnsi="Cambria"/>
          <w:i/>
          <w:iCs/>
          <w:sz w:val="24"/>
          <w:szCs w:val="24"/>
          <w:vertAlign w:val="subscript"/>
        </w:rPr>
        <w:t>2</w:t>
      </w:r>
      <w:r w:rsidRPr="008954AB">
        <w:rPr>
          <w:rStyle w:val="ui-provider"/>
          <w:rFonts w:ascii="Cambria" w:hAnsi="Cambria"/>
          <w:i/>
          <w:iCs/>
          <w:sz w:val="24"/>
          <w:szCs w:val="24"/>
        </w:rPr>
        <w:t> </w:t>
      </w:r>
      <w:r w:rsidRPr="008954AB">
        <w:rPr>
          <w:rStyle w:val="ui-provider"/>
          <w:rFonts w:ascii="Cambria" w:hAnsi="Cambria"/>
          <w:sz w:val="24"/>
          <w:szCs w:val="24"/>
        </w:rPr>
        <w:t xml:space="preserve">piesaisti un </w:t>
      </w:r>
      <w:proofErr w:type="spellStart"/>
      <w:r w:rsidRPr="008954AB">
        <w:rPr>
          <w:rStyle w:val="ui-provider"/>
          <w:rFonts w:ascii="Cambria" w:hAnsi="Cambria"/>
          <w:sz w:val="24"/>
          <w:szCs w:val="24"/>
        </w:rPr>
        <w:t>klimatnoturības</w:t>
      </w:r>
      <w:proofErr w:type="spellEnd"/>
      <w:r w:rsidRPr="008954AB">
        <w:rPr>
          <w:rStyle w:val="ui-provider"/>
          <w:rFonts w:ascii="Cambria" w:hAnsi="Cambria"/>
          <w:sz w:val="24"/>
          <w:szCs w:val="24"/>
        </w:rPr>
        <w:t xml:space="preserve"> ieviešanu, būtiska loma </w:t>
      </w:r>
      <w:proofErr w:type="spellStart"/>
      <w:r w:rsidRPr="008954AB">
        <w:rPr>
          <w:rStyle w:val="ui-provider"/>
          <w:rFonts w:ascii="Cambria" w:hAnsi="Cambria"/>
          <w:sz w:val="24"/>
          <w:szCs w:val="24"/>
        </w:rPr>
        <w:t>klimatneitralitātes</w:t>
      </w:r>
      <w:proofErr w:type="spellEnd"/>
      <w:r w:rsidRPr="008954AB">
        <w:rPr>
          <w:rStyle w:val="ui-provider"/>
          <w:rFonts w:ascii="Cambria" w:hAnsi="Cambria"/>
          <w:sz w:val="24"/>
          <w:szCs w:val="24"/>
        </w:rPr>
        <w:t xml:space="preserve"> mērķu sasniegšanā jāpievērš aktivitātēm, kas veicina klimata pārmaiņu risku mazināšanu un tautsaimniecības transformāciju</w:t>
      </w:r>
      <w:r w:rsidRPr="00580DC6">
        <w:rPr>
          <w:rStyle w:val="ui-provider"/>
          <w:rFonts w:ascii="Cambria" w:hAnsi="Cambria"/>
        </w:rPr>
        <w:t>.</w:t>
      </w:r>
    </w:p>
    <w:p w14:paraId="780943FE" w14:textId="77777777" w:rsidR="00B75D0C" w:rsidRPr="00881D21" w:rsidRDefault="00B75D0C" w:rsidP="00B75D0C">
      <w:pPr>
        <w:spacing w:before="120" w:after="120" w:line="240" w:lineRule="auto"/>
        <w:ind w:firstLine="567"/>
        <w:jc w:val="both"/>
        <w:rPr>
          <w:rFonts w:ascii="Cambria" w:hAnsi="Cambria"/>
          <w:sz w:val="24"/>
          <w:szCs w:val="24"/>
        </w:rPr>
      </w:pPr>
    </w:p>
    <w:p w14:paraId="24F9375C" w14:textId="77777777" w:rsidR="00B75D0C" w:rsidRPr="00881D21" w:rsidRDefault="00B75D0C" w:rsidP="00B75D0C">
      <w:pPr>
        <w:spacing w:after="0" w:line="240" w:lineRule="auto"/>
        <w:jc w:val="both"/>
        <w:rPr>
          <w:rFonts w:ascii="Cambria" w:hAnsi="Cambria"/>
          <w:sz w:val="24"/>
          <w:szCs w:val="24"/>
        </w:rPr>
      </w:pPr>
    </w:p>
    <w:p w14:paraId="07CD95F3" w14:textId="77777777" w:rsidR="00B75D0C" w:rsidRPr="00881D21" w:rsidRDefault="00B75D0C" w:rsidP="00B75D0C">
      <w:pPr>
        <w:spacing w:after="0" w:line="240" w:lineRule="auto"/>
        <w:rPr>
          <w:rFonts w:ascii="Cambria" w:hAnsi="Cambria"/>
          <w:sz w:val="24"/>
          <w:szCs w:val="24"/>
        </w:rPr>
      </w:pPr>
      <w:r w:rsidRPr="00881D21">
        <w:rPr>
          <w:rFonts w:ascii="Cambria" w:hAnsi="Cambria"/>
          <w:sz w:val="24"/>
          <w:szCs w:val="24"/>
        </w:rPr>
        <w:t xml:space="preserve">Klimata un enerģētikas ministrs      </w:t>
      </w:r>
      <w:r w:rsidRPr="00881D21">
        <w:rPr>
          <w:rFonts w:ascii="Cambria" w:hAnsi="Cambria"/>
          <w:sz w:val="24"/>
          <w:szCs w:val="24"/>
        </w:rPr>
        <w:tab/>
      </w:r>
      <w:r w:rsidRPr="00881D21">
        <w:rPr>
          <w:rFonts w:ascii="Cambria" w:hAnsi="Cambria"/>
          <w:sz w:val="24"/>
          <w:szCs w:val="24"/>
        </w:rPr>
        <w:tab/>
      </w:r>
      <w:r w:rsidRPr="00881D21">
        <w:rPr>
          <w:rFonts w:ascii="Cambria" w:hAnsi="Cambria"/>
          <w:sz w:val="24"/>
          <w:szCs w:val="24"/>
        </w:rPr>
        <w:tab/>
      </w:r>
      <w:r w:rsidRPr="00881D21">
        <w:rPr>
          <w:rFonts w:ascii="Cambria" w:hAnsi="Cambria"/>
          <w:sz w:val="24"/>
          <w:szCs w:val="24"/>
        </w:rPr>
        <w:tab/>
      </w:r>
      <w:r w:rsidRPr="00881D21">
        <w:rPr>
          <w:rFonts w:ascii="Cambria" w:hAnsi="Cambria"/>
          <w:sz w:val="24"/>
          <w:szCs w:val="24"/>
        </w:rPr>
        <w:tab/>
      </w:r>
      <w:r w:rsidRPr="00881D21">
        <w:rPr>
          <w:rFonts w:ascii="Cambria" w:hAnsi="Cambria"/>
          <w:sz w:val="24"/>
          <w:szCs w:val="24"/>
        </w:rPr>
        <w:tab/>
      </w:r>
      <w:proofErr w:type="spellStart"/>
      <w:r w:rsidRPr="00881D21">
        <w:rPr>
          <w:rFonts w:ascii="Cambria" w:hAnsi="Cambria"/>
          <w:sz w:val="24"/>
          <w:szCs w:val="24"/>
        </w:rPr>
        <w:t>K.Melnis</w:t>
      </w:r>
      <w:proofErr w:type="spellEnd"/>
      <w:r w:rsidRPr="00881D21">
        <w:rPr>
          <w:rFonts w:ascii="Cambria" w:hAnsi="Cambria"/>
          <w:sz w:val="24"/>
          <w:szCs w:val="24"/>
        </w:rPr>
        <w:t xml:space="preserve">                                                                 </w:t>
      </w:r>
    </w:p>
    <w:p w14:paraId="74FE305D" w14:textId="77777777" w:rsidR="00B75D0C" w:rsidRPr="00881D21" w:rsidRDefault="00B75D0C" w:rsidP="00B75D0C">
      <w:pPr>
        <w:spacing w:after="0" w:line="240" w:lineRule="auto"/>
        <w:rPr>
          <w:rFonts w:ascii="Cambria" w:hAnsi="Cambria"/>
          <w:sz w:val="24"/>
          <w:szCs w:val="24"/>
        </w:rPr>
      </w:pPr>
    </w:p>
    <w:p w14:paraId="23B07E33" w14:textId="1F9BAB59" w:rsidR="00B75D0C" w:rsidRPr="00881D21" w:rsidRDefault="00B75D0C" w:rsidP="00B75D0C">
      <w:pPr>
        <w:tabs>
          <w:tab w:val="left" w:pos="1335"/>
        </w:tabs>
        <w:rPr>
          <w:rFonts w:ascii="Cambria" w:hAnsi="Cambria"/>
          <w:sz w:val="24"/>
          <w:szCs w:val="24"/>
        </w:rPr>
        <w:sectPr w:rsidR="00B75D0C" w:rsidRPr="00881D21" w:rsidSect="00440CE8">
          <w:footerReference w:type="default" r:id="rId15"/>
          <w:headerReference w:type="first" r:id="rId16"/>
          <w:footerReference w:type="first" r:id="rId17"/>
          <w:pgSz w:w="11906" w:h="16838"/>
          <w:pgMar w:top="1134" w:right="850" w:bottom="851" w:left="1701" w:header="567" w:footer="567" w:gutter="0"/>
          <w:cols w:space="720"/>
          <w:formProt w:val="0"/>
          <w:titlePg/>
          <w:docGrid w:linePitch="360"/>
        </w:sectPr>
      </w:pPr>
    </w:p>
    <w:p w14:paraId="44E63C0D" w14:textId="77777777" w:rsidR="00B75D0C" w:rsidRPr="00881D21" w:rsidRDefault="00B75D0C" w:rsidP="00B75D0C">
      <w:pPr>
        <w:ind w:left="720"/>
        <w:jc w:val="center"/>
        <w:rPr>
          <w:rFonts w:ascii="Cambria" w:hAnsi="Cambria"/>
          <w:b/>
          <w:bCs/>
          <w:i/>
          <w:iCs/>
          <w:sz w:val="24"/>
          <w:szCs w:val="24"/>
          <w:lang w:eastAsia="lv-LV"/>
        </w:rPr>
      </w:pPr>
      <w:bookmarkStart w:id="24" w:name="_Hlk121243282"/>
      <w:r w:rsidRPr="00881D21">
        <w:rPr>
          <w:rFonts w:ascii="Cambria" w:hAnsi="Cambria"/>
          <w:b/>
          <w:bCs/>
          <w:i/>
          <w:iCs/>
          <w:noProof/>
          <w:sz w:val="24"/>
          <w:szCs w:val="24"/>
          <w:lang w:eastAsia="lv-LV"/>
        </w:rPr>
        <w:lastRenderedPageBreak/>
        <w:drawing>
          <wp:anchor distT="0" distB="0" distL="114300" distR="114300" simplePos="0" relativeHeight="251662336" behindDoc="1" locked="0" layoutInCell="1" allowOverlap="1" wp14:anchorId="52CD2B90" wp14:editId="240D158C">
            <wp:simplePos x="0" y="0"/>
            <wp:positionH relativeFrom="column">
              <wp:posOffset>-243150</wp:posOffset>
            </wp:positionH>
            <wp:positionV relativeFrom="paragraph">
              <wp:posOffset>0</wp:posOffset>
            </wp:positionV>
            <wp:extent cx="9313545" cy="5939790"/>
            <wp:effectExtent l="0" t="0" r="1905" b="3810"/>
            <wp:wrapTight wrapText="bothSides">
              <wp:wrapPolygon edited="0">
                <wp:start x="0" y="0"/>
                <wp:lineTo x="0" y="21545"/>
                <wp:lineTo x="21560" y="21545"/>
                <wp:lineTo x="21560" y="0"/>
                <wp:lineTo x="0" y="0"/>
              </wp:wrapPolygon>
            </wp:wrapTight>
            <wp:docPr id="325055037" name="Picture 325055037" descr="A white sheet of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55037" name="Picture 1" descr="A white sheet of paper with black tex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9313545" cy="5939790"/>
                    </a:xfrm>
                    <a:prstGeom prst="rect">
                      <a:avLst/>
                    </a:prstGeom>
                  </pic:spPr>
                </pic:pic>
              </a:graphicData>
            </a:graphic>
            <wp14:sizeRelH relativeFrom="page">
              <wp14:pctWidth>0</wp14:pctWidth>
            </wp14:sizeRelH>
            <wp14:sizeRelV relativeFrom="page">
              <wp14:pctHeight>0</wp14:pctHeight>
            </wp14:sizeRelV>
          </wp:anchor>
        </w:drawing>
      </w:r>
    </w:p>
    <w:p w14:paraId="4F9A8A2D" w14:textId="77777777" w:rsidR="00B75D0C" w:rsidRPr="00881D21" w:rsidRDefault="00B75D0C" w:rsidP="00B75D0C">
      <w:pPr>
        <w:ind w:left="720"/>
        <w:jc w:val="center"/>
        <w:rPr>
          <w:rFonts w:ascii="Cambria" w:hAnsi="Cambria"/>
          <w:b/>
          <w:bCs/>
          <w:i/>
          <w:iCs/>
          <w:sz w:val="24"/>
          <w:szCs w:val="24"/>
          <w:lang w:eastAsia="lv-LV"/>
        </w:rPr>
      </w:pPr>
      <w:r w:rsidRPr="00881D21">
        <w:rPr>
          <w:rFonts w:ascii="Cambria" w:hAnsi="Cambria"/>
          <w:b/>
          <w:bCs/>
          <w:i/>
          <w:iCs/>
          <w:noProof/>
          <w:sz w:val="24"/>
          <w:szCs w:val="24"/>
          <w:lang w:eastAsia="lv-LV"/>
        </w:rPr>
        <w:lastRenderedPageBreak/>
        <w:drawing>
          <wp:anchor distT="0" distB="0" distL="114300" distR="114300" simplePos="0" relativeHeight="251663360" behindDoc="1" locked="0" layoutInCell="1" allowOverlap="1" wp14:anchorId="2500545B" wp14:editId="18B0FF40">
            <wp:simplePos x="0" y="0"/>
            <wp:positionH relativeFrom="margin">
              <wp:posOffset>-174928</wp:posOffset>
            </wp:positionH>
            <wp:positionV relativeFrom="paragraph">
              <wp:posOffset>95360</wp:posOffset>
            </wp:positionV>
            <wp:extent cx="9342120" cy="5695315"/>
            <wp:effectExtent l="0" t="0" r="0" b="635"/>
            <wp:wrapTight wrapText="bothSides">
              <wp:wrapPolygon edited="0">
                <wp:start x="0" y="0"/>
                <wp:lineTo x="0" y="21530"/>
                <wp:lineTo x="21538" y="21530"/>
                <wp:lineTo x="21538" y="0"/>
                <wp:lineTo x="0" y="0"/>
              </wp:wrapPolygon>
            </wp:wrapTight>
            <wp:docPr id="717745348" name="Picture 717745348" descr="A white sheet of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45348" name="Picture 1" descr="A white sheet of paper with black tex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9342120" cy="5695315"/>
                    </a:xfrm>
                    <a:prstGeom prst="rect">
                      <a:avLst/>
                    </a:prstGeom>
                  </pic:spPr>
                </pic:pic>
              </a:graphicData>
            </a:graphic>
            <wp14:sizeRelH relativeFrom="page">
              <wp14:pctWidth>0</wp14:pctWidth>
            </wp14:sizeRelH>
            <wp14:sizeRelV relativeFrom="page">
              <wp14:pctHeight>0</wp14:pctHeight>
            </wp14:sizeRelV>
          </wp:anchor>
        </w:drawing>
      </w:r>
    </w:p>
    <w:p w14:paraId="76B3B6D0" w14:textId="77777777" w:rsidR="00B75D0C" w:rsidRPr="00881D21" w:rsidRDefault="00B75D0C" w:rsidP="00B75D0C">
      <w:pPr>
        <w:ind w:left="720"/>
        <w:jc w:val="center"/>
        <w:rPr>
          <w:rFonts w:ascii="Cambria" w:hAnsi="Cambria"/>
          <w:b/>
          <w:bCs/>
          <w:i/>
          <w:iCs/>
          <w:sz w:val="24"/>
          <w:szCs w:val="24"/>
          <w:lang w:eastAsia="lv-LV"/>
        </w:rPr>
      </w:pPr>
      <w:r w:rsidRPr="00881D21">
        <w:rPr>
          <w:rFonts w:ascii="Cambria" w:hAnsi="Cambria"/>
          <w:b/>
          <w:bCs/>
          <w:i/>
          <w:iCs/>
          <w:noProof/>
          <w:sz w:val="24"/>
          <w:szCs w:val="24"/>
          <w:lang w:eastAsia="lv-LV"/>
        </w:rPr>
        <w:lastRenderedPageBreak/>
        <w:drawing>
          <wp:anchor distT="0" distB="0" distL="114300" distR="114300" simplePos="0" relativeHeight="251664384" behindDoc="1" locked="0" layoutInCell="1" allowOverlap="1" wp14:anchorId="593D0C12" wp14:editId="1604F5DE">
            <wp:simplePos x="0" y="0"/>
            <wp:positionH relativeFrom="margin">
              <wp:posOffset>-207313</wp:posOffset>
            </wp:positionH>
            <wp:positionV relativeFrom="paragraph">
              <wp:posOffset>10482</wp:posOffset>
            </wp:positionV>
            <wp:extent cx="9342120" cy="5912485"/>
            <wp:effectExtent l="0" t="0" r="0" b="0"/>
            <wp:wrapTight wrapText="bothSides">
              <wp:wrapPolygon edited="0">
                <wp:start x="0" y="0"/>
                <wp:lineTo x="0" y="21505"/>
                <wp:lineTo x="21538" y="21505"/>
                <wp:lineTo x="21538" y="0"/>
                <wp:lineTo x="0" y="0"/>
              </wp:wrapPolygon>
            </wp:wrapTight>
            <wp:docPr id="499648617" name="Picture 499648617"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48617" name="Picture 1" descr="A white rectangular box with black tex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9342120" cy="5912485"/>
                    </a:xfrm>
                    <a:prstGeom prst="rect">
                      <a:avLst/>
                    </a:prstGeom>
                  </pic:spPr>
                </pic:pic>
              </a:graphicData>
            </a:graphic>
            <wp14:sizeRelH relativeFrom="page">
              <wp14:pctWidth>0</wp14:pctWidth>
            </wp14:sizeRelH>
            <wp14:sizeRelV relativeFrom="page">
              <wp14:pctHeight>0</wp14:pctHeight>
            </wp14:sizeRelV>
          </wp:anchor>
        </w:drawing>
      </w:r>
    </w:p>
    <w:p w14:paraId="67793AED" w14:textId="77777777" w:rsidR="00B75D0C" w:rsidRPr="00881D21" w:rsidRDefault="00B75D0C" w:rsidP="00B75D0C">
      <w:pPr>
        <w:ind w:left="720"/>
        <w:jc w:val="center"/>
        <w:rPr>
          <w:rFonts w:ascii="Cambria" w:hAnsi="Cambria"/>
          <w:b/>
          <w:bCs/>
          <w:i/>
          <w:iCs/>
          <w:sz w:val="24"/>
          <w:szCs w:val="24"/>
          <w:lang w:eastAsia="lv-LV"/>
        </w:rPr>
      </w:pPr>
      <w:r w:rsidRPr="00881D21">
        <w:rPr>
          <w:rFonts w:ascii="Cambria" w:hAnsi="Cambria"/>
          <w:b/>
          <w:bCs/>
          <w:i/>
          <w:iCs/>
          <w:noProof/>
          <w:sz w:val="24"/>
          <w:szCs w:val="24"/>
          <w:lang w:eastAsia="lv-LV"/>
        </w:rPr>
        <w:lastRenderedPageBreak/>
        <w:drawing>
          <wp:anchor distT="0" distB="0" distL="114300" distR="114300" simplePos="0" relativeHeight="251665408" behindDoc="1" locked="0" layoutInCell="1" allowOverlap="1" wp14:anchorId="57590BA1" wp14:editId="0E20125B">
            <wp:simplePos x="0" y="0"/>
            <wp:positionH relativeFrom="margin">
              <wp:posOffset>0</wp:posOffset>
            </wp:positionH>
            <wp:positionV relativeFrom="paragraph">
              <wp:posOffset>12378</wp:posOffset>
            </wp:positionV>
            <wp:extent cx="9342120" cy="5924550"/>
            <wp:effectExtent l="0" t="0" r="0" b="0"/>
            <wp:wrapTight wrapText="bothSides">
              <wp:wrapPolygon edited="0">
                <wp:start x="0" y="0"/>
                <wp:lineTo x="0" y="21531"/>
                <wp:lineTo x="21538" y="21531"/>
                <wp:lineTo x="21538" y="0"/>
                <wp:lineTo x="0" y="0"/>
              </wp:wrapPolygon>
            </wp:wrapTight>
            <wp:docPr id="287162363" name="Picture 287162363"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62363" name="Picture 1" descr="A white sheet with black tex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9342120" cy="5924550"/>
                    </a:xfrm>
                    <a:prstGeom prst="rect">
                      <a:avLst/>
                    </a:prstGeom>
                  </pic:spPr>
                </pic:pic>
              </a:graphicData>
            </a:graphic>
            <wp14:sizeRelH relativeFrom="page">
              <wp14:pctWidth>0</wp14:pctWidth>
            </wp14:sizeRelH>
            <wp14:sizeRelV relativeFrom="page">
              <wp14:pctHeight>0</wp14:pctHeight>
            </wp14:sizeRelV>
          </wp:anchor>
        </w:drawing>
      </w:r>
    </w:p>
    <w:p w14:paraId="4B8725F1" w14:textId="3F8DC66F" w:rsidR="006D0BBA" w:rsidRPr="00881D21" w:rsidRDefault="00B75D0C" w:rsidP="00B75D0C">
      <w:pPr>
        <w:ind w:left="720"/>
        <w:jc w:val="center"/>
        <w:rPr>
          <w:rFonts w:ascii="Cambria" w:hAnsi="Cambria"/>
          <w:sz w:val="24"/>
          <w:szCs w:val="24"/>
          <w:lang w:eastAsia="lv-LV"/>
        </w:rPr>
      </w:pPr>
      <w:r w:rsidRPr="00881D21">
        <w:rPr>
          <w:rFonts w:ascii="Cambria" w:hAnsi="Cambria"/>
          <w:b/>
          <w:bCs/>
          <w:i/>
          <w:iCs/>
          <w:noProof/>
          <w:sz w:val="24"/>
          <w:szCs w:val="24"/>
          <w:lang w:eastAsia="lv-LV"/>
        </w:rPr>
        <w:lastRenderedPageBreak/>
        <w:drawing>
          <wp:anchor distT="0" distB="0" distL="114300" distR="114300" simplePos="0" relativeHeight="251666432" behindDoc="1" locked="0" layoutInCell="1" allowOverlap="1" wp14:anchorId="7F6CF1FD" wp14:editId="118C7B50">
            <wp:simplePos x="0" y="0"/>
            <wp:positionH relativeFrom="page">
              <wp:align>center</wp:align>
            </wp:positionH>
            <wp:positionV relativeFrom="paragraph">
              <wp:posOffset>7951</wp:posOffset>
            </wp:positionV>
            <wp:extent cx="9342120" cy="5894705"/>
            <wp:effectExtent l="0" t="0" r="0" b="0"/>
            <wp:wrapTight wrapText="bothSides">
              <wp:wrapPolygon edited="0">
                <wp:start x="0" y="0"/>
                <wp:lineTo x="0" y="21500"/>
                <wp:lineTo x="21538" y="21500"/>
                <wp:lineTo x="21538" y="0"/>
                <wp:lineTo x="0" y="0"/>
              </wp:wrapPolygon>
            </wp:wrapTight>
            <wp:docPr id="1670252698" name="Picture 1670252698"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52698" name="Picture 1" descr="A white sheet with black tex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9342120" cy="5894705"/>
                    </a:xfrm>
                    <a:prstGeom prst="rect">
                      <a:avLst/>
                    </a:prstGeom>
                  </pic:spPr>
                </pic:pic>
              </a:graphicData>
            </a:graphic>
            <wp14:sizeRelH relativeFrom="page">
              <wp14:pctWidth>0</wp14:pctWidth>
            </wp14:sizeRelH>
            <wp14:sizeRelV relativeFrom="page">
              <wp14:pctHeight>0</wp14:pctHeight>
            </wp14:sizeRelV>
          </wp:anchor>
        </w:drawing>
      </w:r>
      <w:bookmarkEnd w:id="24"/>
    </w:p>
    <w:sectPr w:rsidR="006D0BBA" w:rsidRPr="00881D21" w:rsidSect="00440CE8">
      <w:headerReference w:type="default" r:id="rId23"/>
      <w:footerReference w:type="default" r:id="rId24"/>
      <w:headerReference w:type="first" r:id="rId25"/>
      <w:footerReference w:type="first" r:id="rId26"/>
      <w:pgSz w:w="16838" w:h="11906" w:orient="landscape"/>
      <w:pgMar w:top="851" w:right="992" w:bottom="1701" w:left="1134" w:header="567"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48F2D" w14:textId="77777777" w:rsidR="00440CE8" w:rsidRDefault="00440CE8" w:rsidP="00B75D0C">
      <w:pPr>
        <w:spacing w:after="0" w:line="240" w:lineRule="auto"/>
      </w:pPr>
      <w:r>
        <w:separator/>
      </w:r>
    </w:p>
  </w:endnote>
  <w:endnote w:type="continuationSeparator" w:id="0">
    <w:p w14:paraId="62917594" w14:textId="77777777" w:rsidR="00440CE8" w:rsidRDefault="00440CE8" w:rsidP="00B7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Linux Libertine Display G">
    <w:altName w:val="Times New Roman"/>
    <w:charset w:val="01"/>
    <w:family w:val="auto"/>
    <w:pitch w:val="default"/>
  </w:font>
  <w:font w:name="Noto Sans CJK SC">
    <w:panose1 w:val="00000000000000000000"/>
    <w:charset w:val="80"/>
    <w:family w:val="swiss"/>
    <w:notTrueType/>
    <w:pitch w:val="variable"/>
    <w:sig w:usb0="30000287" w:usb1="2BDF3C10" w:usb2="00000016" w:usb3="00000000" w:csb0="002E0107" w:csb1="00000000"/>
  </w:font>
  <w:font w:name="FreeSans">
    <w:altName w:val="Cambria"/>
    <w:charset w:val="00"/>
    <w:family w:val="swiss"/>
    <w:pitch w:val="variable"/>
    <w:sig w:usb0="E4838EFF" w:usb1="4200FDFF" w:usb2="000030A0" w:usb3="00000000" w:csb0="000001BF" w:csb1="00000000"/>
  </w:font>
  <w:font w:name="Ubuntu;Segoe Script">
    <w:altName w:val="Cambria"/>
    <w:panose1 w:val="00000000000000000000"/>
    <w:charset w:val="00"/>
    <w:family w:val="roman"/>
    <w:notTrueType/>
    <w:pitch w:val="default"/>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Carlito">
    <w:altName w:val="Calibri"/>
    <w:charset w:val="00"/>
    <w:family w:val="swiss"/>
    <w:pitch w:val="variable"/>
    <w:sig w:usb0="E10002FF" w:usb1="5000ECFF" w:usb2="00000009" w:usb3="00000000" w:csb0="0000019F" w:csb1="00000000"/>
  </w:font>
  <w:font w:name="DejaVu Sans">
    <w:altName w:val="Arial"/>
    <w:charset w:val="BA"/>
    <w:family w:val="swiss"/>
    <w:pitch w:val="variable"/>
    <w:sig w:usb0="E7002EFF" w:usb1="D200FDFF" w:usb2="0A246029" w:usb3="00000000" w:csb0="000001FF" w:csb1="00000000"/>
  </w:font>
  <w:font w:name="FreeSans;Cambria">
    <w:altName w:val="Cambria"/>
    <w:panose1 w:val="00000000000000000000"/>
    <w:charset w:val="00"/>
    <w:family w:val="roman"/>
    <w:notTrueType/>
    <w:pitch w:val="default"/>
  </w:font>
  <w:font w:name="Noto Serif CJK SC">
    <w:panose1 w:val="00000000000000000000"/>
    <w:charset w:val="80"/>
    <w:family w:val="roman"/>
    <w:notTrueType/>
    <w:pitch w:val="variable"/>
    <w:sig w:usb0="30000287" w:usb1="2BDF3C10" w:usb2="00000016" w:usb3="00000000" w:csb0="002E0107"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DE897" w14:textId="77777777" w:rsidR="00B75D0C" w:rsidRPr="00121CAC" w:rsidRDefault="00B75D0C">
    <w:pPr>
      <w:pStyle w:val="Footer"/>
      <w:jc w:val="center"/>
      <w:rPr>
        <w:rFonts w:ascii="Times New Roman" w:hAnsi="Times New Roman"/>
      </w:rPr>
    </w:pPr>
    <w:r w:rsidRPr="00121CAC">
      <w:rPr>
        <w:rFonts w:ascii="Times New Roman" w:hAnsi="Times New Roman"/>
      </w:rPr>
      <w:fldChar w:fldCharType="begin"/>
    </w:r>
    <w:r w:rsidRPr="007C5777">
      <w:instrText>PAGE</w:instrText>
    </w:r>
    <w:r w:rsidRPr="00121CAC">
      <w:rPr>
        <w:rFonts w:ascii="Times New Roman" w:hAnsi="Times New Roman"/>
      </w:rPr>
      <w:fldChar w:fldCharType="separate"/>
    </w:r>
    <w:r w:rsidRPr="007C5777">
      <w:rPr>
        <w:noProof/>
      </w:rPr>
      <w:t>26</w:t>
    </w:r>
    <w:r w:rsidRPr="00121CAC">
      <w:rPr>
        <w:rFonts w:ascii="Times New Roman" w:hAnsi="Times New Roman"/>
        <w:noProof/>
      </w:rPr>
      <w:fldChar w:fldCharType="end"/>
    </w:r>
  </w:p>
  <w:p w14:paraId="6A909CC7" w14:textId="6DD6E64B" w:rsidR="00B75D0C" w:rsidRPr="005129DA" w:rsidRDefault="00B75D0C" w:rsidP="005129DA">
    <w:pPr>
      <w:tabs>
        <w:tab w:val="center" w:pos="4153"/>
        <w:tab w:val="right" w:pos="8306"/>
      </w:tabs>
      <w:suppressAutoHyphens w:val="0"/>
      <w:spacing w:after="0" w:line="240" w:lineRule="auto"/>
      <w:rPr>
        <w:lang w:eastAsia="en-US"/>
      </w:rPr>
    </w:pPr>
    <w:r w:rsidRPr="005129DA">
      <w:rPr>
        <w:rFonts w:ascii="Times New Roman" w:hAnsi="Times New Roman"/>
        <w:sz w:val="20"/>
        <w:szCs w:val="20"/>
        <w:lang w:eastAsia="en-US"/>
      </w:rPr>
      <w:fldChar w:fldCharType="begin"/>
    </w:r>
    <w:r w:rsidRPr="005129DA">
      <w:rPr>
        <w:rFonts w:ascii="Times New Roman" w:hAnsi="Times New Roman"/>
        <w:sz w:val="20"/>
        <w:szCs w:val="20"/>
        <w:lang w:eastAsia="en-US"/>
      </w:rPr>
      <w:instrText xml:space="preserve"> FILENAME </w:instrText>
    </w:r>
    <w:r w:rsidRPr="005129DA">
      <w:rPr>
        <w:rFonts w:ascii="Times New Roman" w:hAnsi="Times New Roman"/>
        <w:sz w:val="20"/>
        <w:szCs w:val="20"/>
        <w:lang w:eastAsia="en-US"/>
      </w:rPr>
      <w:fldChar w:fldCharType="separate"/>
    </w:r>
    <w:r w:rsidR="00D9767E">
      <w:rPr>
        <w:rFonts w:ascii="Times New Roman" w:hAnsi="Times New Roman"/>
        <w:noProof/>
        <w:sz w:val="20"/>
        <w:szCs w:val="20"/>
        <w:lang w:eastAsia="en-US"/>
      </w:rPr>
      <w:t>Inf_2023_SEGizpilde_08012024</w:t>
    </w:r>
    <w:r w:rsidRPr="005129DA">
      <w:rPr>
        <w:rFonts w:ascii="Times New Roman" w:hAnsi="Times New Roman"/>
        <w:sz w:val="20"/>
        <w:szCs w:val="20"/>
        <w:lang w:eastAsia="en-US"/>
      </w:rPr>
      <w:fldChar w:fldCharType="end"/>
    </w:r>
  </w:p>
  <w:p w14:paraId="48DB79C6" w14:textId="77777777" w:rsidR="00B75D0C" w:rsidRDefault="00B75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6AD23" w14:textId="77777777" w:rsidR="00B75D0C" w:rsidRDefault="00B75D0C">
    <w:pPr>
      <w:pStyle w:val="Footer"/>
      <w:jc w:val="center"/>
    </w:pPr>
  </w:p>
  <w:p w14:paraId="699CDD79" w14:textId="56FD036F" w:rsidR="00B75D0C" w:rsidRPr="005129DA" w:rsidRDefault="00B75D0C" w:rsidP="005129DA">
    <w:pPr>
      <w:tabs>
        <w:tab w:val="center" w:pos="4153"/>
        <w:tab w:val="right" w:pos="8306"/>
      </w:tabs>
      <w:suppressAutoHyphens w:val="0"/>
      <w:spacing w:after="0" w:line="240" w:lineRule="auto"/>
      <w:rPr>
        <w:lang w:eastAsia="en-US"/>
      </w:rPr>
    </w:pPr>
    <w:r w:rsidRPr="005129DA">
      <w:rPr>
        <w:rFonts w:ascii="Times New Roman" w:hAnsi="Times New Roman"/>
        <w:sz w:val="20"/>
        <w:szCs w:val="20"/>
        <w:lang w:eastAsia="en-US"/>
      </w:rPr>
      <w:fldChar w:fldCharType="begin"/>
    </w:r>
    <w:r w:rsidRPr="005129DA">
      <w:rPr>
        <w:rFonts w:ascii="Times New Roman" w:hAnsi="Times New Roman"/>
        <w:sz w:val="20"/>
        <w:szCs w:val="20"/>
        <w:lang w:eastAsia="en-US"/>
      </w:rPr>
      <w:instrText xml:space="preserve"> FILENAME </w:instrText>
    </w:r>
    <w:r w:rsidRPr="005129DA">
      <w:rPr>
        <w:rFonts w:ascii="Times New Roman" w:hAnsi="Times New Roman"/>
        <w:sz w:val="20"/>
        <w:szCs w:val="20"/>
        <w:lang w:eastAsia="en-US"/>
      </w:rPr>
      <w:fldChar w:fldCharType="separate"/>
    </w:r>
    <w:r w:rsidR="00D9767E">
      <w:rPr>
        <w:rFonts w:ascii="Times New Roman" w:hAnsi="Times New Roman"/>
        <w:noProof/>
        <w:sz w:val="20"/>
        <w:szCs w:val="20"/>
        <w:lang w:eastAsia="en-US"/>
      </w:rPr>
      <w:t>Inf_2023_SEGizpilde_08012024</w:t>
    </w:r>
    <w:r w:rsidRPr="005129DA">
      <w:rPr>
        <w:rFonts w:ascii="Times New Roman" w:hAnsi="Times New Roman"/>
        <w:sz w:val="20"/>
        <w:szCs w:val="20"/>
        <w:lang w:eastAsia="en-US"/>
      </w:rPr>
      <w:fldChar w:fldCharType="end"/>
    </w:r>
  </w:p>
  <w:p w14:paraId="41E948EB" w14:textId="77777777" w:rsidR="00B75D0C" w:rsidRDefault="00B75D0C">
    <w:pPr>
      <w:pStyle w:val="Footer"/>
      <w:jc w:val="both"/>
      <w:rPr>
        <w:rFonts w:ascii="Times New Roman" w:hAnsi="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D28A" w14:textId="77777777" w:rsidR="00764133" w:rsidRDefault="00764133">
    <w:pPr>
      <w:pStyle w:val="Footer"/>
      <w:jc w:val="center"/>
    </w:pPr>
    <w:r>
      <w:fldChar w:fldCharType="begin"/>
    </w:r>
    <w:r>
      <w:instrText>PAGE</w:instrText>
    </w:r>
    <w:r>
      <w:fldChar w:fldCharType="separate"/>
    </w:r>
    <w:r>
      <w:rPr>
        <w:noProof/>
      </w:rPr>
      <w:t>33</w:t>
    </w:r>
    <w:r>
      <w:rPr>
        <w:noProof/>
      </w:rPr>
      <w:fldChar w:fldCharType="end"/>
    </w:r>
  </w:p>
  <w:p w14:paraId="4D76D5B8" w14:textId="4380B36F" w:rsidR="00764133" w:rsidRPr="005129DA" w:rsidRDefault="00764133" w:rsidP="005129DA">
    <w:pPr>
      <w:tabs>
        <w:tab w:val="center" w:pos="4153"/>
        <w:tab w:val="right" w:pos="8306"/>
      </w:tabs>
      <w:suppressAutoHyphens w:val="0"/>
      <w:spacing w:after="0" w:line="240" w:lineRule="auto"/>
      <w:rPr>
        <w:lang w:eastAsia="en-US"/>
      </w:rPr>
    </w:pPr>
    <w:r w:rsidRPr="005129DA">
      <w:rPr>
        <w:rFonts w:ascii="Times New Roman" w:hAnsi="Times New Roman"/>
        <w:sz w:val="20"/>
        <w:szCs w:val="20"/>
        <w:lang w:eastAsia="en-US"/>
      </w:rPr>
      <w:fldChar w:fldCharType="begin"/>
    </w:r>
    <w:r w:rsidRPr="005129DA">
      <w:rPr>
        <w:rFonts w:ascii="Times New Roman" w:hAnsi="Times New Roman"/>
        <w:sz w:val="20"/>
        <w:szCs w:val="20"/>
        <w:lang w:eastAsia="en-US"/>
      </w:rPr>
      <w:instrText xml:space="preserve"> FILENAME </w:instrText>
    </w:r>
    <w:r w:rsidRPr="005129DA">
      <w:rPr>
        <w:rFonts w:ascii="Times New Roman" w:hAnsi="Times New Roman"/>
        <w:sz w:val="20"/>
        <w:szCs w:val="20"/>
        <w:lang w:eastAsia="en-US"/>
      </w:rPr>
      <w:fldChar w:fldCharType="separate"/>
    </w:r>
    <w:r w:rsidR="00D9767E">
      <w:rPr>
        <w:rFonts w:ascii="Times New Roman" w:hAnsi="Times New Roman"/>
        <w:noProof/>
        <w:sz w:val="20"/>
        <w:szCs w:val="20"/>
        <w:lang w:eastAsia="en-US"/>
      </w:rPr>
      <w:t>Inf_2023_SEGizpilde_08012024</w:t>
    </w:r>
    <w:r w:rsidRPr="005129DA">
      <w:rPr>
        <w:rFonts w:ascii="Times New Roman" w:hAnsi="Times New Roman"/>
        <w:sz w:val="20"/>
        <w:szCs w:val="20"/>
        <w:lang w:eastAsia="en-US"/>
      </w:rPr>
      <w:fldChar w:fldCharType="end"/>
    </w:r>
  </w:p>
  <w:p w14:paraId="62F1C8A9" w14:textId="77777777" w:rsidR="00764133" w:rsidRDefault="007641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C0596" w14:textId="29725B82" w:rsidR="00764133" w:rsidRPr="005129DA" w:rsidRDefault="00764133" w:rsidP="005129DA">
    <w:pPr>
      <w:pStyle w:val="Footer"/>
      <w:rPr>
        <w:lang w:eastAsia="en-US"/>
      </w:rPr>
    </w:pPr>
    <w:r>
      <w:tab/>
    </w:r>
    <w:r w:rsidRPr="005129DA">
      <w:rPr>
        <w:rFonts w:ascii="Times New Roman" w:hAnsi="Times New Roman"/>
        <w:sz w:val="20"/>
        <w:szCs w:val="20"/>
        <w:lang w:eastAsia="en-US"/>
      </w:rPr>
      <w:fldChar w:fldCharType="begin"/>
    </w:r>
    <w:r w:rsidRPr="005129DA">
      <w:rPr>
        <w:rFonts w:ascii="Times New Roman" w:hAnsi="Times New Roman"/>
        <w:sz w:val="20"/>
        <w:szCs w:val="20"/>
        <w:lang w:eastAsia="en-US"/>
      </w:rPr>
      <w:instrText xml:space="preserve"> FILENAME </w:instrText>
    </w:r>
    <w:r w:rsidRPr="005129DA">
      <w:rPr>
        <w:rFonts w:ascii="Times New Roman" w:hAnsi="Times New Roman"/>
        <w:sz w:val="20"/>
        <w:szCs w:val="20"/>
        <w:lang w:eastAsia="en-US"/>
      </w:rPr>
      <w:fldChar w:fldCharType="separate"/>
    </w:r>
    <w:r w:rsidR="00D85144">
      <w:rPr>
        <w:rFonts w:ascii="Times New Roman" w:hAnsi="Times New Roman"/>
        <w:noProof/>
        <w:sz w:val="20"/>
        <w:szCs w:val="20"/>
        <w:lang w:eastAsia="en-US"/>
      </w:rPr>
      <w:t>Inf_2023_SEGizpilde_08012024_</w:t>
    </w:r>
    <w:r w:rsidRPr="005129DA">
      <w:rPr>
        <w:rFonts w:ascii="Times New Roman" w:hAnsi="Times New Roman"/>
        <w:sz w:val="20"/>
        <w:szCs w:val="20"/>
        <w:lang w:eastAsia="en-US"/>
      </w:rPr>
      <w:fldChar w:fldCharType="end"/>
    </w:r>
  </w:p>
  <w:p w14:paraId="2FFF3511" w14:textId="77777777" w:rsidR="00764133" w:rsidRDefault="00764133" w:rsidP="005129DA">
    <w:pPr>
      <w:pStyle w:val="Footer"/>
      <w:tabs>
        <w:tab w:val="left" w:pos="780"/>
        <w:tab w:val="center" w:pos="7356"/>
      </w:tabs>
      <w:jc w:val="center"/>
    </w:pPr>
    <w:r>
      <w:fldChar w:fldCharType="begin"/>
    </w:r>
    <w:r>
      <w:instrText>PAGE</w:instrText>
    </w:r>
    <w:r>
      <w:fldChar w:fldCharType="separate"/>
    </w:r>
    <w:r>
      <w:rPr>
        <w:noProof/>
      </w:rPr>
      <w:t>28</w:t>
    </w:r>
    <w:r>
      <w:rPr>
        <w:noProof/>
      </w:rPr>
      <w:fldChar w:fldCharType="end"/>
    </w:r>
  </w:p>
  <w:p w14:paraId="6CA3A477" w14:textId="77777777" w:rsidR="00764133" w:rsidRDefault="00764133">
    <w:pPr>
      <w:pStyle w:val="Footer"/>
      <w:jc w:val="both"/>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A088A" w14:textId="77777777" w:rsidR="00440CE8" w:rsidRDefault="00440CE8" w:rsidP="00B75D0C">
      <w:pPr>
        <w:spacing w:after="0" w:line="240" w:lineRule="auto"/>
      </w:pPr>
      <w:r>
        <w:separator/>
      </w:r>
    </w:p>
  </w:footnote>
  <w:footnote w:type="continuationSeparator" w:id="0">
    <w:p w14:paraId="5442CB29" w14:textId="77777777" w:rsidR="00440CE8" w:rsidRDefault="00440CE8" w:rsidP="00B75D0C">
      <w:pPr>
        <w:spacing w:after="0" w:line="240" w:lineRule="auto"/>
      </w:pPr>
      <w:r>
        <w:continuationSeparator/>
      </w:r>
    </w:p>
  </w:footnote>
  <w:footnote w:id="1">
    <w:p w14:paraId="55635E0A" w14:textId="77777777" w:rsidR="00B75D0C" w:rsidRPr="0050482B" w:rsidRDefault="00B75D0C" w:rsidP="00B75D0C">
      <w:pPr>
        <w:pStyle w:val="FootnoteText"/>
        <w:rPr>
          <w:rFonts w:ascii="Times New Roman" w:hAnsi="Times New Roman"/>
        </w:rPr>
      </w:pPr>
      <w:r w:rsidRPr="0050482B">
        <w:rPr>
          <w:rStyle w:val="FootnoteReference"/>
          <w:rFonts w:ascii="Times New Roman" w:hAnsi="Times New Roman"/>
        </w:rPr>
        <w:footnoteRef/>
      </w:r>
      <w:r w:rsidRPr="0050482B">
        <w:rPr>
          <w:rFonts w:ascii="Times New Roman" w:hAnsi="Times New Roman"/>
        </w:rPr>
        <w:t xml:space="preserve"> Visi norādītie ziņojumi pieejami: </w:t>
      </w:r>
      <w:r w:rsidRPr="0050482B">
        <w:rPr>
          <w:rFonts w:ascii="Times New Roman" w:hAnsi="Times New Roman"/>
          <w:sz w:val="16"/>
          <w:szCs w:val="16"/>
        </w:rPr>
        <w:t>https://videscentrs.lvgmc.lv/lapas/zinojums-par-klimatu</w:t>
      </w:r>
    </w:p>
  </w:footnote>
  <w:footnote w:id="2">
    <w:p w14:paraId="601B8564" w14:textId="77777777" w:rsidR="00B75D0C" w:rsidRPr="00D571BB" w:rsidRDefault="00B75D0C" w:rsidP="00B75D0C">
      <w:pPr>
        <w:pStyle w:val="FootnoteText"/>
        <w:rPr>
          <w:rFonts w:ascii="Times New Roman" w:hAnsi="Times New Roman"/>
          <w:sz w:val="16"/>
          <w:szCs w:val="16"/>
        </w:rPr>
      </w:pPr>
      <w:r w:rsidRPr="00D571BB">
        <w:rPr>
          <w:rStyle w:val="FootnoteReference"/>
          <w:rFonts w:ascii="Times New Roman" w:hAnsi="Times New Roman"/>
          <w:sz w:val="16"/>
          <w:szCs w:val="16"/>
        </w:rPr>
        <w:footnoteRef/>
      </w:r>
      <w:r w:rsidRPr="00D571BB">
        <w:rPr>
          <w:rFonts w:ascii="Times New Roman" w:hAnsi="Times New Roman"/>
          <w:sz w:val="16"/>
          <w:szCs w:val="16"/>
        </w:rPr>
        <w:t xml:space="preserve"> Parīzes nolīgums: </w:t>
      </w:r>
      <w:hyperlink r:id="rId1" w:history="1">
        <w:r w:rsidRPr="00D571BB">
          <w:rPr>
            <w:rStyle w:val="Hyperlink"/>
            <w:rFonts w:ascii="Times New Roman" w:hAnsi="Times New Roman"/>
            <w:sz w:val="16"/>
            <w:szCs w:val="16"/>
          </w:rPr>
          <w:t>https://unfccc.int/sites/default/files/resource/docs/2015/cop21/eng/10a01.pdf</w:t>
        </w:r>
      </w:hyperlink>
      <w:r w:rsidRPr="00D571BB">
        <w:rPr>
          <w:rFonts w:ascii="Times New Roman" w:hAnsi="Times New Roman"/>
          <w:sz w:val="16"/>
          <w:szCs w:val="16"/>
        </w:rPr>
        <w:t xml:space="preserve"> (latv. val. neoficiāls tulkojums: </w:t>
      </w:r>
      <w:hyperlink r:id="rId2" w:history="1">
        <w:r w:rsidRPr="00D571BB">
          <w:rPr>
            <w:rStyle w:val="Hyperlink"/>
            <w:rFonts w:ascii="Times New Roman" w:hAnsi="Times New Roman"/>
            <w:sz w:val="16"/>
            <w:szCs w:val="16"/>
          </w:rPr>
          <w:t>https://likumi.lv/ta/lv/starptautiskie-ligumi/id/1730</w:t>
        </w:r>
      </w:hyperlink>
      <w:r w:rsidRPr="00D571BB">
        <w:rPr>
          <w:rFonts w:ascii="Times New Roman" w:hAnsi="Times New Roman"/>
          <w:sz w:val="16"/>
          <w:szCs w:val="16"/>
        </w:rPr>
        <w:t xml:space="preserve">) </w:t>
      </w:r>
    </w:p>
  </w:footnote>
  <w:footnote w:id="3">
    <w:p w14:paraId="1AD92C6A" w14:textId="77777777" w:rsidR="00B75D0C" w:rsidRPr="00D571BB" w:rsidRDefault="00B75D0C" w:rsidP="00B75D0C">
      <w:pPr>
        <w:pStyle w:val="FootnoteText"/>
        <w:rPr>
          <w:rFonts w:ascii="Times New Roman" w:hAnsi="Times New Roman"/>
          <w:sz w:val="16"/>
          <w:szCs w:val="16"/>
        </w:rPr>
      </w:pPr>
      <w:r w:rsidRPr="00D571BB">
        <w:rPr>
          <w:rStyle w:val="FootnoteReference"/>
          <w:rFonts w:ascii="Times New Roman" w:hAnsi="Times New Roman"/>
          <w:sz w:val="16"/>
          <w:szCs w:val="16"/>
        </w:rPr>
        <w:footnoteRef/>
      </w:r>
      <w:r w:rsidRPr="00D571BB">
        <w:rPr>
          <w:rFonts w:ascii="Times New Roman" w:hAnsi="Times New Roman"/>
          <w:sz w:val="16"/>
          <w:szCs w:val="16"/>
        </w:rPr>
        <w:t xml:space="preserve"> NDC reģistrs: </w:t>
      </w:r>
      <w:hyperlink r:id="rId3" w:history="1">
        <w:r w:rsidRPr="00D571BB">
          <w:rPr>
            <w:rStyle w:val="Hyperlink"/>
            <w:rFonts w:ascii="Times New Roman" w:hAnsi="Times New Roman"/>
            <w:sz w:val="16"/>
            <w:szCs w:val="16"/>
          </w:rPr>
          <w:t>https://unfccc.int/NDCREG</w:t>
        </w:r>
      </w:hyperlink>
      <w:r w:rsidRPr="00D571BB">
        <w:rPr>
          <w:rFonts w:ascii="Times New Roman" w:hAnsi="Times New Roman"/>
          <w:sz w:val="16"/>
          <w:szCs w:val="16"/>
        </w:rPr>
        <w:t xml:space="preserve"> ES, tās dalībvalstu, tai skaitā Latvijas NDC: </w:t>
      </w:r>
      <w:hyperlink r:id="rId4" w:history="1">
        <w:r w:rsidRPr="00D571BB">
          <w:rPr>
            <w:rStyle w:val="Hyperlink"/>
            <w:rFonts w:ascii="Times New Roman" w:hAnsi="Times New Roman"/>
            <w:sz w:val="16"/>
            <w:szCs w:val="16"/>
          </w:rPr>
          <w:t>https://unfccc.int/sites/default/files/NDC/2023-10/ES-2023-10-17%20EU%20submission%20NDC%20update.pdf</w:t>
        </w:r>
      </w:hyperlink>
      <w:r w:rsidRPr="00D571BB">
        <w:rPr>
          <w:rFonts w:ascii="Times New Roman" w:hAnsi="Times New Roman"/>
          <w:sz w:val="16"/>
          <w:szCs w:val="16"/>
        </w:rPr>
        <w:t xml:space="preserve"> </w:t>
      </w:r>
    </w:p>
  </w:footnote>
  <w:footnote w:id="4">
    <w:p w14:paraId="1889A53E" w14:textId="77777777" w:rsidR="00B75D0C" w:rsidRPr="00D571BB" w:rsidRDefault="00B75D0C" w:rsidP="00B75D0C">
      <w:pPr>
        <w:pStyle w:val="FootnoteText"/>
        <w:rPr>
          <w:rFonts w:ascii="Times New Roman" w:hAnsi="Times New Roman"/>
          <w:sz w:val="16"/>
          <w:szCs w:val="16"/>
        </w:rPr>
      </w:pPr>
      <w:r w:rsidRPr="00D571BB">
        <w:rPr>
          <w:rStyle w:val="FootnoteReference"/>
          <w:rFonts w:ascii="Times New Roman" w:hAnsi="Times New Roman"/>
          <w:sz w:val="16"/>
          <w:szCs w:val="16"/>
        </w:rPr>
        <w:footnoteRef/>
      </w:r>
      <w:r w:rsidRPr="00D571BB">
        <w:rPr>
          <w:rFonts w:ascii="Times New Roman" w:hAnsi="Times New Roman"/>
          <w:sz w:val="16"/>
          <w:szCs w:val="16"/>
        </w:rPr>
        <w:t xml:space="preserve"> Līgumslēdzēju Pušu konferences Lēmums 1/CP.21. Parīzes nolīguma apstiprināšana: </w:t>
      </w:r>
      <w:hyperlink r:id="rId5" w:anchor="page=2" w:history="1">
        <w:r w:rsidRPr="00D571BB">
          <w:rPr>
            <w:rStyle w:val="Hyperlink"/>
            <w:rFonts w:ascii="Times New Roman" w:hAnsi="Times New Roman"/>
            <w:sz w:val="16"/>
            <w:szCs w:val="16"/>
          </w:rPr>
          <w:t>https://unfccc.int/resource/docs/2015/cop21/eng/10a01.pdf#page=2</w:t>
        </w:r>
      </w:hyperlink>
      <w:r w:rsidRPr="00D571BB">
        <w:rPr>
          <w:rFonts w:ascii="Times New Roman" w:hAnsi="Times New Roman"/>
          <w:sz w:val="16"/>
          <w:szCs w:val="16"/>
        </w:rPr>
        <w:t xml:space="preserve"> </w:t>
      </w:r>
    </w:p>
  </w:footnote>
  <w:footnote w:id="5">
    <w:p w14:paraId="739500FB" w14:textId="77777777" w:rsidR="00B75D0C" w:rsidRDefault="00B75D0C" w:rsidP="00B75D0C">
      <w:pPr>
        <w:pStyle w:val="FootnoteText"/>
      </w:pPr>
      <w:r w:rsidRPr="00D571BB">
        <w:rPr>
          <w:rStyle w:val="FootnoteReference"/>
          <w:rFonts w:ascii="Times New Roman" w:hAnsi="Times New Roman"/>
          <w:sz w:val="16"/>
          <w:szCs w:val="16"/>
        </w:rPr>
        <w:footnoteRef/>
      </w:r>
      <w:r w:rsidRPr="00D571BB">
        <w:rPr>
          <w:rFonts w:ascii="Times New Roman" w:hAnsi="Times New Roman"/>
          <w:sz w:val="16"/>
          <w:szCs w:val="16"/>
        </w:rPr>
        <w:t xml:space="preserve"> https://eur-lex.europa.eu/legal-content/LV/TXT/?uri=CELEX%3A32021R1119</w:t>
      </w:r>
    </w:p>
  </w:footnote>
  <w:footnote w:id="6">
    <w:p w14:paraId="365385A2" w14:textId="77777777" w:rsidR="00B75D0C" w:rsidRPr="00284F2C" w:rsidRDefault="00B75D0C" w:rsidP="00B75D0C">
      <w:pPr>
        <w:pStyle w:val="FootnoteText"/>
        <w:rPr>
          <w:rFonts w:ascii="Times New Roman" w:hAnsi="Times New Roman"/>
          <w:sz w:val="16"/>
          <w:szCs w:val="16"/>
        </w:rPr>
      </w:pPr>
      <w:r w:rsidRPr="00284F2C">
        <w:rPr>
          <w:rStyle w:val="FootnoteReference"/>
          <w:rFonts w:ascii="Times New Roman" w:hAnsi="Times New Roman"/>
          <w:sz w:val="16"/>
          <w:szCs w:val="16"/>
        </w:rPr>
        <w:footnoteRef/>
      </w:r>
      <w:r w:rsidRPr="00284F2C">
        <w:rPr>
          <w:rFonts w:ascii="Times New Roman" w:hAnsi="Times New Roman"/>
          <w:sz w:val="16"/>
          <w:szCs w:val="16"/>
        </w:rPr>
        <w:t xml:space="preserve"> https://likumi.lv/ta/id/342214-latvijas-strategija-klimatneitralitates-sasniegsanai-lidz-2050-gadam</w:t>
      </w:r>
    </w:p>
  </w:footnote>
  <w:footnote w:id="7">
    <w:p w14:paraId="3D3A79C9" w14:textId="77777777" w:rsidR="00B75D0C" w:rsidRPr="00284F2C" w:rsidRDefault="00B75D0C" w:rsidP="00B75D0C">
      <w:pPr>
        <w:pStyle w:val="FootnoteText"/>
        <w:jc w:val="both"/>
        <w:rPr>
          <w:rFonts w:ascii="Times New Roman" w:hAnsi="Times New Roman"/>
          <w:sz w:val="16"/>
          <w:szCs w:val="16"/>
        </w:rPr>
      </w:pPr>
      <w:r w:rsidRPr="00284F2C">
        <w:rPr>
          <w:rStyle w:val="FootnoteReference"/>
          <w:rFonts w:ascii="Times New Roman" w:hAnsi="Times New Roman"/>
          <w:sz w:val="16"/>
          <w:szCs w:val="16"/>
        </w:rPr>
        <w:footnoteRef/>
      </w:r>
      <w:r w:rsidRPr="00284F2C">
        <w:rPr>
          <w:rFonts w:ascii="Times New Roman" w:hAnsi="Times New Roman"/>
          <w:sz w:val="16"/>
          <w:szCs w:val="16"/>
        </w:rPr>
        <w:t xml:space="preserve"> Konsolidētā versija </w:t>
      </w:r>
      <w:hyperlink r:id="rId6" w:history="1">
        <w:r w:rsidRPr="00284F2C">
          <w:rPr>
            <w:rStyle w:val="Hyperlink"/>
            <w:rFonts w:ascii="Times New Roman" w:hAnsi="Times New Roman"/>
            <w:sz w:val="16"/>
            <w:szCs w:val="16"/>
          </w:rPr>
          <w:t>https://eur-lex.europa.eu/legal-content/LV/TXT/?uri=CELEX%3A02003L0087-20230301</w:t>
        </w:r>
      </w:hyperlink>
      <w:r w:rsidRPr="00284F2C">
        <w:rPr>
          <w:rFonts w:ascii="Times New Roman" w:hAnsi="Times New Roman"/>
          <w:sz w:val="16"/>
          <w:szCs w:val="16"/>
        </w:rPr>
        <w:t xml:space="preserve"> </w:t>
      </w:r>
    </w:p>
  </w:footnote>
  <w:footnote w:id="8">
    <w:p w14:paraId="075ED702" w14:textId="77777777" w:rsidR="00B75D0C" w:rsidRPr="00284F2C" w:rsidRDefault="00B75D0C" w:rsidP="00B75D0C">
      <w:pPr>
        <w:pStyle w:val="FootnoteText"/>
        <w:jc w:val="both"/>
        <w:rPr>
          <w:rFonts w:ascii="Times New Roman" w:hAnsi="Times New Roman"/>
          <w:sz w:val="16"/>
          <w:szCs w:val="16"/>
        </w:rPr>
      </w:pPr>
      <w:r w:rsidRPr="00284F2C">
        <w:rPr>
          <w:rStyle w:val="FootnoteReference"/>
          <w:rFonts w:ascii="Times New Roman" w:hAnsi="Times New Roman"/>
          <w:sz w:val="16"/>
          <w:szCs w:val="16"/>
        </w:rPr>
        <w:footnoteRef/>
      </w:r>
      <w:r w:rsidRPr="00284F2C">
        <w:rPr>
          <w:rFonts w:ascii="Times New Roman" w:hAnsi="Times New Roman"/>
          <w:sz w:val="16"/>
          <w:szCs w:val="16"/>
        </w:rPr>
        <w:t xml:space="preserve"> Konsolidētā versija </w:t>
      </w:r>
      <w:hyperlink r:id="rId7" w:history="1">
        <w:r w:rsidRPr="00284F2C">
          <w:rPr>
            <w:rStyle w:val="Hyperlink"/>
            <w:rFonts w:ascii="Times New Roman" w:hAnsi="Times New Roman"/>
            <w:sz w:val="16"/>
            <w:szCs w:val="16"/>
          </w:rPr>
          <w:t>https://eur-lex.europa.eu/legal-content/LV/TXT/?uri=celex%3A32023R0839</w:t>
        </w:r>
      </w:hyperlink>
      <w:r w:rsidRPr="00284F2C">
        <w:rPr>
          <w:rFonts w:ascii="Times New Roman" w:hAnsi="Times New Roman"/>
          <w:sz w:val="16"/>
          <w:szCs w:val="16"/>
        </w:rPr>
        <w:t xml:space="preserve"> </w:t>
      </w:r>
    </w:p>
  </w:footnote>
  <w:footnote w:id="9">
    <w:p w14:paraId="5C6B2A09" w14:textId="77777777" w:rsidR="00B75D0C" w:rsidRPr="00284F2C" w:rsidRDefault="00B75D0C" w:rsidP="00B75D0C">
      <w:pPr>
        <w:pStyle w:val="FootnoteText"/>
        <w:jc w:val="both"/>
        <w:rPr>
          <w:rFonts w:ascii="Times New Roman" w:hAnsi="Times New Roman"/>
          <w:sz w:val="16"/>
          <w:szCs w:val="16"/>
        </w:rPr>
      </w:pPr>
      <w:r w:rsidRPr="00284F2C">
        <w:rPr>
          <w:rStyle w:val="FootnoteReference"/>
          <w:rFonts w:ascii="Times New Roman" w:hAnsi="Times New Roman"/>
          <w:sz w:val="16"/>
          <w:szCs w:val="16"/>
        </w:rPr>
        <w:footnoteRef/>
      </w:r>
      <w:r w:rsidRPr="00284F2C">
        <w:rPr>
          <w:rFonts w:ascii="Times New Roman" w:hAnsi="Times New Roman"/>
          <w:sz w:val="16"/>
          <w:szCs w:val="16"/>
        </w:rPr>
        <w:t xml:space="preserve">Konsolidētā versija </w:t>
      </w:r>
      <w:hyperlink r:id="rId8" w:history="1">
        <w:r w:rsidRPr="00284F2C">
          <w:rPr>
            <w:rStyle w:val="Hyperlink"/>
            <w:rFonts w:ascii="Times New Roman" w:hAnsi="Times New Roman"/>
            <w:sz w:val="16"/>
            <w:szCs w:val="16"/>
          </w:rPr>
          <w:t>https://eur-lex.europa.eu/legal-content/LV/TXT/?uri=CELEX%3A02018R0842-20230516&amp;qid=1691394347773</w:t>
        </w:r>
      </w:hyperlink>
      <w:r w:rsidRPr="00284F2C">
        <w:rPr>
          <w:rFonts w:ascii="Times New Roman" w:hAnsi="Times New Roman"/>
          <w:sz w:val="16"/>
          <w:szCs w:val="16"/>
        </w:rPr>
        <w:t xml:space="preserve"> </w:t>
      </w:r>
    </w:p>
  </w:footnote>
  <w:footnote w:id="10">
    <w:p w14:paraId="163891F5" w14:textId="77777777" w:rsidR="00B75D0C" w:rsidRPr="00284F2C" w:rsidRDefault="00B75D0C" w:rsidP="00B75D0C">
      <w:pPr>
        <w:pStyle w:val="FootnoteText"/>
        <w:rPr>
          <w:rFonts w:ascii="Times New Roman" w:hAnsi="Times New Roman"/>
          <w:sz w:val="16"/>
          <w:szCs w:val="16"/>
        </w:rPr>
      </w:pPr>
      <w:r w:rsidRPr="00284F2C">
        <w:rPr>
          <w:rStyle w:val="FootnoteReference"/>
          <w:rFonts w:ascii="Times New Roman" w:hAnsi="Times New Roman"/>
          <w:sz w:val="16"/>
          <w:szCs w:val="16"/>
        </w:rPr>
        <w:footnoteRef/>
      </w:r>
      <w:r w:rsidRPr="00284F2C">
        <w:rPr>
          <w:rFonts w:ascii="Times New Roman" w:hAnsi="Times New Roman"/>
          <w:sz w:val="16"/>
          <w:szCs w:val="16"/>
        </w:rPr>
        <w:t xml:space="preserve"> Konsolidētā versija: https://eur-lex.europa.eu/legal-content/LV/TXT/?uri=CELEX%3A02018R1999-20231120</w:t>
      </w:r>
    </w:p>
  </w:footnote>
  <w:footnote w:id="11">
    <w:p w14:paraId="1344330E" w14:textId="77777777" w:rsidR="00B75D0C" w:rsidRPr="00284F2C" w:rsidRDefault="00B75D0C" w:rsidP="00B75D0C">
      <w:pPr>
        <w:pStyle w:val="FootnoteText"/>
        <w:jc w:val="both"/>
        <w:rPr>
          <w:rFonts w:ascii="Times New Roman" w:hAnsi="Times New Roman"/>
          <w:sz w:val="16"/>
          <w:szCs w:val="16"/>
        </w:rPr>
      </w:pPr>
      <w:r w:rsidRPr="00284F2C">
        <w:rPr>
          <w:rStyle w:val="FootnoteReference"/>
          <w:rFonts w:ascii="Times New Roman" w:hAnsi="Times New Roman"/>
          <w:sz w:val="16"/>
          <w:szCs w:val="16"/>
        </w:rPr>
        <w:footnoteRef/>
      </w:r>
      <w:r w:rsidRPr="00284F2C">
        <w:rPr>
          <w:rFonts w:ascii="Times New Roman" w:hAnsi="Times New Roman"/>
          <w:sz w:val="16"/>
          <w:szCs w:val="16"/>
        </w:rPr>
        <w:t xml:space="preserve"> Konsolidētā versija </w:t>
      </w:r>
      <w:hyperlink r:id="rId9" w:history="1">
        <w:r w:rsidRPr="00284F2C">
          <w:rPr>
            <w:rStyle w:val="Hyperlink"/>
            <w:rFonts w:ascii="Times New Roman" w:hAnsi="Times New Roman"/>
            <w:sz w:val="16"/>
            <w:szCs w:val="16"/>
          </w:rPr>
          <w:t>https://eur-lex.europa.eu/legal-content/LV/TXT/?uri=CELEX%3A02015R0757-20230605</w:t>
        </w:r>
      </w:hyperlink>
      <w:r w:rsidRPr="00284F2C">
        <w:rPr>
          <w:rFonts w:ascii="Times New Roman" w:hAnsi="Times New Roman"/>
          <w:sz w:val="16"/>
          <w:szCs w:val="16"/>
        </w:rPr>
        <w:t xml:space="preserve"> </w:t>
      </w:r>
    </w:p>
  </w:footnote>
  <w:footnote w:id="12">
    <w:p w14:paraId="3A676BC4" w14:textId="77777777" w:rsidR="00B75D0C" w:rsidRPr="00284F2C" w:rsidRDefault="00B75D0C" w:rsidP="00B75D0C">
      <w:pPr>
        <w:pStyle w:val="FootnoteText"/>
        <w:jc w:val="both"/>
        <w:rPr>
          <w:rFonts w:ascii="Times New Roman" w:hAnsi="Times New Roman"/>
          <w:sz w:val="16"/>
          <w:szCs w:val="16"/>
        </w:rPr>
      </w:pPr>
      <w:r w:rsidRPr="00284F2C">
        <w:rPr>
          <w:rStyle w:val="FootnoteReference"/>
          <w:rFonts w:ascii="Times New Roman" w:hAnsi="Times New Roman"/>
          <w:sz w:val="16"/>
          <w:szCs w:val="16"/>
        </w:rPr>
        <w:footnoteRef/>
      </w:r>
      <w:r w:rsidRPr="00284F2C">
        <w:rPr>
          <w:rFonts w:ascii="Times New Roman" w:hAnsi="Times New Roman"/>
          <w:sz w:val="16"/>
          <w:szCs w:val="16"/>
        </w:rPr>
        <w:t xml:space="preserve"> </w:t>
      </w:r>
      <w:hyperlink r:id="rId10" w:history="1">
        <w:r w:rsidRPr="00284F2C">
          <w:rPr>
            <w:rStyle w:val="Hyperlink"/>
            <w:rFonts w:ascii="Times New Roman" w:hAnsi="Times New Roman"/>
            <w:sz w:val="16"/>
            <w:szCs w:val="16"/>
          </w:rPr>
          <w:t>https://eur-lex.europa.eu/legal-content/LV/TXT/HTML/?uri=CELEX:32023R0955&amp;qid=1695630897917</w:t>
        </w:r>
      </w:hyperlink>
      <w:r w:rsidRPr="00284F2C">
        <w:rPr>
          <w:rFonts w:ascii="Times New Roman" w:hAnsi="Times New Roman"/>
          <w:sz w:val="16"/>
          <w:szCs w:val="16"/>
        </w:rPr>
        <w:t xml:space="preserve"> </w:t>
      </w:r>
    </w:p>
  </w:footnote>
  <w:footnote w:id="13">
    <w:p w14:paraId="2C9E0337" w14:textId="77777777" w:rsidR="00B75D0C" w:rsidRPr="00284F2C" w:rsidRDefault="00B75D0C" w:rsidP="00B75D0C">
      <w:pPr>
        <w:pStyle w:val="FootnoteText"/>
        <w:jc w:val="both"/>
        <w:rPr>
          <w:rFonts w:ascii="Times New Roman" w:hAnsi="Times New Roman"/>
          <w:sz w:val="16"/>
          <w:szCs w:val="16"/>
        </w:rPr>
      </w:pPr>
      <w:r w:rsidRPr="00284F2C">
        <w:rPr>
          <w:rStyle w:val="FootnoteReference"/>
          <w:rFonts w:ascii="Times New Roman" w:hAnsi="Times New Roman"/>
          <w:sz w:val="16"/>
          <w:szCs w:val="16"/>
        </w:rPr>
        <w:footnoteRef/>
      </w:r>
      <w:r w:rsidRPr="00284F2C">
        <w:rPr>
          <w:rFonts w:ascii="Times New Roman" w:hAnsi="Times New Roman"/>
          <w:sz w:val="16"/>
          <w:szCs w:val="16"/>
        </w:rPr>
        <w:t xml:space="preserve"> </w:t>
      </w:r>
      <w:hyperlink r:id="rId11" w:history="1">
        <w:r w:rsidRPr="00284F2C">
          <w:rPr>
            <w:rStyle w:val="Hyperlink"/>
            <w:rFonts w:ascii="Times New Roman" w:hAnsi="Times New Roman"/>
            <w:sz w:val="16"/>
            <w:szCs w:val="16"/>
          </w:rPr>
          <w:t>https://eur-lex.europa.eu/legal-content/LV/TXT/HTML/?uri=CELEX:32023R0956&amp;qid=1695630955252</w:t>
        </w:r>
      </w:hyperlink>
      <w:r w:rsidRPr="00284F2C">
        <w:rPr>
          <w:rFonts w:ascii="Times New Roman" w:hAnsi="Times New Roman"/>
          <w:sz w:val="16"/>
          <w:szCs w:val="16"/>
        </w:rPr>
        <w:t xml:space="preserve"> </w:t>
      </w:r>
    </w:p>
  </w:footnote>
  <w:footnote w:id="14">
    <w:p w14:paraId="44EE139F" w14:textId="77777777" w:rsidR="00B75D0C" w:rsidRPr="00284F2C" w:rsidRDefault="00B75D0C" w:rsidP="00B75D0C">
      <w:pPr>
        <w:pStyle w:val="FootnoteText"/>
        <w:rPr>
          <w:rFonts w:ascii="Times New Roman" w:hAnsi="Times New Roman"/>
          <w:sz w:val="16"/>
          <w:szCs w:val="16"/>
        </w:rPr>
      </w:pPr>
      <w:r w:rsidRPr="00284F2C">
        <w:rPr>
          <w:rStyle w:val="FootnoteReference"/>
          <w:rFonts w:ascii="Times New Roman" w:hAnsi="Times New Roman"/>
          <w:sz w:val="16"/>
          <w:szCs w:val="16"/>
        </w:rPr>
        <w:footnoteRef/>
      </w:r>
      <w:r w:rsidRPr="00284F2C">
        <w:rPr>
          <w:rFonts w:ascii="Times New Roman" w:hAnsi="Times New Roman"/>
          <w:sz w:val="16"/>
          <w:szCs w:val="16"/>
        </w:rPr>
        <w:t xml:space="preserve"> https://eur-lex.europa.eu/eli/dir/2018/2001/oj/?locale=LV</w:t>
      </w:r>
    </w:p>
  </w:footnote>
  <w:footnote w:id="15">
    <w:p w14:paraId="7C738EE7" w14:textId="77777777" w:rsidR="00B75D0C" w:rsidRPr="00284F2C" w:rsidRDefault="00B75D0C" w:rsidP="00B75D0C">
      <w:pPr>
        <w:pStyle w:val="FootnoteText"/>
        <w:rPr>
          <w:rFonts w:ascii="Times New Roman" w:hAnsi="Times New Roman"/>
          <w:sz w:val="16"/>
          <w:szCs w:val="16"/>
        </w:rPr>
      </w:pPr>
      <w:r w:rsidRPr="00284F2C">
        <w:rPr>
          <w:rStyle w:val="FootnoteReference"/>
          <w:rFonts w:ascii="Times New Roman" w:hAnsi="Times New Roman"/>
          <w:sz w:val="16"/>
          <w:szCs w:val="16"/>
        </w:rPr>
        <w:footnoteRef/>
      </w:r>
      <w:r w:rsidRPr="00284F2C">
        <w:rPr>
          <w:rFonts w:ascii="Times New Roman" w:hAnsi="Times New Roman"/>
          <w:sz w:val="16"/>
          <w:szCs w:val="16"/>
        </w:rPr>
        <w:t xml:space="preserve"> </w:t>
      </w:r>
      <w:hyperlink r:id="rId12" w:history="1">
        <w:r w:rsidRPr="00284F2C">
          <w:rPr>
            <w:rStyle w:val="Hyperlink"/>
            <w:rFonts w:ascii="Times New Roman" w:hAnsi="Times New Roman"/>
            <w:sz w:val="16"/>
            <w:szCs w:val="16"/>
          </w:rPr>
          <w:t>https://eur-lex.europa.eu/legal-content/LV/TXT/?uri=OJ%3AL_202302413</w:t>
        </w:r>
      </w:hyperlink>
      <w:r w:rsidRPr="00284F2C">
        <w:rPr>
          <w:rFonts w:ascii="Times New Roman" w:hAnsi="Times New Roman"/>
          <w:sz w:val="16"/>
          <w:szCs w:val="16"/>
        </w:rPr>
        <w:t xml:space="preserve"> </w:t>
      </w:r>
    </w:p>
  </w:footnote>
  <w:footnote w:id="16">
    <w:p w14:paraId="783E3371" w14:textId="77777777" w:rsidR="00B75D0C" w:rsidRPr="00C31F53" w:rsidRDefault="00B75D0C" w:rsidP="00B75D0C">
      <w:pPr>
        <w:spacing w:after="0" w:line="240" w:lineRule="auto"/>
        <w:jc w:val="both"/>
        <w:rPr>
          <w:rFonts w:ascii="Times New Roman" w:hAnsi="Times New Roman"/>
          <w:sz w:val="16"/>
          <w:szCs w:val="16"/>
        </w:rPr>
      </w:pPr>
      <w:r w:rsidRPr="00284F2C">
        <w:rPr>
          <w:rFonts w:ascii="Times New Roman" w:hAnsi="Times New Roman"/>
          <w:sz w:val="16"/>
          <w:szCs w:val="16"/>
          <w:vertAlign w:val="superscript"/>
        </w:rPr>
        <w:footnoteRef/>
      </w:r>
      <w:r w:rsidRPr="00284F2C">
        <w:rPr>
          <w:rFonts w:ascii="Times New Roman" w:hAnsi="Times New Roman"/>
          <w:sz w:val="16"/>
          <w:szCs w:val="16"/>
        </w:rPr>
        <w:t xml:space="preserve"> https://eur-lex.europa.eu/eli/dir/2023/1791</w:t>
      </w:r>
      <w:r w:rsidRPr="00C31F53">
        <w:rPr>
          <w:rFonts w:ascii="Times New Roman" w:hAnsi="Times New Roman"/>
          <w:sz w:val="16"/>
          <w:szCs w:val="16"/>
        </w:rPr>
        <w:t xml:space="preserve">  </w:t>
      </w:r>
    </w:p>
  </w:footnote>
  <w:footnote w:id="17">
    <w:p w14:paraId="05487C40" w14:textId="77777777" w:rsidR="00B75D0C" w:rsidRPr="00C31F53" w:rsidRDefault="00B75D0C" w:rsidP="00B75D0C">
      <w:pPr>
        <w:pStyle w:val="FootnoteText"/>
        <w:jc w:val="both"/>
        <w:rPr>
          <w:rFonts w:ascii="Times New Roman" w:hAnsi="Times New Roman"/>
          <w:sz w:val="16"/>
          <w:szCs w:val="16"/>
        </w:rPr>
      </w:pPr>
      <w:r w:rsidRPr="00C31F53">
        <w:rPr>
          <w:rStyle w:val="FootnoteReference"/>
          <w:rFonts w:ascii="Times New Roman" w:hAnsi="Times New Roman"/>
          <w:sz w:val="16"/>
          <w:szCs w:val="16"/>
        </w:rPr>
        <w:footnoteRef/>
      </w:r>
      <w:r w:rsidRPr="00C31F53">
        <w:rPr>
          <w:rFonts w:ascii="Times New Roman" w:hAnsi="Times New Roman"/>
          <w:sz w:val="16"/>
          <w:szCs w:val="16"/>
        </w:rPr>
        <w:t xml:space="preserve"> </w:t>
      </w:r>
      <w:hyperlink r:id="rId13" w:history="1">
        <w:r w:rsidRPr="00C31F53">
          <w:rPr>
            <w:rStyle w:val="Hyperlink"/>
            <w:rFonts w:ascii="Times New Roman" w:hAnsi="Times New Roman"/>
            <w:sz w:val="16"/>
            <w:szCs w:val="16"/>
          </w:rPr>
          <w:t>https://eur-lex.europa.eu/legal-content/LV/TXT/?uri=CELEX:32023R1804</w:t>
        </w:r>
      </w:hyperlink>
      <w:r w:rsidRPr="00C31F53">
        <w:rPr>
          <w:rFonts w:ascii="Times New Roman" w:hAnsi="Times New Roman"/>
          <w:sz w:val="16"/>
          <w:szCs w:val="16"/>
        </w:rPr>
        <w:t xml:space="preserve"> </w:t>
      </w:r>
    </w:p>
  </w:footnote>
  <w:footnote w:id="18">
    <w:p w14:paraId="48D36304" w14:textId="77777777" w:rsidR="00B75D0C" w:rsidRPr="00C31F53" w:rsidRDefault="00B75D0C" w:rsidP="00B75D0C">
      <w:pPr>
        <w:pStyle w:val="FootnoteText"/>
        <w:jc w:val="both"/>
        <w:rPr>
          <w:rFonts w:ascii="Times New Roman" w:hAnsi="Times New Roman"/>
          <w:sz w:val="16"/>
          <w:szCs w:val="16"/>
        </w:rPr>
      </w:pPr>
      <w:r w:rsidRPr="00C31F53">
        <w:rPr>
          <w:rStyle w:val="FootnoteReference"/>
          <w:rFonts w:ascii="Times New Roman" w:hAnsi="Times New Roman"/>
          <w:sz w:val="16"/>
          <w:szCs w:val="16"/>
        </w:rPr>
        <w:footnoteRef/>
      </w:r>
      <w:r w:rsidRPr="00C31F53">
        <w:rPr>
          <w:rFonts w:ascii="Times New Roman" w:hAnsi="Times New Roman"/>
          <w:sz w:val="16"/>
          <w:szCs w:val="16"/>
        </w:rPr>
        <w:t xml:space="preserve"> </w:t>
      </w:r>
      <w:hyperlink r:id="rId14" w:history="1">
        <w:r w:rsidRPr="00C31F53">
          <w:rPr>
            <w:rStyle w:val="Hyperlink"/>
            <w:rFonts w:ascii="Times New Roman" w:hAnsi="Times New Roman"/>
            <w:sz w:val="16"/>
            <w:szCs w:val="16"/>
          </w:rPr>
          <w:t>https://eur-lex.europa.eu/legal-content/LV/TXT/HTML/?uri=CELEX:32023R1805</w:t>
        </w:r>
      </w:hyperlink>
      <w:r w:rsidRPr="00C31F53">
        <w:rPr>
          <w:rFonts w:ascii="Times New Roman" w:hAnsi="Times New Roman"/>
          <w:sz w:val="16"/>
          <w:szCs w:val="16"/>
        </w:rPr>
        <w:t xml:space="preserve"> </w:t>
      </w:r>
    </w:p>
  </w:footnote>
  <w:footnote w:id="19">
    <w:p w14:paraId="708A5A08" w14:textId="77777777" w:rsidR="00B75D0C" w:rsidRPr="00C31F53" w:rsidRDefault="00B75D0C" w:rsidP="00B75D0C">
      <w:pPr>
        <w:pStyle w:val="FootnoteText"/>
        <w:rPr>
          <w:rFonts w:ascii="Times New Roman" w:hAnsi="Times New Roman"/>
          <w:sz w:val="16"/>
          <w:szCs w:val="16"/>
        </w:rPr>
      </w:pPr>
      <w:r w:rsidRPr="00C31F53">
        <w:rPr>
          <w:rStyle w:val="FootnoteReference"/>
          <w:rFonts w:ascii="Times New Roman" w:hAnsi="Times New Roman"/>
          <w:sz w:val="16"/>
          <w:szCs w:val="16"/>
        </w:rPr>
        <w:footnoteRef/>
      </w:r>
      <w:r w:rsidRPr="00C31F53">
        <w:rPr>
          <w:rFonts w:ascii="Times New Roman" w:hAnsi="Times New Roman"/>
          <w:sz w:val="16"/>
          <w:szCs w:val="16"/>
        </w:rPr>
        <w:t xml:space="preserve"> </w:t>
      </w:r>
      <w:hyperlink r:id="rId15" w:history="1">
        <w:r w:rsidRPr="00C31F53">
          <w:rPr>
            <w:rStyle w:val="Hyperlink"/>
            <w:rFonts w:ascii="Times New Roman" w:hAnsi="Times New Roman"/>
            <w:sz w:val="16"/>
            <w:szCs w:val="16"/>
          </w:rPr>
          <w:t>https://eur-lex.europa.eu/legal-content/LV/TXT/?uri=OJ:L_202302405</w:t>
        </w:r>
      </w:hyperlink>
      <w:r w:rsidRPr="00C31F53">
        <w:rPr>
          <w:rFonts w:ascii="Times New Roman" w:hAnsi="Times New Roman"/>
          <w:sz w:val="16"/>
          <w:szCs w:val="16"/>
        </w:rPr>
        <w:t xml:space="preserve"> </w:t>
      </w:r>
    </w:p>
  </w:footnote>
  <w:footnote w:id="20">
    <w:p w14:paraId="06ACCCFC" w14:textId="77777777" w:rsidR="00B75D0C" w:rsidRPr="00021C93" w:rsidRDefault="00B75D0C" w:rsidP="00B75D0C">
      <w:pPr>
        <w:pStyle w:val="FootnoteText"/>
      </w:pPr>
      <w:r w:rsidRPr="00C31F53">
        <w:rPr>
          <w:rStyle w:val="FootnoteReference"/>
          <w:rFonts w:ascii="Times New Roman" w:hAnsi="Times New Roman"/>
          <w:sz w:val="16"/>
          <w:szCs w:val="16"/>
        </w:rPr>
        <w:footnoteRef/>
      </w:r>
      <w:r w:rsidRPr="00C31F53">
        <w:rPr>
          <w:rFonts w:ascii="Times New Roman" w:hAnsi="Times New Roman"/>
          <w:sz w:val="16"/>
          <w:szCs w:val="16"/>
        </w:rPr>
        <w:t xml:space="preserve"> Pirmais Starptautiskais stāvokļa novērtējums </w:t>
      </w:r>
      <w:r>
        <w:rPr>
          <w:rFonts w:ascii="Times New Roman" w:hAnsi="Times New Roman"/>
          <w:sz w:val="16"/>
          <w:szCs w:val="16"/>
        </w:rPr>
        <w:t>notika</w:t>
      </w:r>
      <w:r w:rsidRPr="00C31F53">
        <w:rPr>
          <w:rFonts w:ascii="Times New Roman" w:hAnsi="Times New Roman"/>
          <w:sz w:val="16"/>
          <w:szCs w:val="16"/>
        </w:rPr>
        <w:t xml:space="preserve"> 2023. gada 30. novembrī - 12. decembrī Dubaijā, Apvienotajos Arābu Emirātos notika Apvienoto Nāciju Organizācijas (turpmāk – ANO) Vispārējās konvencijas par klimata pārmaiņām (turpmāk – Klimata konvencija) Līgumslēdzēju pušu konferences 28. sesija</w:t>
      </w:r>
      <w:r>
        <w:rPr>
          <w:rFonts w:ascii="Times New Roman" w:hAnsi="Times New Roman"/>
          <w:sz w:val="16"/>
          <w:szCs w:val="16"/>
        </w:rPr>
        <w:t>s</w:t>
      </w:r>
      <w:r w:rsidRPr="00C31F53">
        <w:rPr>
          <w:rFonts w:ascii="Times New Roman" w:hAnsi="Times New Roman"/>
          <w:sz w:val="16"/>
          <w:szCs w:val="16"/>
        </w:rPr>
        <w:t xml:space="preserve"> (</w:t>
      </w:r>
      <w:r w:rsidRPr="00021C93">
        <w:rPr>
          <w:rFonts w:ascii="Times New Roman" w:hAnsi="Times New Roman"/>
          <w:sz w:val="16"/>
          <w:szCs w:val="16"/>
        </w:rPr>
        <w:t xml:space="preserve">COP 28) </w:t>
      </w:r>
      <w:proofErr w:type="spellStart"/>
      <w:r w:rsidRPr="00021C93">
        <w:rPr>
          <w:rFonts w:ascii="Times New Roman" w:hAnsi="Times New Roman"/>
          <w:sz w:val="16"/>
          <w:szCs w:val="16"/>
        </w:rPr>
        <w:t>ietvaros</w:t>
      </w:r>
      <w:r>
        <w:rPr>
          <w:rFonts w:ascii="Times New Roman" w:hAnsi="Times New Roman"/>
          <w:sz w:val="16"/>
          <w:szCs w:val="16"/>
        </w:rPr>
        <w:t>.</w:t>
      </w:r>
      <w:r w:rsidRPr="00021C93">
        <w:rPr>
          <w:rStyle w:val="WW8Num1z0"/>
          <w:color w:val="000000"/>
          <w:shd w:val="clear" w:color="auto" w:fill="FFFFFF"/>
        </w:rPr>
        <w:t xml:space="preserve"> </w:t>
      </w:r>
      <w:r>
        <w:rPr>
          <w:rFonts w:ascii="Times New Roman" w:hAnsi="Times New Roman"/>
          <w:sz w:val="16"/>
          <w:szCs w:val="16"/>
        </w:rPr>
        <w:t>N</w:t>
      </w:r>
      <w:r w:rsidRPr="00021C93">
        <w:rPr>
          <w:rFonts w:ascii="Times New Roman" w:hAnsi="Times New Roman"/>
          <w:sz w:val="16"/>
          <w:szCs w:val="16"/>
        </w:rPr>
        <w:t>ākamais</w:t>
      </w:r>
      <w:proofErr w:type="spellEnd"/>
      <w:r w:rsidRPr="00021C93">
        <w:rPr>
          <w:rFonts w:ascii="Times New Roman" w:hAnsi="Times New Roman"/>
          <w:sz w:val="16"/>
          <w:szCs w:val="16"/>
        </w:rPr>
        <w:t xml:space="preserve"> GST būs </w:t>
      </w:r>
      <w:r>
        <w:rPr>
          <w:rFonts w:ascii="Times New Roman" w:hAnsi="Times New Roman"/>
          <w:sz w:val="16"/>
          <w:szCs w:val="16"/>
        </w:rPr>
        <w:t>2028.gadā.</w:t>
      </w:r>
    </w:p>
  </w:footnote>
  <w:footnote w:id="21">
    <w:p w14:paraId="2E409E90" w14:textId="77777777" w:rsidR="00B75D0C" w:rsidRPr="000347AB" w:rsidRDefault="00B75D0C" w:rsidP="00B75D0C">
      <w:pPr>
        <w:pStyle w:val="FootnoteText"/>
        <w:jc w:val="both"/>
        <w:rPr>
          <w:rFonts w:ascii="Times New Roman" w:hAnsi="Times New Roman"/>
          <w:sz w:val="16"/>
          <w:szCs w:val="16"/>
        </w:rPr>
      </w:pPr>
      <w:r w:rsidRPr="00660929">
        <w:rPr>
          <w:rStyle w:val="FootnoteCharacters"/>
          <w:rFonts w:ascii="Times New Roman" w:hAnsi="Times New Roman"/>
          <w:sz w:val="16"/>
          <w:szCs w:val="16"/>
        </w:rPr>
        <w:footnoteRef/>
      </w:r>
      <w:r w:rsidRPr="00660929">
        <w:rPr>
          <w:rFonts w:ascii="Times New Roman" w:hAnsi="Times New Roman"/>
          <w:sz w:val="16"/>
          <w:szCs w:val="16"/>
        </w:rPr>
        <w:t> </w:t>
      </w:r>
      <w:r w:rsidRPr="00660929">
        <w:rPr>
          <w:rFonts w:ascii="Times New Roman" w:eastAsia="Times New Roman" w:hAnsi="Times New Roman"/>
          <w:sz w:val="16"/>
          <w:szCs w:val="16"/>
        </w:rPr>
        <w:t xml:space="preserve">ES ETS tika izveidota, lai veicinātu SEG emisiju samazināšanu izmaksu efektīvā, godīgā un solidārā veidā. ES ETS ietvaros katrai ETS iekārtai tiek piešķirts noteikts bezmaksas emisijas kvotu daudzums ko operators var izmantot, sedzot saistības par iekārtas emitētajām SEG emisijām. ETS </w:t>
      </w:r>
      <w:r w:rsidRPr="000347AB">
        <w:rPr>
          <w:rFonts w:ascii="Times New Roman" w:eastAsia="Times New Roman" w:hAnsi="Times New Roman"/>
          <w:sz w:val="16"/>
          <w:szCs w:val="16"/>
        </w:rPr>
        <w:t>galvenokārt aptver rūpnieciskās iekārtas energoietilpīgajās tautsaimniecības nozarēs, tai skaitā elektroenerģijas un siltumenerģijas, cementa, keramikas, tērauda, stikla u.c. ražošanas iekārtas.</w:t>
      </w:r>
    </w:p>
  </w:footnote>
  <w:footnote w:id="22">
    <w:p w14:paraId="000FCAF1" w14:textId="77777777" w:rsidR="00B75D0C" w:rsidRDefault="00B75D0C" w:rsidP="00B75D0C">
      <w:pPr>
        <w:pStyle w:val="FootnoteText"/>
      </w:pPr>
      <w:r w:rsidRPr="000347AB">
        <w:rPr>
          <w:rStyle w:val="FootnoteReference"/>
          <w:rFonts w:ascii="Times New Roman" w:hAnsi="Times New Roman"/>
          <w:sz w:val="16"/>
          <w:szCs w:val="16"/>
        </w:rPr>
        <w:footnoteRef/>
      </w:r>
      <w:r w:rsidRPr="000347AB">
        <w:rPr>
          <w:rFonts w:ascii="Times New Roman" w:hAnsi="Times New Roman"/>
          <w:sz w:val="16"/>
          <w:szCs w:val="16"/>
        </w:rPr>
        <w:t xml:space="preserve"> Transports, Lauksaimniecība, atkritumu apsaimniekošana, enerģētika un rūpnieciskie procesi un produktu izmantošana sektor</w:t>
      </w:r>
      <w:r>
        <w:rPr>
          <w:rFonts w:ascii="Times New Roman" w:hAnsi="Times New Roman"/>
          <w:sz w:val="16"/>
          <w:szCs w:val="16"/>
        </w:rPr>
        <w:t>i</w:t>
      </w:r>
      <w:r w:rsidRPr="000347AB">
        <w:rPr>
          <w:rFonts w:ascii="Times New Roman" w:hAnsi="Times New Roman"/>
          <w:sz w:val="16"/>
          <w:szCs w:val="16"/>
        </w:rPr>
        <w:t>, kas nav ietvert</w:t>
      </w:r>
      <w:r>
        <w:rPr>
          <w:rFonts w:ascii="Times New Roman" w:hAnsi="Times New Roman"/>
          <w:sz w:val="16"/>
          <w:szCs w:val="16"/>
        </w:rPr>
        <w:t>i</w:t>
      </w:r>
      <w:r w:rsidRPr="000347AB">
        <w:rPr>
          <w:rFonts w:ascii="Times New Roman" w:hAnsi="Times New Roman"/>
          <w:sz w:val="16"/>
          <w:szCs w:val="16"/>
        </w:rPr>
        <w:t xml:space="preserve"> ES</w:t>
      </w:r>
      <w:r>
        <w:rPr>
          <w:rFonts w:ascii="Times New Roman" w:hAnsi="Times New Roman"/>
          <w:sz w:val="16"/>
          <w:szCs w:val="16"/>
        </w:rPr>
        <w:t xml:space="preserve"> </w:t>
      </w:r>
      <w:r w:rsidRPr="000347AB">
        <w:rPr>
          <w:rFonts w:ascii="Times New Roman" w:hAnsi="Times New Roman"/>
          <w:sz w:val="16"/>
          <w:szCs w:val="16"/>
        </w:rPr>
        <w:t>ETS</w:t>
      </w:r>
      <w:r>
        <w:rPr>
          <w:rFonts w:ascii="Times New Roman" w:hAnsi="Times New Roman"/>
          <w:sz w:val="16"/>
          <w:szCs w:val="16"/>
        </w:rPr>
        <w:t xml:space="preserve"> (mājsaimniecības, u.c.)</w:t>
      </w:r>
      <w:r w:rsidRPr="000347AB">
        <w:rPr>
          <w:rFonts w:ascii="Times New Roman" w:hAnsi="Times New Roman"/>
          <w:sz w:val="16"/>
          <w:szCs w:val="16"/>
        </w:rPr>
        <w:t>.</w:t>
      </w:r>
      <w:r w:rsidRPr="00DF42E9">
        <w:t xml:space="preserve"> </w:t>
      </w:r>
      <w:r w:rsidRPr="00DF42E9">
        <w:rPr>
          <w:rFonts w:ascii="Times New Roman" w:hAnsi="Times New Roman"/>
          <w:sz w:val="16"/>
          <w:szCs w:val="16"/>
        </w:rPr>
        <w:t>CO</w:t>
      </w:r>
      <w:r w:rsidRPr="00DF42E9">
        <w:rPr>
          <w:rFonts w:ascii="Times New Roman" w:hAnsi="Times New Roman"/>
          <w:sz w:val="16"/>
          <w:szCs w:val="16"/>
          <w:vertAlign w:val="subscript"/>
        </w:rPr>
        <w:t>2</w:t>
      </w:r>
      <w:r w:rsidRPr="00DF42E9">
        <w:rPr>
          <w:rFonts w:ascii="Times New Roman" w:hAnsi="Times New Roman"/>
          <w:sz w:val="16"/>
          <w:szCs w:val="16"/>
        </w:rPr>
        <w:t xml:space="preserve"> emisijas no Klimata pārmaiņu starpvaldību padomes (turpmāk – IPCC) noteiktās avota kategorijas “1.A.3.A civilā aviācija” tiek uzskatītas par vienādām ar nulli.</w:t>
      </w:r>
    </w:p>
  </w:footnote>
  <w:footnote w:id="23">
    <w:p w14:paraId="78E91DBE" w14:textId="77777777" w:rsidR="00B75D0C" w:rsidRPr="00DD3198" w:rsidRDefault="00B75D0C" w:rsidP="00B75D0C">
      <w:pPr>
        <w:pStyle w:val="FootnoteText"/>
        <w:rPr>
          <w:rFonts w:ascii="Times New Roman" w:hAnsi="Times New Roman"/>
          <w:sz w:val="16"/>
          <w:szCs w:val="16"/>
        </w:rPr>
      </w:pPr>
      <w:r w:rsidRPr="00DD3198">
        <w:rPr>
          <w:rStyle w:val="FootnoteReference"/>
          <w:rFonts w:ascii="Times New Roman" w:hAnsi="Times New Roman"/>
          <w:sz w:val="16"/>
          <w:szCs w:val="16"/>
        </w:rPr>
        <w:footnoteRef/>
      </w:r>
      <w:r w:rsidRPr="00DD3198">
        <w:rPr>
          <w:rFonts w:ascii="Times New Roman" w:hAnsi="Times New Roman"/>
          <w:sz w:val="16"/>
          <w:szCs w:val="16"/>
        </w:rPr>
        <w:t xml:space="preserve"> 2020.gada 15.-16.oktobra Eiropadomes secinājumi: https://www.consilium.europa.eu/media/46358/161020-euco-final-conclusions-lv.pdf</w:t>
      </w:r>
    </w:p>
  </w:footnote>
  <w:footnote w:id="24">
    <w:p w14:paraId="222709F2" w14:textId="77777777" w:rsidR="00B75D0C" w:rsidRPr="002003C9" w:rsidRDefault="00B75D0C" w:rsidP="00B75D0C">
      <w:pPr>
        <w:pStyle w:val="FootnoteText"/>
        <w:jc w:val="both"/>
        <w:rPr>
          <w:rFonts w:ascii="Times New Roman" w:hAnsi="Times New Roman"/>
          <w:sz w:val="16"/>
          <w:szCs w:val="16"/>
        </w:rPr>
      </w:pPr>
      <w:r w:rsidRPr="00DD3198">
        <w:rPr>
          <w:rFonts w:ascii="Times New Roman" w:hAnsi="Times New Roman"/>
          <w:sz w:val="16"/>
          <w:szCs w:val="16"/>
          <w:shd w:val="clear" w:color="auto" w:fill="FFFFFF"/>
          <w:vertAlign w:val="superscript"/>
        </w:rPr>
        <w:footnoteRef/>
      </w:r>
      <w:r w:rsidRPr="00DD3198">
        <w:rPr>
          <w:rFonts w:ascii="Times New Roman" w:hAnsi="Times New Roman"/>
          <w:sz w:val="16"/>
          <w:szCs w:val="16"/>
          <w:shd w:val="clear" w:color="auto" w:fill="FFFFFF"/>
        </w:rPr>
        <w:t xml:space="preserve"> </w:t>
      </w:r>
      <w:r w:rsidRPr="00F23498">
        <w:rPr>
          <w:rFonts w:ascii="Times New Roman" w:hAnsi="Times New Roman"/>
          <w:sz w:val="16"/>
          <w:szCs w:val="16"/>
          <w:shd w:val="clear" w:color="auto" w:fill="FFFFFF"/>
        </w:rPr>
        <w:t>Konsolidētā versija: https://eur-lex.europa.eu/legal-content/LV/TXT/?uri=CELEX%3A02018R0842-20230516</w:t>
      </w:r>
    </w:p>
  </w:footnote>
  <w:footnote w:id="25">
    <w:p w14:paraId="4EB55D35" w14:textId="77777777" w:rsidR="00B75D0C" w:rsidRPr="00575044" w:rsidRDefault="00B75D0C" w:rsidP="00B75D0C">
      <w:pPr>
        <w:pStyle w:val="doc-ti"/>
        <w:shd w:val="clear" w:color="auto" w:fill="FFFFFF" w:themeFill="background1"/>
        <w:spacing w:before="0" w:after="0"/>
        <w:textAlignment w:val="baseline"/>
        <w:rPr>
          <w:bCs/>
          <w:sz w:val="16"/>
          <w:szCs w:val="16"/>
        </w:rPr>
      </w:pPr>
      <w:r w:rsidRPr="00DD3198">
        <w:rPr>
          <w:sz w:val="16"/>
          <w:szCs w:val="16"/>
          <w:vertAlign w:val="superscript"/>
        </w:rPr>
        <w:footnoteRef/>
      </w:r>
      <w:r w:rsidRPr="00DD3198">
        <w:rPr>
          <w:sz w:val="16"/>
          <w:szCs w:val="16"/>
          <w:vertAlign w:val="superscript"/>
        </w:rPr>
        <w:t xml:space="preserve">  </w:t>
      </w:r>
      <w:r w:rsidRPr="00575044">
        <w:rPr>
          <w:sz w:val="16"/>
          <w:szCs w:val="16"/>
        </w:rPr>
        <w:t xml:space="preserve">Konsolidētā versija: </w:t>
      </w:r>
      <w:r w:rsidRPr="00575044">
        <w:rPr>
          <w:bCs/>
          <w:sz w:val="16"/>
          <w:szCs w:val="16"/>
        </w:rPr>
        <w:t>https://eur-lex.europa.eu/legal-content/LV/TXT/PDF/?uri=CELEX:32023R0839&amp;qid=</w:t>
      </w:r>
      <w:r w:rsidRPr="00575044">
        <w:rPr>
          <w:sz w:val="16"/>
          <w:szCs w:val="16"/>
        </w:rPr>
        <w:t>1684740746769</w:t>
      </w:r>
    </w:p>
  </w:footnote>
  <w:footnote w:id="26">
    <w:p w14:paraId="1EC5A15C" w14:textId="77777777" w:rsidR="00B75D0C" w:rsidRPr="00581D91" w:rsidRDefault="00B75D0C" w:rsidP="00B75D0C">
      <w:pPr>
        <w:pStyle w:val="CommentText"/>
        <w:spacing w:after="0"/>
        <w:rPr>
          <w:rFonts w:ascii="Times New Roman" w:hAnsi="Times New Roman"/>
          <w:sz w:val="16"/>
          <w:szCs w:val="16"/>
        </w:rPr>
      </w:pPr>
      <w:r w:rsidRPr="00DD3198">
        <w:rPr>
          <w:rFonts w:ascii="Times New Roman" w:hAnsi="Times New Roman"/>
          <w:color w:val="000000"/>
          <w:sz w:val="16"/>
          <w:szCs w:val="16"/>
          <w:shd w:val="clear" w:color="auto" w:fill="FFFFFF"/>
          <w:vertAlign w:val="superscript"/>
        </w:rPr>
        <w:footnoteRef/>
      </w:r>
      <w:r w:rsidRPr="00DD3198">
        <w:rPr>
          <w:rFonts w:ascii="Times New Roman" w:hAnsi="Times New Roman"/>
          <w:color w:val="000000"/>
          <w:sz w:val="16"/>
          <w:szCs w:val="16"/>
          <w:shd w:val="clear" w:color="auto" w:fill="FFFFFF"/>
        </w:rPr>
        <w:t xml:space="preserve"> Konsolidētā versija: https://eur-lex.europa.eu/legal-content/EN/TXT/?uri=CELEX%3A02018R0841-20230511</w:t>
      </w:r>
    </w:p>
  </w:footnote>
  <w:footnote w:id="27">
    <w:p w14:paraId="1ECBF781" w14:textId="77777777" w:rsidR="00B75D0C" w:rsidRPr="00034DAA" w:rsidRDefault="00B75D0C" w:rsidP="00B75D0C">
      <w:pPr>
        <w:pStyle w:val="CommentText"/>
        <w:spacing w:after="0"/>
        <w:rPr>
          <w:rFonts w:ascii="Times New Roman" w:hAnsi="Times New Roman"/>
          <w:sz w:val="16"/>
          <w:szCs w:val="16"/>
        </w:rPr>
      </w:pPr>
      <w:r w:rsidRPr="00DD3198">
        <w:rPr>
          <w:rStyle w:val="FootnoteCharacters"/>
          <w:rFonts w:ascii="Times New Roman" w:hAnsi="Times New Roman"/>
          <w:sz w:val="16"/>
          <w:szCs w:val="16"/>
        </w:rPr>
        <w:footnoteRef/>
      </w:r>
      <w:r w:rsidRPr="00DD3198">
        <w:rPr>
          <w:rFonts w:ascii="Times New Roman" w:hAnsi="Times New Roman"/>
          <w:sz w:val="16"/>
          <w:szCs w:val="16"/>
        </w:rPr>
        <w:t xml:space="preserve"> </w:t>
      </w:r>
      <w:r w:rsidRPr="00034DAA">
        <w:rPr>
          <w:rFonts w:ascii="Times New Roman" w:hAnsi="Times New Roman"/>
          <w:sz w:val="16"/>
          <w:szCs w:val="16"/>
        </w:rPr>
        <w:t>Saskaņā ar Saistību pārdales regulas (ESR) 7.pantu Latvijai kopējais daudzums, ko ņem vērā par visiem gadiem 2021.–</w:t>
      </w:r>
      <w:r>
        <w:rPr>
          <w:rFonts w:ascii="Times New Roman" w:hAnsi="Times New Roman"/>
          <w:sz w:val="16"/>
          <w:szCs w:val="16"/>
        </w:rPr>
        <w:t xml:space="preserve"> 2030.</w:t>
      </w:r>
      <w:r w:rsidRPr="00034DAA">
        <w:rPr>
          <w:rFonts w:ascii="Times New Roman" w:hAnsi="Times New Roman"/>
          <w:sz w:val="16"/>
          <w:szCs w:val="16"/>
        </w:rPr>
        <w:t xml:space="preserve"> gada periodā, nepārsniedz 3.1 </w:t>
      </w:r>
      <w:r w:rsidRPr="00034DAA">
        <w:rPr>
          <w:rFonts w:ascii="Times New Roman" w:hAnsi="Times New Roman"/>
          <w:color w:val="000000"/>
          <w:sz w:val="16"/>
          <w:szCs w:val="16"/>
          <w:shd w:val="clear" w:color="auto" w:fill="FFFFFF"/>
        </w:rPr>
        <w:t>miljons tonnu CO</w:t>
      </w:r>
      <w:r w:rsidRPr="00034DAA">
        <w:rPr>
          <w:rStyle w:val="sub"/>
          <w:rFonts w:ascii="Times New Roman" w:hAnsi="Times New Roman"/>
          <w:color w:val="000000"/>
          <w:sz w:val="16"/>
          <w:szCs w:val="16"/>
          <w:shd w:val="clear" w:color="auto" w:fill="FFFFFF"/>
          <w:vertAlign w:val="subscript"/>
        </w:rPr>
        <w:t>2</w:t>
      </w:r>
      <w:r w:rsidRPr="00034DAA">
        <w:rPr>
          <w:rFonts w:ascii="Times New Roman" w:hAnsi="Times New Roman"/>
          <w:color w:val="000000"/>
          <w:sz w:val="16"/>
          <w:szCs w:val="16"/>
          <w:shd w:val="clear" w:color="auto" w:fill="FFFFFF"/>
        </w:rPr>
        <w:t> </w:t>
      </w:r>
      <w:proofErr w:type="spellStart"/>
      <w:r w:rsidRPr="00034DAA">
        <w:rPr>
          <w:rFonts w:ascii="Times New Roman" w:hAnsi="Times New Roman"/>
          <w:color w:val="000000"/>
          <w:sz w:val="16"/>
          <w:szCs w:val="16"/>
          <w:shd w:val="clear" w:color="auto" w:fill="FFFFFF"/>
        </w:rPr>
        <w:t>ekv</w:t>
      </w:r>
      <w:proofErr w:type="spellEnd"/>
      <w:r w:rsidRPr="00034DAA">
        <w:rPr>
          <w:rFonts w:ascii="Times New Roman" w:hAnsi="Times New Roman"/>
          <w:color w:val="000000"/>
          <w:sz w:val="16"/>
          <w:szCs w:val="16"/>
          <w:shd w:val="clear" w:color="auto" w:fill="FFFFFF"/>
        </w:rPr>
        <w:t>.</w:t>
      </w:r>
      <w:r w:rsidRPr="00034DAA">
        <w:rPr>
          <w:rFonts w:ascii="Times New Roman" w:hAnsi="Times New Roman"/>
          <w:sz w:val="16"/>
          <w:szCs w:val="16"/>
        </w:rPr>
        <w:t xml:space="preserve"> kopējās neto piesaistes maksimālo apjomu.</w:t>
      </w:r>
    </w:p>
  </w:footnote>
  <w:footnote w:id="28">
    <w:p w14:paraId="11E2C25E" w14:textId="77777777" w:rsidR="00B75D0C" w:rsidRPr="00AA1EC4" w:rsidRDefault="00B75D0C" w:rsidP="00B75D0C">
      <w:pPr>
        <w:pStyle w:val="FootnoteText"/>
        <w:rPr>
          <w:rFonts w:ascii="Times New Roman" w:hAnsi="Times New Roman"/>
          <w:sz w:val="16"/>
          <w:szCs w:val="16"/>
        </w:rPr>
      </w:pPr>
      <w:r w:rsidRPr="00AA1EC4">
        <w:rPr>
          <w:rStyle w:val="FootnoteReference"/>
          <w:rFonts w:ascii="Times New Roman" w:hAnsi="Times New Roman"/>
          <w:sz w:val="16"/>
          <w:szCs w:val="16"/>
        </w:rPr>
        <w:footnoteRef/>
      </w:r>
      <w:r w:rsidRPr="00AA1EC4">
        <w:rPr>
          <w:rFonts w:ascii="Times New Roman" w:hAnsi="Times New Roman"/>
          <w:sz w:val="16"/>
          <w:szCs w:val="16"/>
        </w:rPr>
        <w:t xml:space="preserve"> ES ETS, ne-ETS sektora mērķi, noteikti </w:t>
      </w:r>
      <w:r w:rsidRPr="00AA1EC4">
        <w:rPr>
          <w:rFonts w:ascii="Times New Roman" w:eastAsia="Times New Roman" w:hAnsi="Times New Roman"/>
          <w:kern w:val="2"/>
          <w:sz w:val="16"/>
          <w:szCs w:val="16"/>
          <w:lang w:eastAsia="lv-LV"/>
        </w:rPr>
        <w:t xml:space="preserve">pret 2005. gadu (ne-ETS: </w:t>
      </w:r>
      <w:r w:rsidRPr="00AA1EC4">
        <w:rPr>
          <w:rFonts w:ascii="Times New Roman" w:hAnsi="Times New Roman"/>
          <w:sz w:val="16"/>
          <w:szCs w:val="16"/>
        </w:rPr>
        <w:t>8,6 MtCO</w:t>
      </w:r>
      <w:r w:rsidRPr="00AA1EC4">
        <w:rPr>
          <w:rFonts w:ascii="Times New Roman" w:hAnsi="Times New Roman"/>
          <w:sz w:val="16"/>
          <w:szCs w:val="16"/>
          <w:vertAlign w:val="subscript"/>
        </w:rPr>
        <w:t>2</w:t>
      </w:r>
      <w:r w:rsidRPr="00AA1EC4">
        <w:rPr>
          <w:rFonts w:ascii="Times New Roman" w:hAnsi="Times New Roman"/>
          <w:sz w:val="16"/>
          <w:szCs w:val="16"/>
        </w:rPr>
        <w:t xml:space="preserve"> </w:t>
      </w:r>
      <w:proofErr w:type="spellStart"/>
      <w:r w:rsidRPr="00AA1EC4">
        <w:rPr>
          <w:rFonts w:ascii="Times New Roman" w:hAnsi="Times New Roman"/>
          <w:sz w:val="16"/>
          <w:szCs w:val="16"/>
        </w:rPr>
        <w:t>ekv</w:t>
      </w:r>
      <w:proofErr w:type="spellEnd"/>
      <w:r w:rsidRPr="00AA1EC4">
        <w:rPr>
          <w:rFonts w:ascii="Times New Roman" w:hAnsi="Times New Roman"/>
          <w:sz w:val="16"/>
          <w:szCs w:val="16"/>
        </w:rPr>
        <w:t>).</w:t>
      </w:r>
    </w:p>
  </w:footnote>
  <w:footnote w:id="29">
    <w:p w14:paraId="434753F5" w14:textId="77777777" w:rsidR="00B75D0C" w:rsidRPr="00AA1EC4" w:rsidRDefault="00B75D0C" w:rsidP="00B75D0C">
      <w:pPr>
        <w:pStyle w:val="FootnoteText"/>
        <w:rPr>
          <w:rFonts w:ascii="Times New Roman" w:hAnsi="Times New Roman"/>
          <w:sz w:val="16"/>
          <w:szCs w:val="16"/>
        </w:rPr>
      </w:pPr>
      <w:r w:rsidRPr="00AA1EC4">
        <w:rPr>
          <w:rStyle w:val="FootnoteReference"/>
          <w:rFonts w:ascii="Times New Roman" w:hAnsi="Times New Roman"/>
          <w:sz w:val="16"/>
          <w:szCs w:val="16"/>
        </w:rPr>
        <w:footnoteRef/>
      </w:r>
      <w:r w:rsidRPr="00AA1EC4">
        <w:rPr>
          <w:rFonts w:ascii="Times New Roman" w:hAnsi="Times New Roman"/>
          <w:sz w:val="16"/>
          <w:szCs w:val="16"/>
        </w:rPr>
        <w:t xml:space="preserve"> Saistību pārdales regulas (ESR) konsolidētā versija: </w:t>
      </w:r>
      <w:hyperlink r:id="rId16" w:history="1">
        <w:r w:rsidRPr="00AA1EC4">
          <w:rPr>
            <w:rStyle w:val="Hyperlink"/>
            <w:rFonts w:ascii="Times New Roman" w:hAnsi="Times New Roman"/>
            <w:sz w:val="16"/>
            <w:szCs w:val="16"/>
          </w:rPr>
          <w:t>https://eur-lex.europa.eu/legal-content/LV/TXT/PDF/?uri=CELEX:02018R0842-20230516</w:t>
        </w:r>
      </w:hyperlink>
      <w:r w:rsidRPr="00AA1EC4">
        <w:rPr>
          <w:rFonts w:ascii="Times New Roman" w:hAnsi="Times New Roman"/>
          <w:sz w:val="16"/>
          <w:szCs w:val="16"/>
        </w:rPr>
        <w:t xml:space="preserve">. </w:t>
      </w:r>
    </w:p>
  </w:footnote>
  <w:footnote w:id="30">
    <w:p w14:paraId="226CC69B" w14:textId="77777777" w:rsidR="00B75D0C" w:rsidRPr="00AA1EC4" w:rsidRDefault="00B75D0C" w:rsidP="00B75D0C">
      <w:pPr>
        <w:pStyle w:val="FootnoteText"/>
        <w:rPr>
          <w:rFonts w:ascii="Times New Roman" w:hAnsi="Times New Roman"/>
          <w:sz w:val="16"/>
          <w:szCs w:val="16"/>
        </w:rPr>
      </w:pPr>
      <w:r w:rsidRPr="00AA1EC4">
        <w:rPr>
          <w:rStyle w:val="FootnoteReference"/>
          <w:rFonts w:ascii="Times New Roman" w:hAnsi="Times New Roman"/>
          <w:sz w:val="16"/>
          <w:szCs w:val="16"/>
        </w:rPr>
        <w:footnoteRef/>
      </w:r>
      <w:r w:rsidRPr="00AA1EC4">
        <w:rPr>
          <w:rFonts w:ascii="Times New Roman" w:hAnsi="Times New Roman"/>
          <w:sz w:val="16"/>
          <w:szCs w:val="16"/>
        </w:rPr>
        <w:t xml:space="preserve"> “ikgadējais emisiju sadales apjoms” ir maksimālās pieļaujamās siltumnīcefekta gāzu emisijas katrā gadā no 2021. līdz 2030. gadam, kas noteiktas saskaņā ar 4. panta 3. punktu un 10. pantu</w:t>
      </w:r>
    </w:p>
  </w:footnote>
  <w:footnote w:id="31">
    <w:p w14:paraId="420BF1AA" w14:textId="77777777" w:rsidR="00B75D0C" w:rsidRDefault="00B75D0C" w:rsidP="00B75D0C">
      <w:pPr>
        <w:pStyle w:val="FootnoteText"/>
      </w:pPr>
      <w:r w:rsidRPr="00AA1EC4">
        <w:rPr>
          <w:rStyle w:val="FootnoteReference"/>
          <w:rFonts w:ascii="Times New Roman" w:hAnsi="Times New Roman"/>
          <w:sz w:val="16"/>
          <w:szCs w:val="16"/>
        </w:rPr>
        <w:footnoteRef/>
      </w:r>
      <w:r w:rsidRPr="00AA1EC4">
        <w:rPr>
          <w:rFonts w:ascii="Times New Roman" w:hAnsi="Times New Roman"/>
          <w:sz w:val="16"/>
          <w:szCs w:val="16"/>
        </w:rPr>
        <w:t xml:space="preserve"> Saskaņā ar ZIZIMM regulu sasniedzamo </w:t>
      </w:r>
      <w:proofErr w:type="spellStart"/>
      <w:r w:rsidRPr="00AA1EC4">
        <w:rPr>
          <w:rFonts w:ascii="Times New Roman" w:hAnsi="Times New Roman"/>
          <w:sz w:val="16"/>
          <w:szCs w:val="16"/>
        </w:rPr>
        <w:t>mērķradītāju</w:t>
      </w:r>
      <w:proofErr w:type="spellEnd"/>
      <w:r w:rsidRPr="00AA1EC4">
        <w:rPr>
          <w:rFonts w:ascii="Times New Roman" w:hAnsi="Times New Roman"/>
          <w:sz w:val="16"/>
          <w:szCs w:val="16"/>
        </w:rPr>
        <w:t xml:space="preserve"> 2030.gadam Latvijai aprēķina kā 2016. - 2018. gada vidējās faktiskās SEG no 2032. gada SEG inventarizācijas tām pieskaitot ZIZIMM regulas grozījumu </w:t>
      </w:r>
      <w:proofErr w:type="spellStart"/>
      <w:r w:rsidRPr="00AA1EC4">
        <w:rPr>
          <w:rFonts w:ascii="Times New Roman" w:hAnsi="Times New Roman"/>
          <w:sz w:val="16"/>
          <w:szCs w:val="16"/>
        </w:rPr>
        <w:t>IIa</w:t>
      </w:r>
      <w:proofErr w:type="spellEnd"/>
      <w:r w:rsidRPr="00AA1EC4">
        <w:rPr>
          <w:rFonts w:ascii="Times New Roman" w:hAnsi="Times New Roman"/>
          <w:sz w:val="16"/>
          <w:szCs w:val="16"/>
        </w:rPr>
        <w:t xml:space="preserve"> pielikumā, “c” kolonnā noteikto nemainīgo </w:t>
      </w:r>
      <w:proofErr w:type="spellStart"/>
      <w:r w:rsidRPr="00AA1EC4">
        <w:rPr>
          <w:rFonts w:ascii="Times New Roman" w:hAnsi="Times New Roman"/>
          <w:sz w:val="16"/>
          <w:szCs w:val="16"/>
        </w:rPr>
        <w:t>mērķrādītāja</w:t>
      </w:r>
      <w:proofErr w:type="spellEnd"/>
      <w:r w:rsidRPr="00AA1EC4">
        <w:rPr>
          <w:rFonts w:ascii="Times New Roman" w:hAnsi="Times New Roman"/>
          <w:sz w:val="16"/>
          <w:szCs w:val="16"/>
        </w:rPr>
        <w:t xml:space="preserve"> daļu -639 </w:t>
      </w:r>
      <w:proofErr w:type="spellStart"/>
      <w:r w:rsidRPr="00AA1EC4">
        <w:rPr>
          <w:rFonts w:ascii="Times New Roman" w:hAnsi="Times New Roman"/>
          <w:sz w:val="16"/>
          <w:szCs w:val="16"/>
        </w:rPr>
        <w:t>kt</w:t>
      </w:r>
      <w:proofErr w:type="spellEnd"/>
      <w:r w:rsidRPr="00AA1EC4">
        <w:rPr>
          <w:rFonts w:ascii="Times New Roman" w:hAnsi="Times New Roman"/>
          <w:sz w:val="16"/>
          <w:szCs w:val="16"/>
        </w:rPr>
        <w:t xml:space="preserve"> CO2 </w:t>
      </w:r>
      <w:proofErr w:type="spellStart"/>
      <w:r w:rsidRPr="00AA1EC4">
        <w:rPr>
          <w:rFonts w:ascii="Times New Roman" w:hAnsi="Times New Roman"/>
          <w:sz w:val="16"/>
          <w:szCs w:val="16"/>
        </w:rPr>
        <w:t>ekv</w:t>
      </w:r>
      <w:proofErr w:type="spellEnd"/>
      <w:r w:rsidRPr="00AA1EC4">
        <w:rPr>
          <w:rFonts w:ascii="Times New Roman" w:hAnsi="Times New Roman"/>
          <w:sz w:val="16"/>
          <w:szCs w:val="16"/>
        </w:rPr>
        <w:t xml:space="preserve">. ZIZIMM regulas grozījumos iekļautais </w:t>
      </w:r>
      <w:proofErr w:type="spellStart"/>
      <w:r w:rsidRPr="00AA1EC4">
        <w:rPr>
          <w:rFonts w:ascii="Times New Roman" w:hAnsi="Times New Roman"/>
          <w:sz w:val="16"/>
          <w:szCs w:val="16"/>
        </w:rPr>
        <w:t>mērķrādītājs</w:t>
      </w:r>
      <w:proofErr w:type="spellEnd"/>
      <w:r w:rsidRPr="00AA1EC4">
        <w:rPr>
          <w:rFonts w:ascii="Times New Roman" w:hAnsi="Times New Roman"/>
          <w:sz w:val="16"/>
          <w:szCs w:val="16"/>
        </w:rPr>
        <w:t xml:space="preserve"> -644 </w:t>
      </w:r>
      <w:proofErr w:type="spellStart"/>
      <w:r w:rsidRPr="00AA1EC4">
        <w:rPr>
          <w:rFonts w:ascii="Times New Roman" w:hAnsi="Times New Roman"/>
          <w:sz w:val="16"/>
          <w:szCs w:val="16"/>
        </w:rPr>
        <w:t>kt</w:t>
      </w:r>
      <w:proofErr w:type="spellEnd"/>
      <w:r w:rsidRPr="00AA1EC4">
        <w:rPr>
          <w:rFonts w:ascii="Times New Roman" w:hAnsi="Times New Roman"/>
          <w:sz w:val="16"/>
          <w:szCs w:val="16"/>
        </w:rPr>
        <w:t xml:space="preserve"> CO</w:t>
      </w:r>
      <w:r w:rsidRPr="00AA1EC4">
        <w:rPr>
          <w:rFonts w:ascii="Times New Roman" w:hAnsi="Times New Roman"/>
          <w:sz w:val="16"/>
          <w:szCs w:val="16"/>
          <w:vertAlign w:val="subscript"/>
        </w:rPr>
        <w:t>2</w:t>
      </w:r>
      <w:r w:rsidRPr="00AA1EC4">
        <w:rPr>
          <w:rFonts w:ascii="Times New Roman" w:hAnsi="Times New Roman"/>
          <w:sz w:val="16"/>
          <w:szCs w:val="16"/>
        </w:rPr>
        <w:t xml:space="preserve"> </w:t>
      </w:r>
      <w:proofErr w:type="spellStart"/>
      <w:r w:rsidRPr="00AA1EC4">
        <w:rPr>
          <w:rFonts w:ascii="Times New Roman" w:hAnsi="Times New Roman"/>
          <w:sz w:val="16"/>
          <w:szCs w:val="16"/>
        </w:rPr>
        <w:t>ekv</w:t>
      </w:r>
      <w:proofErr w:type="spellEnd"/>
      <w:r w:rsidRPr="00AA1EC4">
        <w:rPr>
          <w:rFonts w:ascii="Times New Roman" w:hAnsi="Times New Roman"/>
          <w:sz w:val="16"/>
          <w:szCs w:val="16"/>
        </w:rPr>
        <w:t xml:space="preserve">  ir aprēķināts balstoties uz vidējo SEG lielumu par 2016. - 2018. gadu (-6 </w:t>
      </w:r>
      <w:proofErr w:type="spellStart"/>
      <w:r w:rsidRPr="00AA1EC4">
        <w:rPr>
          <w:rFonts w:ascii="Times New Roman" w:hAnsi="Times New Roman"/>
          <w:sz w:val="16"/>
          <w:szCs w:val="16"/>
        </w:rPr>
        <w:t>kt</w:t>
      </w:r>
      <w:proofErr w:type="spellEnd"/>
      <w:r w:rsidRPr="00AA1EC4">
        <w:rPr>
          <w:rFonts w:ascii="Times New Roman" w:hAnsi="Times New Roman"/>
          <w:sz w:val="16"/>
          <w:szCs w:val="16"/>
        </w:rPr>
        <w:t xml:space="preserve"> CO2 </w:t>
      </w:r>
      <w:proofErr w:type="spellStart"/>
      <w:r w:rsidRPr="00AA1EC4">
        <w:rPr>
          <w:rFonts w:ascii="Times New Roman" w:hAnsi="Times New Roman"/>
          <w:sz w:val="16"/>
          <w:szCs w:val="16"/>
        </w:rPr>
        <w:t>ekv</w:t>
      </w:r>
      <w:proofErr w:type="spellEnd"/>
      <w:r w:rsidRPr="00AA1EC4">
        <w:rPr>
          <w:rFonts w:ascii="Times New Roman" w:hAnsi="Times New Roman"/>
          <w:sz w:val="16"/>
          <w:szCs w:val="16"/>
        </w:rPr>
        <w:t xml:space="preserve">.) no  2020. gada Latvijas SEG inventarizācijas, kuram pieskaitīta nemainīgā </w:t>
      </w:r>
      <w:proofErr w:type="spellStart"/>
      <w:r w:rsidRPr="00AA1EC4">
        <w:rPr>
          <w:rFonts w:ascii="Times New Roman" w:hAnsi="Times New Roman"/>
          <w:sz w:val="16"/>
          <w:szCs w:val="16"/>
        </w:rPr>
        <w:t>mērķrādītāja</w:t>
      </w:r>
      <w:proofErr w:type="spellEnd"/>
      <w:r w:rsidRPr="00AA1EC4">
        <w:rPr>
          <w:rFonts w:ascii="Times New Roman" w:hAnsi="Times New Roman"/>
          <w:sz w:val="16"/>
          <w:szCs w:val="16"/>
        </w:rPr>
        <w:t xml:space="preserve"> daļa -639 </w:t>
      </w:r>
      <w:proofErr w:type="spellStart"/>
      <w:r w:rsidRPr="00AA1EC4">
        <w:rPr>
          <w:rFonts w:ascii="Times New Roman" w:hAnsi="Times New Roman"/>
          <w:sz w:val="16"/>
          <w:szCs w:val="16"/>
        </w:rPr>
        <w:t>kt</w:t>
      </w:r>
      <w:proofErr w:type="spellEnd"/>
      <w:r w:rsidRPr="00AA1EC4">
        <w:rPr>
          <w:rFonts w:ascii="Times New Roman" w:hAnsi="Times New Roman"/>
          <w:sz w:val="16"/>
          <w:szCs w:val="16"/>
        </w:rPr>
        <w:t xml:space="preserve"> CO</w:t>
      </w:r>
      <w:r w:rsidRPr="00AA1EC4">
        <w:rPr>
          <w:rFonts w:ascii="Times New Roman" w:hAnsi="Times New Roman"/>
          <w:sz w:val="16"/>
          <w:szCs w:val="16"/>
          <w:vertAlign w:val="subscript"/>
        </w:rPr>
        <w:t>2</w:t>
      </w:r>
      <w:r w:rsidRPr="00AA1EC4">
        <w:rPr>
          <w:rFonts w:ascii="Times New Roman" w:hAnsi="Times New Roman"/>
          <w:sz w:val="16"/>
          <w:szCs w:val="16"/>
        </w:rPr>
        <w:t xml:space="preserve"> </w:t>
      </w:r>
      <w:proofErr w:type="spellStart"/>
      <w:r w:rsidRPr="00AA1EC4">
        <w:rPr>
          <w:rFonts w:ascii="Times New Roman" w:hAnsi="Times New Roman"/>
          <w:sz w:val="16"/>
          <w:szCs w:val="16"/>
        </w:rPr>
        <w:t>ekv</w:t>
      </w:r>
      <w:proofErr w:type="spellEnd"/>
      <w:r w:rsidRPr="00AA1EC4">
        <w:rPr>
          <w:rFonts w:ascii="Times New Roman" w:hAnsi="Times New Roman"/>
          <w:sz w:val="16"/>
          <w:szCs w:val="16"/>
        </w:rPr>
        <w:t>.</w:t>
      </w:r>
    </w:p>
  </w:footnote>
  <w:footnote w:id="32">
    <w:p w14:paraId="5F42D9ED" w14:textId="77777777" w:rsidR="00B75D0C" w:rsidRPr="00DD3198" w:rsidRDefault="00B75D0C" w:rsidP="00B75D0C">
      <w:pPr>
        <w:pStyle w:val="FootnoteText"/>
        <w:rPr>
          <w:rFonts w:ascii="Times New Roman" w:hAnsi="Times New Roman"/>
          <w:sz w:val="16"/>
          <w:szCs w:val="16"/>
        </w:rPr>
      </w:pPr>
      <w:r w:rsidRPr="00DD3198">
        <w:rPr>
          <w:rStyle w:val="FootnoteCharacters"/>
          <w:rFonts w:ascii="Times New Roman" w:hAnsi="Times New Roman"/>
          <w:sz w:val="16"/>
          <w:szCs w:val="16"/>
        </w:rPr>
        <w:footnoteRef/>
      </w:r>
      <w:r w:rsidRPr="00DD3198">
        <w:rPr>
          <w:rFonts w:ascii="Times New Roman" w:hAnsi="Times New Roman"/>
          <w:sz w:val="16"/>
          <w:szCs w:val="16"/>
        </w:rPr>
        <w:t xml:space="preserve"> MK rīkojums Nr.380 </w:t>
      </w:r>
      <w:r w:rsidRPr="00DD3198">
        <w:rPr>
          <w:rFonts w:ascii="Times New Roman" w:hAnsi="Times New Roman"/>
          <w:i/>
          <w:sz w:val="16"/>
          <w:szCs w:val="16"/>
        </w:rPr>
        <w:t>Par Latvijas pielāgošanās klimata pārmaiņām plānu laika posmam līdz 2030. gadam</w:t>
      </w:r>
      <w:r w:rsidRPr="00DD3198">
        <w:rPr>
          <w:rFonts w:ascii="Times New Roman" w:hAnsi="Times New Roman"/>
          <w:sz w:val="16"/>
          <w:szCs w:val="16"/>
        </w:rPr>
        <w:t>: https://likumi.lv/ta/id/308330-par-latvijas-pielagosanas-klimata-parmainam-planu-laika-posmam-lidz-2030-gadam</w:t>
      </w:r>
    </w:p>
  </w:footnote>
  <w:footnote w:id="33">
    <w:p w14:paraId="22AF4AC4" w14:textId="77777777" w:rsidR="00B75D0C" w:rsidRPr="00DD3198" w:rsidRDefault="00B75D0C" w:rsidP="00B75D0C">
      <w:pPr>
        <w:pStyle w:val="FootnoteText"/>
        <w:rPr>
          <w:rFonts w:ascii="Times New Roman" w:hAnsi="Times New Roman"/>
          <w:sz w:val="16"/>
          <w:szCs w:val="16"/>
        </w:rPr>
      </w:pPr>
      <w:r w:rsidRPr="00DD3198">
        <w:rPr>
          <w:rStyle w:val="FootnoteReference"/>
          <w:rFonts w:ascii="Times New Roman" w:hAnsi="Times New Roman"/>
          <w:sz w:val="16"/>
          <w:szCs w:val="16"/>
        </w:rPr>
        <w:footnoteRef/>
      </w:r>
      <w:r w:rsidRPr="00DD3198">
        <w:rPr>
          <w:rFonts w:ascii="Times New Roman" w:hAnsi="Times New Roman"/>
          <w:sz w:val="16"/>
          <w:szCs w:val="16"/>
        </w:rPr>
        <w:t xml:space="preserve"> 202</w:t>
      </w:r>
      <w:r>
        <w:rPr>
          <w:rFonts w:ascii="Times New Roman" w:hAnsi="Times New Roman"/>
          <w:sz w:val="16"/>
          <w:szCs w:val="16"/>
        </w:rPr>
        <w:t>3</w:t>
      </w:r>
      <w:r w:rsidRPr="00DD3198">
        <w:rPr>
          <w:rFonts w:ascii="Times New Roman" w:hAnsi="Times New Roman"/>
          <w:sz w:val="16"/>
          <w:szCs w:val="16"/>
        </w:rPr>
        <w:t>. gada SEG inventarizācija</w:t>
      </w:r>
      <w:r>
        <w:rPr>
          <w:rFonts w:ascii="Times New Roman" w:hAnsi="Times New Roman"/>
          <w:sz w:val="16"/>
          <w:szCs w:val="16"/>
        </w:rPr>
        <w:t xml:space="preserve"> un 2030. gads scenārijam ar esošām politikām un pasākumiem, balstoties uz </w:t>
      </w:r>
      <w:r w:rsidRPr="007C5777">
        <w:rPr>
          <w:rFonts w:ascii="Times New Roman" w:hAnsi="Times New Roman"/>
          <w:sz w:val="16"/>
          <w:szCs w:val="16"/>
        </w:rPr>
        <w:t>2023. gadā Eiropas Komisijā iesniegt</w:t>
      </w:r>
      <w:r>
        <w:rPr>
          <w:rFonts w:ascii="Times New Roman" w:hAnsi="Times New Roman"/>
          <w:sz w:val="16"/>
          <w:szCs w:val="16"/>
        </w:rPr>
        <w:t>o</w:t>
      </w:r>
      <w:r w:rsidRPr="007C5777">
        <w:rPr>
          <w:rFonts w:ascii="Times New Roman" w:hAnsi="Times New Roman"/>
          <w:sz w:val="16"/>
          <w:szCs w:val="16"/>
        </w:rPr>
        <w:t xml:space="preserve"> ziņojum</w:t>
      </w:r>
      <w:r>
        <w:rPr>
          <w:rFonts w:ascii="Times New Roman" w:hAnsi="Times New Roman"/>
          <w:sz w:val="16"/>
          <w:szCs w:val="16"/>
        </w:rPr>
        <w:t>u</w:t>
      </w:r>
      <w:r w:rsidRPr="007C5777">
        <w:rPr>
          <w:rFonts w:ascii="Times New Roman" w:hAnsi="Times New Roman"/>
          <w:sz w:val="16"/>
          <w:szCs w:val="16"/>
        </w:rPr>
        <w:t xml:space="preserve"> par SEG prognozēm, politiku un pasākumiem</w:t>
      </w:r>
    </w:p>
  </w:footnote>
  <w:footnote w:id="34">
    <w:p w14:paraId="39D409BC" w14:textId="77777777" w:rsidR="00B75D0C" w:rsidRPr="009C305F" w:rsidRDefault="00B75D0C" w:rsidP="00B75D0C">
      <w:pPr>
        <w:pStyle w:val="FootnoteText"/>
        <w:rPr>
          <w:rFonts w:ascii="Times New Roman" w:hAnsi="Times New Roman"/>
          <w:sz w:val="16"/>
          <w:szCs w:val="16"/>
        </w:rPr>
      </w:pPr>
      <w:r w:rsidRPr="009C305F">
        <w:rPr>
          <w:rStyle w:val="FootnoteReference"/>
          <w:rFonts w:ascii="Times New Roman" w:hAnsi="Times New Roman"/>
          <w:sz w:val="16"/>
          <w:szCs w:val="16"/>
        </w:rPr>
        <w:footnoteRef/>
      </w:r>
      <w:r w:rsidRPr="009C305F">
        <w:rPr>
          <w:rFonts w:ascii="Times New Roman" w:hAnsi="Times New Roman"/>
          <w:sz w:val="16"/>
          <w:szCs w:val="16"/>
        </w:rPr>
        <w:t xml:space="preserve"> 2023. gada SEG inventarizācija un 2030. gads scenārijam ar esošām politikām un pasākumiem, balstoties uz 2023. gadā Eiropas Komisijā iesniegto ziņojumu par SEG prognozēm, politiku un pasākumiem</w:t>
      </w:r>
    </w:p>
  </w:footnote>
  <w:footnote w:id="35">
    <w:p w14:paraId="1686448C" w14:textId="77777777" w:rsidR="00B75D0C" w:rsidRPr="00DD3198" w:rsidRDefault="00B75D0C" w:rsidP="00B75D0C">
      <w:pPr>
        <w:pStyle w:val="FootnoteText"/>
        <w:rPr>
          <w:rFonts w:ascii="Times New Roman" w:hAnsi="Times New Roman"/>
          <w:sz w:val="16"/>
          <w:szCs w:val="16"/>
        </w:rPr>
      </w:pPr>
      <w:r w:rsidRPr="00DD3198">
        <w:rPr>
          <w:rStyle w:val="FootnoteCharacters"/>
          <w:rFonts w:ascii="Times New Roman" w:hAnsi="Times New Roman"/>
          <w:sz w:val="16"/>
          <w:szCs w:val="16"/>
        </w:rPr>
        <w:footnoteRef/>
      </w:r>
      <w:r w:rsidRPr="00DD3198">
        <w:rPr>
          <w:rFonts w:ascii="Times New Roman" w:hAnsi="Times New Roman"/>
          <w:sz w:val="16"/>
          <w:szCs w:val="16"/>
        </w:rPr>
        <w:t> 202</w:t>
      </w:r>
      <w:r>
        <w:rPr>
          <w:rFonts w:ascii="Times New Roman" w:hAnsi="Times New Roman"/>
          <w:sz w:val="16"/>
          <w:szCs w:val="16"/>
        </w:rPr>
        <w:t>3</w:t>
      </w:r>
      <w:r w:rsidRPr="00DD3198">
        <w:rPr>
          <w:rFonts w:ascii="Times New Roman" w:hAnsi="Times New Roman"/>
          <w:sz w:val="16"/>
          <w:szCs w:val="16"/>
        </w:rPr>
        <w:t>. gada SEG inventarizācija, aptuvenā SEG inventarizācija par 202</w:t>
      </w:r>
      <w:r>
        <w:rPr>
          <w:rFonts w:ascii="Times New Roman" w:hAnsi="Times New Roman"/>
          <w:sz w:val="16"/>
          <w:szCs w:val="16"/>
        </w:rPr>
        <w:t>2</w:t>
      </w:r>
      <w:r w:rsidRPr="00DD3198">
        <w:rPr>
          <w:rFonts w:ascii="Times New Roman" w:hAnsi="Times New Roman"/>
          <w:sz w:val="16"/>
          <w:szCs w:val="16"/>
        </w:rPr>
        <w:t>. gadu</w:t>
      </w:r>
      <w:r>
        <w:rPr>
          <w:rFonts w:ascii="Times New Roman" w:hAnsi="Times New Roman"/>
          <w:sz w:val="16"/>
          <w:szCs w:val="16"/>
        </w:rPr>
        <w:t xml:space="preserve">, </w:t>
      </w:r>
      <w:r w:rsidRPr="00301D27">
        <w:rPr>
          <w:rFonts w:ascii="Times New Roman" w:hAnsi="Times New Roman"/>
          <w:sz w:val="16"/>
          <w:szCs w:val="16"/>
        </w:rPr>
        <w:t>2023. gada ziņojums par politikām, pasākumiem un SEG prognozēm</w:t>
      </w:r>
      <w:r>
        <w:rPr>
          <w:rFonts w:ascii="Times New Roman" w:hAnsi="Times New Roman"/>
          <w:sz w:val="16"/>
          <w:szCs w:val="16"/>
        </w:rPr>
        <w:t>.</w:t>
      </w:r>
    </w:p>
  </w:footnote>
  <w:footnote w:id="36">
    <w:p w14:paraId="38005AC5" w14:textId="77777777" w:rsidR="00B75D0C" w:rsidRPr="008707A3" w:rsidRDefault="00B75D0C" w:rsidP="00B75D0C">
      <w:pPr>
        <w:pStyle w:val="FootnoteText"/>
        <w:rPr>
          <w:rFonts w:ascii="Times New Roman" w:hAnsi="Times New Roman"/>
          <w:sz w:val="16"/>
          <w:szCs w:val="16"/>
        </w:rPr>
      </w:pPr>
      <w:r w:rsidRPr="00DD3198">
        <w:rPr>
          <w:rStyle w:val="FootnoteCharacters"/>
          <w:rFonts w:ascii="Times New Roman" w:hAnsi="Times New Roman"/>
          <w:sz w:val="16"/>
          <w:szCs w:val="16"/>
        </w:rPr>
        <w:footnoteRef/>
      </w:r>
      <w:r w:rsidRPr="00DD3198">
        <w:rPr>
          <w:rFonts w:ascii="Times New Roman" w:hAnsi="Times New Roman"/>
          <w:sz w:val="16"/>
          <w:szCs w:val="16"/>
        </w:rPr>
        <w:t> 202</w:t>
      </w:r>
      <w:r>
        <w:rPr>
          <w:rFonts w:ascii="Times New Roman" w:hAnsi="Times New Roman"/>
          <w:sz w:val="16"/>
          <w:szCs w:val="16"/>
        </w:rPr>
        <w:t>3</w:t>
      </w:r>
      <w:r w:rsidRPr="00DD3198">
        <w:rPr>
          <w:rFonts w:ascii="Times New Roman" w:hAnsi="Times New Roman"/>
          <w:sz w:val="16"/>
          <w:szCs w:val="16"/>
        </w:rPr>
        <w:t>. gada SEG inventarizācija; aptuvenā SEG inventarizācija par 202</w:t>
      </w:r>
      <w:r>
        <w:rPr>
          <w:rFonts w:ascii="Times New Roman" w:hAnsi="Times New Roman"/>
          <w:sz w:val="16"/>
          <w:szCs w:val="16"/>
        </w:rPr>
        <w:t>2</w:t>
      </w:r>
      <w:r w:rsidRPr="00DD3198">
        <w:rPr>
          <w:rFonts w:ascii="Times New Roman" w:hAnsi="Times New Roman"/>
          <w:sz w:val="16"/>
          <w:szCs w:val="16"/>
        </w:rPr>
        <w:t>. gadu.</w:t>
      </w:r>
    </w:p>
  </w:footnote>
  <w:footnote w:id="37">
    <w:p w14:paraId="00A6FBFB" w14:textId="77777777" w:rsidR="00B75D0C" w:rsidRPr="00A92507" w:rsidRDefault="00B75D0C" w:rsidP="00B75D0C">
      <w:pPr>
        <w:pStyle w:val="FootnoteText"/>
        <w:jc w:val="both"/>
        <w:rPr>
          <w:rFonts w:ascii="Times New Roman" w:hAnsi="Times New Roman"/>
          <w:sz w:val="16"/>
          <w:szCs w:val="16"/>
        </w:rPr>
      </w:pPr>
      <w:r w:rsidRPr="00317B8B">
        <w:rPr>
          <w:rStyle w:val="FootnoteReference"/>
          <w:rFonts w:ascii="Times New Roman" w:hAnsi="Times New Roman"/>
          <w:sz w:val="16"/>
          <w:szCs w:val="16"/>
        </w:rPr>
        <w:footnoteRef/>
      </w:r>
      <w:r w:rsidRPr="00317B8B">
        <w:rPr>
          <w:rFonts w:ascii="Times New Roman" w:hAnsi="Times New Roman"/>
          <w:sz w:val="16"/>
          <w:szCs w:val="16"/>
        </w:rPr>
        <w:t xml:space="preserve"> </w:t>
      </w:r>
      <w:r>
        <w:rPr>
          <w:rFonts w:ascii="Times New Roman" w:hAnsi="Times New Roman"/>
          <w:sz w:val="16"/>
          <w:szCs w:val="16"/>
        </w:rPr>
        <w:t>I</w:t>
      </w:r>
      <w:r w:rsidRPr="00832B61">
        <w:rPr>
          <w:rFonts w:ascii="Times New Roman" w:hAnsi="Times New Roman"/>
          <w:sz w:val="16"/>
          <w:szCs w:val="16"/>
        </w:rPr>
        <w:t>kgadēj</w:t>
      </w:r>
      <w:r>
        <w:rPr>
          <w:rFonts w:ascii="Times New Roman" w:hAnsi="Times New Roman"/>
          <w:sz w:val="16"/>
          <w:szCs w:val="16"/>
        </w:rPr>
        <w:t>ie</w:t>
      </w:r>
      <w:r w:rsidRPr="00832B61">
        <w:rPr>
          <w:rFonts w:ascii="Times New Roman" w:hAnsi="Times New Roman"/>
          <w:sz w:val="16"/>
          <w:szCs w:val="16"/>
        </w:rPr>
        <w:t xml:space="preserve"> emisiju sadales apjom</w:t>
      </w:r>
      <w:r>
        <w:rPr>
          <w:rFonts w:ascii="Times New Roman" w:hAnsi="Times New Roman"/>
          <w:sz w:val="16"/>
          <w:szCs w:val="16"/>
        </w:rPr>
        <w:t>i (ne-ETS sektora mērķis, GES)</w:t>
      </w:r>
      <w:r w:rsidRPr="00832B61">
        <w:rPr>
          <w:rFonts w:ascii="Times New Roman" w:hAnsi="Times New Roman"/>
          <w:sz w:val="16"/>
          <w:szCs w:val="16"/>
        </w:rPr>
        <w:t xml:space="preserve"> </w:t>
      </w:r>
      <w:r w:rsidRPr="00317B8B">
        <w:rPr>
          <w:rFonts w:ascii="Times New Roman" w:hAnsi="Times New Roman"/>
          <w:sz w:val="16"/>
          <w:szCs w:val="16"/>
        </w:rPr>
        <w:t xml:space="preserve">2021., </w:t>
      </w:r>
      <w:r w:rsidRPr="000138C5">
        <w:rPr>
          <w:rFonts w:ascii="Times New Roman" w:hAnsi="Times New Roman"/>
          <w:sz w:val="16"/>
          <w:szCs w:val="16"/>
        </w:rPr>
        <w:t xml:space="preserve">2022., un 2005.gads ir </w:t>
      </w:r>
      <w:r>
        <w:rPr>
          <w:rFonts w:ascii="Times New Roman" w:hAnsi="Times New Roman"/>
          <w:sz w:val="16"/>
          <w:szCs w:val="16"/>
        </w:rPr>
        <w:t>noteikti</w:t>
      </w:r>
      <w:r w:rsidRPr="006D25F6">
        <w:t xml:space="preserve"> </w:t>
      </w:r>
      <w:r>
        <w:rPr>
          <w:rFonts w:ascii="Times New Roman" w:hAnsi="Times New Roman"/>
          <w:sz w:val="16"/>
          <w:szCs w:val="16"/>
        </w:rPr>
        <w:t>s</w:t>
      </w:r>
      <w:r w:rsidRPr="006D25F6">
        <w:rPr>
          <w:rFonts w:ascii="Times New Roman" w:hAnsi="Times New Roman"/>
          <w:sz w:val="16"/>
          <w:szCs w:val="16"/>
        </w:rPr>
        <w:t>askaņā ar 2023. gada 19. aprīļa Saistību izpildes regulas grozījumiem (</w:t>
      </w:r>
      <w:hyperlink r:id="rId17" w:history="1">
        <w:r w:rsidRPr="00540F0C">
          <w:rPr>
            <w:rStyle w:val="Hyperlink"/>
            <w:rFonts w:ascii="Times New Roman" w:hAnsi="Times New Roman"/>
            <w:sz w:val="16"/>
            <w:szCs w:val="16"/>
          </w:rPr>
          <w:t>https://eur-lex.europa.eu/eli/reg/2023/857</w:t>
        </w:r>
      </w:hyperlink>
      <w:r w:rsidRPr="006D25F6">
        <w:rPr>
          <w:rFonts w:ascii="Times New Roman" w:hAnsi="Times New Roman"/>
          <w:sz w:val="16"/>
          <w:szCs w:val="16"/>
        </w:rPr>
        <w:t>)</w:t>
      </w:r>
      <w:r>
        <w:rPr>
          <w:rFonts w:ascii="Times New Roman" w:hAnsi="Times New Roman"/>
          <w:sz w:val="16"/>
          <w:szCs w:val="16"/>
        </w:rPr>
        <w:t>,</w:t>
      </w:r>
      <w:r w:rsidRPr="006D25F6">
        <w:rPr>
          <w:rFonts w:ascii="Times New Roman" w:hAnsi="Times New Roman"/>
          <w:sz w:val="16"/>
          <w:szCs w:val="16"/>
        </w:rPr>
        <w:t xml:space="preserve"> </w:t>
      </w:r>
      <w:r>
        <w:rPr>
          <w:rFonts w:ascii="Times New Roman" w:hAnsi="Times New Roman"/>
          <w:sz w:val="16"/>
          <w:szCs w:val="16"/>
        </w:rPr>
        <w:t xml:space="preserve"> </w:t>
      </w:r>
      <w:r w:rsidRPr="000138C5">
        <w:rPr>
          <w:rFonts w:ascii="Times New Roman" w:hAnsi="Times New Roman"/>
          <w:sz w:val="16"/>
          <w:szCs w:val="16"/>
        </w:rPr>
        <w:t xml:space="preserve">Komisijas īstenošanas lēmumu (ES) </w:t>
      </w:r>
      <w:hyperlink r:id="rId18" w:history="1">
        <w:r w:rsidRPr="00AC6BB1">
          <w:rPr>
            <w:rStyle w:val="Hyperlink"/>
            <w:rFonts w:ascii="Times New Roman" w:hAnsi="Times New Roman"/>
            <w:sz w:val="16"/>
            <w:szCs w:val="16"/>
          </w:rPr>
          <w:t>2020/2126</w:t>
        </w:r>
      </w:hyperlink>
      <w:r w:rsidRPr="000138C5">
        <w:rPr>
          <w:rFonts w:ascii="Times New Roman" w:hAnsi="Times New Roman"/>
          <w:sz w:val="16"/>
          <w:szCs w:val="16"/>
        </w:rPr>
        <w:t xml:space="preserve"> (2020. gada 16. decembris) par dalībvalstu ikgadējo emisiju sadales apjomu noteikšanu 2021.–2030. gada periodam saskaņā ar Eiropas Parlamenta un Padomes Regulu (ES) 2018/84 (turpmāk – Īstenošanas lēmums 2020/2126), savukārt 2023-2025.gada ne-ETS sektora mērķi ir noteikti, balstoties uz Īstenošanas lēmuma 2020/2126 grozījumiem (</w:t>
      </w:r>
      <w:hyperlink r:id="rId19" w:anchor="ntr3-L_2023163LV.01000901-E0003" w:history="1">
        <w:r w:rsidRPr="000138C5">
          <w:rPr>
            <w:rStyle w:val="Hyperlink"/>
            <w:rFonts w:ascii="Times New Roman" w:hAnsi="Times New Roman"/>
            <w:sz w:val="16"/>
            <w:szCs w:val="16"/>
          </w:rPr>
          <w:t>Komisijas īstenošanas lēmums (ES) 2023/1319</w:t>
        </w:r>
      </w:hyperlink>
      <w:r w:rsidRPr="000138C5">
        <w:rPr>
          <w:rFonts w:ascii="Times New Roman" w:hAnsi="Times New Roman"/>
          <w:sz w:val="16"/>
          <w:szCs w:val="16"/>
        </w:rPr>
        <w:t xml:space="preserve"> (2023. gada 28. jūnijs), ar ko groza Īstenošanas lēmumu (ES) 2020/2126, lai pārskatītu dalībvalstu ikgadējo emisiju sadales apjomu 2023.–2030. gada periodam). Savukārt 2026</w:t>
      </w:r>
      <w:r>
        <w:rPr>
          <w:rFonts w:ascii="Times New Roman" w:hAnsi="Times New Roman"/>
          <w:sz w:val="16"/>
          <w:szCs w:val="16"/>
        </w:rPr>
        <w:t>.</w:t>
      </w:r>
      <w:r w:rsidRPr="000138C5">
        <w:rPr>
          <w:rFonts w:ascii="Times New Roman" w:hAnsi="Times New Roman"/>
          <w:sz w:val="16"/>
          <w:szCs w:val="16"/>
        </w:rPr>
        <w:t>-2029.gada indikatīvie mērķi ir noteikti, balstoties uz LVĢMC aprēķiniem, ņemot</w:t>
      </w:r>
      <w:r w:rsidRPr="00317B8B">
        <w:rPr>
          <w:rFonts w:ascii="Times New Roman" w:hAnsi="Times New Roman"/>
          <w:sz w:val="16"/>
          <w:szCs w:val="16"/>
        </w:rPr>
        <w:t xml:space="preserve"> vērā EK noteikto metodiku Regulā 2018/842</w:t>
      </w:r>
      <w:r>
        <w:rPr>
          <w:rFonts w:ascii="Times New Roman" w:hAnsi="Times New Roman"/>
          <w:sz w:val="16"/>
          <w:szCs w:val="16"/>
        </w:rPr>
        <w:t xml:space="preserve">, jo ne-ETS sektora mērķi </w:t>
      </w:r>
      <w:r w:rsidRPr="00703D5A">
        <w:rPr>
          <w:rFonts w:ascii="Times New Roman" w:hAnsi="Times New Roman"/>
          <w:sz w:val="16"/>
          <w:szCs w:val="16"/>
        </w:rPr>
        <w:t xml:space="preserve">katrai dalībvalstij no 2026. līdz 2030. gadam </w:t>
      </w:r>
      <w:r>
        <w:rPr>
          <w:rFonts w:ascii="Times New Roman" w:hAnsi="Times New Roman"/>
          <w:sz w:val="16"/>
          <w:szCs w:val="16"/>
        </w:rPr>
        <w:t>tiks noteikti</w:t>
      </w:r>
      <w:r w:rsidRPr="00703D5A">
        <w:rPr>
          <w:rFonts w:ascii="Times New Roman" w:hAnsi="Times New Roman"/>
          <w:sz w:val="16"/>
          <w:szCs w:val="16"/>
        </w:rPr>
        <w:t xml:space="preserve">, pamatojoties uz lineāru trajektoriju, kas </w:t>
      </w:r>
      <w:r>
        <w:rPr>
          <w:rFonts w:ascii="Times New Roman" w:hAnsi="Times New Roman"/>
          <w:sz w:val="16"/>
          <w:szCs w:val="16"/>
        </w:rPr>
        <w:t xml:space="preserve">katrai </w:t>
      </w:r>
      <w:r w:rsidRPr="00703D5A">
        <w:rPr>
          <w:rFonts w:ascii="Times New Roman" w:hAnsi="Times New Roman"/>
          <w:sz w:val="16"/>
          <w:szCs w:val="16"/>
        </w:rPr>
        <w:t xml:space="preserve">dalībvalstij sākas no 2021., 2022. un 2023. gada </w:t>
      </w:r>
      <w:r>
        <w:rPr>
          <w:rFonts w:ascii="Times New Roman" w:hAnsi="Times New Roman"/>
          <w:sz w:val="16"/>
          <w:szCs w:val="16"/>
        </w:rPr>
        <w:t>SEG</w:t>
      </w:r>
      <w:r w:rsidRPr="00703D5A">
        <w:rPr>
          <w:rFonts w:ascii="Times New Roman" w:hAnsi="Times New Roman"/>
          <w:sz w:val="16"/>
          <w:szCs w:val="16"/>
        </w:rPr>
        <w:t xml:space="preserve"> emisiju vidējās vērtības. Šāda vidējā vērtība tiks noteikta pēc dalībvalstu iesniegto 2021., 2022. un 2023. gada </w:t>
      </w:r>
      <w:r>
        <w:rPr>
          <w:rFonts w:ascii="Times New Roman" w:hAnsi="Times New Roman"/>
          <w:sz w:val="16"/>
          <w:szCs w:val="16"/>
        </w:rPr>
        <w:t xml:space="preserve">SEG </w:t>
      </w:r>
      <w:r w:rsidRPr="00703D5A">
        <w:rPr>
          <w:rFonts w:ascii="Times New Roman" w:hAnsi="Times New Roman"/>
          <w:sz w:val="16"/>
          <w:szCs w:val="16"/>
        </w:rPr>
        <w:t xml:space="preserve">inventarizācijas datu visaptverošas </w:t>
      </w:r>
      <w:r>
        <w:rPr>
          <w:rFonts w:ascii="Times New Roman" w:hAnsi="Times New Roman"/>
          <w:sz w:val="16"/>
          <w:szCs w:val="16"/>
        </w:rPr>
        <w:t xml:space="preserve">pārbaudes, kuru veiks EK </w:t>
      </w:r>
      <w:r w:rsidRPr="00703D5A">
        <w:rPr>
          <w:rFonts w:ascii="Times New Roman" w:hAnsi="Times New Roman"/>
          <w:sz w:val="16"/>
          <w:szCs w:val="16"/>
        </w:rPr>
        <w:t>sadarbībā ar Eiropas Vides aģentūru 2025. gadā. Līdz šīs visaptverošās pārskatīšanas pabeigšanai AEA 2026.-2030. gadam netiks noteikti.</w:t>
      </w:r>
    </w:p>
  </w:footnote>
  <w:footnote w:id="38">
    <w:p w14:paraId="211D7971" w14:textId="77777777" w:rsidR="00B75D0C" w:rsidRPr="00C51E9B" w:rsidRDefault="00B75D0C" w:rsidP="00B75D0C">
      <w:pPr>
        <w:pStyle w:val="FootnoteText"/>
        <w:rPr>
          <w:rFonts w:ascii="Times New Roman" w:hAnsi="Times New Roman"/>
          <w:sz w:val="16"/>
          <w:szCs w:val="16"/>
        </w:rPr>
      </w:pPr>
      <w:r w:rsidRPr="00DD3198">
        <w:rPr>
          <w:rStyle w:val="FootnoteReference"/>
          <w:rFonts w:ascii="Times New Roman" w:hAnsi="Times New Roman"/>
          <w:sz w:val="16"/>
          <w:szCs w:val="16"/>
        </w:rPr>
        <w:footnoteRef/>
      </w:r>
      <w:r w:rsidRPr="00DD3198">
        <w:rPr>
          <w:rFonts w:ascii="Times New Roman" w:hAnsi="Times New Roman"/>
          <w:sz w:val="16"/>
          <w:szCs w:val="16"/>
        </w:rPr>
        <w:t xml:space="preserve"> Izpildes vērtība ar negatīvu zīmi nozīmē ikgadēji noteikto emisiju sadales apjomu neizpildi, savukārt pozitīva vērtība nozīmē  ikgadējo emisiju </w:t>
      </w:r>
      <w:r w:rsidRPr="00C51E9B">
        <w:rPr>
          <w:rFonts w:ascii="Times New Roman" w:hAnsi="Times New Roman"/>
          <w:sz w:val="16"/>
          <w:szCs w:val="16"/>
        </w:rPr>
        <w:t>sadales apjoma izpildi vai pārpildi</w:t>
      </w:r>
    </w:p>
  </w:footnote>
  <w:footnote w:id="39">
    <w:p w14:paraId="02C8B2CE" w14:textId="77777777" w:rsidR="00B75D0C" w:rsidRPr="00736BF1" w:rsidRDefault="00B75D0C" w:rsidP="00B75D0C">
      <w:pPr>
        <w:pStyle w:val="FootnoteText"/>
        <w:rPr>
          <w:rFonts w:ascii="Times New Roman" w:hAnsi="Times New Roman"/>
        </w:rPr>
      </w:pPr>
      <w:r w:rsidRPr="00C51E9B">
        <w:rPr>
          <w:rStyle w:val="FootnoteReference"/>
          <w:rFonts w:ascii="Times New Roman" w:hAnsi="Times New Roman"/>
          <w:sz w:val="16"/>
          <w:szCs w:val="16"/>
        </w:rPr>
        <w:footnoteRef/>
      </w:r>
      <w:r w:rsidRPr="00C51E9B">
        <w:rPr>
          <w:rFonts w:ascii="Times New Roman" w:hAnsi="Times New Roman"/>
          <w:sz w:val="16"/>
          <w:szCs w:val="16"/>
        </w:rPr>
        <w:t xml:space="preserve"> </w:t>
      </w:r>
      <w:r w:rsidRPr="00736BF1">
        <w:rPr>
          <w:rFonts w:ascii="Times New Roman" w:hAnsi="Times New Roman"/>
          <w:sz w:val="16"/>
          <w:szCs w:val="16"/>
        </w:rPr>
        <w:t>2023.gada SEG</w:t>
      </w:r>
      <w:r w:rsidRPr="00C51E9B">
        <w:rPr>
          <w:rFonts w:ascii="Times New Roman" w:hAnsi="Times New Roman"/>
          <w:sz w:val="16"/>
          <w:szCs w:val="16"/>
        </w:rPr>
        <w:t xml:space="preserve"> inventarizācija</w:t>
      </w:r>
    </w:p>
  </w:footnote>
  <w:footnote w:id="40">
    <w:p w14:paraId="68804424" w14:textId="77777777" w:rsidR="00B75D0C" w:rsidRPr="00C51E9B" w:rsidRDefault="00B75D0C" w:rsidP="00B75D0C">
      <w:pPr>
        <w:pStyle w:val="FootnoteText"/>
        <w:rPr>
          <w:rFonts w:ascii="Times New Roman" w:hAnsi="Times New Roman"/>
          <w:sz w:val="16"/>
          <w:szCs w:val="16"/>
        </w:rPr>
      </w:pPr>
      <w:r w:rsidRPr="00C51E9B">
        <w:rPr>
          <w:rStyle w:val="FootnoteReference"/>
          <w:rFonts w:ascii="Times New Roman" w:hAnsi="Times New Roman"/>
          <w:sz w:val="16"/>
          <w:szCs w:val="16"/>
        </w:rPr>
        <w:footnoteRef/>
      </w:r>
      <w:r w:rsidRPr="00C51E9B">
        <w:rPr>
          <w:rFonts w:ascii="Times New Roman" w:hAnsi="Times New Roman"/>
          <w:sz w:val="16"/>
          <w:szCs w:val="16"/>
        </w:rPr>
        <w:t xml:space="preserve"> 2023.gada aptuvenā SEG inventarizācija par 2022.gadu</w:t>
      </w:r>
    </w:p>
  </w:footnote>
  <w:footnote w:id="41">
    <w:p w14:paraId="1BC2FD3A" w14:textId="77777777" w:rsidR="00B75D0C" w:rsidRPr="00AD1FE3" w:rsidRDefault="00B75D0C" w:rsidP="00B75D0C">
      <w:pPr>
        <w:pStyle w:val="FootnoteText"/>
        <w:rPr>
          <w:rFonts w:ascii="Times New Roman" w:hAnsi="Times New Roman"/>
          <w:sz w:val="16"/>
          <w:szCs w:val="16"/>
        </w:rPr>
      </w:pPr>
      <w:r w:rsidRPr="00C51E9B">
        <w:rPr>
          <w:rStyle w:val="FootnoteReference"/>
          <w:rFonts w:ascii="Times New Roman" w:hAnsi="Times New Roman"/>
          <w:sz w:val="16"/>
          <w:szCs w:val="16"/>
        </w:rPr>
        <w:footnoteRef/>
      </w:r>
      <w:r w:rsidRPr="00C51E9B">
        <w:rPr>
          <w:rFonts w:ascii="Times New Roman" w:hAnsi="Times New Roman"/>
          <w:sz w:val="16"/>
          <w:szCs w:val="16"/>
        </w:rPr>
        <w:t xml:space="preserve"> Sākot </w:t>
      </w:r>
      <w:r w:rsidRPr="00AD1FE3">
        <w:rPr>
          <w:rFonts w:ascii="Times New Roman" w:hAnsi="Times New Roman"/>
          <w:sz w:val="16"/>
          <w:szCs w:val="16"/>
        </w:rPr>
        <w:t>no 2023.gada, izmantoti dati no 2023. gada ziņojuma par politikām, pasākumiem un SEG prognozēm: https://reportnet.europa.eu/public/country/LV</w:t>
      </w:r>
    </w:p>
  </w:footnote>
  <w:footnote w:id="42">
    <w:p w14:paraId="2279483A" w14:textId="77777777" w:rsidR="00B75D0C" w:rsidRPr="00AD1FE3" w:rsidRDefault="00B75D0C" w:rsidP="00B75D0C">
      <w:pPr>
        <w:pStyle w:val="FootnoteText"/>
        <w:jc w:val="both"/>
        <w:rPr>
          <w:rFonts w:ascii="Times New Roman" w:hAnsi="Times New Roman"/>
          <w:sz w:val="16"/>
          <w:szCs w:val="16"/>
        </w:rPr>
      </w:pPr>
      <w:r w:rsidRPr="00AD1FE3">
        <w:rPr>
          <w:rStyle w:val="FootnoteReference"/>
          <w:rFonts w:ascii="Times New Roman" w:hAnsi="Times New Roman"/>
          <w:sz w:val="16"/>
          <w:szCs w:val="16"/>
        </w:rPr>
        <w:footnoteRef/>
      </w:r>
      <w:r w:rsidRPr="00AD1FE3">
        <w:rPr>
          <w:rFonts w:ascii="Times New Roman" w:hAnsi="Times New Roman"/>
          <w:sz w:val="16"/>
          <w:szCs w:val="16"/>
        </w:rPr>
        <w:t xml:space="preserve"> </w:t>
      </w:r>
      <w:r w:rsidRPr="00AD1FE3">
        <w:rPr>
          <w:rFonts w:ascii="Times New Roman" w:hAnsi="Times New Roman"/>
          <w:sz w:val="16"/>
          <w:szCs w:val="16"/>
          <w:shd w:val="clear" w:color="auto" w:fill="FFFFFF"/>
        </w:rPr>
        <w:t xml:space="preserve">2023. gada Ziņojums par politikām, pasākumiem un SEG prognozēm pieejams: https://reportnet.europa.eu/public/country/LV </w:t>
      </w:r>
    </w:p>
  </w:footnote>
  <w:footnote w:id="43">
    <w:p w14:paraId="21D4AEB7" w14:textId="77777777" w:rsidR="00B75D0C" w:rsidRDefault="00B75D0C" w:rsidP="00B75D0C">
      <w:pPr>
        <w:pStyle w:val="FootnoteText"/>
      </w:pPr>
      <w:r w:rsidRPr="00AD1FE3">
        <w:rPr>
          <w:rStyle w:val="FootnoteReference"/>
          <w:rFonts w:ascii="Times New Roman" w:hAnsi="Times New Roman"/>
          <w:sz w:val="16"/>
          <w:szCs w:val="16"/>
        </w:rPr>
        <w:footnoteRef/>
      </w:r>
      <w:r w:rsidRPr="00AD1FE3">
        <w:rPr>
          <w:rFonts w:ascii="Times New Roman" w:hAnsi="Times New Roman"/>
          <w:sz w:val="16"/>
          <w:szCs w:val="16"/>
        </w:rPr>
        <w:t xml:space="preserve"> EK 2023. gada progresa ziņojums “</w:t>
      </w:r>
      <w:proofErr w:type="spellStart"/>
      <w:r w:rsidRPr="00AD1FE3">
        <w:rPr>
          <w:rFonts w:ascii="Times New Roman" w:hAnsi="Times New Roman"/>
          <w:i/>
          <w:iCs/>
          <w:sz w:val="16"/>
          <w:szCs w:val="16"/>
        </w:rPr>
        <w:t>Climate</w:t>
      </w:r>
      <w:proofErr w:type="spellEnd"/>
      <w:r w:rsidRPr="00AD1FE3">
        <w:rPr>
          <w:rFonts w:ascii="Times New Roman" w:hAnsi="Times New Roman"/>
          <w:i/>
          <w:iCs/>
          <w:sz w:val="16"/>
          <w:szCs w:val="16"/>
        </w:rPr>
        <w:t xml:space="preserve"> </w:t>
      </w:r>
      <w:proofErr w:type="spellStart"/>
      <w:r w:rsidRPr="00AD1FE3">
        <w:rPr>
          <w:rFonts w:ascii="Times New Roman" w:hAnsi="Times New Roman"/>
          <w:i/>
          <w:iCs/>
          <w:sz w:val="16"/>
          <w:szCs w:val="16"/>
        </w:rPr>
        <w:t>Action</w:t>
      </w:r>
      <w:proofErr w:type="spellEnd"/>
      <w:r w:rsidRPr="00AD1FE3">
        <w:rPr>
          <w:rFonts w:ascii="Times New Roman" w:hAnsi="Times New Roman"/>
          <w:sz w:val="16"/>
          <w:szCs w:val="16"/>
        </w:rPr>
        <w:t xml:space="preserve">” </w:t>
      </w:r>
      <w:hyperlink r:id="rId20" w:history="1">
        <w:r w:rsidRPr="00AD1FE3">
          <w:rPr>
            <w:rStyle w:val="Hyperlink"/>
            <w:rFonts w:ascii="Times New Roman" w:hAnsi="Times New Roman"/>
            <w:sz w:val="16"/>
            <w:szCs w:val="16"/>
          </w:rPr>
          <w:t>https://climate.ec.europa.eu/system/files/2023-11/com_2023_653_glossy_en_0.pdf</w:t>
        </w:r>
      </w:hyperlink>
      <w:r>
        <w:t xml:space="preserve"> </w:t>
      </w:r>
    </w:p>
  </w:footnote>
  <w:footnote w:id="44">
    <w:p w14:paraId="773F6D8E" w14:textId="77777777" w:rsidR="00B75D0C" w:rsidRPr="00DD3198" w:rsidRDefault="00B75D0C" w:rsidP="00B75D0C">
      <w:pPr>
        <w:pStyle w:val="FootnoteText"/>
        <w:rPr>
          <w:rFonts w:ascii="Times New Roman" w:hAnsi="Times New Roman"/>
          <w:sz w:val="16"/>
          <w:szCs w:val="16"/>
        </w:rPr>
      </w:pPr>
      <w:r w:rsidRPr="00DD3198">
        <w:rPr>
          <w:rStyle w:val="FootnoteCharacters"/>
          <w:rFonts w:ascii="Times New Roman" w:hAnsi="Times New Roman"/>
          <w:sz w:val="16"/>
          <w:szCs w:val="16"/>
        </w:rPr>
        <w:footnoteRef/>
      </w:r>
      <w:r w:rsidRPr="00DD3198">
        <w:rPr>
          <w:rFonts w:ascii="Times New Roman" w:hAnsi="Times New Roman"/>
          <w:sz w:val="16"/>
          <w:szCs w:val="16"/>
        </w:rPr>
        <w:t xml:space="preserve"> Saskaņā ar ZIZIMM regulas uzskaites noteikumiem (bāzes perioda (2005–2009) vidējā vērtība saskaņā ar ZIZIMM regulas 7. panta 1. punktu līdz 7. panta 3. punktu. Lai aprēķinātu bāzes perioda vērtības, tika veikta vēsturisko datu (2005-2009) pārrēķins pa uzskaites kategorijām.</w:t>
      </w:r>
    </w:p>
  </w:footnote>
  <w:footnote w:id="45">
    <w:p w14:paraId="575AE0F0" w14:textId="77777777" w:rsidR="00B75D0C" w:rsidRPr="00DD3198" w:rsidRDefault="00B75D0C" w:rsidP="00B75D0C">
      <w:pPr>
        <w:pStyle w:val="FootnoteText"/>
        <w:rPr>
          <w:rFonts w:ascii="Times New Roman" w:hAnsi="Times New Roman"/>
          <w:sz w:val="16"/>
          <w:szCs w:val="16"/>
        </w:rPr>
      </w:pPr>
      <w:r w:rsidRPr="00DD3198">
        <w:rPr>
          <w:rStyle w:val="FootnoteReference"/>
          <w:rFonts w:ascii="Times New Roman" w:hAnsi="Times New Roman"/>
          <w:sz w:val="16"/>
          <w:szCs w:val="16"/>
        </w:rPr>
        <w:footnoteRef/>
      </w:r>
      <w:r w:rsidRPr="00DD3198">
        <w:rPr>
          <w:rFonts w:ascii="Times New Roman" w:hAnsi="Times New Roman"/>
          <w:sz w:val="16"/>
          <w:szCs w:val="16"/>
        </w:rPr>
        <w:t xml:space="preserve"> Emisijas norāda kā pozitīvas vērtības (+), piesaisti norāda kā negatīvas vērtības (-).</w:t>
      </w:r>
    </w:p>
  </w:footnote>
  <w:footnote w:id="46">
    <w:p w14:paraId="547436DF" w14:textId="77777777" w:rsidR="00B75D0C" w:rsidRPr="00DD3198" w:rsidRDefault="00B75D0C" w:rsidP="00B75D0C">
      <w:pPr>
        <w:pStyle w:val="FootnoteText"/>
        <w:rPr>
          <w:rFonts w:ascii="Times New Roman" w:hAnsi="Times New Roman"/>
          <w:sz w:val="16"/>
          <w:szCs w:val="16"/>
        </w:rPr>
      </w:pPr>
      <w:r w:rsidRPr="00DD3198">
        <w:rPr>
          <w:rStyle w:val="FootnoteCharacters"/>
          <w:rFonts w:ascii="Times New Roman" w:hAnsi="Times New Roman"/>
          <w:sz w:val="16"/>
          <w:szCs w:val="16"/>
        </w:rPr>
        <w:footnoteRef/>
      </w:r>
      <w:r w:rsidRPr="00DD3198">
        <w:rPr>
          <w:rFonts w:ascii="Times New Roman" w:hAnsi="Times New Roman"/>
          <w:sz w:val="16"/>
          <w:szCs w:val="16"/>
        </w:rPr>
        <w:t xml:space="preserve"> Saskaņā ar ZIZIMM regulas uzskaites noteikumiem.</w:t>
      </w:r>
    </w:p>
  </w:footnote>
  <w:footnote w:id="47">
    <w:p w14:paraId="0969E122" w14:textId="77777777" w:rsidR="00B75D0C" w:rsidRPr="008707A3" w:rsidRDefault="00B75D0C" w:rsidP="00B75D0C">
      <w:pPr>
        <w:pStyle w:val="FootnoteText"/>
        <w:rPr>
          <w:rFonts w:ascii="Times New Roman" w:hAnsi="Times New Roman"/>
          <w:sz w:val="16"/>
          <w:szCs w:val="16"/>
        </w:rPr>
      </w:pPr>
      <w:r w:rsidRPr="00DD3198">
        <w:rPr>
          <w:rStyle w:val="FootnoteReference"/>
          <w:rFonts w:ascii="Times New Roman" w:hAnsi="Times New Roman"/>
          <w:sz w:val="16"/>
          <w:szCs w:val="16"/>
        </w:rPr>
        <w:footnoteRef/>
      </w:r>
      <w:r w:rsidRPr="00DD3198">
        <w:rPr>
          <w:rFonts w:ascii="Times New Roman" w:hAnsi="Times New Roman"/>
          <w:sz w:val="16"/>
          <w:szCs w:val="16"/>
        </w:rPr>
        <w:t xml:space="preserve"> Pēc 2023.gada SEG inventarizācijas, veicot papildus pārrēķinu pa uzskaites kategorijām.</w:t>
      </w:r>
    </w:p>
  </w:footnote>
  <w:footnote w:id="48">
    <w:p w14:paraId="3DEE79D8" w14:textId="77777777" w:rsidR="00B75D0C" w:rsidRPr="008707A3" w:rsidRDefault="00B75D0C" w:rsidP="00B75D0C">
      <w:pPr>
        <w:pStyle w:val="FootnoteText"/>
        <w:rPr>
          <w:rFonts w:ascii="Times New Roman" w:hAnsi="Times New Roman"/>
          <w:sz w:val="16"/>
          <w:szCs w:val="16"/>
        </w:rPr>
      </w:pPr>
      <w:r w:rsidRPr="00DD3198">
        <w:rPr>
          <w:rFonts w:ascii="Times New Roman" w:hAnsi="Times New Roman"/>
          <w:sz w:val="16"/>
          <w:szCs w:val="16"/>
          <w:vertAlign w:val="superscript"/>
        </w:rPr>
        <w:footnoteRef/>
      </w:r>
      <w:r w:rsidRPr="00DD3198">
        <w:rPr>
          <w:rFonts w:ascii="Times New Roman" w:hAnsi="Times New Roman"/>
          <w:sz w:val="16"/>
          <w:szCs w:val="16"/>
        </w:rPr>
        <w:t xml:space="preserve"> Sākot no 2022.gada izmantots 2023. gada ziņojums par politikām, pasākumiem un SEG prognozēm</w:t>
      </w:r>
    </w:p>
  </w:footnote>
  <w:footnote w:id="49">
    <w:p w14:paraId="00C5188F" w14:textId="77777777" w:rsidR="00B75D0C" w:rsidRPr="00DD3198" w:rsidRDefault="00B75D0C" w:rsidP="00B75D0C">
      <w:pPr>
        <w:pStyle w:val="FootnoteText"/>
        <w:rPr>
          <w:rFonts w:ascii="Times New Roman" w:hAnsi="Times New Roman"/>
          <w:sz w:val="16"/>
          <w:szCs w:val="16"/>
        </w:rPr>
      </w:pPr>
      <w:r w:rsidRPr="008707A3">
        <w:rPr>
          <w:rStyle w:val="FootnoteReference"/>
          <w:rFonts w:ascii="Times New Roman" w:hAnsi="Times New Roman"/>
          <w:sz w:val="16"/>
          <w:szCs w:val="16"/>
        </w:rPr>
        <w:footnoteRef/>
      </w:r>
      <w:r w:rsidRPr="008707A3">
        <w:rPr>
          <w:rFonts w:ascii="Times New Roman" w:hAnsi="Times New Roman"/>
          <w:sz w:val="16"/>
          <w:szCs w:val="16"/>
        </w:rPr>
        <w:t xml:space="preserve"> Kumulatīvās neto emisijas un piesaistījumi visos </w:t>
      </w:r>
      <w:r w:rsidRPr="00DD3198">
        <w:rPr>
          <w:rFonts w:ascii="Times New Roman" w:hAnsi="Times New Roman"/>
          <w:sz w:val="16"/>
          <w:szCs w:val="16"/>
        </w:rPr>
        <w:t>atbilstības perioda gados.</w:t>
      </w:r>
    </w:p>
  </w:footnote>
  <w:footnote w:id="50">
    <w:p w14:paraId="244BC532" w14:textId="77777777" w:rsidR="00B75D0C" w:rsidRPr="00DD3198" w:rsidRDefault="00B75D0C" w:rsidP="00B75D0C">
      <w:pPr>
        <w:pStyle w:val="FootnoteText"/>
        <w:rPr>
          <w:rFonts w:ascii="Times New Roman" w:hAnsi="Times New Roman"/>
          <w:sz w:val="16"/>
          <w:szCs w:val="16"/>
        </w:rPr>
      </w:pPr>
      <w:r w:rsidRPr="00DD3198">
        <w:rPr>
          <w:rStyle w:val="FootnoteReference"/>
          <w:rFonts w:ascii="Times New Roman" w:hAnsi="Times New Roman"/>
          <w:sz w:val="16"/>
          <w:szCs w:val="16"/>
        </w:rPr>
        <w:footnoteRef/>
      </w:r>
      <w:r w:rsidRPr="00DD3198">
        <w:rPr>
          <w:rFonts w:ascii="Times New Roman" w:hAnsi="Times New Roman"/>
          <w:sz w:val="16"/>
          <w:szCs w:val="16"/>
        </w:rPr>
        <w:t xml:space="preserve"> Komisijas 2020. gada 28. oktobra deleģētā regula (ES) 2021/268 ar ko attiecībā uz meža references līmeņiem, kas dalībvalstīm jāpiemēro 2021.–2025. gada periodā, groza ZIZIMM regulas IV pielikumu.</w:t>
      </w:r>
    </w:p>
  </w:footnote>
  <w:footnote w:id="51">
    <w:p w14:paraId="09D8DF31" w14:textId="77777777" w:rsidR="00B75D0C" w:rsidRPr="00DD3198" w:rsidRDefault="00B75D0C" w:rsidP="00B75D0C">
      <w:pPr>
        <w:pStyle w:val="FootnoteText"/>
        <w:rPr>
          <w:rFonts w:ascii="Times New Roman" w:hAnsi="Times New Roman"/>
          <w:sz w:val="16"/>
          <w:szCs w:val="16"/>
        </w:rPr>
      </w:pPr>
      <w:r w:rsidRPr="00DD3198">
        <w:rPr>
          <w:rStyle w:val="FootnoteReference"/>
          <w:rFonts w:ascii="Times New Roman" w:hAnsi="Times New Roman"/>
          <w:sz w:val="16"/>
          <w:szCs w:val="16"/>
        </w:rPr>
        <w:footnoteRef/>
      </w:r>
      <w:r w:rsidRPr="00DD3198">
        <w:rPr>
          <w:rFonts w:ascii="Times New Roman" w:hAnsi="Times New Roman"/>
          <w:sz w:val="16"/>
          <w:szCs w:val="16"/>
        </w:rPr>
        <w:t xml:space="preserve"> Atbilstoši ZIZIMM regulas 8(2).pantam. Informatīvos nolūkos šeit CAP piemērots piesaistei, kas uzskaitīta pret MRL, bet CAP neattiecas uz atmirušo koksni un HWP (bez papīra), kas tiks ņemts vērā gala aprēķinos 2027.gadā.</w:t>
      </w:r>
    </w:p>
  </w:footnote>
  <w:footnote w:id="52">
    <w:p w14:paraId="5FF7197A" w14:textId="77777777" w:rsidR="00B75D0C" w:rsidRPr="00973221" w:rsidRDefault="00B75D0C" w:rsidP="00B75D0C">
      <w:pPr>
        <w:pStyle w:val="FootnoteText"/>
        <w:rPr>
          <w:rFonts w:ascii="Times New Roman" w:hAnsi="Times New Roman"/>
          <w:sz w:val="16"/>
          <w:szCs w:val="16"/>
        </w:rPr>
      </w:pPr>
      <w:r w:rsidRPr="00DD3198">
        <w:rPr>
          <w:rStyle w:val="FootnoteReference"/>
          <w:rFonts w:ascii="Times New Roman" w:hAnsi="Times New Roman"/>
          <w:sz w:val="16"/>
          <w:szCs w:val="16"/>
        </w:rPr>
        <w:footnoteRef/>
      </w:r>
      <w:r w:rsidRPr="00DD3198">
        <w:rPr>
          <w:rFonts w:ascii="Times New Roman" w:hAnsi="Times New Roman"/>
          <w:sz w:val="16"/>
          <w:szCs w:val="16"/>
        </w:rPr>
        <w:t xml:space="preserve"> Pēc 2023.gada SEG inventarizācijas  datiem 3,5% no bāzes gada (1990.g.) LV kopējām emisijām  x 5</w:t>
      </w:r>
    </w:p>
  </w:footnote>
  <w:footnote w:id="53">
    <w:p w14:paraId="25994822" w14:textId="77777777" w:rsidR="00B75D0C" w:rsidRPr="002723C5" w:rsidRDefault="00B75D0C" w:rsidP="00B75D0C">
      <w:pPr>
        <w:pStyle w:val="FootnoteText"/>
        <w:rPr>
          <w:rFonts w:ascii="Times New Roman" w:eastAsia="Times New Roman" w:hAnsi="Times New Roman"/>
          <w:color w:val="000000"/>
          <w:sz w:val="16"/>
          <w:szCs w:val="16"/>
          <w:lang w:eastAsia="lv-LV"/>
        </w:rPr>
      </w:pPr>
      <w:r w:rsidRPr="00DD3198">
        <w:rPr>
          <w:rStyle w:val="FootnoteReference"/>
          <w:rFonts w:ascii="Times New Roman" w:hAnsi="Times New Roman"/>
          <w:sz w:val="16"/>
          <w:szCs w:val="16"/>
        </w:rPr>
        <w:footnoteRef/>
      </w:r>
      <w:r w:rsidRPr="00DD3198">
        <w:rPr>
          <w:rFonts w:ascii="Times New Roman" w:hAnsi="Times New Roman"/>
          <w:sz w:val="16"/>
          <w:szCs w:val="16"/>
        </w:rPr>
        <w:t xml:space="preserve"> </w:t>
      </w:r>
      <w:r w:rsidRPr="00DD3198">
        <w:rPr>
          <w:rFonts w:ascii="Times New Roman" w:eastAsia="Times New Roman" w:hAnsi="Times New Roman"/>
          <w:color w:val="000000"/>
          <w:sz w:val="16"/>
          <w:szCs w:val="16"/>
          <w:lang w:eastAsia="lv-LV"/>
        </w:rPr>
        <w:t>2021.-2025.g. SEG emisiju/CO</w:t>
      </w:r>
      <w:r w:rsidRPr="00DD3198">
        <w:rPr>
          <w:rFonts w:ascii="Times New Roman" w:eastAsia="Times New Roman" w:hAnsi="Times New Roman"/>
          <w:color w:val="000000"/>
          <w:sz w:val="16"/>
          <w:szCs w:val="16"/>
          <w:vertAlign w:val="subscript"/>
          <w:lang w:eastAsia="lv-LV"/>
        </w:rPr>
        <w:t>2</w:t>
      </w:r>
      <w:r w:rsidRPr="00DD3198">
        <w:rPr>
          <w:rFonts w:ascii="Times New Roman" w:eastAsia="Times New Roman" w:hAnsi="Times New Roman"/>
          <w:color w:val="000000"/>
          <w:sz w:val="16"/>
          <w:szCs w:val="16"/>
          <w:lang w:eastAsia="lv-LV"/>
        </w:rPr>
        <w:t xml:space="preserve"> piesaistes kopsumma mīnuss bāzes vērtība x 5</w:t>
      </w:r>
    </w:p>
  </w:footnote>
  <w:footnote w:id="54">
    <w:p w14:paraId="0471043E" w14:textId="77777777" w:rsidR="00B75D0C" w:rsidRPr="00DD3198" w:rsidRDefault="00B75D0C" w:rsidP="00B75D0C">
      <w:pPr>
        <w:pStyle w:val="FootnoteText"/>
        <w:tabs>
          <w:tab w:val="left" w:pos="8647"/>
        </w:tabs>
        <w:rPr>
          <w:rFonts w:ascii="Times New Roman" w:hAnsi="Times New Roman"/>
          <w:sz w:val="16"/>
          <w:szCs w:val="16"/>
        </w:rPr>
      </w:pPr>
    </w:p>
  </w:footnote>
  <w:footnote w:id="55">
    <w:p w14:paraId="7EBC615D" w14:textId="77777777" w:rsidR="00B75D0C" w:rsidRPr="00B75D0C" w:rsidRDefault="00B75D0C" w:rsidP="00B75D0C">
      <w:pPr>
        <w:pStyle w:val="FootnoteText"/>
        <w:rPr>
          <w:rFonts w:ascii="Times New Roman" w:hAnsi="Times New Roman"/>
          <w:sz w:val="16"/>
          <w:szCs w:val="16"/>
        </w:rPr>
      </w:pPr>
      <w:r w:rsidRPr="00B75D0C">
        <w:rPr>
          <w:rStyle w:val="FootnoteReference"/>
          <w:rFonts w:ascii="Times New Roman" w:hAnsi="Times New Roman"/>
          <w:sz w:val="16"/>
          <w:szCs w:val="16"/>
        </w:rPr>
        <w:footnoteRef/>
      </w:r>
      <w:r w:rsidRPr="00B75D0C">
        <w:rPr>
          <w:rFonts w:ascii="Times New Roman" w:hAnsi="Times New Roman"/>
          <w:sz w:val="16"/>
          <w:szCs w:val="16"/>
        </w:rPr>
        <w:t xml:space="preserve"> 2023. gada ziņojumu  par politikām, pasākumiem un SEG prognozēm</w:t>
      </w:r>
    </w:p>
  </w:footnote>
  <w:footnote w:id="56">
    <w:p w14:paraId="1BF01862" w14:textId="77777777" w:rsidR="00B75D0C" w:rsidRPr="00973221" w:rsidRDefault="00B75D0C" w:rsidP="00B75D0C">
      <w:pPr>
        <w:pStyle w:val="FootnoteText"/>
        <w:rPr>
          <w:rFonts w:ascii="Times New Roman" w:hAnsi="Times New Roman"/>
          <w:sz w:val="16"/>
          <w:szCs w:val="16"/>
        </w:rPr>
      </w:pPr>
      <w:r w:rsidRPr="00DD3198">
        <w:rPr>
          <w:rStyle w:val="FootnoteReference"/>
          <w:rFonts w:ascii="Times New Roman" w:hAnsi="Times New Roman"/>
          <w:sz w:val="16"/>
          <w:szCs w:val="16"/>
        </w:rPr>
        <w:footnoteRef/>
      </w:r>
      <w:r w:rsidRPr="00DD3198">
        <w:rPr>
          <w:rFonts w:ascii="Times New Roman" w:hAnsi="Times New Roman"/>
          <w:sz w:val="16"/>
          <w:szCs w:val="16"/>
        </w:rPr>
        <w:t xml:space="preserve"> Starpība starp SEG emisijām un CO</w:t>
      </w:r>
      <w:r w:rsidRPr="00DD3198">
        <w:rPr>
          <w:rFonts w:ascii="Times New Roman" w:hAnsi="Times New Roman"/>
          <w:sz w:val="16"/>
          <w:szCs w:val="16"/>
          <w:vertAlign w:val="subscript"/>
        </w:rPr>
        <w:t>2</w:t>
      </w:r>
      <w:r w:rsidRPr="00DD3198">
        <w:rPr>
          <w:rFonts w:ascii="Times New Roman" w:hAnsi="Times New Roman"/>
          <w:sz w:val="16"/>
          <w:szCs w:val="16"/>
        </w:rPr>
        <w:t xml:space="preserve"> piesaisti, kas rodas ZIZIMM sektorā</w:t>
      </w:r>
    </w:p>
  </w:footnote>
  <w:footnote w:id="57">
    <w:p w14:paraId="64E43B25" w14:textId="77777777" w:rsidR="00B75D0C" w:rsidRPr="00973221" w:rsidRDefault="00B75D0C" w:rsidP="00B75D0C">
      <w:pPr>
        <w:pStyle w:val="FootnoteText"/>
        <w:rPr>
          <w:rFonts w:ascii="Times New Roman" w:hAnsi="Times New Roman"/>
          <w:sz w:val="16"/>
          <w:szCs w:val="16"/>
        </w:rPr>
      </w:pPr>
      <w:r w:rsidRPr="00DD3198">
        <w:rPr>
          <w:rStyle w:val="FootnoteReference"/>
          <w:rFonts w:ascii="Times New Roman" w:hAnsi="Times New Roman"/>
          <w:sz w:val="16"/>
          <w:szCs w:val="16"/>
        </w:rPr>
        <w:footnoteRef/>
      </w:r>
      <w:r w:rsidRPr="00DD3198">
        <w:rPr>
          <w:rFonts w:ascii="Times New Roman" w:hAnsi="Times New Roman"/>
          <w:sz w:val="16"/>
          <w:szCs w:val="16"/>
        </w:rPr>
        <w:t xml:space="preserve"> Dokuments “Nacionālā enerģētikas un klimata plāna gala novērtējums”.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B927A" w14:textId="77777777" w:rsidR="00B75D0C" w:rsidRDefault="00B75D0C">
    <w:pPr>
      <w:pStyle w:val="Header"/>
      <w:tabs>
        <w:tab w:val="left" w:pos="6375"/>
        <w:tab w:val="right" w:pos="9356"/>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AED08" w14:textId="77777777" w:rsidR="00764133" w:rsidRDefault="007641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C879B" w14:textId="77777777" w:rsidR="00764133" w:rsidRDefault="00764133">
    <w:pPr>
      <w:pStyle w:val="Header"/>
      <w:tabs>
        <w:tab w:val="left" w:pos="6375"/>
        <w:tab w:val="right" w:pos="9356"/>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4FE1"/>
    <w:multiLevelType w:val="multilevel"/>
    <w:tmpl w:val="0600ADF2"/>
    <w:lvl w:ilvl="0">
      <w:start w:val="1"/>
      <w:numFmt w:val="decimal"/>
      <w:lvlText w:val="(%1)"/>
      <w:lvlJc w:val="left"/>
      <w:pPr>
        <w:tabs>
          <w:tab w:val="num" w:pos="0"/>
        </w:tabs>
        <w:ind w:left="720" w:hanging="360"/>
      </w:pPr>
      <w:rPr>
        <w:rFonts w:ascii="Times New Roman" w:eastAsia="Calibri"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0434B0"/>
    <w:multiLevelType w:val="hybridMultilevel"/>
    <w:tmpl w:val="E500F2BA"/>
    <w:lvl w:ilvl="0" w:tplc="04260001">
      <w:start w:val="1"/>
      <w:numFmt w:val="bullet"/>
      <w:lvlText w:val=""/>
      <w:lvlJc w:val="left"/>
      <w:pPr>
        <w:ind w:left="1350" w:hanging="360"/>
      </w:pPr>
      <w:rPr>
        <w:rFonts w:ascii="Symbol" w:hAnsi="Symbol"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abstractNum w:abstractNumId="2" w15:restartNumberingAfterBreak="0">
    <w:nsid w:val="0A7611B9"/>
    <w:multiLevelType w:val="multilevel"/>
    <w:tmpl w:val="49826CA6"/>
    <w:lvl w:ilvl="0">
      <w:start w:val="1"/>
      <w:numFmt w:val="bullet"/>
      <w:lvlText w:val=""/>
      <w:lvlJc w:val="left"/>
      <w:pPr>
        <w:tabs>
          <w:tab w:val="num" w:pos="0"/>
        </w:tabs>
        <w:ind w:left="2345"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716F0"/>
    <w:multiLevelType w:val="multilevel"/>
    <w:tmpl w:val="3BB60354"/>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1C491B"/>
    <w:multiLevelType w:val="hybridMultilevel"/>
    <w:tmpl w:val="964EDAB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10AC5CCD"/>
    <w:multiLevelType w:val="multilevel"/>
    <w:tmpl w:val="F7C4E1E8"/>
    <w:lvl w:ilvl="0">
      <w:start w:val="3"/>
      <w:numFmt w:val="decimal"/>
      <w:lvlText w:val="%1."/>
      <w:lvlJc w:val="left"/>
      <w:pPr>
        <w:ind w:left="500" w:hanging="50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6" w15:restartNumberingAfterBreak="0">
    <w:nsid w:val="178739F1"/>
    <w:multiLevelType w:val="hybridMultilevel"/>
    <w:tmpl w:val="5C2683CC"/>
    <w:lvl w:ilvl="0" w:tplc="C1544416">
      <w:start w:val="1"/>
      <w:numFmt w:val="lowerLetter"/>
      <w:lvlText w:val="%1."/>
      <w:lvlJc w:val="left"/>
      <w:pPr>
        <w:ind w:left="991" w:hanging="424"/>
      </w:pPr>
      <w:rPr>
        <w:rFonts w:ascii="Times New Roman" w:eastAsia="Calibri" w:hAnsi="Times New Roman" w:cs="Times New Roman"/>
        <w:sz w:val="24"/>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AF06DC0"/>
    <w:multiLevelType w:val="hybridMultilevel"/>
    <w:tmpl w:val="8C5E9906"/>
    <w:lvl w:ilvl="0" w:tplc="0A34A7B0">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D607040"/>
    <w:multiLevelType w:val="hybridMultilevel"/>
    <w:tmpl w:val="4ABEB3DE"/>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9" w15:restartNumberingAfterBreak="0">
    <w:nsid w:val="2EBC2200"/>
    <w:multiLevelType w:val="hybridMultilevel"/>
    <w:tmpl w:val="1F0A3E62"/>
    <w:lvl w:ilvl="0" w:tplc="43DE14C2">
      <w:start w:val="1"/>
      <w:numFmt w:val="decimal"/>
      <w:lvlText w:val="%1."/>
      <w:lvlJc w:val="left"/>
      <w:pPr>
        <w:ind w:left="644"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10" w15:restartNumberingAfterBreak="0">
    <w:nsid w:val="2EFF1E9A"/>
    <w:multiLevelType w:val="hybridMultilevel"/>
    <w:tmpl w:val="6114B684"/>
    <w:lvl w:ilvl="0" w:tplc="5AF2676E">
      <w:start w:val="1"/>
      <w:numFmt w:val="lowerLetter"/>
      <w:lvlText w:val="%1."/>
      <w:lvlJc w:val="left"/>
      <w:pPr>
        <w:ind w:left="720" w:hanging="360"/>
      </w:pPr>
      <w:rPr>
        <w:rFonts w:ascii="Times New Roman" w:eastAsia="Times New Roman" w:hAnsi="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F29622C"/>
    <w:multiLevelType w:val="hybridMultilevel"/>
    <w:tmpl w:val="CAEA22D0"/>
    <w:lvl w:ilvl="0" w:tplc="04260001">
      <w:start w:val="1"/>
      <w:numFmt w:val="bullet"/>
      <w:lvlText w:val=""/>
      <w:lvlJc w:val="left"/>
      <w:pPr>
        <w:ind w:left="644" w:hanging="360"/>
      </w:pPr>
      <w:rPr>
        <w:rFonts w:ascii="Symbol" w:hAnsi="Symbol"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2" w15:restartNumberingAfterBreak="0">
    <w:nsid w:val="308F0804"/>
    <w:multiLevelType w:val="hybridMultilevel"/>
    <w:tmpl w:val="4AAC10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4364BDE"/>
    <w:multiLevelType w:val="multilevel"/>
    <w:tmpl w:val="8CA29280"/>
    <w:lvl w:ilvl="0">
      <w:start w:val="2"/>
      <w:numFmt w:val="decimal"/>
      <w:lvlText w:val="%1."/>
      <w:lvlJc w:val="left"/>
      <w:pPr>
        <w:ind w:left="630" w:hanging="630"/>
      </w:pPr>
      <w:rPr>
        <w:rFonts w:hint="default"/>
      </w:rPr>
    </w:lvl>
    <w:lvl w:ilvl="1">
      <w:start w:val="2"/>
      <w:numFmt w:val="decimal"/>
      <w:lvlText w:val="%1.%2."/>
      <w:lvlJc w:val="left"/>
      <w:pPr>
        <w:ind w:left="1582" w:hanging="720"/>
      </w:pPr>
      <w:rPr>
        <w:rFonts w:hint="default"/>
      </w:rPr>
    </w:lvl>
    <w:lvl w:ilvl="2">
      <w:start w:val="4"/>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14" w15:restartNumberingAfterBreak="0">
    <w:nsid w:val="36080A15"/>
    <w:multiLevelType w:val="multilevel"/>
    <w:tmpl w:val="E392FC04"/>
    <w:lvl w:ilvl="0">
      <w:start w:val="1"/>
      <w:numFmt w:val="bullet"/>
      <w:lvlText w:val=""/>
      <w:lvlJc w:val="left"/>
      <w:pPr>
        <w:tabs>
          <w:tab w:val="num" w:pos="0"/>
        </w:tabs>
        <w:ind w:left="765"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96F78DA"/>
    <w:multiLevelType w:val="hybridMultilevel"/>
    <w:tmpl w:val="65AE2666"/>
    <w:lvl w:ilvl="0" w:tplc="202CB41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B4850B4"/>
    <w:multiLevelType w:val="hybridMultilevel"/>
    <w:tmpl w:val="449C73FC"/>
    <w:lvl w:ilvl="0" w:tplc="D226ACE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BFC3A39"/>
    <w:multiLevelType w:val="hybridMultilevel"/>
    <w:tmpl w:val="19BEF88C"/>
    <w:lvl w:ilvl="0" w:tplc="43DE14C2">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8" w15:restartNumberingAfterBreak="0">
    <w:nsid w:val="513C4307"/>
    <w:multiLevelType w:val="hybridMultilevel"/>
    <w:tmpl w:val="2EB4FF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9F8481C"/>
    <w:multiLevelType w:val="multilevel"/>
    <w:tmpl w:val="34CE2176"/>
    <w:lvl w:ilvl="0">
      <w:start w:val="1"/>
      <w:numFmt w:val="decimal"/>
      <w:lvlText w:val="%1."/>
      <w:lvlJc w:val="left"/>
      <w:pPr>
        <w:tabs>
          <w:tab w:val="num" w:pos="0"/>
        </w:tabs>
        <w:ind w:left="72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C770BD6"/>
    <w:multiLevelType w:val="multilevel"/>
    <w:tmpl w:val="56649EA0"/>
    <w:lvl w:ilvl="0">
      <w:start w:val="1"/>
      <w:numFmt w:val="bullet"/>
      <w:lvlText w:val=""/>
      <w:lvlJc w:val="left"/>
      <w:pPr>
        <w:tabs>
          <w:tab w:val="num" w:pos="0"/>
        </w:tabs>
        <w:ind w:left="720" w:hanging="360"/>
      </w:pPr>
      <w:rPr>
        <w:rFonts w:ascii="Symbol" w:hAnsi="Symbol" w:cs="Symbol" w:hint="default"/>
        <w:color w:va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FCD1069"/>
    <w:multiLevelType w:val="multilevel"/>
    <w:tmpl w:val="7AA6B2A2"/>
    <w:lvl w:ilvl="0">
      <w:start w:val="2"/>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2" w15:restartNumberingAfterBreak="0">
    <w:nsid w:val="6186175C"/>
    <w:multiLevelType w:val="multilevel"/>
    <w:tmpl w:val="8F0A05D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BD47FB1"/>
    <w:multiLevelType w:val="hybridMultilevel"/>
    <w:tmpl w:val="5BE827AA"/>
    <w:lvl w:ilvl="0" w:tplc="A4EA44B6">
      <w:start w:val="1"/>
      <w:numFmt w:val="decimal"/>
      <w:lvlText w:val="%1."/>
      <w:lvlJc w:val="left"/>
      <w:pPr>
        <w:ind w:left="1080" w:hanging="360"/>
      </w:pPr>
      <w:rPr>
        <w:rFonts w:ascii="Times New Roman" w:hAnsi="Times New Roman" w:cs="Times New Roman" w:hint="default"/>
        <w:b/>
        <w:i/>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E626DB8"/>
    <w:multiLevelType w:val="multilevel"/>
    <w:tmpl w:val="EDF2242A"/>
    <w:lvl w:ilvl="0">
      <w:start w:val="2"/>
      <w:numFmt w:val="decimal"/>
      <w:lvlText w:val="%1."/>
      <w:lvlJc w:val="left"/>
      <w:pPr>
        <w:ind w:left="540" w:hanging="540"/>
      </w:pPr>
      <w:rPr>
        <w:rFonts w:hint="default"/>
      </w:rPr>
    </w:lvl>
    <w:lvl w:ilvl="1">
      <w:start w:val="2"/>
      <w:numFmt w:val="decimal"/>
      <w:lvlText w:val="%1.%2."/>
      <w:lvlJc w:val="left"/>
      <w:pPr>
        <w:ind w:left="1042" w:hanging="540"/>
      </w:pPr>
      <w:rPr>
        <w:rFonts w:hint="default"/>
      </w:rPr>
    </w:lvl>
    <w:lvl w:ilvl="2">
      <w:start w:val="4"/>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5" w15:restartNumberingAfterBreak="0">
    <w:nsid w:val="77CD4F7A"/>
    <w:multiLevelType w:val="multilevel"/>
    <w:tmpl w:val="7F7E766C"/>
    <w:lvl w:ilvl="0">
      <w:start w:val="1"/>
      <w:numFmt w:val="bullet"/>
      <w:pStyle w:val="Bullet0"/>
      <w:lvlText w:val=""/>
      <w:lvlJc w:val="left"/>
      <w:pPr>
        <w:tabs>
          <w:tab w:val="num" w:pos="850"/>
        </w:tabs>
        <w:ind w:left="850" w:hanging="85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9C4279D"/>
    <w:multiLevelType w:val="hybridMultilevel"/>
    <w:tmpl w:val="20BACF3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79DE031E"/>
    <w:multiLevelType w:val="multilevel"/>
    <w:tmpl w:val="49D8347C"/>
    <w:styleLink w:val="CurrentList1"/>
    <w:lvl w:ilvl="0">
      <w:start w:val="1"/>
      <w:numFmt w:val="decimal"/>
      <w:lvlText w:val="%1."/>
      <w:lvlJc w:val="left"/>
      <w:pPr>
        <w:tabs>
          <w:tab w:val="num" w:pos="-142"/>
        </w:tabs>
        <w:ind w:left="360" w:hanging="360"/>
      </w:pPr>
    </w:lvl>
    <w:lvl w:ilvl="1">
      <w:start w:val="1"/>
      <w:numFmt w:val="decimal"/>
      <w:lvlText w:val="%1.%2."/>
      <w:lvlJc w:val="left"/>
      <w:pPr>
        <w:tabs>
          <w:tab w:val="num" w:pos="-1690"/>
        </w:tabs>
        <w:ind w:left="1283" w:hanging="432"/>
      </w:pPr>
    </w:lvl>
    <w:lvl w:ilvl="2">
      <w:start w:val="1"/>
      <w:numFmt w:val="decimal"/>
      <w:lvlText w:val="%1.%2.%3."/>
      <w:lvlJc w:val="left"/>
      <w:pPr>
        <w:tabs>
          <w:tab w:val="num" w:pos="0"/>
        </w:tabs>
        <w:ind w:left="1224" w:hanging="504"/>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4758CC"/>
    <w:multiLevelType w:val="multilevel"/>
    <w:tmpl w:val="EDF2242A"/>
    <w:lvl w:ilvl="0">
      <w:start w:val="2"/>
      <w:numFmt w:val="decimal"/>
      <w:lvlText w:val="%1."/>
      <w:lvlJc w:val="left"/>
      <w:pPr>
        <w:ind w:left="540" w:hanging="540"/>
      </w:pPr>
      <w:rPr>
        <w:rFonts w:hint="default"/>
      </w:rPr>
    </w:lvl>
    <w:lvl w:ilvl="1">
      <w:start w:val="2"/>
      <w:numFmt w:val="decimal"/>
      <w:lvlText w:val="%1.%2."/>
      <w:lvlJc w:val="left"/>
      <w:pPr>
        <w:ind w:left="1042" w:hanging="540"/>
      </w:pPr>
      <w:rPr>
        <w:rFonts w:hint="default"/>
      </w:rPr>
    </w:lvl>
    <w:lvl w:ilvl="2">
      <w:start w:val="4"/>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9" w15:restartNumberingAfterBreak="0">
    <w:nsid w:val="7B3A2569"/>
    <w:multiLevelType w:val="hybridMultilevel"/>
    <w:tmpl w:val="8A4E4664"/>
    <w:lvl w:ilvl="0" w:tplc="FFFFFFFF">
      <w:start w:val="1"/>
      <w:numFmt w:val="decimal"/>
      <w:lvlText w:val="%1."/>
      <w:lvlJc w:val="left"/>
      <w:pPr>
        <w:ind w:left="1080" w:hanging="360"/>
      </w:pPr>
      <w:rPr>
        <w:rFonts w:ascii="Times New Roman" w:hAnsi="Times New Roman" w:cs="Times New Roman" w:hint="default"/>
        <w:b/>
        <w:i/>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556009792">
    <w:abstractNumId w:val="22"/>
  </w:num>
  <w:num w:numId="2" w16cid:durableId="531959691">
    <w:abstractNumId w:val="3"/>
  </w:num>
  <w:num w:numId="3" w16cid:durableId="1490369502">
    <w:abstractNumId w:val="0"/>
  </w:num>
  <w:num w:numId="4" w16cid:durableId="276373956">
    <w:abstractNumId w:val="2"/>
  </w:num>
  <w:num w:numId="5" w16cid:durableId="986126818">
    <w:abstractNumId w:val="19"/>
  </w:num>
  <w:num w:numId="6" w16cid:durableId="884104377">
    <w:abstractNumId w:val="25"/>
  </w:num>
  <w:num w:numId="7" w16cid:durableId="188420985">
    <w:abstractNumId w:val="14"/>
  </w:num>
  <w:num w:numId="8" w16cid:durableId="1516650298">
    <w:abstractNumId w:val="20"/>
  </w:num>
  <w:num w:numId="9" w16cid:durableId="717437380">
    <w:abstractNumId w:val="8"/>
  </w:num>
  <w:num w:numId="10" w16cid:durableId="1040327512">
    <w:abstractNumId w:val="15"/>
  </w:num>
  <w:num w:numId="11" w16cid:durableId="682437706">
    <w:abstractNumId w:val="4"/>
  </w:num>
  <w:num w:numId="12" w16cid:durableId="2073381489">
    <w:abstractNumId w:val="6"/>
  </w:num>
  <w:num w:numId="13" w16cid:durableId="1471364729">
    <w:abstractNumId w:val="10"/>
  </w:num>
  <w:num w:numId="14" w16cid:durableId="1983732031">
    <w:abstractNumId w:val="1"/>
  </w:num>
  <w:num w:numId="15" w16cid:durableId="2131587659">
    <w:abstractNumId w:val="12"/>
  </w:num>
  <w:num w:numId="16" w16cid:durableId="1465537653">
    <w:abstractNumId w:val="23"/>
  </w:num>
  <w:num w:numId="17" w16cid:durableId="1774014134">
    <w:abstractNumId w:val="29"/>
  </w:num>
  <w:num w:numId="18" w16cid:durableId="1006900021">
    <w:abstractNumId w:val="27"/>
  </w:num>
  <w:num w:numId="19" w16cid:durableId="1990010001">
    <w:abstractNumId w:val="7"/>
  </w:num>
  <w:num w:numId="20" w16cid:durableId="771900620">
    <w:abstractNumId w:val="16"/>
  </w:num>
  <w:num w:numId="21" w16cid:durableId="152333567">
    <w:abstractNumId w:val="11"/>
  </w:num>
  <w:num w:numId="22" w16cid:durableId="1270547831">
    <w:abstractNumId w:val="18"/>
  </w:num>
  <w:num w:numId="23" w16cid:durableId="618489910">
    <w:abstractNumId w:val="17"/>
  </w:num>
  <w:num w:numId="24" w16cid:durableId="1759063393">
    <w:abstractNumId w:val="9"/>
  </w:num>
  <w:num w:numId="25" w16cid:durableId="1085876282">
    <w:abstractNumId w:val="21"/>
  </w:num>
  <w:num w:numId="26" w16cid:durableId="1667049020">
    <w:abstractNumId w:val="13"/>
  </w:num>
  <w:num w:numId="27" w16cid:durableId="1605267609">
    <w:abstractNumId w:val="24"/>
  </w:num>
  <w:num w:numId="28" w16cid:durableId="1272012455">
    <w:abstractNumId w:val="28"/>
  </w:num>
  <w:num w:numId="29" w16cid:durableId="361171634">
    <w:abstractNumId w:val="5"/>
  </w:num>
  <w:num w:numId="30" w16cid:durableId="196800378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D0C"/>
    <w:rsid w:val="00034DFE"/>
    <w:rsid w:val="0003517A"/>
    <w:rsid w:val="00057E49"/>
    <w:rsid w:val="00064DAD"/>
    <w:rsid w:val="00075B30"/>
    <w:rsid w:val="000C023F"/>
    <w:rsid w:val="000D73B2"/>
    <w:rsid w:val="000E42DB"/>
    <w:rsid w:val="000E615D"/>
    <w:rsid w:val="001D7C51"/>
    <w:rsid w:val="002128F6"/>
    <w:rsid w:val="0023083E"/>
    <w:rsid w:val="002533FF"/>
    <w:rsid w:val="00255933"/>
    <w:rsid w:val="002D5966"/>
    <w:rsid w:val="002D7DB9"/>
    <w:rsid w:val="003735F7"/>
    <w:rsid w:val="003A232F"/>
    <w:rsid w:val="003D5449"/>
    <w:rsid w:val="003E135A"/>
    <w:rsid w:val="004350B7"/>
    <w:rsid w:val="00440CE8"/>
    <w:rsid w:val="00482183"/>
    <w:rsid w:val="004F7DC3"/>
    <w:rsid w:val="00515302"/>
    <w:rsid w:val="00545F46"/>
    <w:rsid w:val="00560F4D"/>
    <w:rsid w:val="00580DC6"/>
    <w:rsid w:val="00590C1F"/>
    <w:rsid w:val="005C69DC"/>
    <w:rsid w:val="005D7537"/>
    <w:rsid w:val="00601ACA"/>
    <w:rsid w:val="00611121"/>
    <w:rsid w:val="00615363"/>
    <w:rsid w:val="0066269A"/>
    <w:rsid w:val="006759DE"/>
    <w:rsid w:val="006948C5"/>
    <w:rsid w:val="006B1AE6"/>
    <w:rsid w:val="006C4B0F"/>
    <w:rsid w:val="006D0BBA"/>
    <w:rsid w:val="006F61D0"/>
    <w:rsid w:val="0070500F"/>
    <w:rsid w:val="0071227B"/>
    <w:rsid w:val="00731B69"/>
    <w:rsid w:val="00764133"/>
    <w:rsid w:val="0078492C"/>
    <w:rsid w:val="008264D0"/>
    <w:rsid w:val="008512D5"/>
    <w:rsid w:val="00867361"/>
    <w:rsid w:val="00881D21"/>
    <w:rsid w:val="008954AB"/>
    <w:rsid w:val="008B109D"/>
    <w:rsid w:val="008D3AE5"/>
    <w:rsid w:val="008E320D"/>
    <w:rsid w:val="009E7135"/>
    <w:rsid w:val="009F09C9"/>
    <w:rsid w:val="00A34EC6"/>
    <w:rsid w:val="00A91E77"/>
    <w:rsid w:val="00B41EF4"/>
    <w:rsid w:val="00B72C19"/>
    <w:rsid w:val="00B75D0C"/>
    <w:rsid w:val="00B95F42"/>
    <w:rsid w:val="00BA5A5C"/>
    <w:rsid w:val="00BD083C"/>
    <w:rsid w:val="00C142E1"/>
    <w:rsid w:val="00CC4AEA"/>
    <w:rsid w:val="00CD5C04"/>
    <w:rsid w:val="00CE0462"/>
    <w:rsid w:val="00CE1B22"/>
    <w:rsid w:val="00CE1D8E"/>
    <w:rsid w:val="00D26E02"/>
    <w:rsid w:val="00D840E9"/>
    <w:rsid w:val="00D85144"/>
    <w:rsid w:val="00D9590D"/>
    <w:rsid w:val="00D9767E"/>
    <w:rsid w:val="00F414AD"/>
    <w:rsid w:val="00FC3B75"/>
    <w:rsid w:val="00FC4285"/>
    <w:rsid w:val="00FE2E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88F36"/>
  <w15:chartTrackingRefBased/>
  <w15:docId w15:val="{61FABE5F-7646-4704-92E7-7DA9C945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D0C"/>
    <w:pPr>
      <w:suppressAutoHyphens/>
      <w:spacing w:after="200" w:line="276" w:lineRule="auto"/>
    </w:pPr>
    <w:rPr>
      <w:rFonts w:ascii="Calibri" w:eastAsia="Calibri" w:hAnsi="Calibri" w:cs="Times New Roman"/>
      <w:kern w:val="0"/>
      <w:lang w:eastAsia="zh-CN"/>
      <w14:ligatures w14:val="none"/>
    </w:rPr>
  </w:style>
  <w:style w:type="paragraph" w:styleId="Heading1">
    <w:name w:val="heading 1"/>
    <w:basedOn w:val="Normal"/>
    <w:next w:val="Normal"/>
    <w:link w:val="Heading1Char"/>
    <w:qFormat/>
    <w:rsid w:val="00B75D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75D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B75D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5D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5D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5D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D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D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D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B75D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qFormat/>
    <w:rsid w:val="00B75D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qFormat/>
    <w:rsid w:val="00B75D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5D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5D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5D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D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D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D0C"/>
    <w:rPr>
      <w:rFonts w:eastAsiaTheme="majorEastAsia" w:cstheme="majorBidi"/>
      <w:color w:val="272727" w:themeColor="text1" w:themeTint="D8"/>
    </w:rPr>
  </w:style>
  <w:style w:type="paragraph" w:styleId="Title">
    <w:name w:val="Title"/>
    <w:basedOn w:val="Normal"/>
    <w:next w:val="Normal"/>
    <w:link w:val="TitleChar"/>
    <w:uiPriority w:val="10"/>
    <w:qFormat/>
    <w:rsid w:val="00B75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D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D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D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D0C"/>
    <w:pPr>
      <w:spacing w:before="160"/>
      <w:jc w:val="center"/>
    </w:pPr>
    <w:rPr>
      <w:i/>
      <w:iCs/>
      <w:color w:val="404040" w:themeColor="text1" w:themeTint="BF"/>
    </w:rPr>
  </w:style>
  <w:style w:type="character" w:customStyle="1" w:styleId="QuoteChar">
    <w:name w:val="Quote Char"/>
    <w:basedOn w:val="DefaultParagraphFont"/>
    <w:link w:val="Quote"/>
    <w:uiPriority w:val="29"/>
    <w:rsid w:val="00B75D0C"/>
    <w:rPr>
      <w:i/>
      <w:iCs/>
      <w:color w:val="404040" w:themeColor="text1" w:themeTint="BF"/>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L"/>
    <w:basedOn w:val="Normal"/>
    <w:uiPriority w:val="34"/>
    <w:qFormat/>
    <w:rsid w:val="00B75D0C"/>
    <w:pPr>
      <w:ind w:left="720"/>
      <w:contextualSpacing/>
    </w:pPr>
  </w:style>
  <w:style w:type="character" w:styleId="IntenseEmphasis">
    <w:name w:val="Intense Emphasis"/>
    <w:basedOn w:val="DefaultParagraphFont"/>
    <w:uiPriority w:val="21"/>
    <w:qFormat/>
    <w:rsid w:val="00B75D0C"/>
    <w:rPr>
      <w:i/>
      <w:iCs/>
      <w:color w:val="0F4761" w:themeColor="accent1" w:themeShade="BF"/>
    </w:rPr>
  </w:style>
  <w:style w:type="paragraph" w:styleId="IntenseQuote">
    <w:name w:val="Intense Quote"/>
    <w:basedOn w:val="Normal"/>
    <w:next w:val="Normal"/>
    <w:link w:val="IntenseQuoteChar"/>
    <w:uiPriority w:val="30"/>
    <w:qFormat/>
    <w:rsid w:val="00B75D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5D0C"/>
    <w:rPr>
      <w:i/>
      <w:iCs/>
      <w:color w:val="0F4761" w:themeColor="accent1" w:themeShade="BF"/>
    </w:rPr>
  </w:style>
  <w:style w:type="character" w:styleId="IntenseReference">
    <w:name w:val="Intense Reference"/>
    <w:basedOn w:val="DefaultParagraphFont"/>
    <w:uiPriority w:val="32"/>
    <w:qFormat/>
    <w:rsid w:val="00B75D0C"/>
    <w:rPr>
      <w:b/>
      <w:bCs/>
      <w:smallCaps/>
      <w:color w:val="0F4761" w:themeColor="accent1" w:themeShade="BF"/>
      <w:spacing w:val="5"/>
    </w:rPr>
  </w:style>
  <w:style w:type="character" w:customStyle="1" w:styleId="WW8Num1z0">
    <w:name w:val="WW8Num1z0"/>
    <w:qFormat/>
    <w:rsid w:val="00B75D0C"/>
    <w:rPr>
      <w:rFonts w:ascii="Symbol" w:hAnsi="Symbol" w:cs="Symbol"/>
    </w:rPr>
  </w:style>
  <w:style w:type="character" w:customStyle="1" w:styleId="WW8Num1z1">
    <w:name w:val="WW8Num1z1"/>
    <w:qFormat/>
    <w:rsid w:val="00B75D0C"/>
    <w:rPr>
      <w:rFonts w:ascii="Courier New" w:hAnsi="Courier New" w:cs="Courier New"/>
    </w:rPr>
  </w:style>
  <w:style w:type="character" w:customStyle="1" w:styleId="WW8Num1z2">
    <w:name w:val="WW8Num1z2"/>
    <w:qFormat/>
    <w:rsid w:val="00B75D0C"/>
    <w:rPr>
      <w:rFonts w:ascii="Wingdings" w:hAnsi="Wingdings" w:cs="Wingdings"/>
    </w:rPr>
  </w:style>
  <w:style w:type="character" w:customStyle="1" w:styleId="WW8Num2z0">
    <w:name w:val="WW8Num2z0"/>
    <w:qFormat/>
    <w:rsid w:val="00B75D0C"/>
    <w:rPr>
      <w:rFonts w:ascii="Symbol" w:eastAsia="Calibri" w:hAnsi="Symbol" w:cs="Calibri"/>
      <w:sz w:val="22"/>
    </w:rPr>
  </w:style>
  <w:style w:type="character" w:customStyle="1" w:styleId="WW8Num2z1">
    <w:name w:val="WW8Num2z1"/>
    <w:qFormat/>
    <w:rsid w:val="00B75D0C"/>
    <w:rPr>
      <w:rFonts w:ascii="Courier New" w:hAnsi="Courier New" w:cs="Courier New"/>
    </w:rPr>
  </w:style>
  <w:style w:type="character" w:customStyle="1" w:styleId="WW8Num2z2">
    <w:name w:val="WW8Num2z2"/>
    <w:qFormat/>
    <w:rsid w:val="00B75D0C"/>
    <w:rPr>
      <w:rFonts w:ascii="Wingdings" w:hAnsi="Wingdings" w:cs="Wingdings"/>
    </w:rPr>
  </w:style>
  <w:style w:type="character" w:customStyle="1" w:styleId="WW8Num2z3">
    <w:name w:val="WW8Num2z3"/>
    <w:qFormat/>
    <w:rsid w:val="00B75D0C"/>
    <w:rPr>
      <w:rFonts w:ascii="Symbol" w:hAnsi="Symbol" w:cs="Symbol"/>
    </w:rPr>
  </w:style>
  <w:style w:type="character" w:customStyle="1" w:styleId="WW8Num3z0">
    <w:name w:val="WW8Num3z0"/>
    <w:qFormat/>
    <w:rsid w:val="00B75D0C"/>
    <w:rPr>
      <w:rFonts w:ascii="Symbol" w:hAnsi="Symbol" w:cs="Symbol"/>
    </w:rPr>
  </w:style>
  <w:style w:type="character" w:customStyle="1" w:styleId="WW8Num3z1">
    <w:name w:val="WW8Num3z1"/>
    <w:qFormat/>
    <w:rsid w:val="00B75D0C"/>
    <w:rPr>
      <w:rFonts w:ascii="Courier New" w:hAnsi="Courier New" w:cs="Courier New"/>
    </w:rPr>
  </w:style>
  <w:style w:type="character" w:customStyle="1" w:styleId="WW8Num3z2">
    <w:name w:val="WW8Num3z2"/>
    <w:qFormat/>
    <w:rsid w:val="00B75D0C"/>
    <w:rPr>
      <w:rFonts w:ascii="Wingdings" w:hAnsi="Wingdings" w:cs="Wingdings"/>
    </w:rPr>
  </w:style>
  <w:style w:type="character" w:customStyle="1" w:styleId="WW8Num4z0">
    <w:name w:val="WW8Num4z0"/>
    <w:qFormat/>
    <w:rsid w:val="00B75D0C"/>
  </w:style>
  <w:style w:type="character" w:customStyle="1" w:styleId="WW8Num4z1">
    <w:name w:val="WW8Num4z1"/>
    <w:qFormat/>
    <w:rsid w:val="00B75D0C"/>
  </w:style>
  <w:style w:type="character" w:customStyle="1" w:styleId="WW8Num4z2">
    <w:name w:val="WW8Num4z2"/>
    <w:qFormat/>
    <w:rsid w:val="00B75D0C"/>
  </w:style>
  <w:style w:type="character" w:customStyle="1" w:styleId="WW8Num4z3">
    <w:name w:val="WW8Num4z3"/>
    <w:qFormat/>
    <w:rsid w:val="00B75D0C"/>
  </w:style>
  <w:style w:type="character" w:customStyle="1" w:styleId="WW8Num4z4">
    <w:name w:val="WW8Num4z4"/>
    <w:qFormat/>
    <w:rsid w:val="00B75D0C"/>
  </w:style>
  <w:style w:type="character" w:customStyle="1" w:styleId="WW8Num4z5">
    <w:name w:val="WW8Num4z5"/>
    <w:qFormat/>
    <w:rsid w:val="00B75D0C"/>
  </w:style>
  <w:style w:type="character" w:customStyle="1" w:styleId="WW8Num4z6">
    <w:name w:val="WW8Num4z6"/>
    <w:qFormat/>
    <w:rsid w:val="00B75D0C"/>
  </w:style>
  <w:style w:type="character" w:customStyle="1" w:styleId="WW8Num4z7">
    <w:name w:val="WW8Num4z7"/>
    <w:qFormat/>
    <w:rsid w:val="00B75D0C"/>
  </w:style>
  <w:style w:type="character" w:customStyle="1" w:styleId="WW8Num4z8">
    <w:name w:val="WW8Num4z8"/>
    <w:qFormat/>
    <w:rsid w:val="00B75D0C"/>
  </w:style>
  <w:style w:type="character" w:customStyle="1" w:styleId="WW8Num5z0">
    <w:name w:val="WW8Num5z0"/>
    <w:qFormat/>
    <w:rsid w:val="00B75D0C"/>
    <w:rPr>
      <w:rFonts w:ascii="Symbol" w:hAnsi="Symbol" w:cs="Symbol"/>
    </w:rPr>
  </w:style>
  <w:style w:type="character" w:customStyle="1" w:styleId="WW8Num5z1">
    <w:name w:val="WW8Num5z1"/>
    <w:qFormat/>
    <w:rsid w:val="00B75D0C"/>
    <w:rPr>
      <w:rFonts w:ascii="Courier New" w:hAnsi="Courier New" w:cs="Courier New"/>
    </w:rPr>
  </w:style>
  <w:style w:type="character" w:customStyle="1" w:styleId="WW8Num5z2">
    <w:name w:val="WW8Num5z2"/>
    <w:qFormat/>
    <w:rsid w:val="00B75D0C"/>
    <w:rPr>
      <w:rFonts w:ascii="Wingdings" w:hAnsi="Wingdings" w:cs="Wingdings"/>
    </w:rPr>
  </w:style>
  <w:style w:type="character" w:customStyle="1" w:styleId="WW8Num6z0">
    <w:name w:val="WW8Num6z0"/>
    <w:qFormat/>
    <w:rsid w:val="00B75D0C"/>
    <w:rPr>
      <w:b w:val="0"/>
    </w:rPr>
  </w:style>
  <w:style w:type="character" w:customStyle="1" w:styleId="WW8Num6z1">
    <w:name w:val="WW8Num6z1"/>
    <w:qFormat/>
    <w:rsid w:val="00B75D0C"/>
  </w:style>
  <w:style w:type="character" w:customStyle="1" w:styleId="WW8Num6z2">
    <w:name w:val="WW8Num6z2"/>
    <w:qFormat/>
    <w:rsid w:val="00B75D0C"/>
  </w:style>
  <w:style w:type="character" w:customStyle="1" w:styleId="WW8Num6z3">
    <w:name w:val="WW8Num6z3"/>
    <w:qFormat/>
    <w:rsid w:val="00B75D0C"/>
  </w:style>
  <w:style w:type="character" w:customStyle="1" w:styleId="WW8Num6z4">
    <w:name w:val="WW8Num6z4"/>
    <w:qFormat/>
    <w:rsid w:val="00B75D0C"/>
  </w:style>
  <w:style w:type="character" w:customStyle="1" w:styleId="WW8Num6z5">
    <w:name w:val="WW8Num6z5"/>
    <w:qFormat/>
    <w:rsid w:val="00B75D0C"/>
  </w:style>
  <w:style w:type="character" w:customStyle="1" w:styleId="WW8Num6z6">
    <w:name w:val="WW8Num6z6"/>
    <w:qFormat/>
    <w:rsid w:val="00B75D0C"/>
  </w:style>
  <w:style w:type="character" w:customStyle="1" w:styleId="WW8Num6z7">
    <w:name w:val="WW8Num6z7"/>
    <w:qFormat/>
    <w:rsid w:val="00B75D0C"/>
  </w:style>
  <w:style w:type="character" w:customStyle="1" w:styleId="WW8Num6z8">
    <w:name w:val="WW8Num6z8"/>
    <w:qFormat/>
    <w:rsid w:val="00B75D0C"/>
  </w:style>
  <w:style w:type="character" w:customStyle="1" w:styleId="WW8Num7z0">
    <w:name w:val="WW8Num7z0"/>
    <w:qFormat/>
    <w:rsid w:val="00B75D0C"/>
    <w:rPr>
      <w:rFonts w:ascii="Symbol" w:hAnsi="Symbol" w:cs="Symbol"/>
    </w:rPr>
  </w:style>
  <w:style w:type="character" w:customStyle="1" w:styleId="WW8Num7z1">
    <w:name w:val="WW8Num7z1"/>
    <w:qFormat/>
    <w:rsid w:val="00B75D0C"/>
    <w:rPr>
      <w:rFonts w:ascii="Courier New" w:hAnsi="Courier New" w:cs="Courier New"/>
    </w:rPr>
  </w:style>
  <w:style w:type="character" w:customStyle="1" w:styleId="WW8Num7z2">
    <w:name w:val="WW8Num7z2"/>
    <w:qFormat/>
    <w:rsid w:val="00B75D0C"/>
    <w:rPr>
      <w:rFonts w:ascii="Wingdings" w:hAnsi="Wingdings" w:cs="Wingdings"/>
    </w:rPr>
  </w:style>
  <w:style w:type="character" w:customStyle="1" w:styleId="WW8Num8z0">
    <w:name w:val="WW8Num8z0"/>
    <w:qFormat/>
    <w:rsid w:val="00B75D0C"/>
    <w:rPr>
      <w:rFonts w:ascii="Times New Roman" w:eastAsia="Calibri" w:hAnsi="Times New Roman" w:cs="Times New Roman"/>
    </w:rPr>
  </w:style>
  <w:style w:type="character" w:customStyle="1" w:styleId="WW8Num8z1">
    <w:name w:val="WW8Num8z1"/>
    <w:qFormat/>
    <w:rsid w:val="00B75D0C"/>
  </w:style>
  <w:style w:type="character" w:customStyle="1" w:styleId="WW8Num8z2">
    <w:name w:val="WW8Num8z2"/>
    <w:qFormat/>
    <w:rsid w:val="00B75D0C"/>
  </w:style>
  <w:style w:type="character" w:customStyle="1" w:styleId="WW8Num8z3">
    <w:name w:val="WW8Num8z3"/>
    <w:qFormat/>
    <w:rsid w:val="00B75D0C"/>
  </w:style>
  <w:style w:type="character" w:customStyle="1" w:styleId="WW8Num8z4">
    <w:name w:val="WW8Num8z4"/>
    <w:qFormat/>
    <w:rsid w:val="00B75D0C"/>
  </w:style>
  <w:style w:type="character" w:customStyle="1" w:styleId="WW8Num8z5">
    <w:name w:val="WW8Num8z5"/>
    <w:qFormat/>
    <w:rsid w:val="00B75D0C"/>
  </w:style>
  <w:style w:type="character" w:customStyle="1" w:styleId="WW8Num8z6">
    <w:name w:val="WW8Num8z6"/>
    <w:qFormat/>
    <w:rsid w:val="00B75D0C"/>
  </w:style>
  <w:style w:type="character" w:customStyle="1" w:styleId="WW8Num8z7">
    <w:name w:val="WW8Num8z7"/>
    <w:qFormat/>
    <w:rsid w:val="00B75D0C"/>
  </w:style>
  <w:style w:type="character" w:customStyle="1" w:styleId="WW8Num8z8">
    <w:name w:val="WW8Num8z8"/>
    <w:qFormat/>
    <w:rsid w:val="00B75D0C"/>
  </w:style>
  <w:style w:type="character" w:customStyle="1" w:styleId="WW8Num9z0">
    <w:name w:val="WW8Num9z0"/>
    <w:qFormat/>
    <w:rsid w:val="00B75D0C"/>
  </w:style>
  <w:style w:type="character" w:customStyle="1" w:styleId="WW8Num9z1">
    <w:name w:val="WW8Num9z1"/>
    <w:qFormat/>
    <w:rsid w:val="00B75D0C"/>
  </w:style>
  <w:style w:type="character" w:customStyle="1" w:styleId="WW8Num9z2">
    <w:name w:val="WW8Num9z2"/>
    <w:qFormat/>
    <w:rsid w:val="00B75D0C"/>
  </w:style>
  <w:style w:type="character" w:customStyle="1" w:styleId="WW8Num9z3">
    <w:name w:val="WW8Num9z3"/>
    <w:qFormat/>
    <w:rsid w:val="00B75D0C"/>
  </w:style>
  <w:style w:type="character" w:customStyle="1" w:styleId="WW8Num9z4">
    <w:name w:val="WW8Num9z4"/>
    <w:qFormat/>
    <w:rsid w:val="00B75D0C"/>
  </w:style>
  <w:style w:type="character" w:customStyle="1" w:styleId="WW8Num9z5">
    <w:name w:val="WW8Num9z5"/>
    <w:qFormat/>
    <w:rsid w:val="00B75D0C"/>
  </w:style>
  <w:style w:type="character" w:customStyle="1" w:styleId="WW8Num9z6">
    <w:name w:val="WW8Num9z6"/>
    <w:qFormat/>
    <w:rsid w:val="00B75D0C"/>
  </w:style>
  <w:style w:type="character" w:customStyle="1" w:styleId="WW8Num9z7">
    <w:name w:val="WW8Num9z7"/>
    <w:qFormat/>
    <w:rsid w:val="00B75D0C"/>
  </w:style>
  <w:style w:type="character" w:customStyle="1" w:styleId="WW8Num9z8">
    <w:name w:val="WW8Num9z8"/>
    <w:qFormat/>
    <w:rsid w:val="00B75D0C"/>
  </w:style>
  <w:style w:type="character" w:customStyle="1" w:styleId="WW8Num10z0">
    <w:name w:val="WW8Num10z0"/>
    <w:qFormat/>
    <w:rsid w:val="00B75D0C"/>
    <w:rPr>
      <w:rFonts w:ascii="Symbol" w:eastAsia="Times New Roman" w:hAnsi="Symbol" w:cs="Symbol"/>
      <w:sz w:val="24"/>
      <w:szCs w:val="24"/>
    </w:rPr>
  </w:style>
  <w:style w:type="character" w:customStyle="1" w:styleId="WW8Num10z1">
    <w:name w:val="WW8Num10z1"/>
    <w:qFormat/>
    <w:rsid w:val="00B75D0C"/>
    <w:rPr>
      <w:rFonts w:ascii="Courier New" w:hAnsi="Courier New" w:cs="Courier New"/>
    </w:rPr>
  </w:style>
  <w:style w:type="character" w:customStyle="1" w:styleId="WW8Num10z2">
    <w:name w:val="WW8Num10z2"/>
    <w:qFormat/>
    <w:rsid w:val="00B75D0C"/>
    <w:rPr>
      <w:rFonts w:ascii="Wingdings" w:hAnsi="Wingdings" w:cs="Wingdings"/>
    </w:rPr>
  </w:style>
  <w:style w:type="character" w:customStyle="1" w:styleId="WW8Num11z0">
    <w:name w:val="WW8Num11z0"/>
    <w:qFormat/>
    <w:rsid w:val="00B75D0C"/>
  </w:style>
  <w:style w:type="character" w:customStyle="1" w:styleId="WW8Num11z1">
    <w:name w:val="WW8Num11z1"/>
    <w:qFormat/>
    <w:rsid w:val="00B75D0C"/>
  </w:style>
  <w:style w:type="character" w:customStyle="1" w:styleId="WW8Num11z2">
    <w:name w:val="WW8Num11z2"/>
    <w:qFormat/>
    <w:rsid w:val="00B75D0C"/>
  </w:style>
  <w:style w:type="character" w:customStyle="1" w:styleId="WW8Num11z3">
    <w:name w:val="WW8Num11z3"/>
    <w:qFormat/>
    <w:rsid w:val="00B75D0C"/>
  </w:style>
  <w:style w:type="character" w:customStyle="1" w:styleId="WW8Num11z4">
    <w:name w:val="WW8Num11z4"/>
    <w:qFormat/>
    <w:rsid w:val="00B75D0C"/>
  </w:style>
  <w:style w:type="character" w:customStyle="1" w:styleId="WW8Num11z5">
    <w:name w:val="WW8Num11z5"/>
    <w:qFormat/>
    <w:rsid w:val="00B75D0C"/>
  </w:style>
  <w:style w:type="character" w:customStyle="1" w:styleId="WW8Num11z6">
    <w:name w:val="WW8Num11z6"/>
    <w:qFormat/>
    <w:rsid w:val="00B75D0C"/>
  </w:style>
  <w:style w:type="character" w:customStyle="1" w:styleId="WW8Num11z7">
    <w:name w:val="WW8Num11z7"/>
    <w:qFormat/>
    <w:rsid w:val="00B75D0C"/>
  </w:style>
  <w:style w:type="character" w:customStyle="1" w:styleId="WW8Num11z8">
    <w:name w:val="WW8Num11z8"/>
    <w:qFormat/>
    <w:rsid w:val="00B75D0C"/>
  </w:style>
  <w:style w:type="character" w:customStyle="1" w:styleId="WW8Num12z0">
    <w:name w:val="WW8Num12z0"/>
    <w:qFormat/>
    <w:rsid w:val="00B75D0C"/>
  </w:style>
  <w:style w:type="character" w:customStyle="1" w:styleId="WW8Num12z1">
    <w:name w:val="WW8Num12z1"/>
    <w:qFormat/>
    <w:rsid w:val="00B75D0C"/>
  </w:style>
  <w:style w:type="character" w:customStyle="1" w:styleId="WW8Num12z2">
    <w:name w:val="WW8Num12z2"/>
    <w:qFormat/>
    <w:rsid w:val="00B75D0C"/>
  </w:style>
  <w:style w:type="character" w:customStyle="1" w:styleId="WW8Num12z3">
    <w:name w:val="WW8Num12z3"/>
    <w:qFormat/>
    <w:rsid w:val="00B75D0C"/>
  </w:style>
  <w:style w:type="character" w:customStyle="1" w:styleId="WW8Num12z4">
    <w:name w:val="WW8Num12z4"/>
    <w:qFormat/>
    <w:rsid w:val="00B75D0C"/>
  </w:style>
  <w:style w:type="character" w:customStyle="1" w:styleId="WW8Num12z5">
    <w:name w:val="WW8Num12z5"/>
    <w:qFormat/>
    <w:rsid w:val="00B75D0C"/>
  </w:style>
  <w:style w:type="character" w:customStyle="1" w:styleId="WW8Num12z6">
    <w:name w:val="WW8Num12z6"/>
    <w:qFormat/>
    <w:rsid w:val="00B75D0C"/>
  </w:style>
  <w:style w:type="character" w:customStyle="1" w:styleId="WW8Num12z7">
    <w:name w:val="WW8Num12z7"/>
    <w:qFormat/>
    <w:rsid w:val="00B75D0C"/>
  </w:style>
  <w:style w:type="character" w:customStyle="1" w:styleId="WW8Num12z8">
    <w:name w:val="WW8Num12z8"/>
    <w:qFormat/>
    <w:rsid w:val="00B75D0C"/>
  </w:style>
  <w:style w:type="character" w:customStyle="1" w:styleId="WW8Num13z0">
    <w:name w:val="WW8Num13z0"/>
    <w:qFormat/>
    <w:rsid w:val="00B75D0C"/>
    <w:rPr>
      <w:rFonts w:ascii="Times New Roman" w:hAnsi="Times New Roman" w:cs="Times New Roman"/>
      <w:sz w:val="24"/>
      <w:szCs w:val="24"/>
    </w:rPr>
  </w:style>
  <w:style w:type="character" w:customStyle="1" w:styleId="WW8Num13z1">
    <w:name w:val="WW8Num13z1"/>
    <w:qFormat/>
    <w:rsid w:val="00B75D0C"/>
  </w:style>
  <w:style w:type="character" w:customStyle="1" w:styleId="WW8Num13z2">
    <w:name w:val="WW8Num13z2"/>
    <w:qFormat/>
    <w:rsid w:val="00B75D0C"/>
  </w:style>
  <w:style w:type="character" w:customStyle="1" w:styleId="WW8Num13z3">
    <w:name w:val="WW8Num13z3"/>
    <w:qFormat/>
    <w:rsid w:val="00B75D0C"/>
  </w:style>
  <w:style w:type="character" w:customStyle="1" w:styleId="WW8Num13z4">
    <w:name w:val="WW8Num13z4"/>
    <w:qFormat/>
    <w:rsid w:val="00B75D0C"/>
  </w:style>
  <w:style w:type="character" w:customStyle="1" w:styleId="WW8Num13z5">
    <w:name w:val="WW8Num13z5"/>
    <w:qFormat/>
    <w:rsid w:val="00B75D0C"/>
  </w:style>
  <w:style w:type="character" w:customStyle="1" w:styleId="WW8Num13z6">
    <w:name w:val="WW8Num13z6"/>
    <w:qFormat/>
    <w:rsid w:val="00B75D0C"/>
  </w:style>
  <w:style w:type="character" w:customStyle="1" w:styleId="WW8Num13z7">
    <w:name w:val="WW8Num13z7"/>
    <w:qFormat/>
    <w:rsid w:val="00B75D0C"/>
  </w:style>
  <w:style w:type="character" w:customStyle="1" w:styleId="WW8Num13z8">
    <w:name w:val="WW8Num13z8"/>
    <w:qFormat/>
    <w:rsid w:val="00B75D0C"/>
  </w:style>
  <w:style w:type="character" w:customStyle="1" w:styleId="WW8Num14z0">
    <w:name w:val="WW8Num14z0"/>
    <w:qFormat/>
    <w:rsid w:val="00B75D0C"/>
    <w:rPr>
      <w:rFonts w:ascii="Symbol" w:hAnsi="Symbol" w:cs="Symbol"/>
    </w:rPr>
  </w:style>
  <w:style w:type="character" w:customStyle="1" w:styleId="WW8Num15z0">
    <w:name w:val="WW8Num15z0"/>
    <w:qFormat/>
    <w:rsid w:val="00B75D0C"/>
    <w:rPr>
      <w:rFonts w:ascii="Symbol" w:hAnsi="Symbol" w:cs="Symbol"/>
    </w:rPr>
  </w:style>
  <w:style w:type="character" w:customStyle="1" w:styleId="WW8Num15z1">
    <w:name w:val="WW8Num15z1"/>
    <w:qFormat/>
    <w:rsid w:val="00B75D0C"/>
    <w:rPr>
      <w:rFonts w:ascii="Courier New" w:hAnsi="Courier New" w:cs="Courier New"/>
    </w:rPr>
  </w:style>
  <w:style w:type="character" w:customStyle="1" w:styleId="WW8Num15z2">
    <w:name w:val="WW8Num15z2"/>
    <w:qFormat/>
    <w:rsid w:val="00B75D0C"/>
    <w:rPr>
      <w:rFonts w:ascii="Wingdings" w:hAnsi="Wingdings" w:cs="Wingdings"/>
    </w:rPr>
  </w:style>
  <w:style w:type="character" w:customStyle="1" w:styleId="WW8Num16z0">
    <w:name w:val="WW8Num16z0"/>
    <w:qFormat/>
    <w:rsid w:val="00B75D0C"/>
  </w:style>
  <w:style w:type="character" w:customStyle="1" w:styleId="WW8Num17z0">
    <w:name w:val="WW8Num17z0"/>
    <w:qFormat/>
    <w:rsid w:val="00B75D0C"/>
    <w:rPr>
      <w:rFonts w:ascii="Symbol" w:hAnsi="Symbol" w:cs="Symbol"/>
    </w:rPr>
  </w:style>
  <w:style w:type="character" w:customStyle="1" w:styleId="WW8Num17z1">
    <w:name w:val="WW8Num17z1"/>
    <w:qFormat/>
    <w:rsid w:val="00B75D0C"/>
    <w:rPr>
      <w:rFonts w:ascii="Courier New" w:hAnsi="Courier New" w:cs="Courier New"/>
    </w:rPr>
  </w:style>
  <w:style w:type="character" w:customStyle="1" w:styleId="WW8Num17z2">
    <w:name w:val="WW8Num17z2"/>
    <w:qFormat/>
    <w:rsid w:val="00B75D0C"/>
    <w:rPr>
      <w:rFonts w:ascii="Wingdings" w:hAnsi="Wingdings" w:cs="Wingdings"/>
    </w:rPr>
  </w:style>
  <w:style w:type="character" w:customStyle="1" w:styleId="WW8Num18z0">
    <w:name w:val="WW8Num18z0"/>
    <w:qFormat/>
    <w:rsid w:val="00B75D0C"/>
  </w:style>
  <w:style w:type="character" w:customStyle="1" w:styleId="WW8Num18z1">
    <w:name w:val="WW8Num18z1"/>
    <w:qFormat/>
    <w:rsid w:val="00B75D0C"/>
  </w:style>
  <w:style w:type="character" w:customStyle="1" w:styleId="WW8Num18z2">
    <w:name w:val="WW8Num18z2"/>
    <w:qFormat/>
    <w:rsid w:val="00B75D0C"/>
  </w:style>
  <w:style w:type="character" w:customStyle="1" w:styleId="WW8Num18z3">
    <w:name w:val="WW8Num18z3"/>
    <w:qFormat/>
    <w:rsid w:val="00B75D0C"/>
  </w:style>
  <w:style w:type="character" w:customStyle="1" w:styleId="WW8Num18z4">
    <w:name w:val="WW8Num18z4"/>
    <w:qFormat/>
    <w:rsid w:val="00B75D0C"/>
  </w:style>
  <w:style w:type="character" w:customStyle="1" w:styleId="WW8Num18z5">
    <w:name w:val="WW8Num18z5"/>
    <w:qFormat/>
    <w:rsid w:val="00B75D0C"/>
  </w:style>
  <w:style w:type="character" w:customStyle="1" w:styleId="WW8Num18z6">
    <w:name w:val="WW8Num18z6"/>
    <w:qFormat/>
    <w:rsid w:val="00B75D0C"/>
  </w:style>
  <w:style w:type="character" w:customStyle="1" w:styleId="WW8Num18z7">
    <w:name w:val="WW8Num18z7"/>
    <w:qFormat/>
    <w:rsid w:val="00B75D0C"/>
  </w:style>
  <w:style w:type="character" w:customStyle="1" w:styleId="WW8Num18z8">
    <w:name w:val="WW8Num18z8"/>
    <w:qFormat/>
    <w:rsid w:val="00B75D0C"/>
  </w:style>
  <w:style w:type="character" w:customStyle="1" w:styleId="WW8Num19z0">
    <w:name w:val="WW8Num19z0"/>
    <w:qFormat/>
    <w:rsid w:val="00B75D0C"/>
    <w:rPr>
      <w:rFonts w:ascii="Symbol" w:hAnsi="Symbol" w:cs="Symbol"/>
    </w:rPr>
  </w:style>
  <w:style w:type="character" w:customStyle="1" w:styleId="WW8Num19z1">
    <w:name w:val="WW8Num19z1"/>
    <w:qFormat/>
    <w:rsid w:val="00B75D0C"/>
    <w:rPr>
      <w:rFonts w:ascii="Courier New" w:hAnsi="Courier New" w:cs="Courier New"/>
    </w:rPr>
  </w:style>
  <w:style w:type="character" w:customStyle="1" w:styleId="WW8Num19z2">
    <w:name w:val="WW8Num19z2"/>
    <w:qFormat/>
    <w:rsid w:val="00B75D0C"/>
    <w:rPr>
      <w:rFonts w:ascii="Wingdings" w:hAnsi="Wingdings" w:cs="Wingdings"/>
    </w:rPr>
  </w:style>
  <w:style w:type="character" w:customStyle="1" w:styleId="WW8Num20z0">
    <w:name w:val="WW8Num20z0"/>
    <w:qFormat/>
    <w:rsid w:val="00B75D0C"/>
    <w:rPr>
      <w:rFonts w:ascii="Symbol" w:hAnsi="Symbol" w:cs="Symbol"/>
      <w:color w:val="000000"/>
      <w:sz w:val="24"/>
      <w:szCs w:val="24"/>
    </w:rPr>
  </w:style>
  <w:style w:type="character" w:customStyle="1" w:styleId="WW8Num20z1">
    <w:name w:val="WW8Num20z1"/>
    <w:qFormat/>
    <w:rsid w:val="00B75D0C"/>
    <w:rPr>
      <w:rFonts w:ascii="Courier New" w:hAnsi="Courier New" w:cs="Courier New"/>
    </w:rPr>
  </w:style>
  <w:style w:type="character" w:customStyle="1" w:styleId="WW8Num20z2">
    <w:name w:val="WW8Num20z2"/>
    <w:qFormat/>
    <w:rsid w:val="00B75D0C"/>
    <w:rPr>
      <w:rFonts w:ascii="Wingdings" w:hAnsi="Wingdings" w:cs="Wingdings"/>
    </w:rPr>
  </w:style>
  <w:style w:type="character" w:customStyle="1" w:styleId="WW8Num20z3">
    <w:name w:val="WW8Num20z3"/>
    <w:qFormat/>
    <w:rsid w:val="00B75D0C"/>
    <w:rPr>
      <w:rFonts w:ascii="Symbol" w:hAnsi="Symbol" w:cs="Symbol"/>
    </w:rPr>
  </w:style>
  <w:style w:type="character" w:styleId="CommentReference">
    <w:name w:val="annotation reference"/>
    <w:uiPriority w:val="99"/>
    <w:qFormat/>
    <w:rsid w:val="00B75D0C"/>
    <w:rPr>
      <w:sz w:val="16"/>
      <w:szCs w:val="16"/>
    </w:rPr>
  </w:style>
  <w:style w:type="character" w:customStyle="1" w:styleId="CommentTextChar">
    <w:name w:val="Comment Text Char"/>
    <w:uiPriority w:val="99"/>
    <w:qFormat/>
    <w:rsid w:val="00B75D0C"/>
    <w:rPr>
      <w:rFonts w:ascii="Calibri" w:eastAsia="Calibri" w:hAnsi="Calibri" w:cs="Times New Roman"/>
      <w:sz w:val="20"/>
      <w:szCs w:val="20"/>
    </w:rPr>
  </w:style>
  <w:style w:type="character" w:customStyle="1" w:styleId="CommentSubjectChar">
    <w:name w:val="Comment Subject Char"/>
    <w:qFormat/>
    <w:rsid w:val="00B75D0C"/>
    <w:rPr>
      <w:rFonts w:ascii="Calibri" w:eastAsia="Calibri" w:hAnsi="Calibri" w:cs="Times New Roman"/>
      <w:b/>
      <w:bCs/>
      <w:sz w:val="20"/>
      <w:szCs w:val="20"/>
    </w:rPr>
  </w:style>
  <w:style w:type="character" w:customStyle="1" w:styleId="BalloonTextChar">
    <w:name w:val="Balloon Text Char"/>
    <w:qFormat/>
    <w:rsid w:val="00B75D0C"/>
    <w:rPr>
      <w:rFonts w:ascii="Tahoma" w:eastAsia="Calibri" w:hAnsi="Tahoma" w:cs="Tahoma"/>
      <w:szCs w:val="16"/>
    </w:rPr>
  </w:style>
  <w:style w:type="character" w:styleId="Hyperlink">
    <w:name w:val="Hyperlink"/>
    <w:uiPriority w:val="99"/>
    <w:rsid w:val="00B75D0C"/>
    <w:rPr>
      <w:color w:val="0000FF"/>
      <w:u w:val="singl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uiPriority w:val="34"/>
    <w:qFormat/>
    <w:rsid w:val="00B75D0C"/>
  </w:style>
  <w:style w:type="character" w:customStyle="1" w:styleId="FootnoteTextChar">
    <w:name w:val="Footnote Text Char"/>
    <w:aliases w:val="Fußnote Char1,Footnote Char Char,Fußnote Char Char,Vēres teksts Char Char Char Char Char Char,Char Char Char Char Char Char Char Char Char Char Char Char Char,Reference Rakstz. Char Char Char Char Char Char Char Char,Char1 Char,o Char"/>
    <w:uiPriority w:val="99"/>
    <w:qFormat/>
    <w:rsid w:val="00B75D0C"/>
    <w:rPr>
      <w:rFonts w:ascii="Calibri" w:eastAsia="Calibri" w:hAnsi="Calibri" w:cs="Times New Roman"/>
      <w:sz w:val="20"/>
      <w:szCs w:val="20"/>
    </w:rPr>
  </w:style>
  <w:style w:type="character" w:customStyle="1" w:styleId="FootnoteCharacters">
    <w:name w:val="Footnote Characters"/>
    <w:qFormat/>
    <w:rsid w:val="00B75D0C"/>
    <w:rPr>
      <w:vertAlign w:val="superscript"/>
    </w:rPr>
  </w:style>
  <w:style w:type="character" w:customStyle="1" w:styleId="BodyText2Char">
    <w:name w:val="Body Text 2 Char"/>
    <w:qFormat/>
    <w:rsid w:val="00B75D0C"/>
    <w:rPr>
      <w:rFonts w:ascii="Calibri" w:eastAsia="Calibri" w:hAnsi="Calibri" w:cs="Times New Roman"/>
    </w:rPr>
  </w:style>
  <w:style w:type="character" w:customStyle="1" w:styleId="apple-converted-space">
    <w:name w:val="apple-converted-space"/>
    <w:basedOn w:val="DefaultParagraphFont"/>
    <w:qFormat/>
    <w:rsid w:val="00B75D0C"/>
  </w:style>
  <w:style w:type="character" w:customStyle="1" w:styleId="StrongEmphasis">
    <w:name w:val="Strong Emphasis"/>
    <w:qFormat/>
    <w:rsid w:val="00B75D0C"/>
    <w:rPr>
      <w:b/>
      <w:bCs/>
    </w:rPr>
  </w:style>
  <w:style w:type="character" w:customStyle="1" w:styleId="HeaderChar">
    <w:name w:val="Header Char"/>
    <w:uiPriority w:val="99"/>
    <w:qFormat/>
    <w:rsid w:val="00B75D0C"/>
    <w:rPr>
      <w:rFonts w:ascii="Calibri" w:eastAsia="Calibri" w:hAnsi="Calibri" w:cs="Times New Roman"/>
    </w:rPr>
  </w:style>
  <w:style w:type="character" w:customStyle="1" w:styleId="FooterChar">
    <w:name w:val="Footer Char"/>
    <w:qFormat/>
    <w:rsid w:val="00B75D0C"/>
    <w:rPr>
      <w:rFonts w:ascii="Calibri" w:eastAsia="Calibri" w:hAnsi="Calibri" w:cs="Times New Roman"/>
    </w:rPr>
  </w:style>
  <w:style w:type="character" w:styleId="Emphasis">
    <w:name w:val="Emphasis"/>
    <w:qFormat/>
    <w:rsid w:val="00B75D0C"/>
    <w:rPr>
      <w:i/>
      <w:iCs/>
    </w:rPr>
  </w:style>
  <w:style w:type="character" w:customStyle="1" w:styleId="PlainTextChar">
    <w:name w:val="Plain Text Char"/>
    <w:qFormat/>
    <w:rsid w:val="00B75D0C"/>
    <w:rPr>
      <w:rFonts w:ascii="Calibri" w:hAnsi="Calibri" w:cs="Times New Roman"/>
    </w:rPr>
  </w:style>
  <w:style w:type="character" w:customStyle="1" w:styleId="BodyTextIndentChar">
    <w:name w:val="Body Text Indent Char"/>
    <w:qFormat/>
    <w:rsid w:val="00B75D0C"/>
    <w:rPr>
      <w:rFonts w:ascii="Calibri" w:eastAsia="Calibri" w:hAnsi="Calibri" w:cs="Times New Roman"/>
    </w:rPr>
  </w:style>
  <w:style w:type="character" w:customStyle="1" w:styleId="hps">
    <w:name w:val="hps"/>
    <w:basedOn w:val="DefaultParagraphFont"/>
    <w:qFormat/>
    <w:rsid w:val="00B75D0C"/>
  </w:style>
  <w:style w:type="character" w:styleId="FollowedHyperlink">
    <w:name w:val="FollowedHyperlink"/>
    <w:rsid w:val="00B75D0C"/>
    <w:rPr>
      <w:color w:val="800080"/>
      <w:u w:val="single"/>
    </w:rPr>
  </w:style>
  <w:style w:type="character" w:customStyle="1" w:styleId="italic">
    <w:name w:val="italic"/>
    <w:basedOn w:val="DefaultParagraphFont"/>
    <w:qFormat/>
    <w:rsid w:val="00B75D0C"/>
  </w:style>
  <w:style w:type="character" w:customStyle="1" w:styleId="CaptionChar">
    <w:name w:val="Caption Char"/>
    <w:qFormat/>
    <w:rsid w:val="00B75D0C"/>
    <w:rPr>
      <w:rFonts w:ascii="Times New Roman" w:eastAsia="Times New Roman" w:hAnsi="Times New Roman" w:cs="Times New Roman"/>
      <w:b/>
      <w:iCs/>
      <w:sz w:val="20"/>
      <w:szCs w:val="20"/>
    </w:rPr>
  </w:style>
  <w:style w:type="character" w:customStyle="1" w:styleId="italics">
    <w:name w:val="italics"/>
    <w:basedOn w:val="DefaultParagraphFont"/>
    <w:qFormat/>
    <w:rsid w:val="00B75D0C"/>
  </w:style>
  <w:style w:type="character" w:customStyle="1" w:styleId="bold">
    <w:name w:val="bold"/>
    <w:basedOn w:val="DefaultParagraphFont"/>
    <w:qFormat/>
    <w:rsid w:val="00B75D0C"/>
  </w:style>
  <w:style w:type="character" w:customStyle="1" w:styleId="sub">
    <w:name w:val="sub"/>
    <w:basedOn w:val="DefaultParagraphFont"/>
    <w:qFormat/>
    <w:rsid w:val="00B75D0C"/>
  </w:style>
  <w:style w:type="character" w:customStyle="1" w:styleId="normaltextrun">
    <w:name w:val="normaltextrun"/>
    <w:basedOn w:val="DefaultParagraphFont"/>
    <w:qFormat/>
    <w:rsid w:val="00B75D0C"/>
  </w:style>
  <w:style w:type="character" w:customStyle="1" w:styleId="BodyTextChar">
    <w:name w:val="Body Text Char"/>
    <w:qFormat/>
    <w:rsid w:val="00B75D0C"/>
    <w:rPr>
      <w:rFonts w:ascii="Calibri" w:eastAsia="Calibri" w:hAnsi="Calibri" w:cs="Times New Roman"/>
    </w:rPr>
  </w:style>
  <w:style w:type="character" w:customStyle="1" w:styleId="WW-FootnoteCharacters">
    <w:name w:val="WW-Footnote Characters"/>
    <w:qFormat/>
    <w:rsid w:val="00B75D0C"/>
    <w:rPr>
      <w:vertAlign w:val="superscript"/>
    </w:rPr>
  </w:style>
  <w:style w:type="character" w:customStyle="1" w:styleId="FootnoteAnchor">
    <w:name w:val="Footnote Anchor"/>
    <w:rsid w:val="00B75D0C"/>
    <w:rPr>
      <w:vertAlign w:val="superscript"/>
    </w:rPr>
  </w:style>
  <w:style w:type="character" w:customStyle="1" w:styleId="eop">
    <w:name w:val="eop"/>
    <w:basedOn w:val="DefaultParagraphFont"/>
    <w:qFormat/>
    <w:rsid w:val="00B75D0C"/>
  </w:style>
  <w:style w:type="character" w:customStyle="1" w:styleId="UnresolvedMention1">
    <w:name w:val="Unresolved Mention1"/>
    <w:qFormat/>
    <w:rsid w:val="00B75D0C"/>
    <w:rPr>
      <w:color w:val="605E5C"/>
      <w:shd w:val="clear" w:color="auto" w:fill="E1DFDD"/>
    </w:rPr>
  </w:style>
  <w:style w:type="character" w:customStyle="1" w:styleId="IndexLink">
    <w:name w:val="Index Link"/>
    <w:qFormat/>
    <w:rsid w:val="00B75D0C"/>
  </w:style>
  <w:style w:type="character" w:customStyle="1" w:styleId="EndnoteAnchor">
    <w:name w:val="Endnote Anchor"/>
    <w:rsid w:val="00B75D0C"/>
    <w:rPr>
      <w:vertAlign w:val="superscript"/>
    </w:rPr>
  </w:style>
  <w:style w:type="character" w:customStyle="1" w:styleId="EndnoteCharacters">
    <w:name w:val="Endnote Characters"/>
    <w:qFormat/>
    <w:rsid w:val="00B75D0C"/>
  </w:style>
  <w:style w:type="paragraph" w:customStyle="1" w:styleId="Heading">
    <w:name w:val="Heading"/>
    <w:basedOn w:val="Normal"/>
    <w:next w:val="BodyText"/>
    <w:qFormat/>
    <w:rsid w:val="00B75D0C"/>
    <w:pPr>
      <w:keepNext/>
      <w:spacing w:before="240" w:after="120"/>
    </w:pPr>
    <w:rPr>
      <w:rFonts w:ascii="Linux Libertine Display G" w:eastAsia="Noto Sans CJK SC" w:hAnsi="Linux Libertine Display G" w:cs="FreeSans"/>
      <w:sz w:val="28"/>
      <w:szCs w:val="28"/>
    </w:rPr>
  </w:style>
  <w:style w:type="paragraph" w:styleId="BodyText">
    <w:name w:val="Body Text"/>
    <w:basedOn w:val="Normal"/>
    <w:link w:val="BodyTextChar1"/>
    <w:rsid w:val="00B75D0C"/>
    <w:pPr>
      <w:spacing w:after="120"/>
    </w:pPr>
  </w:style>
  <w:style w:type="character" w:customStyle="1" w:styleId="BodyTextChar1">
    <w:name w:val="Body Text Char1"/>
    <w:basedOn w:val="DefaultParagraphFont"/>
    <w:link w:val="BodyText"/>
    <w:rsid w:val="00B75D0C"/>
    <w:rPr>
      <w:rFonts w:ascii="Calibri" w:eastAsia="Calibri" w:hAnsi="Calibri" w:cs="Times New Roman"/>
      <w:kern w:val="0"/>
      <w:lang w:eastAsia="zh-CN"/>
      <w14:ligatures w14:val="none"/>
    </w:rPr>
  </w:style>
  <w:style w:type="paragraph" w:styleId="List">
    <w:name w:val="List"/>
    <w:basedOn w:val="BodyText"/>
    <w:rsid w:val="00B75D0C"/>
    <w:rPr>
      <w:rFonts w:ascii="Ubuntu;Segoe Script" w:hAnsi="Ubuntu;Segoe Script" w:cs="FreeSans"/>
    </w:rPr>
  </w:style>
  <w:style w:type="paragraph" w:styleId="Caption">
    <w:name w:val="caption"/>
    <w:basedOn w:val="Normal"/>
    <w:qFormat/>
    <w:rsid w:val="00B75D0C"/>
    <w:pPr>
      <w:suppressLineNumbers/>
      <w:spacing w:before="120" w:after="120"/>
    </w:pPr>
    <w:rPr>
      <w:rFonts w:ascii="Linux Libertine Display G" w:hAnsi="Linux Libertine Display G" w:cs="FreeSans"/>
      <w:i/>
      <w:iCs/>
      <w:sz w:val="24"/>
      <w:szCs w:val="24"/>
    </w:rPr>
  </w:style>
  <w:style w:type="paragraph" w:customStyle="1" w:styleId="Index">
    <w:name w:val="Index"/>
    <w:basedOn w:val="Normal"/>
    <w:qFormat/>
    <w:rsid w:val="00B75D0C"/>
    <w:pPr>
      <w:suppressLineNumbers/>
    </w:pPr>
    <w:rPr>
      <w:rFonts w:ascii="Ubuntu;Segoe Script" w:hAnsi="Ubuntu;Segoe Script" w:cs="FreeSans"/>
    </w:rPr>
  </w:style>
  <w:style w:type="paragraph" w:styleId="CommentText">
    <w:name w:val="annotation text"/>
    <w:basedOn w:val="Normal"/>
    <w:link w:val="CommentTextChar1"/>
    <w:qFormat/>
    <w:rsid w:val="00B75D0C"/>
    <w:pPr>
      <w:spacing w:line="240" w:lineRule="auto"/>
    </w:pPr>
    <w:rPr>
      <w:sz w:val="20"/>
      <w:szCs w:val="20"/>
    </w:rPr>
  </w:style>
  <w:style w:type="character" w:customStyle="1" w:styleId="CommentTextChar1">
    <w:name w:val="Comment Text Char1"/>
    <w:basedOn w:val="DefaultParagraphFont"/>
    <w:link w:val="CommentText"/>
    <w:rsid w:val="00B75D0C"/>
    <w:rPr>
      <w:rFonts w:ascii="Calibri" w:eastAsia="Calibri" w:hAnsi="Calibri" w:cs="Times New Roman"/>
      <w:kern w:val="0"/>
      <w:sz w:val="20"/>
      <w:szCs w:val="20"/>
      <w:lang w:eastAsia="zh-CN"/>
      <w14:ligatures w14:val="none"/>
    </w:rPr>
  </w:style>
  <w:style w:type="paragraph" w:styleId="CommentSubject">
    <w:name w:val="annotation subject"/>
    <w:basedOn w:val="CommentText"/>
    <w:next w:val="CommentText"/>
    <w:link w:val="CommentSubjectChar1"/>
    <w:qFormat/>
    <w:rsid w:val="00B75D0C"/>
    <w:rPr>
      <w:b/>
      <w:bCs/>
    </w:rPr>
  </w:style>
  <w:style w:type="character" w:customStyle="1" w:styleId="CommentSubjectChar1">
    <w:name w:val="Comment Subject Char1"/>
    <w:basedOn w:val="CommentTextChar1"/>
    <w:link w:val="CommentSubject"/>
    <w:rsid w:val="00B75D0C"/>
    <w:rPr>
      <w:rFonts w:ascii="Calibri" w:eastAsia="Calibri" w:hAnsi="Calibri" w:cs="Times New Roman"/>
      <w:b/>
      <w:bCs/>
      <w:kern w:val="0"/>
      <w:sz w:val="20"/>
      <w:szCs w:val="20"/>
      <w:lang w:eastAsia="zh-CN"/>
      <w14:ligatures w14:val="none"/>
    </w:rPr>
  </w:style>
  <w:style w:type="paragraph" w:styleId="BalloonText">
    <w:name w:val="Balloon Text"/>
    <w:basedOn w:val="Normal"/>
    <w:link w:val="BalloonTextChar1"/>
    <w:qFormat/>
    <w:rsid w:val="00B75D0C"/>
    <w:pPr>
      <w:spacing w:after="0" w:line="240" w:lineRule="auto"/>
    </w:pPr>
    <w:rPr>
      <w:rFonts w:ascii="Tahoma" w:hAnsi="Tahoma" w:cs="Tahoma"/>
      <w:szCs w:val="16"/>
    </w:rPr>
  </w:style>
  <w:style w:type="character" w:customStyle="1" w:styleId="BalloonTextChar1">
    <w:name w:val="Balloon Text Char1"/>
    <w:basedOn w:val="DefaultParagraphFont"/>
    <w:link w:val="BalloonText"/>
    <w:rsid w:val="00B75D0C"/>
    <w:rPr>
      <w:rFonts w:ascii="Tahoma" w:eastAsia="Calibri" w:hAnsi="Tahoma" w:cs="Tahoma"/>
      <w:kern w:val="0"/>
      <w:szCs w:val="16"/>
      <w:lang w:eastAsia="zh-CN"/>
      <w14:ligatures w14:val="none"/>
    </w:rPr>
  </w:style>
  <w:style w:type="paragraph" w:styleId="FootnoteText">
    <w:name w:val="footnote text"/>
    <w:aliases w:val="Fußnote,Footnote Char,Fußnote Char,Vēres teksts Char Char Char Char Char,Char Char Char Char Char Char Char Char Char Char Char Char,Reference Rakstz. Char Char Char Char Char Char Char,Vēres teksts Char Char Char,Char1, Char1, Char,o,Char"/>
    <w:basedOn w:val="Normal"/>
    <w:link w:val="FootnoteTextChar1"/>
    <w:uiPriority w:val="99"/>
    <w:qFormat/>
    <w:rsid w:val="00B75D0C"/>
    <w:pPr>
      <w:spacing w:after="0" w:line="240" w:lineRule="auto"/>
    </w:pPr>
    <w:rPr>
      <w:sz w:val="20"/>
      <w:szCs w:val="20"/>
    </w:rPr>
  </w:style>
  <w:style w:type="character" w:customStyle="1" w:styleId="FootnoteTextChar1">
    <w:name w:val="Footnote Text Char1"/>
    <w:aliases w:val="Fußnote Char2,Footnote Char Char1,Fußnote Char Char1,Vēres teksts Char Char Char Char Char Char1,Char Char Char Char Char Char Char Char Char Char Char Char Char1,Reference Rakstz. Char Char Char Char Char Char Char Char1,Char1 Char1"/>
    <w:basedOn w:val="DefaultParagraphFont"/>
    <w:link w:val="FootnoteText"/>
    <w:uiPriority w:val="99"/>
    <w:rsid w:val="00B75D0C"/>
    <w:rPr>
      <w:rFonts w:ascii="Calibri" w:eastAsia="Calibri" w:hAnsi="Calibri" w:cs="Times New Roman"/>
      <w:kern w:val="0"/>
      <w:sz w:val="20"/>
      <w:szCs w:val="20"/>
      <w:lang w:eastAsia="zh-CN"/>
      <w14:ligatures w14:val="none"/>
    </w:rPr>
  </w:style>
  <w:style w:type="paragraph" w:customStyle="1" w:styleId="FootnoteRefernece">
    <w:name w:val="Footnote Refernece"/>
    <w:aliases w:val="ftref,Odwołanie przypisu,Footnotes refss,E"/>
    <w:basedOn w:val="Normal"/>
    <w:next w:val="Normal"/>
    <w:uiPriority w:val="99"/>
    <w:qFormat/>
    <w:rsid w:val="00B75D0C"/>
    <w:pPr>
      <w:spacing w:after="160" w:line="240" w:lineRule="exact"/>
      <w:jc w:val="both"/>
      <w:textAlignment w:val="baseline"/>
    </w:pPr>
    <w:rPr>
      <w:rFonts w:cs="DokChampa"/>
      <w:vertAlign w:val="superscript"/>
    </w:rPr>
  </w:style>
  <w:style w:type="paragraph" w:styleId="BodyText2">
    <w:name w:val="Body Text 2"/>
    <w:basedOn w:val="Normal"/>
    <w:link w:val="BodyText2Char1"/>
    <w:qFormat/>
    <w:rsid w:val="00B75D0C"/>
    <w:pPr>
      <w:spacing w:after="120" w:line="480" w:lineRule="auto"/>
    </w:pPr>
  </w:style>
  <w:style w:type="character" w:customStyle="1" w:styleId="BodyText2Char1">
    <w:name w:val="Body Text 2 Char1"/>
    <w:basedOn w:val="DefaultParagraphFont"/>
    <w:link w:val="BodyText2"/>
    <w:rsid w:val="00B75D0C"/>
    <w:rPr>
      <w:rFonts w:ascii="Calibri" w:eastAsia="Calibri" w:hAnsi="Calibri" w:cs="Times New Roman"/>
      <w:kern w:val="0"/>
      <w:lang w:eastAsia="zh-CN"/>
      <w14:ligatures w14:val="none"/>
    </w:rPr>
  </w:style>
  <w:style w:type="paragraph" w:customStyle="1" w:styleId="Bullet0">
    <w:name w:val="Bullet 0"/>
    <w:basedOn w:val="Normal"/>
    <w:qFormat/>
    <w:rsid w:val="00B75D0C"/>
    <w:pPr>
      <w:numPr>
        <w:numId w:val="6"/>
      </w:numPr>
      <w:spacing w:before="120" w:after="120" w:line="240" w:lineRule="auto"/>
      <w:jc w:val="both"/>
    </w:pPr>
    <w:rPr>
      <w:rFonts w:ascii="Times New Roman" w:eastAsia="Times New Roman" w:hAnsi="Times New Roman"/>
      <w:sz w:val="24"/>
      <w:szCs w:val="20"/>
    </w:rPr>
  </w:style>
  <w:style w:type="paragraph" w:styleId="NoSpacing">
    <w:name w:val="No Spacing"/>
    <w:link w:val="NoSpacingChar"/>
    <w:uiPriority w:val="1"/>
    <w:qFormat/>
    <w:rsid w:val="00B75D0C"/>
    <w:pPr>
      <w:widowControl w:val="0"/>
      <w:suppressAutoHyphens/>
      <w:spacing w:after="0" w:line="240" w:lineRule="auto"/>
    </w:pPr>
    <w:rPr>
      <w:rFonts w:ascii="Calibri" w:eastAsia="Calibri" w:hAnsi="Calibri" w:cs="Times New Roman"/>
      <w:kern w:val="0"/>
      <w:lang w:val="en-US" w:eastAsia="zh-CN"/>
      <w14:ligatures w14:val="none"/>
    </w:rPr>
  </w:style>
  <w:style w:type="paragraph" w:styleId="TOCHeading">
    <w:name w:val="TOC Heading"/>
    <w:basedOn w:val="Heading1"/>
    <w:next w:val="Normal"/>
    <w:qFormat/>
    <w:rsid w:val="00B75D0C"/>
    <w:pPr>
      <w:spacing w:before="480" w:after="0"/>
    </w:pPr>
    <w:rPr>
      <w:rFonts w:ascii="Cambria" w:eastAsia="Times New Roman" w:hAnsi="Cambria" w:cs="DokChampa"/>
      <w:b/>
      <w:bCs/>
      <w:caps/>
      <w:color w:val="365F91"/>
      <w:sz w:val="28"/>
      <w:szCs w:val="28"/>
      <w:lang w:val="en-US" w:eastAsia="ja-JP"/>
    </w:rPr>
  </w:style>
  <w:style w:type="paragraph" w:styleId="TOC1">
    <w:name w:val="toc 1"/>
    <w:basedOn w:val="Normal"/>
    <w:next w:val="Normal"/>
    <w:uiPriority w:val="39"/>
    <w:rsid w:val="00B75D0C"/>
    <w:pPr>
      <w:spacing w:after="100"/>
      <w:jc w:val="both"/>
    </w:pPr>
  </w:style>
  <w:style w:type="paragraph" w:styleId="TOC3">
    <w:name w:val="toc 3"/>
    <w:basedOn w:val="Normal"/>
    <w:next w:val="Normal"/>
    <w:uiPriority w:val="39"/>
    <w:rsid w:val="00B75D0C"/>
    <w:pPr>
      <w:spacing w:after="100"/>
      <w:ind w:left="440"/>
    </w:pPr>
  </w:style>
  <w:style w:type="paragraph" w:styleId="TOC2">
    <w:name w:val="toc 2"/>
    <w:basedOn w:val="Normal"/>
    <w:next w:val="Normal"/>
    <w:uiPriority w:val="39"/>
    <w:rsid w:val="00B75D0C"/>
    <w:pPr>
      <w:spacing w:after="100"/>
    </w:pPr>
  </w:style>
  <w:style w:type="paragraph" w:styleId="NormalWeb">
    <w:name w:val="Normal (Web)"/>
    <w:basedOn w:val="Normal"/>
    <w:qFormat/>
    <w:rsid w:val="00B75D0C"/>
    <w:pPr>
      <w:spacing w:after="240" w:line="240" w:lineRule="auto"/>
    </w:pPr>
    <w:rPr>
      <w:rFonts w:ascii="Times New Roman" w:eastAsia="Times New Roman" w:hAnsi="Times New Roman"/>
      <w:sz w:val="24"/>
      <w:szCs w:val="24"/>
    </w:rPr>
  </w:style>
  <w:style w:type="paragraph" w:customStyle="1" w:styleId="HeaderandFooter">
    <w:name w:val="Header and Footer"/>
    <w:basedOn w:val="Normal"/>
    <w:qFormat/>
    <w:rsid w:val="00B75D0C"/>
    <w:pPr>
      <w:suppressLineNumbers/>
      <w:tabs>
        <w:tab w:val="center" w:pos="4819"/>
        <w:tab w:val="right" w:pos="9638"/>
      </w:tabs>
    </w:pPr>
  </w:style>
  <w:style w:type="paragraph" w:styleId="Header">
    <w:name w:val="header"/>
    <w:basedOn w:val="Normal"/>
    <w:link w:val="HeaderChar1"/>
    <w:uiPriority w:val="99"/>
    <w:rsid w:val="00B75D0C"/>
    <w:pPr>
      <w:spacing w:after="0" w:line="240" w:lineRule="auto"/>
    </w:pPr>
  </w:style>
  <w:style w:type="character" w:customStyle="1" w:styleId="HeaderChar1">
    <w:name w:val="Header Char1"/>
    <w:basedOn w:val="DefaultParagraphFont"/>
    <w:link w:val="Header"/>
    <w:uiPriority w:val="99"/>
    <w:rsid w:val="00B75D0C"/>
    <w:rPr>
      <w:rFonts w:ascii="Calibri" w:eastAsia="Calibri" w:hAnsi="Calibri" w:cs="Times New Roman"/>
      <w:kern w:val="0"/>
      <w:lang w:eastAsia="zh-CN"/>
      <w14:ligatures w14:val="none"/>
    </w:rPr>
  </w:style>
  <w:style w:type="paragraph" w:styleId="Footer">
    <w:name w:val="footer"/>
    <w:basedOn w:val="Normal"/>
    <w:link w:val="FooterChar1"/>
    <w:rsid w:val="00B75D0C"/>
    <w:pPr>
      <w:spacing w:after="0" w:line="240" w:lineRule="auto"/>
    </w:pPr>
  </w:style>
  <w:style w:type="character" w:customStyle="1" w:styleId="FooterChar1">
    <w:name w:val="Footer Char1"/>
    <w:basedOn w:val="DefaultParagraphFont"/>
    <w:link w:val="Footer"/>
    <w:rsid w:val="00B75D0C"/>
    <w:rPr>
      <w:rFonts w:ascii="Calibri" w:eastAsia="Calibri" w:hAnsi="Calibri" w:cs="Times New Roman"/>
      <w:kern w:val="0"/>
      <w:lang w:eastAsia="zh-CN"/>
      <w14:ligatures w14:val="none"/>
    </w:rPr>
  </w:style>
  <w:style w:type="paragraph" w:customStyle="1" w:styleId="TableContents">
    <w:name w:val="Table Contents"/>
    <w:basedOn w:val="Normal"/>
    <w:qFormat/>
    <w:rsid w:val="00B75D0C"/>
    <w:pPr>
      <w:widowControl w:val="0"/>
      <w:suppressLineNumbers/>
      <w:spacing w:after="0" w:line="240" w:lineRule="auto"/>
    </w:pPr>
    <w:rPr>
      <w:rFonts w:ascii="Carlito" w:eastAsia="DejaVu Sans" w:hAnsi="Carlito" w:cs="FreeSans;Cambria"/>
      <w:kern w:val="2"/>
      <w:szCs w:val="24"/>
      <w:lang w:bidi="hi-IN"/>
    </w:rPr>
  </w:style>
  <w:style w:type="paragraph" w:customStyle="1" w:styleId="tv213">
    <w:name w:val="tv213"/>
    <w:basedOn w:val="Normal"/>
    <w:qFormat/>
    <w:rsid w:val="00B75D0C"/>
    <w:pPr>
      <w:spacing w:before="280" w:after="280" w:line="240" w:lineRule="auto"/>
    </w:pPr>
    <w:rPr>
      <w:rFonts w:ascii="Times New Roman" w:eastAsia="Times New Roman" w:hAnsi="Times New Roman"/>
      <w:sz w:val="24"/>
      <w:szCs w:val="24"/>
    </w:rPr>
  </w:style>
  <w:style w:type="paragraph" w:customStyle="1" w:styleId="Default">
    <w:name w:val="Default"/>
    <w:qFormat/>
    <w:rsid w:val="00B75D0C"/>
    <w:pPr>
      <w:suppressAutoHyphens/>
      <w:autoSpaceDE w:val="0"/>
      <w:spacing w:after="0" w:line="240" w:lineRule="auto"/>
    </w:pPr>
    <w:rPr>
      <w:rFonts w:ascii="Times New Roman" w:eastAsia="Calibri" w:hAnsi="Times New Roman" w:cs="Times New Roman"/>
      <w:color w:val="000000"/>
      <w:kern w:val="0"/>
      <w:sz w:val="24"/>
      <w:szCs w:val="24"/>
      <w:lang w:eastAsia="zh-CN"/>
      <w14:ligatures w14:val="none"/>
    </w:rPr>
  </w:style>
  <w:style w:type="paragraph" w:styleId="PlainText">
    <w:name w:val="Plain Text"/>
    <w:basedOn w:val="Normal"/>
    <w:link w:val="PlainTextChar1"/>
    <w:qFormat/>
    <w:rsid w:val="00B75D0C"/>
    <w:pPr>
      <w:spacing w:after="0" w:line="240" w:lineRule="auto"/>
    </w:pPr>
  </w:style>
  <w:style w:type="character" w:customStyle="1" w:styleId="PlainTextChar1">
    <w:name w:val="Plain Text Char1"/>
    <w:basedOn w:val="DefaultParagraphFont"/>
    <w:link w:val="PlainText"/>
    <w:rsid w:val="00B75D0C"/>
    <w:rPr>
      <w:rFonts w:ascii="Calibri" w:eastAsia="Calibri" w:hAnsi="Calibri" w:cs="Times New Roman"/>
      <w:kern w:val="0"/>
      <w:lang w:eastAsia="zh-CN"/>
      <w14:ligatures w14:val="none"/>
    </w:rPr>
  </w:style>
  <w:style w:type="paragraph" w:styleId="BodyTextIndent">
    <w:name w:val="Body Text Indent"/>
    <w:basedOn w:val="Normal"/>
    <w:link w:val="BodyTextIndentChar1"/>
    <w:rsid w:val="00B75D0C"/>
    <w:pPr>
      <w:spacing w:after="120"/>
      <w:ind w:left="283"/>
    </w:pPr>
  </w:style>
  <w:style w:type="character" w:customStyle="1" w:styleId="BodyTextIndentChar1">
    <w:name w:val="Body Text Indent Char1"/>
    <w:basedOn w:val="DefaultParagraphFont"/>
    <w:link w:val="BodyTextIndent"/>
    <w:rsid w:val="00B75D0C"/>
    <w:rPr>
      <w:rFonts w:ascii="Calibri" w:eastAsia="Calibri" w:hAnsi="Calibri" w:cs="Times New Roman"/>
      <w:kern w:val="0"/>
      <w:lang w:eastAsia="zh-CN"/>
      <w14:ligatures w14:val="none"/>
    </w:rPr>
  </w:style>
  <w:style w:type="paragraph" w:styleId="Revision">
    <w:name w:val="Revision"/>
    <w:qFormat/>
    <w:rsid w:val="00B75D0C"/>
    <w:pPr>
      <w:suppressAutoHyphens/>
      <w:spacing w:after="0" w:line="240" w:lineRule="auto"/>
    </w:pPr>
    <w:rPr>
      <w:rFonts w:ascii="Calibri" w:eastAsia="Calibri" w:hAnsi="Calibri" w:cs="Times New Roman"/>
      <w:kern w:val="0"/>
      <w:lang w:eastAsia="zh-CN"/>
      <w14:ligatures w14:val="none"/>
    </w:rPr>
  </w:style>
  <w:style w:type="paragraph" w:customStyle="1" w:styleId="doc-ti">
    <w:name w:val="doc-ti"/>
    <w:basedOn w:val="Normal"/>
    <w:qFormat/>
    <w:rsid w:val="00B75D0C"/>
    <w:pPr>
      <w:spacing w:before="280" w:after="280" w:line="240" w:lineRule="auto"/>
    </w:pPr>
    <w:rPr>
      <w:rFonts w:ascii="Times New Roman" w:eastAsia="Times New Roman" w:hAnsi="Times New Roman"/>
      <w:sz w:val="24"/>
      <w:szCs w:val="24"/>
    </w:rPr>
  </w:style>
  <w:style w:type="paragraph" w:customStyle="1" w:styleId="WW-Caption">
    <w:name w:val="WW-Caption"/>
    <w:basedOn w:val="Normal"/>
    <w:next w:val="Normal"/>
    <w:qFormat/>
    <w:rsid w:val="00B75D0C"/>
    <w:pPr>
      <w:keepNext/>
      <w:spacing w:before="120" w:after="120" w:line="240" w:lineRule="auto"/>
      <w:jc w:val="center"/>
    </w:pPr>
    <w:rPr>
      <w:rFonts w:ascii="Times New Roman" w:eastAsia="Times New Roman" w:hAnsi="Times New Roman"/>
      <w:b/>
      <w:iCs/>
      <w:sz w:val="20"/>
      <w:szCs w:val="20"/>
    </w:rPr>
  </w:style>
  <w:style w:type="paragraph" w:customStyle="1" w:styleId="Normal1">
    <w:name w:val="Normal1"/>
    <w:basedOn w:val="Normal"/>
    <w:qFormat/>
    <w:rsid w:val="00B75D0C"/>
    <w:pPr>
      <w:spacing w:before="280" w:after="280" w:line="240" w:lineRule="auto"/>
    </w:pPr>
    <w:rPr>
      <w:rFonts w:ascii="Times New Roman" w:eastAsia="Times New Roman" w:hAnsi="Times New Roman"/>
      <w:sz w:val="24"/>
      <w:szCs w:val="24"/>
      <w:lang w:bidi="lo-LA"/>
    </w:rPr>
  </w:style>
  <w:style w:type="paragraph" w:customStyle="1" w:styleId="Normal2">
    <w:name w:val="Normal2"/>
    <w:basedOn w:val="Normal"/>
    <w:qFormat/>
    <w:rsid w:val="00B75D0C"/>
    <w:pPr>
      <w:spacing w:before="280" w:after="280" w:line="240" w:lineRule="auto"/>
    </w:pPr>
    <w:rPr>
      <w:rFonts w:ascii="Times New Roman" w:eastAsia="Times New Roman" w:hAnsi="Times New Roman"/>
      <w:sz w:val="24"/>
      <w:szCs w:val="24"/>
      <w:lang w:bidi="lo-LA"/>
    </w:rPr>
  </w:style>
  <w:style w:type="paragraph" w:customStyle="1" w:styleId="ti-art">
    <w:name w:val="ti-art"/>
    <w:basedOn w:val="Normal"/>
    <w:qFormat/>
    <w:rsid w:val="00B75D0C"/>
    <w:pPr>
      <w:spacing w:before="280" w:after="280" w:line="240" w:lineRule="auto"/>
    </w:pPr>
    <w:rPr>
      <w:rFonts w:ascii="Times New Roman" w:eastAsia="Times New Roman" w:hAnsi="Times New Roman"/>
      <w:sz w:val="24"/>
      <w:szCs w:val="24"/>
      <w:lang w:bidi="lo-LA"/>
    </w:rPr>
  </w:style>
  <w:style w:type="paragraph" w:customStyle="1" w:styleId="sti-art">
    <w:name w:val="sti-art"/>
    <w:basedOn w:val="Normal"/>
    <w:qFormat/>
    <w:rsid w:val="00B75D0C"/>
    <w:pPr>
      <w:spacing w:before="280" w:after="280" w:line="240" w:lineRule="auto"/>
    </w:pPr>
    <w:rPr>
      <w:rFonts w:ascii="Times New Roman" w:eastAsia="Times New Roman" w:hAnsi="Times New Roman"/>
      <w:sz w:val="24"/>
      <w:szCs w:val="24"/>
      <w:lang w:bidi="lo-LA"/>
    </w:rPr>
  </w:style>
  <w:style w:type="paragraph" w:customStyle="1" w:styleId="Normal3">
    <w:name w:val="Normal3"/>
    <w:basedOn w:val="Normal"/>
    <w:qFormat/>
    <w:rsid w:val="00B75D0C"/>
    <w:pPr>
      <w:spacing w:before="280" w:after="280" w:line="240" w:lineRule="auto"/>
    </w:pPr>
    <w:rPr>
      <w:rFonts w:ascii="Times New Roman" w:eastAsia="Times New Roman" w:hAnsi="Times New Roman"/>
      <w:sz w:val="24"/>
      <w:szCs w:val="24"/>
      <w:lang w:bidi="lo-LA"/>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basedOn w:val="Normal"/>
    <w:qFormat/>
    <w:rsid w:val="00B75D0C"/>
    <w:pPr>
      <w:spacing w:after="160" w:line="240" w:lineRule="exact"/>
    </w:pPr>
    <w:rPr>
      <w:rFonts w:cs="DokChampa"/>
      <w:vertAlign w:val="superscript"/>
    </w:rPr>
  </w:style>
  <w:style w:type="paragraph" w:customStyle="1" w:styleId="TableHeading">
    <w:name w:val="Table Heading"/>
    <w:basedOn w:val="TableContents"/>
    <w:qFormat/>
    <w:rsid w:val="00B75D0C"/>
    <w:pPr>
      <w:jc w:val="center"/>
    </w:pPr>
    <w:rPr>
      <w:b/>
      <w:bCs/>
    </w:rPr>
  </w:style>
  <w:style w:type="numbering" w:customStyle="1" w:styleId="WW8Num1">
    <w:name w:val="WW8Num1"/>
    <w:qFormat/>
    <w:rsid w:val="00B75D0C"/>
  </w:style>
  <w:style w:type="numbering" w:customStyle="1" w:styleId="WW8Num2">
    <w:name w:val="WW8Num2"/>
    <w:qFormat/>
    <w:rsid w:val="00B75D0C"/>
  </w:style>
  <w:style w:type="numbering" w:customStyle="1" w:styleId="WW8Num3">
    <w:name w:val="WW8Num3"/>
    <w:qFormat/>
    <w:rsid w:val="00B75D0C"/>
  </w:style>
  <w:style w:type="numbering" w:customStyle="1" w:styleId="WW8Num4">
    <w:name w:val="WW8Num4"/>
    <w:qFormat/>
    <w:rsid w:val="00B75D0C"/>
  </w:style>
  <w:style w:type="numbering" w:customStyle="1" w:styleId="WW8Num5">
    <w:name w:val="WW8Num5"/>
    <w:qFormat/>
    <w:rsid w:val="00B75D0C"/>
  </w:style>
  <w:style w:type="numbering" w:customStyle="1" w:styleId="WW8Num6">
    <w:name w:val="WW8Num6"/>
    <w:qFormat/>
    <w:rsid w:val="00B75D0C"/>
  </w:style>
  <w:style w:type="numbering" w:customStyle="1" w:styleId="WW8Num7">
    <w:name w:val="WW8Num7"/>
    <w:qFormat/>
    <w:rsid w:val="00B75D0C"/>
  </w:style>
  <w:style w:type="numbering" w:customStyle="1" w:styleId="WW8Num8">
    <w:name w:val="WW8Num8"/>
    <w:qFormat/>
    <w:rsid w:val="00B75D0C"/>
  </w:style>
  <w:style w:type="numbering" w:customStyle="1" w:styleId="WW8Num9">
    <w:name w:val="WW8Num9"/>
    <w:qFormat/>
    <w:rsid w:val="00B75D0C"/>
  </w:style>
  <w:style w:type="numbering" w:customStyle="1" w:styleId="WW8Num10">
    <w:name w:val="WW8Num10"/>
    <w:qFormat/>
    <w:rsid w:val="00B75D0C"/>
  </w:style>
  <w:style w:type="numbering" w:customStyle="1" w:styleId="WW8Num11">
    <w:name w:val="WW8Num11"/>
    <w:qFormat/>
    <w:rsid w:val="00B75D0C"/>
  </w:style>
  <w:style w:type="numbering" w:customStyle="1" w:styleId="WW8Num12">
    <w:name w:val="WW8Num12"/>
    <w:qFormat/>
    <w:rsid w:val="00B75D0C"/>
  </w:style>
  <w:style w:type="numbering" w:customStyle="1" w:styleId="WW8Num13">
    <w:name w:val="WW8Num13"/>
    <w:qFormat/>
    <w:rsid w:val="00B75D0C"/>
  </w:style>
  <w:style w:type="numbering" w:customStyle="1" w:styleId="WW8Num14">
    <w:name w:val="WW8Num14"/>
    <w:qFormat/>
    <w:rsid w:val="00B75D0C"/>
  </w:style>
  <w:style w:type="numbering" w:customStyle="1" w:styleId="WW8Num15">
    <w:name w:val="WW8Num15"/>
    <w:qFormat/>
    <w:rsid w:val="00B75D0C"/>
  </w:style>
  <w:style w:type="numbering" w:customStyle="1" w:styleId="WW8Num16">
    <w:name w:val="WW8Num16"/>
    <w:qFormat/>
    <w:rsid w:val="00B75D0C"/>
  </w:style>
  <w:style w:type="numbering" w:customStyle="1" w:styleId="WW8Num17">
    <w:name w:val="WW8Num17"/>
    <w:qFormat/>
    <w:rsid w:val="00B75D0C"/>
  </w:style>
  <w:style w:type="numbering" w:customStyle="1" w:styleId="WW8Num18">
    <w:name w:val="WW8Num18"/>
    <w:qFormat/>
    <w:rsid w:val="00B75D0C"/>
  </w:style>
  <w:style w:type="numbering" w:customStyle="1" w:styleId="WW8Num19">
    <w:name w:val="WW8Num19"/>
    <w:qFormat/>
    <w:rsid w:val="00B75D0C"/>
  </w:style>
  <w:style w:type="numbering" w:customStyle="1" w:styleId="WW8Num20">
    <w:name w:val="WW8Num20"/>
    <w:qFormat/>
    <w:rsid w:val="00B75D0C"/>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FootnotesymbolCarZchn"/>
    <w:uiPriority w:val="99"/>
    <w:unhideWhenUsed/>
    <w:qFormat/>
    <w:rsid w:val="00B75D0C"/>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75D0C"/>
    <w:pPr>
      <w:suppressAutoHyphens w:val="0"/>
      <w:spacing w:after="160" w:line="240" w:lineRule="exact"/>
      <w:jc w:val="both"/>
    </w:pPr>
    <w:rPr>
      <w:rFonts w:asciiTheme="minorHAnsi" w:eastAsiaTheme="minorHAnsi" w:hAnsiTheme="minorHAnsi" w:cstheme="minorBidi"/>
      <w:kern w:val="2"/>
      <w:vertAlign w:val="superscript"/>
      <w:lang w:eastAsia="en-US"/>
      <w14:ligatures w14:val="standardContextual"/>
    </w:rPr>
  </w:style>
  <w:style w:type="character" w:customStyle="1" w:styleId="UnresolvedMention2">
    <w:name w:val="Unresolved Mention2"/>
    <w:basedOn w:val="DefaultParagraphFont"/>
    <w:uiPriority w:val="99"/>
    <w:semiHidden/>
    <w:unhideWhenUsed/>
    <w:rsid w:val="00B75D0C"/>
    <w:rPr>
      <w:color w:val="605E5C"/>
      <w:shd w:val="clear" w:color="auto" w:fill="E1DFDD"/>
    </w:rPr>
  </w:style>
  <w:style w:type="table" w:styleId="TableGrid">
    <w:name w:val="Table Grid"/>
    <w:basedOn w:val="TableNormal"/>
    <w:uiPriority w:val="59"/>
    <w:rsid w:val="00B75D0C"/>
    <w:pPr>
      <w:suppressAutoHyphens/>
      <w:spacing w:after="0" w:line="240" w:lineRule="auto"/>
    </w:pPr>
    <w:rPr>
      <w:rFonts w:ascii="Linux Libertine Display G" w:eastAsia="Noto Serif CJK SC" w:hAnsi="Linux Libertine Display G" w:cs="FreeSans"/>
      <w:kern w:val="0"/>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B75D0C"/>
    <w:rPr>
      <w:color w:val="605E5C"/>
      <w:shd w:val="clear" w:color="auto" w:fill="E1DFDD"/>
    </w:rPr>
  </w:style>
  <w:style w:type="character" w:styleId="Mention">
    <w:name w:val="Mention"/>
    <w:basedOn w:val="DefaultParagraphFont"/>
    <w:uiPriority w:val="99"/>
    <w:unhideWhenUsed/>
    <w:rsid w:val="00B75D0C"/>
    <w:rPr>
      <w:color w:val="2B579A"/>
      <w:shd w:val="clear" w:color="auto" w:fill="E1DFDD"/>
    </w:rPr>
  </w:style>
  <w:style w:type="character" w:styleId="UnresolvedMention">
    <w:name w:val="Unresolved Mention"/>
    <w:basedOn w:val="DefaultParagraphFont"/>
    <w:uiPriority w:val="99"/>
    <w:semiHidden/>
    <w:unhideWhenUsed/>
    <w:rsid w:val="00B75D0C"/>
    <w:rPr>
      <w:color w:val="605E5C"/>
      <w:shd w:val="clear" w:color="auto" w:fill="E1DFDD"/>
    </w:rPr>
  </w:style>
  <w:style w:type="paragraph" w:customStyle="1" w:styleId="pf0">
    <w:name w:val="pf0"/>
    <w:basedOn w:val="Normal"/>
    <w:rsid w:val="00B75D0C"/>
    <w:pPr>
      <w:suppressAutoHyphens w:val="0"/>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cf01">
    <w:name w:val="cf01"/>
    <w:basedOn w:val="DefaultParagraphFont"/>
    <w:rsid w:val="00B75D0C"/>
    <w:rPr>
      <w:rFonts w:ascii="Segoe UI" w:hAnsi="Segoe UI" w:cs="Segoe UI" w:hint="default"/>
      <w:b/>
      <w:bCs/>
      <w:sz w:val="18"/>
      <w:szCs w:val="18"/>
    </w:rPr>
  </w:style>
  <w:style w:type="numbering" w:customStyle="1" w:styleId="CurrentList1">
    <w:name w:val="Current List1"/>
    <w:uiPriority w:val="99"/>
    <w:rsid w:val="00B75D0C"/>
    <w:pPr>
      <w:numPr>
        <w:numId w:val="18"/>
      </w:numPr>
    </w:pPr>
  </w:style>
  <w:style w:type="character" w:customStyle="1" w:styleId="NoSpacingChar">
    <w:name w:val="No Spacing Char"/>
    <w:basedOn w:val="DefaultParagraphFont"/>
    <w:link w:val="NoSpacing"/>
    <w:uiPriority w:val="1"/>
    <w:rsid w:val="00B75D0C"/>
    <w:rPr>
      <w:rFonts w:ascii="Calibri" w:eastAsia="Calibri" w:hAnsi="Calibri" w:cs="Times New Roman"/>
      <w:kern w:val="0"/>
      <w:lang w:val="en-US" w:eastAsia="zh-CN"/>
      <w14:ligatures w14:val="none"/>
    </w:rPr>
  </w:style>
  <w:style w:type="paragraph" w:customStyle="1" w:styleId="CharCharCharChar">
    <w:name w:val="Char Char Char Char"/>
    <w:aliases w:val="Char2"/>
    <w:basedOn w:val="Normal"/>
    <w:next w:val="Normal"/>
    <w:uiPriority w:val="99"/>
    <w:rsid w:val="00B75D0C"/>
    <w:pPr>
      <w:suppressAutoHyphens w:val="0"/>
      <w:spacing w:after="160" w:line="240" w:lineRule="exact"/>
    </w:pPr>
    <w:rPr>
      <w:rFonts w:asciiTheme="minorHAnsi" w:eastAsiaTheme="minorHAnsi" w:hAnsiTheme="minorHAnsi" w:cstheme="minorBidi"/>
      <w:vertAlign w:val="superscript"/>
      <w:lang w:val="en-US" w:eastAsia="en-US"/>
    </w:rPr>
  </w:style>
  <w:style w:type="character" w:customStyle="1" w:styleId="ui-provider">
    <w:name w:val="ui-provider"/>
    <w:basedOn w:val="DefaultParagraphFont"/>
    <w:rsid w:val="00580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V/TXT/?uri=CELEX%3A02018R0842-20230516&amp;qid=1691394347773" TargetMode="External"/><Relationship Id="rId13" Type="http://schemas.openxmlformats.org/officeDocument/2006/relationships/hyperlink" Target="https://eur-lex.europa.eu/legal-content/LV/TXT/?uri=CELEX:32023R1804" TargetMode="External"/><Relationship Id="rId18" Type="http://schemas.openxmlformats.org/officeDocument/2006/relationships/hyperlink" Target="https://eur-lex.europa.eu/eli/dec_impl/2020/2126/oj" TargetMode="External"/><Relationship Id="rId3" Type="http://schemas.openxmlformats.org/officeDocument/2006/relationships/hyperlink" Target="https://unfccc.int/NDCREG" TargetMode="External"/><Relationship Id="rId7" Type="http://schemas.openxmlformats.org/officeDocument/2006/relationships/hyperlink" Target="https://eur-lex.europa.eu/legal-content/LV/TXT/?uri=celex%3A32023R0839" TargetMode="External"/><Relationship Id="rId12" Type="http://schemas.openxmlformats.org/officeDocument/2006/relationships/hyperlink" Target="https://eur-lex.europa.eu/legal-content/LV/TXT/?uri=OJ%3AL_202302413" TargetMode="External"/><Relationship Id="rId17" Type="http://schemas.openxmlformats.org/officeDocument/2006/relationships/hyperlink" Target="https://eur-lex.europa.eu/eli/reg/2023/857" TargetMode="External"/><Relationship Id="rId2" Type="http://schemas.openxmlformats.org/officeDocument/2006/relationships/hyperlink" Target="https://likumi.lv/ta/lv/starptautiskie-ligumi/id/1730" TargetMode="External"/><Relationship Id="rId16" Type="http://schemas.openxmlformats.org/officeDocument/2006/relationships/hyperlink" Target="https://eur-lex.europa.eu/legal-content/LV/TXT/PDF/?uri=CELEX:02018R0842-20230516" TargetMode="External"/><Relationship Id="rId20" Type="http://schemas.openxmlformats.org/officeDocument/2006/relationships/hyperlink" Target="https://climate.ec.europa.eu/system/files/2023-11/com_2023_653_glossy_en_0.pdf" TargetMode="External"/><Relationship Id="rId1" Type="http://schemas.openxmlformats.org/officeDocument/2006/relationships/hyperlink" Target="https://unfccc.int/sites/default/files/resource/docs/2015/cop21/eng/10a01.pdf" TargetMode="External"/><Relationship Id="rId6" Type="http://schemas.openxmlformats.org/officeDocument/2006/relationships/hyperlink" Target="https://eur-lex.europa.eu/legal-content/LV/TXT/?uri=CELEX%3A02003L0087-20230301" TargetMode="External"/><Relationship Id="rId11" Type="http://schemas.openxmlformats.org/officeDocument/2006/relationships/hyperlink" Target="https://eur-lex.europa.eu/legal-content/LV/TXT/HTML/?uri=CELEX:32023R0956&amp;qid=1695630955252" TargetMode="External"/><Relationship Id="rId5" Type="http://schemas.openxmlformats.org/officeDocument/2006/relationships/hyperlink" Target="https://unfccc.int/resource/docs/2015/cop21/eng/10a01.pdf" TargetMode="External"/><Relationship Id="rId15" Type="http://schemas.openxmlformats.org/officeDocument/2006/relationships/hyperlink" Target="https://eur-lex.europa.eu/legal-content/LV/TXT/?uri=OJ:L_202302405" TargetMode="External"/><Relationship Id="rId10" Type="http://schemas.openxmlformats.org/officeDocument/2006/relationships/hyperlink" Target="https://eur-lex.europa.eu/legal-content/LV/TXT/HTML/?uri=CELEX:32023R0955&amp;qid=1695630897917" TargetMode="External"/><Relationship Id="rId19" Type="http://schemas.openxmlformats.org/officeDocument/2006/relationships/hyperlink" Target="https://eur-lex.europa.eu/legal-content/LV/TXT/HTML/?uri=CELEX:32023D1319" TargetMode="External"/><Relationship Id="rId4" Type="http://schemas.openxmlformats.org/officeDocument/2006/relationships/hyperlink" Target="https://unfccc.int/sites/default/files/NDC/2023-10/ES-2023-10-17%20EU%20submission%20NDC%20update.pdf" TargetMode="External"/><Relationship Id="rId9" Type="http://schemas.openxmlformats.org/officeDocument/2006/relationships/hyperlink" Target="https://eur-lex.europa.eu/legal-content/LV/TXT/?uri=CELEX%3A02015R0757-20230605" TargetMode="External"/><Relationship Id="rId14" Type="http://schemas.openxmlformats.org/officeDocument/2006/relationships/hyperlink" Target="https://eur-lex.europa.eu/legal-content/LV/TXT/HTML/?uri=CELEX:32023R1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23</Pages>
  <Words>24327</Words>
  <Characters>13867</Characters>
  <Application>Microsoft Office Word</Application>
  <DocSecurity>0</DocSecurity>
  <Lines>115</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Gancone</dc:creator>
  <cp:keywords/>
  <dc:description/>
  <cp:lastModifiedBy>Agita Gancone</cp:lastModifiedBy>
  <cp:revision>34</cp:revision>
  <cp:lastPrinted>2024-01-24T10:56:00Z</cp:lastPrinted>
  <dcterms:created xsi:type="dcterms:W3CDTF">2024-01-24T07:05:00Z</dcterms:created>
  <dcterms:modified xsi:type="dcterms:W3CDTF">2024-01-24T12:54:00Z</dcterms:modified>
</cp:coreProperties>
</file>