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FBB850" w14:textId="05CE03DD" w:rsidR="00F477E7" w:rsidRDefault="00F477E7" w:rsidP="00F477E7">
      <w:pPr>
        <w:keepNext/>
        <w:keepLines/>
        <w:spacing w:after="0" w:line="240" w:lineRule="auto"/>
        <w:ind w:left="432" w:hanging="432"/>
        <w:contextualSpacing/>
        <w:outlineLvl w:val="0"/>
        <w:rPr>
          <w:rFonts w:eastAsia="Yu Gothic Light" w:cs="Times New Roman"/>
          <w:b/>
          <w:bCs/>
          <w:szCs w:val="24"/>
        </w:rPr>
      </w:pPr>
      <w:bookmarkStart w:id="0" w:name="_Toc170298616"/>
      <w:r>
        <w:rPr>
          <w:rFonts w:eastAsia="Yu Gothic Light" w:cs="Times New Roman"/>
          <w:b/>
          <w:bCs/>
          <w:szCs w:val="24"/>
        </w:rPr>
        <w:t>1.PIELIKUMS</w:t>
      </w:r>
    </w:p>
    <w:p w14:paraId="7E85EA5D" w14:textId="742F1313" w:rsidR="00817B84" w:rsidRDefault="00F477E7" w:rsidP="00817B84">
      <w:pPr>
        <w:keepNext/>
        <w:keepLines/>
        <w:spacing w:after="0" w:line="240" w:lineRule="auto"/>
        <w:ind w:left="432" w:hanging="432"/>
        <w:contextualSpacing/>
        <w:jc w:val="center"/>
        <w:outlineLvl w:val="0"/>
        <w:rPr>
          <w:rFonts w:eastAsia="Yu Gothic Light" w:cs="Times New Roman"/>
          <w:b/>
          <w:bCs/>
          <w:szCs w:val="24"/>
        </w:rPr>
      </w:pPr>
      <w:r>
        <w:rPr>
          <w:rFonts w:eastAsia="Yu Gothic Light" w:cs="Times New Roman"/>
          <w:b/>
          <w:bCs/>
          <w:szCs w:val="24"/>
        </w:rPr>
        <w:t xml:space="preserve">Rail </w:t>
      </w:r>
      <w:proofErr w:type="spellStart"/>
      <w:r>
        <w:rPr>
          <w:rFonts w:eastAsia="Yu Gothic Light" w:cs="Times New Roman"/>
          <w:b/>
          <w:bCs/>
          <w:szCs w:val="24"/>
        </w:rPr>
        <w:t>Baltica</w:t>
      </w:r>
      <w:proofErr w:type="spellEnd"/>
      <w:r>
        <w:rPr>
          <w:rFonts w:eastAsia="Yu Gothic Light" w:cs="Times New Roman"/>
          <w:b/>
          <w:bCs/>
          <w:szCs w:val="24"/>
        </w:rPr>
        <w:t xml:space="preserve"> projekta</w:t>
      </w:r>
      <w:r w:rsidR="00817B84" w:rsidRPr="00817B84">
        <w:rPr>
          <w:rFonts w:eastAsia="Yu Gothic Light" w:cs="Times New Roman"/>
          <w:b/>
          <w:bCs/>
          <w:szCs w:val="24"/>
        </w:rPr>
        <w:t xml:space="preserve"> tiesiskais regulējums</w:t>
      </w:r>
      <w:bookmarkEnd w:id="0"/>
    </w:p>
    <w:p w14:paraId="4795057A" w14:textId="77777777" w:rsidR="00817B84" w:rsidRPr="00817B84" w:rsidRDefault="00817B84" w:rsidP="00817B84">
      <w:pPr>
        <w:keepNext/>
        <w:keepLines/>
        <w:spacing w:after="0" w:line="240" w:lineRule="auto"/>
        <w:ind w:left="432" w:hanging="432"/>
        <w:contextualSpacing/>
        <w:jc w:val="center"/>
        <w:outlineLvl w:val="0"/>
        <w:rPr>
          <w:rFonts w:eastAsia="Yu Gothic Light" w:cs="Times New Roman"/>
          <w:b/>
          <w:bCs/>
          <w:szCs w:val="24"/>
        </w:rPr>
      </w:pPr>
    </w:p>
    <w:p w14:paraId="727CF8E1" w14:textId="236726E5" w:rsidR="00817B84" w:rsidRPr="00817B84" w:rsidRDefault="00817B84" w:rsidP="00817B84">
      <w:pPr>
        <w:spacing w:after="0" w:line="240" w:lineRule="auto"/>
        <w:contextualSpacing/>
        <w:jc w:val="both"/>
        <w:rPr>
          <w:rFonts w:eastAsia="Times New Roman" w:cs="Times New Roman"/>
          <w:kern w:val="0"/>
          <w:szCs w:val="24"/>
          <w:lang w:eastAsia="lv-LV"/>
          <w14:ligatures w14:val="none"/>
        </w:rPr>
      </w:pPr>
      <w:r>
        <w:rPr>
          <w:rFonts w:eastAsia="Times New Roman" w:cs="Times New Roman"/>
          <w:kern w:val="0"/>
          <w:szCs w:val="24"/>
          <w:lang w:eastAsia="lv-LV"/>
          <w14:ligatures w14:val="none"/>
        </w:rPr>
        <w:t xml:space="preserve">Rail </w:t>
      </w:r>
      <w:proofErr w:type="spellStart"/>
      <w:r>
        <w:rPr>
          <w:rFonts w:eastAsia="Times New Roman" w:cs="Times New Roman"/>
          <w:kern w:val="0"/>
          <w:szCs w:val="24"/>
          <w:lang w:eastAsia="lv-LV"/>
          <w14:ligatures w14:val="none"/>
        </w:rPr>
        <w:t>Baltica</w:t>
      </w:r>
      <w:proofErr w:type="spellEnd"/>
      <w:r>
        <w:rPr>
          <w:rFonts w:eastAsia="Times New Roman" w:cs="Times New Roman"/>
          <w:kern w:val="0"/>
          <w:szCs w:val="24"/>
          <w:lang w:eastAsia="lv-LV"/>
          <w14:ligatures w14:val="none"/>
        </w:rPr>
        <w:t xml:space="preserve"> projekts (turpmāk – RB projekts) ir</w:t>
      </w:r>
      <w:r w:rsidRPr="00817B84">
        <w:rPr>
          <w:rFonts w:eastAsia="Times New Roman" w:cs="Times New Roman"/>
          <w:kern w:val="0"/>
          <w:szCs w:val="24"/>
          <w:lang w:eastAsia="lv-LV"/>
          <w14:ligatures w14:val="none"/>
        </w:rPr>
        <w:t xml:space="preserve"> daļa no TEN-T tīkla politikas. Šo projektu regulē dažādi ES tiesību akti, kas noteic transporta infrastruktūras, finansējuma piešķiršanas un izlietojuma, kā arī citu projekta attīstībai un ieviešanai būtisku jautājumu loku. Galvenie ES līmeņa tiesību akti, kas nosaka RB projekt</w:t>
      </w:r>
      <w:r w:rsidRPr="00817B84">
        <w:rPr>
          <w:rFonts w:eastAsia="Times New Roman" w:cs="Times New Roman"/>
          <w:szCs w:val="24"/>
          <w:lang w:eastAsia="lv-LV"/>
        </w:rPr>
        <w:t>a</w:t>
      </w:r>
      <w:r w:rsidRPr="00817B84">
        <w:rPr>
          <w:rFonts w:eastAsia="Times New Roman" w:cs="Times New Roman"/>
          <w:kern w:val="0"/>
          <w:szCs w:val="24"/>
          <w:lang w:eastAsia="lv-LV"/>
          <w14:ligatures w14:val="none"/>
        </w:rPr>
        <w:t xml:space="preserve"> tiesisko pamatu:</w:t>
      </w:r>
    </w:p>
    <w:p w14:paraId="3F64BCC2" w14:textId="23FC181E" w:rsidR="00817B84" w:rsidRPr="00817B84" w:rsidRDefault="00817B84" w:rsidP="007A597F">
      <w:pPr>
        <w:numPr>
          <w:ilvl w:val="0"/>
          <w:numId w:val="1"/>
        </w:numPr>
        <w:spacing w:after="0" w:line="240" w:lineRule="auto"/>
        <w:contextualSpacing/>
        <w:jc w:val="both"/>
        <w:rPr>
          <w:rFonts w:eastAsia="Times New Roman" w:cs="Times New Roman"/>
          <w:b/>
          <w:bCs/>
          <w:szCs w:val="24"/>
          <w:lang w:eastAsia="lv-LV"/>
        </w:rPr>
      </w:pPr>
      <w:bookmarkStart w:id="1" w:name="_Hlk169805997"/>
      <w:bookmarkEnd w:id="1"/>
      <w:r w:rsidRPr="00817B84">
        <w:rPr>
          <w:rFonts w:eastAsia="Times New Roman" w:cs="Times New Roman"/>
          <w:b/>
          <w:bCs/>
          <w:kern w:val="0"/>
          <w:szCs w:val="24"/>
          <w:lang w:eastAsia="lv-LV"/>
          <w14:ligatures w14:val="none"/>
        </w:rPr>
        <w:t>Eiropas Parlamenta un Padomes 2013. gada 11. decembra regul</w:t>
      </w:r>
      <w:r w:rsidRPr="00817B84">
        <w:rPr>
          <w:rFonts w:eastAsia="Times New Roman" w:cs="Times New Roman"/>
          <w:b/>
          <w:bCs/>
          <w:szCs w:val="24"/>
          <w:lang w:eastAsia="lv-LV"/>
        </w:rPr>
        <w:t>a</w:t>
      </w:r>
      <w:r w:rsidRPr="00817B84">
        <w:rPr>
          <w:rFonts w:eastAsia="Times New Roman" w:cs="Times New Roman"/>
          <w:b/>
          <w:bCs/>
          <w:kern w:val="0"/>
          <w:szCs w:val="24"/>
          <w:lang w:eastAsia="lv-LV"/>
          <w14:ligatures w14:val="none"/>
        </w:rPr>
        <w:t xml:space="preserve"> (ES) Nr. 1315/2013 </w:t>
      </w:r>
      <w:r w:rsidRPr="00817B84">
        <w:rPr>
          <w:rFonts w:eastAsia="Times New Roman" w:cs="Times New Roman"/>
          <w:b/>
          <w:bCs/>
          <w:szCs w:val="24"/>
          <w:lang w:eastAsia="lv-LV"/>
        </w:rPr>
        <w:t xml:space="preserve">par Savienības pamatnostādnēm Eiropas transporta tīkla attīstībai un ar ko atceļ Lēmumu Nr. 661/2010/ES </w:t>
      </w:r>
      <w:r w:rsidRPr="00817B84">
        <w:rPr>
          <w:rFonts w:eastAsia="Times New Roman" w:cs="Times New Roman"/>
          <w:kern w:val="0"/>
          <w:szCs w:val="24"/>
          <w:lang w:eastAsia="lv-LV"/>
          <w14:ligatures w14:val="none"/>
        </w:rPr>
        <w:t>(turpmāk - TEN-T regula): šī regula no</w:t>
      </w:r>
      <w:r w:rsidR="00A42337" w:rsidRPr="007A597F">
        <w:rPr>
          <w:rFonts w:eastAsia="Times New Roman" w:cs="Times New Roman"/>
          <w:kern w:val="0"/>
          <w:szCs w:val="24"/>
          <w:lang w:eastAsia="lv-LV"/>
          <w14:ligatures w14:val="none"/>
        </w:rPr>
        <w:t>teica</w:t>
      </w:r>
      <w:r w:rsidRPr="00817B84">
        <w:rPr>
          <w:rFonts w:eastAsia="Times New Roman" w:cs="Times New Roman"/>
          <w:kern w:val="0"/>
          <w:szCs w:val="24"/>
          <w:lang w:eastAsia="lv-LV"/>
          <w14:ligatures w14:val="none"/>
        </w:rPr>
        <w:t xml:space="preserve"> vadlīnijas TEN-T tīkla izveidei, </w:t>
      </w:r>
      <w:r w:rsidRPr="00817B84">
        <w:rPr>
          <w:rFonts w:eastAsia="Times New Roman" w:cs="Times New Roman"/>
          <w:szCs w:val="24"/>
          <w:lang w:eastAsia="lv-LV"/>
        </w:rPr>
        <w:t>kas definē</w:t>
      </w:r>
      <w:r w:rsidR="00A42337" w:rsidRPr="007A597F">
        <w:rPr>
          <w:rFonts w:eastAsia="Times New Roman" w:cs="Times New Roman"/>
          <w:szCs w:val="24"/>
          <w:lang w:eastAsia="lv-LV"/>
        </w:rPr>
        <w:t>ja</w:t>
      </w:r>
      <w:r w:rsidRPr="00817B84">
        <w:rPr>
          <w:rFonts w:eastAsia="Times New Roman" w:cs="Times New Roman"/>
          <w:szCs w:val="24"/>
          <w:lang w:eastAsia="lv-LV"/>
        </w:rPr>
        <w:t xml:space="preserve"> pamata</w:t>
      </w:r>
      <w:r w:rsidRPr="00817B84">
        <w:rPr>
          <w:rFonts w:eastAsia="Times New Roman" w:cs="Times New Roman"/>
          <w:kern w:val="0"/>
          <w:szCs w:val="24"/>
          <w:lang w:eastAsia="lv-LV"/>
          <w14:ligatures w14:val="none"/>
        </w:rPr>
        <w:t xml:space="preserve"> un visaptverošo tīklu</w:t>
      </w:r>
      <w:r w:rsidRPr="00817B84">
        <w:rPr>
          <w:rFonts w:eastAsia="Times New Roman" w:cs="Times New Roman"/>
          <w:szCs w:val="24"/>
          <w:lang w:eastAsia="lv-LV"/>
        </w:rPr>
        <w:t>, kā arī ievie</w:t>
      </w:r>
      <w:r w:rsidR="00A42337" w:rsidRPr="007A597F">
        <w:rPr>
          <w:rFonts w:eastAsia="Times New Roman" w:cs="Times New Roman"/>
          <w:szCs w:val="24"/>
          <w:lang w:eastAsia="lv-LV"/>
        </w:rPr>
        <w:t>sa</w:t>
      </w:r>
      <w:r w:rsidRPr="00817B84">
        <w:rPr>
          <w:rFonts w:eastAsia="Times New Roman" w:cs="Times New Roman"/>
          <w:szCs w:val="24"/>
          <w:lang w:eastAsia="lv-LV"/>
        </w:rPr>
        <w:t xml:space="preserve"> pamata tīkla koridoru konceptu</w:t>
      </w:r>
      <w:r w:rsidRPr="00817B84">
        <w:rPr>
          <w:rFonts w:eastAsia="Times New Roman" w:cs="Times New Roman"/>
          <w:kern w:val="0"/>
          <w:szCs w:val="24"/>
          <w:lang w:eastAsia="lv-LV"/>
          <w14:ligatures w14:val="none"/>
        </w:rPr>
        <w:t xml:space="preserve">. </w:t>
      </w:r>
      <w:r w:rsidRPr="00817B84">
        <w:rPr>
          <w:rFonts w:eastAsia="Times New Roman" w:cs="Times New Roman"/>
          <w:szCs w:val="24"/>
          <w:lang w:eastAsia="lv-LV"/>
        </w:rPr>
        <w:t>Saskaņā ar šo regulu (</w:t>
      </w:r>
      <w:r w:rsidRPr="00817B84">
        <w:rPr>
          <w:rFonts w:eastAsia="Times New Roman" w:cs="Times New Roman"/>
          <w:kern w:val="0"/>
          <w:szCs w:val="24"/>
          <w:lang w:eastAsia="lv-LV"/>
          <w14:ligatures w14:val="none"/>
        </w:rPr>
        <w:t xml:space="preserve">aicinām skatīt informāciju turpmāk </w:t>
      </w:r>
      <w:r w:rsidRPr="00817B84">
        <w:rPr>
          <w:rFonts w:eastAsia="Times New Roman" w:cs="Times New Roman"/>
          <w:szCs w:val="24"/>
          <w:lang w:eastAsia="lv-LV"/>
        </w:rPr>
        <w:t xml:space="preserve">par TEN-T pārskata regulu) </w:t>
      </w:r>
      <w:r w:rsidRPr="00817B84">
        <w:rPr>
          <w:rFonts w:eastAsia="Times New Roman" w:cs="Times New Roman"/>
          <w:kern w:val="0"/>
          <w:szCs w:val="24"/>
          <w:lang w:eastAsia="lv-LV"/>
          <w14:ligatures w14:val="none"/>
        </w:rPr>
        <w:t xml:space="preserve">Rail </w:t>
      </w:r>
      <w:proofErr w:type="spellStart"/>
      <w:r w:rsidRPr="00817B84">
        <w:rPr>
          <w:rFonts w:eastAsia="Times New Roman" w:cs="Times New Roman"/>
          <w:kern w:val="0"/>
          <w:szCs w:val="24"/>
          <w:lang w:eastAsia="lv-LV"/>
          <w14:ligatures w14:val="none"/>
        </w:rPr>
        <w:t>Baltica</w:t>
      </w:r>
      <w:proofErr w:type="spellEnd"/>
      <w:r w:rsidRPr="00817B84">
        <w:rPr>
          <w:rFonts w:eastAsia="Times New Roman" w:cs="Times New Roman"/>
          <w:kern w:val="0"/>
          <w:szCs w:val="24"/>
          <w:lang w:eastAsia="lv-LV"/>
          <w14:ligatures w14:val="none"/>
        </w:rPr>
        <w:t xml:space="preserve"> ir daļa no TEN-T pamattīkla</w:t>
      </w:r>
      <w:r w:rsidRPr="00817B84">
        <w:rPr>
          <w:rFonts w:eastAsia="Times New Roman" w:cs="Times New Roman"/>
          <w:szCs w:val="24"/>
          <w:lang w:eastAsia="lv-LV"/>
        </w:rPr>
        <w:t xml:space="preserve"> Ziemeļjūras - Baltijas jūras koridora</w:t>
      </w:r>
      <w:r w:rsidRPr="00817B84">
        <w:rPr>
          <w:rFonts w:eastAsia="Times New Roman" w:cs="Times New Roman"/>
          <w:kern w:val="0"/>
          <w:szCs w:val="24"/>
          <w:lang w:eastAsia="lv-LV"/>
          <w14:ligatures w14:val="none"/>
        </w:rPr>
        <w:t xml:space="preserve">, </w:t>
      </w:r>
      <w:r w:rsidRPr="00817B84">
        <w:rPr>
          <w:rFonts w:eastAsia="Times New Roman" w:cs="Times New Roman"/>
          <w:szCs w:val="24"/>
          <w:lang w:eastAsia="lv-LV"/>
        </w:rPr>
        <w:t xml:space="preserve">tādējādi tas </w:t>
      </w:r>
      <w:r w:rsidRPr="00817B84">
        <w:rPr>
          <w:rFonts w:eastAsia="Times New Roman" w:cs="Times New Roman"/>
          <w:kern w:val="0"/>
          <w:szCs w:val="24"/>
          <w:lang w:eastAsia="lv-LV"/>
          <w14:ligatures w14:val="none"/>
        </w:rPr>
        <w:t>ir noteikts kā prioritārs projekts</w:t>
      </w:r>
      <w:r w:rsidRPr="007A597F">
        <w:rPr>
          <w:rFonts w:eastAsia="Times New Roman" w:cs="Times New Roman"/>
          <w:kern w:val="0"/>
          <w:szCs w:val="24"/>
          <w:lang w:eastAsia="lv-LV"/>
          <w14:ligatures w14:val="none"/>
        </w:rPr>
        <w:t xml:space="preserve">. </w:t>
      </w:r>
      <w:r w:rsidR="00A42337" w:rsidRPr="007A597F">
        <w:rPr>
          <w:rFonts w:eastAsia="Times New Roman" w:cs="Times New Roman"/>
          <w:kern w:val="0"/>
          <w:szCs w:val="24"/>
          <w:lang w:eastAsia="lv-LV"/>
          <w14:ligatures w14:val="none"/>
        </w:rPr>
        <w:t xml:space="preserve">Jāņem vērā, ka </w:t>
      </w:r>
      <w:r w:rsidR="00A42337" w:rsidRPr="007A597F">
        <w:rPr>
          <w:rFonts w:eastAsia="Times New Roman" w:cs="Times New Roman"/>
          <w:b/>
          <w:bCs/>
          <w:kern w:val="0"/>
          <w:szCs w:val="24"/>
          <w:lang w:eastAsia="lv-LV"/>
          <w14:ligatures w14:val="none"/>
        </w:rPr>
        <w:t>šī regula ir atcelta</w:t>
      </w:r>
      <w:r w:rsidR="00A42337" w:rsidRPr="007A597F">
        <w:rPr>
          <w:rFonts w:eastAsia="Times New Roman" w:cs="Times New Roman"/>
          <w:kern w:val="0"/>
          <w:szCs w:val="24"/>
          <w:lang w:eastAsia="lv-LV"/>
          <w14:ligatures w14:val="none"/>
        </w:rPr>
        <w:t xml:space="preserve"> ar </w:t>
      </w:r>
      <w:r w:rsidR="007A597F" w:rsidRPr="007A597F">
        <w:rPr>
          <w:rFonts w:eastAsia="Times New Roman" w:cs="Times New Roman"/>
          <w:kern w:val="0"/>
          <w:szCs w:val="24"/>
          <w:lang w:eastAsia="lv-LV"/>
          <w14:ligatures w14:val="none"/>
        </w:rPr>
        <w:t>Eiropas Parlamenta un Padomes Regulu (ES) 2024/1679 (2024. gada 13. jūnijs) par Savienības pamatnostādnēm Eiropas transporta tīkla attīstībai un ar ko groza Regulas (ES) 2021/1153 un (ES) Nr. 913/2010 un atceļ Regulu (ES) Nr. 1315/2013</w:t>
      </w:r>
      <w:r w:rsidR="007A597F">
        <w:rPr>
          <w:rFonts w:eastAsia="Times New Roman" w:cs="Times New Roman"/>
          <w:kern w:val="0"/>
          <w:szCs w:val="24"/>
          <w:lang w:eastAsia="lv-LV"/>
          <w14:ligatures w14:val="none"/>
        </w:rPr>
        <w:t>.</w:t>
      </w:r>
    </w:p>
    <w:p w14:paraId="16AA4368" w14:textId="2F9A4EF9" w:rsidR="00817B84" w:rsidRPr="00817B84" w:rsidRDefault="00817B84" w:rsidP="00817B84">
      <w:pPr>
        <w:numPr>
          <w:ilvl w:val="0"/>
          <w:numId w:val="1"/>
        </w:numPr>
        <w:spacing w:after="0" w:line="240" w:lineRule="auto"/>
        <w:contextualSpacing/>
        <w:jc w:val="both"/>
        <w:rPr>
          <w:rFonts w:eastAsia="Times New Roman" w:cs="Times New Roman"/>
          <w:kern w:val="0"/>
          <w:szCs w:val="24"/>
          <w:lang w:eastAsia="lv-LV"/>
          <w14:ligatures w14:val="none"/>
        </w:rPr>
      </w:pPr>
      <w:r w:rsidRPr="00817B84">
        <w:rPr>
          <w:rFonts w:eastAsia="Times New Roman" w:cs="Times New Roman"/>
          <w:b/>
          <w:bCs/>
          <w:szCs w:val="24"/>
          <w:lang w:eastAsia="lv-LV"/>
        </w:rPr>
        <w:t xml:space="preserve">Eiropas Parlamenta un Padomes </w:t>
      </w:r>
      <w:r w:rsidRPr="00817B84">
        <w:rPr>
          <w:rFonts w:eastAsia="Times New Roman" w:cs="Times New Roman"/>
          <w:b/>
          <w:bCs/>
          <w:kern w:val="0"/>
          <w:szCs w:val="24"/>
          <w:lang w:eastAsia="lv-LV"/>
          <w14:ligatures w14:val="none"/>
        </w:rPr>
        <w:t xml:space="preserve">2013. gada 11. decembra </w:t>
      </w:r>
      <w:r w:rsidRPr="00817B84">
        <w:rPr>
          <w:rFonts w:eastAsia="Times New Roman" w:cs="Times New Roman"/>
          <w:b/>
          <w:bCs/>
          <w:szCs w:val="24"/>
          <w:lang w:eastAsia="lv-LV"/>
        </w:rPr>
        <w:t xml:space="preserve">regula (ES) Nr. 1316/2013, ar ko izveido Eiropas infrastruktūras savienošanas instrumentu, groza Regulu (ES) Nr. 913/2010 un atceļ Regulu (EK) Nr. 680/2007 un Regulu (EK) Nr. 67/2010   </w:t>
      </w:r>
      <w:r w:rsidRPr="00817B84">
        <w:rPr>
          <w:rFonts w:eastAsia="Times New Roman" w:cs="Times New Roman"/>
          <w:szCs w:val="24"/>
          <w:lang w:eastAsia="lv-LV"/>
        </w:rPr>
        <w:t xml:space="preserve">(turpmāk - EISI regula): EISI ir finansēšanas instruments, kas paredzēts TEN-T projektu atbalstam. Šī regula nosaka noteikumus par finansiālo atbalstu infrastruktūras projektiem, tostarp RB projektam. </w:t>
      </w:r>
      <w:r w:rsidR="007B0C29">
        <w:rPr>
          <w:rFonts w:eastAsia="Times New Roman" w:cs="Times New Roman"/>
          <w:szCs w:val="24"/>
          <w:lang w:eastAsia="lv-LV"/>
        </w:rPr>
        <w:t xml:space="preserve">Lai gan </w:t>
      </w:r>
      <w:r w:rsidR="007B0C29" w:rsidRPr="007B0C29">
        <w:rPr>
          <w:rFonts w:eastAsia="Times New Roman" w:cs="Times New Roman"/>
          <w:b/>
          <w:bCs/>
          <w:szCs w:val="24"/>
          <w:lang w:eastAsia="lv-LV"/>
        </w:rPr>
        <w:t>šī regula ir atcelta</w:t>
      </w:r>
      <w:r w:rsidR="007B0C29">
        <w:rPr>
          <w:rFonts w:eastAsia="Times New Roman" w:cs="Times New Roman"/>
          <w:szCs w:val="24"/>
          <w:lang w:eastAsia="lv-LV"/>
        </w:rPr>
        <w:t>, i</w:t>
      </w:r>
      <w:r w:rsidRPr="00817B84">
        <w:rPr>
          <w:rFonts w:eastAsia="Times New Roman" w:cs="Times New Roman"/>
          <w:szCs w:val="24"/>
          <w:lang w:eastAsia="lv-LV"/>
        </w:rPr>
        <w:t xml:space="preserve">evērojot </w:t>
      </w:r>
      <w:r w:rsidR="007B0C29">
        <w:rPr>
          <w:rFonts w:eastAsia="Times New Roman" w:cs="Times New Roman"/>
          <w:szCs w:val="24"/>
          <w:lang w:eastAsia="lv-LV"/>
        </w:rPr>
        <w:t>r</w:t>
      </w:r>
      <w:r w:rsidRPr="00817B84">
        <w:rPr>
          <w:rFonts w:eastAsia="Times New Roman" w:cs="Times New Roman"/>
          <w:szCs w:val="24"/>
          <w:lang w:eastAsia="lv-LV"/>
        </w:rPr>
        <w:t xml:space="preserve">egulas (ES) 2021/1153 29. pantu, </w:t>
      </w:r>
      <w:r w:rsidR="007B0C29" w:rsidRPr="007B0C29">
        <w:rPr>
          <w:rFonts w:eastAsia="Times New Roman" w:cs="Times New Roman"/>
          <w:b/>
          <w:bCs/>
          <w:szCs w:val="24"/>
          <w:lang w:eastAsia="lv-LV"/>
        </w:rPr>
        <w:t>r</w:t>
      </w:r>
      <w:r w:rsidRPr="00817B84">
        <w:rPr>
          <w:rFonts w:eastAsia="Times New Roman" w:cs="Times New Roman"/>
          <w:b/>
          <w:bCs/>
          <w:szCs w:val="24"/>
          <w:lang w:eastAsia="lv-LV"/>
        </w:rPr>
        <w:t>egula Nr. 1316/2013 piemērojama līdz</w:t>
      </w:r>
      <w:r w:rsidRPr="00817B84">
        <w:rPr>
          <w:rFonts w:eastAsia="Times New Roman" w:cs="Times New Roman"/>
          <w:szCs w:val="24"/>
          <w:lang w:eastAsia="lv-LV"/>
        </w:rPr>
        <w:t xml:space="preserve"> tādu </w:t>
      </w:r>
      <w:r w:rsidRPr="00817B84">
        <w:rPr>
          <w:rFonts w:eastAsia="Times New Roman" w:cs="Times New Roman"/>
          <w:b/>
          <w:bCs/>
          <w:szCs w:val="24"/>
          <w:lang w:eastAsia="lv-LV"/>
        </w:rPr>
        <w:t>darbību</w:t>
      </w:r>
      <w:r w:rsidRPr="00817B84">
        <w:rPr>
          <w:rFonts w:eastAsia="Times New Roman" w:cs="Times New Roman"/>
          <w:szCs w:val="24"/>
          <w:lang w:eastAsia="lv-LV"/>
        </w:rPr>
        <w:t xml:space="preserve"> turpināšanai vai grozīšanai, </w:t>
      </w:r>
      <w:r w:rsidRPr="00817B84">
        <w:rPr>
          <w:rFonts w:eastAsia="Times New Roman" w:cs="Times New Roman"/>
          <w:b/>
          <w:bCs/>
          <w:szCs w:val="24"/>
          <w:lang w:eastAsia="lv-LV"/>
        </w:rPr>
        <w:t>kas uzsāktas, ievērojot Regulu (ES) Nr. 1316/2013,</w:t>
      </w:r>
      <w:r w:rsidRPr="00817B84">
        <w:rPr>
          <w:rFonts w:eastAsia="Times New Roman" w:cs="Times New Roman"/>
          <w:szCs w:val="24"/>
          <w:lang w:eastAsia="lv-LV"/>
        </w:rPr>
        <w:t xml:space="preserve"> ko turpina piemērot minētajām darbībām līdz to </w:t>
      </w:r>
      <w:r w:rsidRPr="00817B84">
        <w:rPr>
          <w:rFonts w:eastAsia="Times New Roman" w:cs="Times New Roman"/>
          <w:b/>
          <w:bCs/>
          <w:szCs w:val="24"/>
          <w:lang w:eastAsia="lv-LV"/>
        </w:rPr>
        <w:t>slēgšanai;</w:t>
      </w:r>
    </w:p>
    <w:p w14:paraId="1CE8B9F6" w14:textId="77777777" w:rsidR="00817B84" w:rsidRPr="00817B84" w:rsidRDefault="00817B84" w:rsidP="00817B84">
      <w:pPr>
        <w:numPr>
          <w:ilvl w:val="0"/>
          <w:numId w:val="1"/>
        </w:numPr>
        <w:spacing w:after="0" w:line="240" w:lineRule="auto"/>
        <w:contextualSpacing/>
        <w:jc w:val="both"/>
        <w:rPr>
          <w:rFonts w:eastAsia="Times New Roman" w:cs="Times New Roman"/>
          <w:b/>
          <w:bCs/>
          <w:kern w:val="0"/>
          <w:szCs w:val="24"/>
          <w:lang w:eastAsia="lv-LV"/>
          <w14:ligatures w14:val="none"/>
        </w:rPr>
      </w:pPr>
      <w:r w:rsidRPr="00817B84">
        <w:rPr>
          <w:rFonts w:eastAsia="Times New Roman" w:cs="Times New Roman"/>
          <w:b/>
          <w:bCs/>
          <w:szCs w:val="24"/>
          <w:lang w:eastAsia="lv-LV"/>
        </w:rPr>
        <w:t xml:space="preserve">Eiropas Parlamenta un Padomes 2021. gada 7. jūlija regula (ES) Nr. 2021/1153, ar ko izveido Eiropas infrastruktūras savienošanas instrumentu un atceļ Regulas (ES) Nr. 1316/2013 un (ES) Nr. 283/2014 </w:t>
      </w:r>
      <w:r w:rsidRPr="00817B84">
        <w:rPr>
          <w:rFonts w:eastAsia="Times New Roman" w:cs="Times New Roman"/>
          <w:szCs w:val="24"/>
          <w:lang w:eastAsia="lv-LV"/>
        </w:rPr>
        <w:t>(</w:t>
      </w:r>
      <w:r w:rsidRPr="00817B84">
        <w:rPr>
          <w:rFonts w:eastAsia="Times New Roman" w:cs="Times New Roman"/>
          <w:szCs w:val="24"/>
        </w:rPr>
        <w:t>turpmāk – EISI 2 regula)</w:t>
      </w:r>
      <w:r w:rsidRPr="00817B84">
        <w:rPr>
          <w:rFonts w:eastAsia="Times New Roman" w:cs="Times New Roman"/>
          <w:szCs w:val="24"/>
          <w:lang w:eastAsia="lv-LV"/>
        </w:rPr>
        <w:t>: EISI ir finansēšanas instruments, kas paredzēts TEN-T projektu atbalstam. Šī regula nosaka noteikumus par finansiālo atbalstu infrastruktūras projektiem, tostarp RB projektam, 2021. - 2027. ES daudzgadu budžeta periodā;</w:t>
      </w:r>
    </w:p>
    <w:p w14:paraId="2732C94B" w14:textId="77777777" w:rsidR="00817B84" w:rsidRPr="00817B84" w:rsidRDefault="00817B84" w:rsidP="00817B84">
      <w:pPr>
        <w:numPr>
          <w:ilvl w:val="0"/>
          <w:numId w:val="1"/>
        </w:numPr>
        <w:spacing w:after="0" w:line="240" w:lineRule="auto"/>
        <w:contextualSpacing/>
        <w:jc w:val="both"/>
        <w:rPr>
          <w:rFonts w:eastAsia="Times New Roman" w:cs="Times New Roman"/>
          <w:kern w:val="0"/>
          <w:szCs w:val="24"/>
          <w:lang w:eastAsia="lv-LV"/>
          <w14:ligatures w14:val="none"/>
        </w:rPr>
      </w:pPr>
      <w:r w:rsidRPr="00817B84">
        <w:rPr>
          <w:rFonts w:eastAsia="Times New Roman" w:cs="Times New Roman"/>
          <w:b/>
          <w:bCs/>
          <w:kern w:val="0"/>
          <w:szCs w:val="24"/>
          <w:lang w:eastAsia="lv-LV"/>
          <w14:ligatures w14:val="none"/>
        </w:rPr>
        <w:t xml:space="preserve">Eiropas Parlamenta un Padomes 2010. gada 22. septembra regula (ES) Nr. 913/2010 </w:t>
      </w:r>
      <w:r w:rsidRPr="00817B84">
        <w:rPr>
          <w:rFonts w:eastAsia="Times New Roman" w:cs="Times New Roman"/>
          <w:b/>
          <w:bCs/>
          <w:szCs w:val="24"/>
          <w:lang w:eastAsia="lv-LV"/>
        </w:rPr>
        <w:t>par Eiropas dzelzceļa tīklu konkurētspējīgiem kravas pārvadājumiem</w:t>
      </w:r>
      <w:r w:rsidRPr="00817B84">
        <w:rPr>
          <w:rFonts w:eastAsia="Times New Roman" w:cs="Times New Roman"/>
          <w:b/>
          <w:bCs/>
          <w:kern w:val="0"/>
          <w:szCs w:val="24"/>
          <w:lang w:eastAsia="lv-LV"/>
          <w14:ligatures w14:val="none"/>
        </w:rPr>
        <w:t xml:space="preserve"> </w:t>
      </w:r>
      <w:r w:rsidRPr="00817B84">
        <w:rPr>
          <w:rFonts w:eastAsia="Times New Roman" w:cs="Times New Roman"/>
          <w:kern w:val="0"/>
          <w:szCs w:val="24"/>
          <w:lang w:eastAsia="lv-LV"/>
          <w14:ligatures w14:val="none"/>
        </w:rPr>
        <w:t>(</w:t>
      </w:r>
      <w:r w:rsidRPr="00817B84">
        <w:rPr>
          <w:rFonts w:eastAsia="Times New Roman" w:cs="Times New Roman"/>
          <w:szCs w:val="24"/>
        </w:rPr>
        <w:t>turpmāk – Dzelzceļa kravu koridoru regula)</w:t>
      </w:r>
      <w:r w:rsidRPr="00817B84">
        <w:rPr>
          <w:rFonts w:eastAsia="Times New Roman" w:cs="Times New Roman"/>
          <w:kern w:val="0"/>
          <w:szCs w:val="24"/>
          <w:lang w:eastAsia="lv-LV"/>
          <w14:ligatures w14:val="none"/>
        </w:rPr>
        <w:t>: šī regula attiecas uz TEN-T tīklu konkurētspējīgiem kravu pārvadājumam. Tā veicina dzelzceļa tīkla izveidi un uzlabošanu, lai nodrošinātu efektīvus kravu pārvadājumus, kas būtiski RB projektam;</w:t>
      </w:r>
    </w:p>
    <w:p w14:paraId="6260FB31" w14:textId="61D11C71" w:rsidR="00817B84" w:rsidRPr="00817B84" w:rsidRDefault="00820983" w:rsidP="00817B84">
      <w:pPr>
        <w:numPr>
          <w:ilvl w:val="0"/>
          <w:numId w:val="1"/>
        </w:numPr>
        <w:spacing w:after="0" w:line="240" w:lineRule="auto"/>
        <w:contextualSpacing/>
        <w:jc w:val="both"/>
        <w:rPr>
          <w:rFonts w:eastAsia="Times New Roman" w:cs="Times New Roman"/>
          <w:szCs w:val="24"/>
          <w:lang w:eastAsia="lv-LV"/>
        </w:rPr>
      </w:pPr>
      <w:r w:rsidRPr="00820983">
        <w:rPr>
          <w:rFonts w:eastAsia="Times New Roman" w:cs="Times New Roman"/>
          <w:b/>
          <w:bCs/>
          <w:szCs w:val="24"/>
          <w:lang w:eastAsia="lv-LV"/>
        </w:rPr>
        <w:t xml:space="preserve">Eiropas Parlamenta un Padomes Regula (ES) 2024/1679 (2024. gada 13. jūnijs) par Savienības pamatnostādnēm Eiropas transporta tīkla attīstībai un ar ko groza Regulas (ES) 2021/1153 un (ES) Nr. 913/2010 un atceļ Regulu (ES) Nr. 1315/2013 </w:t>
      </w:r>
      <w:r w:rsidR="00817B84" w:rsidRPr="00817B84">
        <w:rPr>
          <w:rFonts w:eastAsia="Times New Roman" w:cs="Times New Roman"/>
          <w:szCs w:val="24"/>
          <w:lang w:eastAsia="lv-LV"/>
        </w:rPr>
        <w:t>(turpmāk – TEN-T pārskata regula</w:t>
      </w:r>
      <w:r w:rsidR="00817B84" w:rsidRPr="00817B84">
        <w:rPr>
          <w:rFonts w:eastAsia="Calibri" w:cs="Times New Roman"/>
          <w:szCs w:val="24"/>
          <w:vertAlign w:val="superscript"/>
          <w:lang w:eastAsia="lv-LV"/>
        </w:rPr>
        <w:footnoteReference w:id="1"/>
      </w:r>
      <w:r w:rsidR="00817B84" w:rsidRPr="00817B84">
        <w:rPr>
          <w:rFonts w:eastAsia="Times New Roman" w:cs="Times New Roman"/>
          <w:szCs w:val="24"/>
          <w:vertAlign w:val="superscript"/>
          <w:lang w:eastAsia="lv-LV"/>
        </w:rPr>
        <w:t>)</w:t>
      </w:r>
      <w:r w:rsidR="00817B84" w:rsidRPr="00817B84">
        <w:rPr>
          <w:rFonts w:eastAsia="Times New Roman" w:cs="Times New Roman"/>
          <w:szCs w:val="24"/>
          <w:lang w:eastAsia="lv-LV"/>
        </w:rPr>
        <w:t xml:space="preserve">. Ar šo regulu nosaka prioritātes </w:t>
      </w:r>
      <w:r w:rsidR="00817B84" w:rsidRPr="00817B84">
        <w:rPr>
          <w:rFonts w:eastAsia="Times New Roman" w:cs="Times New Roman"/>
          <w:szCs w:val="24"/>
        </w:rPr>
        <w:lastRenderedPageBreak/>
        <w:t>TEN-T</w:t>
      </w:r>
      <w:r w:rsidR="00817B84" w:rsidRPr="00817B84">
        <w:rPr>
          <w:rFonts w:eastAsia="Times New Roman" w:cs="Times New Roman"/>
          <w:szCs w:val="24"/>
          <w:lang w:eastAsia="lv-LV"/>
        </w:rPr>
        <w:t xml:space="preserve"> tīkla attīstībai un paredz pasākumus </w:t>
      </w:r>
      <w:r w:rsidR="00817B84" w:rsidRPr="00817B84">
        <w:rPr>
          <w:rFonts w:eastAsia="Times New Roman" w:cs="Times New Roman"/>
          <w:szCs w:val="24"/>
        </w:rPr>
        <w:t>TEN-T</w:t>
      </w:r>
      <w:r w:rsidR="00817B84" w:rsidRPr="00817B84">
        <w:rPr>
          <w:rFonts w:eastAsia="Times New Roman" w:cs="Times New Roman"/>
          <w:szCs w:val="24"/>
          <w:lang w:eastAsia="lv-LV"/>
        </w:rPr>
        <w:t xml:space="preserve"> tīkla īstenošanai attiecīgos laika posmos līdz 2030., 2040. un 2050. gadam</w:t>
      </w:r>
      <w:r w:rsidR="00817B84" w:rsidRPr="00817B84">
        <w:rPr>
          <w:rFonts w:eastAsia="Times New Roman" w:cs="Times New Roman"/>
          <w:szCs w:val="24"/>
        </w:rPr>
        <w:t>;</w:t>
      </w:r>
    </w:p>
    <w:p w14:paraId="3D916270" w14:textId="77777777" w:rsidR="00817B84" w:rsidRPr="00817B84" w:rsidRDefault="00817B84" w:rsidP="00817B84">
      <w:pPr>
        <w:numPr>
          <w:ilvl w:val="0"/>
          <w:numId w:val="1"/>
        </w:numPr>
        <w:spacing w:after="0" w:line="240" w:lineRule="auto"/>
        <w:contextualSpacing/>
        <w:jc w:val="both"/>
        <w:rPr>
          <w:rFonts w:eastAsia="Times New Roman" w:cs="Times New Roman"/>
          <w:kern w:val="0"/>
          <w:szCs w:val="24"/>
          <w:lang w:eastAsia="lv-LV"/>
          <w14:ligatures w14:val="none"/>
        </w:rPr>
      </w:pPr>
      <w:r w:rsidRPr="00817B84">
        <w:rPr>
          <w:rFonts w:eastAsia="Times New Roman" w:cs="Times New Roman"/>
          <w:szCs w:val="24"/>
          <w:lang w:eastAsia="lv-LV"/>
        </w:rPr>
        <w:t xml:space="preserve">Eiropas Komisijas </w:t>
      </w:r>
      <w:r w:rsidRPr="00817B84">
        <w:rPr>
          <w:rFonts w:eastAsia="Times New Roman" w:cs="Times New Roman"/>
          <w:b/>
          <w:bCs/>
          <w:szCs w:val="24"/>
          <w:lang w:eastAsia="lv-LV"/>
        </w:rPr>
        <w:t xml:space="preserve">2018. gada 26. oktobra Īstenošanas lēmums (ES) 2018/1723 par pārrobežu projektu Rail </w:t>
      </w:r>
      <w:proofErr w:type="spellStart"/>
      <w:r w:rsidRPr="00817B84">
        <w:rPr>
          <w:rFonts w:eastAsia="Times New Roman" w:cs="Times New Roman"/>
          <w:b/>
          <w:bCs/>
          <w:szCs w:val="24"/>
          <w:lang w:eastAsia="lv-LV"/>
        </w:rPr>
        <w:t>Baltica</w:t>
      </w:r>
      <w:proofErr w:type="spellEnd"/>
      <w:r w:rsidRPr="00817B84">
        <w:rPr>
          <w:rFonts w:eastAsia="Times New Roman" w:cs="Times New Roman"/>
          <w:b/>
          <w:bCs/>
          <w:szCs w:val="24"/>
          <w:lang w:eastAsia="lv-LV"/>
        </w:rPr>
        <w:t xml:space="preserve"> Ziemeļjūras–Baltijas jūras pamattīkla koridorā</w:t>
      </w:r>
      <w:r w:rsidRPr="00817B84">
        <w:rPr>
          <w:rFonts w:eastAsia="Times New Roman" w:cs="Times New Roman"/>
          <w:szCs w:val="24"/>
          <w:lang w:eastAsia="lv-LV"/>
        </w:rPr>
        <w:t xml:space="preserve"> (turpmāk - Rail </w:t>
      </w:r>
      <w:proofErr w:type="spellStart"/>
      <w:r w:rsidRPr="00817B84">
        <w:rPr>
          <w:rFonts w:eastAsia="Times New Roman" w:cs="Times New Roman"/>
          <w:szCs w:val="24"/>
          <w:lang w:eastAsia="lv-LV"/>
        </w:rPr>
        <w:t>Baltica</w:t>
      </w:r>
      <w:proofErr w:type="spellEnd"/>
      <w:r w:rsidRPr="00817B84">
        <w:rPr>
          <w:rFonts w:eastAsia="Times New Roman" w:cs="Times New Roman"/>
          <w:szCs w:val="24"/>
          <w:lang w:eastAsia="lv-LV"/>
        </w:rPr>
        <w:t xml:space="preserve"> ieviešanas lēmums);</w:t>
      </w:r>
    </w:p>
    <w:p w14:paraId="0D7A4226" w14:textId="77777777" w:rsidR="00817B84" w:rsidRPr="00817B84" w:rsidRDefault="00817B84" w:rsidP="00817B84">
      <w:pPr>
        <w:numPr>
          <w:ilvl w:val="0"/>
          <w:numId w:val="1"/>
        </w:numPr>
        <w:spacing w:after="0" w:line="240" w:lineRule="auto"/>
        <w:contextualSpacing/>
        <w:jc w:val="both"/>
        <w:rPr>
          <w:rFonts w:eastAsia="Times New Roman" w:cs="Times New Roman"/>
          <w:kern w:val="0"/>
          <w:szCs w:val="24"/>
          <w:lang w:eastAsia="lv-LV"/>
          <w14:ligatures w14:val="none"/>
        </w:rPr>
      </w:pPr>
      <w:r w:rsidRPr="00817B84">
        <w:rPr>
          <w:rFonts w:eastAsia="Times New Roman" w:cs="Times New Roman"/>
          <w:b/>
          <w:bCs/>
          <w:szCs w:val="24"/>
          <w:lang w:eastAsia="lv-LV"/>
        </w:rPr>
        <w:t xml:space="preserve">Igaunijas Republikas valdības, Latvijas Republikas valdības un Lietuvas Republikas valdības līgums par Rail </w:t>
      </w:r>
      <w:proofErr w:type="spellStart"/>
      <w:r w:rsidRPr="00817B84">
        <w:rPr>
          <w:rFonts w:eastAsia="Times New Roman" w:cs="Times New Roman"/>
          <w:b/>
          <w:bCs/>
          <w:szCs w:val="24"/>
          <w:lang w:eastAsia="lv-LV"/>
        </w:rPr>
        <w:t>Baltic</w:t>
      </w:r>
      <w:proofErr w:type="spellEnd"/>
      <w:r w:rsidRPr="00817B84">
        <w:rPr>
          <w:rFonts w:eastAsia="Times New Roman" w:cs="Times New Roman"/>
          <w:b/>
          <w:bCs/>
          <w:szCs w:val="24"/>
          <w:lang w:eastAsia="lv-LV"/>
        </w:rPr>
        <w:t xml:space="preserve">/ Rail </w:t>
      </w:r>
      <w:proofErr w:type="spellStart"/>
      <w:r w:rsidRPr="00817B84">
        <w:rPr>
          <w:rFonts w:eastAsia="Times New Roman" w:cs="Times New Roman"/>
          <w:b/>
          <w:bCs/>
          <w:szCs w:val="24"/>
          <w:lang w:eastAsia="lv-LV"/>
        </w:rPr>
        <w:t>Baltica</w:t>
      </w:r>
      <w:proofErr w:type="spellEnd"/>
      <w:r w:rsidRPr="00817B84">
        <w:rPr>
          <w:rFonts w:eastAsia="Times New Roman" w:cs="Times New Roman"/>
          <w:b/>
          <w:bCs/>
          <w:szCs w:val="24"/>
          <w:lang w:eastAsia="lv-LV"/>
        </w:rPr>
        <w:t xml:space="preserve"> dzelzceļa savienojuma izveidi</w:t>
      </w:r>
      <w:r w:rsidRPr="00817B84">
        <w:rPr>
          <w:rFonts w:eastAsia="Times New Roman" w:cs="Times New Roman"/>
          <w:szCs w:val="24"/>
          <w:lang w:eastAsia="lv-LV"/>
        </w:rPr>
        <w:t xml:space="preserve"> (</w:t>
      </w:r>
      <w:r w:rsidRPr="00817B84">
        <w:rPr>
          <w:rFonts w:eastAsia="Times New Roman" w:cs="Times New Roman"/>
          <w:szCs w:val="24"/>
        </w:rPr>
        <w:t xml:space="preserve">turpmāk –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Starpvaldību līgums);</w:t>
      </w:r>
    </w:p>
    <w:p w14:paraId="26486F04" w14:textId="77777777" w:rsidR="00817B84" w:rsidRPr="00817B84" w:rsidRDefault="00817B84" w:rsidP="00817B84">
      <w:pPr>
        <w:numPr>
          <w:ilvl w:val="0"/>
          <w:numId w:val="1"/>
        </w:numPr>
        <w:spacing w:after="0" w:line="240" w:lineRule="auto"/>
        <w:contextualSpacing/>
        <w:jc w:val="both"/>
        <w:rPr>
          <w:rFonts w:eastAsia="Times New Roman" w:cs="Times New Roman"/>
          <w:kern w:val="0"/>
          <w:szCs w:val="24"/>
          <w:lang w:eastAsia="lv-LV"/>
          <w14:ligatures w14:val="none"/>
        </w:rPr>
      </w:pPr>
      <w:r w:rsidRPr="00817B84">
        <w:rPr>
          <w:rFonts w:eastAsia="Times New Roman" w:cs="Times New Roman"/>
          <w:kern w:val="0"/>
          <w:szCs w:val="24"/>
          <w:lang w:eastAsia="lv-LV"/>
          <w14:ligatures w14:val="none"/>
        </w:rPr>
        <w:t xml:space="preserve">Papildus augstākminētajiem ES tiesību aktiem RB projekts ir pakļauts </w:t>
      </w:r>
      <w:r w:rsidRPr="00817B84">
        <w:rPr>
          <w:rFonts w:eastAsia="Times New Roman" w:cs="Times New Roman"/>
          <w:szCs w:val="24"/>
          <w:lang w:eastAsia="lv-LV"/>
        </w:rPr>
        <w:t xml:space="preserve">arī </w:t>
      </w:r>
      <w:r w:rsidRPr="00817B84">
        <w:rPr>
          <w:rFonts w:eastAsia="Times New Roman" w:cs="Times New Roman"/>
          <w:kern w:val="0"/>
          <w:szCs w:val="24"/>
          <w:lang w:eastAsia="lv-LV"/>
          <w14:ligatures w14:val="none"/>
        </w:rPr>
        <w:t>attiecīgo dalībvalstu nacionālaj</w:t>
      </w:r>
      <w:r w:rsidRPr="00817B84">
        <w:rPr>
          <w:rFonts w:eastAsia="Times New Roman" w:cs="Times New Roman"/>
          <w:szCs w:val="24"/>
          <w:lang w:eastAsia="lv-LV"/>
        </w:rPr>
        <w:t>iem tiesību aktiem</w:t>
      </w:r>
      <w:r w:rsidRPr="00817B84">
        <w:rPr>
          <w:rFonts w:eastAsia="Times New Roman" w:cs="Times New Roman"/>
          <w:kern w:val="0"/>
          <w:szCs w:val="24"/>
          <w:lang w:eastAsia="lv-LV"/>
          <w14:ligatures w14:val="none"/>
        </w:rPr>
        <w:t>, kā arī starptautiskajiem nolīgumiem, kas var ietekmēt tā realizāciju.</w:t>
      </w:r>
    </w:p>
    <w:p w14:paraId="43D7C3AB"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TEN-T politika ir galvenais instruments saskaņotas, efektīvas, multimodālas un kvalitatīvas transporta infrastruktūras attīstībai visā ES. Tajā ietilpst dzelzceļi, iekšējie ūdensceļi, tuvsatiksmes kuģošanas ceļi un ceļi, kas savieno pilsētu mezglus, jūras un iekšzemes ostas, lidostas un termināļus. Laika posmā kopš pirmo Eiropas transporta tīkla karšu izstrādes 1990. gadā TEN-T politika ir regulāri tikusi pilnveidota, t.sk. būtiskas izmaiņas apstiprinot 2004. gadā saistībā ar ES paplašināšanos, kad attiecīgi TEN-T tīklā pilnvērtīgi tika atspoguļots arī Latvijas transporta tīkls un tā vajadzības.</w:t>
      </w:r>
    </w:p>
    <w:p w14:paraId="477A6172" w14:textId="27A015A3"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2013. gadā tika apstiprināta </w:t>
      </w:r>
      <w:r w:rsidR="00FB36E8">
        <w:rPr>
          <w:rFonts w:eastAsia="Times New Roman" w:cs="Times New Roman"/>
          <w:szCs w:val="24"/>
        </w:rPr>
        <w:t xml:space="preserve">pirmā </w:t>
      </w:r>
      <w:r w:rsidRPr="00817B84">
        <w:rPr>
          <w:rFonts w:eastAsia="Times New Roman" w:cs="Times New Roman"/>
          <w:szCs w:val="24"/>
        </w:rPr>
        <w:t xml:space="preserve">TEN-T regula, kas ES transporta politikā ieviesa divus būtiskus konceptus. Pirmkārt, TEN-T tīkls tika sadalīts divos līmeņos, izdalot augstākas prioritātes </w:t>
      </w:r>
      <w:r w:rsidRPr="00817B84">
        <w:rPr>
          <w:rFonts w:eastAsia="Times New Roman" w:cs="Times New Roman"/>
          <w:szCs w:val="24"/>
          <w:u w:val="single"/>
        </w:rPr>
        <w:t>pamattīklu</w:t>
      </w:r>
      <w:r w:rsidRPr="00817B84">
        <w:rPr>
          <w:rFonts w:eastAsia="Times New Roman" w:cs="Times New Roman"/>
          <w:szCs w:val="24"/>
        </w:rPr>
        <w:t xml:space="preserve">, kas ieviešams līdz 2030. gada beigām, un </w:t>
      </w:r>
      <w:r w:rsidRPr="00817B84">
        <w:rPr>
          <w:rFonts w:eastAsia="Times New Roman" w:cs="Times New Roman"/>
          <w:szCs w:val="24"/>
          <w:u w:val="single"/>
        </w:rPr>
        <w:t>visaptverošo tīklu</w:t>
      </w:r>
      <w:r w:rsidRPr="00817B84">
        <w:rPr>
          <w:rFonts w:eastAsia="Times New Roman" w:cs="Times New Roman"/>
          <w:szCs w:val="24"/>
        </w:rPr>
        <w:t xml:space="preserve">, kas ieviešams līdz 2050. gada beigām. Otrkārt, tika ieviests pamattīkla </w:t>
      </w:r>
      <w:r w:rsidRPr="00817B84">
        <w:rPr>
          <w:rFonts w:eastAsia="Times New Roman" w:cs="Times New Roman"/>
          <w:szCs w:val="24"/>
          <w:u w:val="single"/>
        </w:rPr>
        <w:t>koridoru koncepts</w:t>
      </w:r>
      <w:r w:rsidRPr="00817B84">
        <w:rPr>
          <w:rFonts w:eastAsia="Times New Roman" w:cs="Times New Roman"/>
          <w:szCs w:val="24"/>
        </w:rPr>
        <w:t xml:space="preserve">, identificējot pamattīkla visaugstākās prioritātes elementus, nosakot to ieviešanas termiņu – 2030. gada beigas. </w:t>
      </w:r>
    </w:p>
    <w:p w14:paraId="3CF92296"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Līdz ar TEN-T regulu tika pieņemta arī EISI regula. Ar šo regulu izveidoja Eiropas infrastruktūras savienošanas instrumentu, kurā tika paredzēti “nosacījumi, metodes un procedūras, kā sniegt Savienības finansiālo palīdzību Eiropas komunikāciju tīkliem, lai atbalstītu kopīgu interešu projektus transporta, telekomunikāciju un enerģētikas nozarē un izmantotu starp minētajām nozarēm iespējamās sinerģijas. Ar to tika noteikts arī to resursu sadalījums, kurus dara pieejamus saskaņā ar daudzgadu finanšu shēmu 2014.-2020. gadam”.</w:t>
      </w:r>
    </w:p>
    <w:p w14:paraId="3CB0BBF8"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Būtiski, ka ar EISI regulu tika apstiprināts TEN-T pamattīkla koridoru saraksts.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tika iekļauts vienā no kopumā deviņiem šādiem koridoriem – Ziemeļjūras – Baltijas jūras koridorā, kas paredz savienojumu starp Somiju, Igauniju – Latviju, Lietuvu, Poliju, Vāciju, Nīderlandi un Beļģiju.</w:t>
      </w:r>
    </w:p>
    <w:p w14:paraId="4C0D2113" w14:textId="77777777" w:rsidR="00A15425"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Lai veicinātu ES regulējuma salāgošanu, EISI regula vienlaikus noteica grozījumus 2010. gadā pieņemtajā Dzelzceļa kravu koridoru regulā, kurā “izklāstīti noteikumi par to, kā izveidot un organizēt starptautiskus dzelzceļu koridorus konkurētspējīgiem dzelzceļa kravu pārvadājumiem, lai attīstītu Eiropas dzelzceļa tīklu konkurētspējīgiem kravu pārvadājumiem. Tajā ir izklāstīti kravu pārvadājumu koridoru atlases, organizācijas, pārvaldības un indikatīvas ieguldījumu plānošanas noteikumi.” Ar EISI regulu Dzelzceļa kravu koridoru regulā tika grozīts pielikums “Sākotnējo kravu pārvadājumu koridoru uzskaitījums”, tajā iekļaujot Ziemeļjūras un Baltijas jūras dzelzceļa kravu koridoru maršrutā</w:t>
      </w:r>
    </w:p>
    <w:p w14:paraId="6327ED03" w14:textId="52957DEF"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 xml:space="preserve"> </w:t>
      </w:r>
      <w:r w:rsidRPr="00817B84">
        <w:rPr>
          <w:rFonts w:eastAsia="Times New Roman" w:cs="Times New Roman"/>
          <w:i/>
          <w:iCs/>
          <w:szCs w:val="24"/>
          <w:shd w:val="clear" w:color="auto" w:fill="FFFFFF"/>
        </w:rPr>
        <w:t>Wilhelmshaven</w:t>
      </w:r>
      <w:hyperlink r:id="rId10" w:anchor="ntr2-L_2013348LV.01017002-E0002" w:history="1">
        <w:r w:rsidRPr="00817B84">
          <w:rPr>
            <w:rFonts w:eastAsia="Times New Roman" w:cs="Times New Roman"/>
            <w:i/>
            <w:iCs/>
            <w:szCs w:val="24"/>
            <w:u w:val="single"/>
            <w:shd w:val="clear" w:color="auto" w:fill="FFFFFF"/>
          </w:rPr>
          <w:t> </w:t>
        </w:r>
      </w:hyperlink>
      <w:r w:rsidRPr="00817B84">
        <w:rPr>
          <w:rFonts w:eastAsia="Times New Roman" w:cs="Times New Roman"/>
          <w:i/>
          <w:iCs/>
          <w:szCs w:val="24"/>
          <w:shd w:val="clear" w:color="auto" w:fill="FFFFFF"/>
        </w:rPr>
        <w:t>/Bremerhaven/Hamburg/Amsterdam/Rotterdam/Antwerpen–Aachen/Berlin–Warsaw–Terespol (Polijas–Baltkrievijas robeža)/Kaunas–</w:t>
      </w:r>
      <w:proofErr w:type="spellStart"/>
      <w:r w:rsidRPr="00817B84">
        <w:rPr>
          <w:rFonts w:eastAsia="Times New Roman" w:cs="Times New Roman"/>
          <w:i/>
          <w:iCs/>
          <w:szCs w:val="24"/>
          <w:shd w:val="clear" w:color="auto" w:fill="FFFFFF"/>
        </w:rPr>
        <w:t>Riga</w:t>
      </w:r>
      <w:proofErr w:type="spellEnd"/>
      <w:r w:rsidRPr="00817B84">
        <w:rPr>
          <w:rFonts w:eastAsia="Times New Roman" w:cs="Times New Roman"/>
          <w:i/>
          <w:iCs/>
          <w:szCs w:val="24"/>
          <w:shd w:val="clear" w:color="auto" w:fill="FFFFFF"/>
        </w:rPr>
        <w:t>–</w:t>
      </w:r>
      <w:proofErr w:type="spellStart"/>
      <w:r w:rsidRPr="00817B84">
        <w:rPr>
          <w:rFonts w:eastAsia="Times New Roman" w:cs="Times New Roman"/>
          <w:i/>
          <w:iCs/>
          <w:szCs w:val="24"/>
          <w:shd w:val="clear" w:color="auto" w:fill="FFFFFF"/>
        </w:rPr>
        <w:t>Tallinn</w:t>
      </w:r>
      <w:proofErr w:type="spellEnd"/>
      <w:r w:rsidRPr="00817B84">
        <w:rPr>
          <w:rFonts w:eastAsia="Times New Roman" w:cs="Times New Roman"/>
          <w:i/>
          <w:iCs/>
          <w:szCs w:val="24"/>
        </w:rPr>
        <w:t xml:space="preserve">, </w:t>
      </w:r>
      <w:r w:rsidRPr="00817B84">
        <w:rPr>
          <w:rFonts w:eastAsia="Times New Roman" w:cs="Times New Roman"/>
          <w:szCs w:val="24"/>
        </w:rPr>
        <w:t xml:space="preserve">attiecībā uz Rīgas un Tallinas savienojumiem nosakot, ka “līdz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līnijas ar 1 435 mm nominālo sliežu platumu īstenošanai šī koridora izveidē un darbībā ņem vērā dažāda sliežu platuma sistēmu īpatnības.” Latvijas gadījumā tas nozīmē, ka līdz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izbūvei šī dzelzceļa kravu koridora darbā iesaistās 1520mm sliežu </w:t>
      </w:r>
      <w:r w:rsidRPr="00817B84">
        <w:rPr>
          <w:rFonts w:eastAsia="Times New Roman" w:cs="Times New Roman"/>
          <w:szCs w:val="24"/>
        </w:rPr>
        <w:lastRenderedPageBreak/>
        <w:t>platuma infrastruktūras elementi. Vienlaikus jāuzsver, ka Latvija ir oficiāli pievienojusies koridoram ar 1520 mm sliežu platuma tīklu.</w:t>
      </w:r>
    </w:p>
    <w:p w14:paraId="0DBC76B7"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Ņemot vērā, ka, neskatoties uz 2013. gada izmaiņām Dzelzceļa kravu koridoru regulā, neizdevās nodrošināt pilnīgu sinerģiju starp TEN-T pamata tīkla koridoriem un dzelzceļa kravu koridoriem, uz šī ziņojuma iesniegšanas brīdi, balstoties uz Eiropas Komisijas 2023. gada priekšlikumu, ir pieņemta vispārējā pieeja 2023. gada 11. jūlija </w:t>
      </w:r>
      <w:r w:rsidRPr="00817B84">
        <w:rPr>
          <w:rFonts w:eastAsia="Times New Roman" w:cs="Times New Roman"/>
          <w:i/>
          <w:iCs/>
          <w:szCs w:val="24"/>
        </w:rPr>
        <w:t>priekšlikumam Eiropas Parlamenta un Padomes Regulai par dzelzceļa infrastruktūras jaudas izmantošanu vienotā Eiropas dzelzceļa telpā, ar ko groza Direktīvu 2012/34/ES un atceļ Regulu (ES) Nr. 913/2010</w:t>
      </w:r>
      <w:r w:rsidRPr="00817B84">
        <w:rPr>
          <w:rFonts w:eastAsia="Times New Roman" w:cs="Times New Roman"/>
          <w:i/>
          <w:iCs/>
          <w:szCs w:val="24"/>
          <w:vertAlign w:val="superscript"/>
        </w:rPr>
        <w:footnoteReference w:id="2"/>
      </w:r>
      <w:r w:rsidRPr="00817B84">
        <w:rPr>
          <w:rFonts w:eastAsia="Times New Roman" w:cs="Times New Roman"/>
          <w:szCs w:val="24"/>
        </w:rPr>
        <w:t xml:space="preserve">, ar kuru t.sk. tiek rosināts atcelt Dzelzceļa kravu koridoru regulu. Saskaņā ar 2024. gada 18. jūnija ES Transporta, telekomunikāciju un enerģētikas ministru padomē apstiprināto vispārējo pieeju Dzelzceļu kravu koridoru regula tiktu atcelta 2029. gadā. Šis termiņš gan var mainīties turpmākā likumdošanas akta projekta izskatīšanas gaitā.  </w:t>
      </w:r>
    </w:p>
    <w:p w14:paraId="1223102B"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Būtiski, ka </w:t>
      </w:r>
      <w:r w:rsidRPr="00A15425">
        <w:rPr>
          <w:rFonts w:eastAsia="Times New Roman" w:cs="Times New Roman"/>
          <w:b/>
          <w:bCs/>
          <w:szCs w:val="24"/>
        </w:rPr>
        <w:t xml:space="preserve">2018. gada 26. oktobrī tika pieņemts Rail </w:t>
      </w:r>
      <w:proofErr w:type="spellStart"/>
      <w:r w:rsidRPr="00A15425">
        <w:rPr>
          <w:rFonts w:eastAsia="Times New Roman" w:cs="Times New Roman"/>
          <w:b/>
          <w:bCs/>
          <w:szCs w:val="24"/>
        </w:rPr>
        <w:t>Baltica</w:t>
      </w:r>
      <w:proofErr w:type="spellEnd"/>
      <w:r w:rsidRPr="00A15425">
        <w:rPr>
          <w:rFonts w:eastAsia="Times New Roman" w:cs="Times New Roman"/>
          <w:b/>
          <w:bCs/>
          <w:szCs w:val="24"/>
        </w:rPr>
        <w:t xml:space="preserve"> Ieviešanas lēmums</w:t>
      </w:r>
      <w:r w:rsidRPr="00817B84">
        <w:rPr>
          <w:rFonts w:eastAsia="Times New Roman" w:cs="Times New Roman"/>
          <w:szCs w:val="24"/>
        </w:rPr>
        <w:t xml:space="preserve">, kas adresēts Igaunijas Republikai, Latvijas Republikai, Lietuvas Republikai, Polijas Republikai un Somijas Republikai. Tā juridiskais pamats ir TEN-T regula, vienlaikus tajā iekļauta atsauce arī uz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Starpvaldību līgumu “ar ko pilnībā piekrīt uzņemties projekta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īstenošanu”. </w:t>
      </w:r>
      <w:r w:rsidRPr="00817B84">
        <w:rPr>
          <w:rFonts w:eastAsia="Times New Roman" w:cs="Times New Roman"/>
          <w:szCs w:val="24"/>
          <w:u w:val="single"/>
        </w:rPr>
        <w:t xml:space="preserve">Rail </w:t>
      </w:r>
      <w:proofErr w:type="spellStart"/>
      <w:r w:rsidRPr="00817B84">
        <w:rPr>
          <w:rFonts w:eastAsia="Times New Roman" w:cs="Times New Roman"/>
          <w:szCs w:val="24"/>
          <w:u w:val="single"/>
        </w:rPr>
        <w:t>Baltica</w:t>
      </w:r>
      <w:proofErr w:type="spellEnd"/>
      <w:r w:rsidRPr="00817B84">
        <w:rPr>
          <w:rFonts w:eastAsia="Times New Roman" w:cs="Times New Roman"/>
          <w:szCs w:val="24"/>
          <w:u w:val="single"/>
        </w:rPr>
        <w:t xml:space="preserve"> Starpvaldību līguma 2. panta c) punkts ietver Rail </w:t>
      </w:r>
      <w:proofErr w:type="spellStart"/>
      <w:r w:rsidRPr="00817B84">
        <w:rPr>
          <w:rFonts w:eastAsia="Times New Roman" w:cs="Times New Roman"/>
          <w:szCs w:val="24"/>
          <w:u w:val="single"/>
        </w:rPr>
        <w:t>Baltica</w:t>
      </w:r>
      <w:proofErr w:type="spellEnd"/>
      <w:r w:rsidRPr="00817B84">
        <w:rPr>
          <w:rFonts w:eastAsia="Times New Roman" w:cs="Times New Roman"/>
          <w:szCs w:val="24"/>
          <w:u w:val="single"/>
        </w:rPr>
        <w:t xml:space="preserve"> maršruta definīciju: "maršruts" - no Tallinas caur Pērnavu-Rīgu-Paņevežu-Kauņu līdz Lietuvas - Polijas robežai, iekļaujot Viļņas - Kauņas savienojumu kā daļu no dzelzceļa;”</w:t>
      </w:r>
      <w:r w:rsidRPr="00817B84">
        <w:rPr>
          <w:rFonts w:eastAsia="Times New Roman" w:cs="Times New Roman"/>
          <w:szCs w:val="24"/>
        </w:rPr>
        <w:t xml:space="preserve"> Atzīmējams, ka Eiropas Komisija ir iniciējusi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Ieviešanas lēmuma pārskatu, kas, paredzams, tiks noslēgts pēc jaunās Eiropas Komisijas komisāru kolēģijas apstiprināšanas. Tāpat jāuzsver, ka šis ir ieviešanas akts, kas juridiski izriet no TEN-T regulas, kas nozīmē to, ka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ieviešanas lēmums nevar būt plašāks kā pamata akts.</w:t>
      </w:r>
    </w:p>
    <w:p w14:paraId="662FF23F"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2021. gadā tika pieņemta EISI 2 regula,</w:t>
      </w:r>
      <w:r w:rsidRPr="00817B84">
        <w:rPr>
          <w:rFonts w:eastAsia="Times New Roman" w:cs="Times New Roman"/>
          <w:i/>
          <w:iCs/>
          <w:szCs w:val="24"/>
        </w:rPr>
        <w:t xml:space="preserve"> </w:t>
      </w:r>
      <w:r w:rsidRPr="00817B84">
        <w:rPr>
          <w:rFonts w:eastAsia="Times New Roman" w:cs="Times New Roman"/>
          <w:szCs w:val="24"/>
        </w:rPr>
        <w:t xml:space="preserve">ar kuru arī uz daudzgadu budžeta 2021. – 2027. gadam darbības laikposmu izveidoja EISI, nosakot tā mērķus, budžetu laikposmam no 2021. gada līdz 2027. gadam, kā arī ES finansējuma veidus un noteikumus šāda finansējuma piešķiršanai. Vienlaikus tika atjaunots TEN-T pamattīkla koridoru saraksts.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tika </w:t>
      </w:r>
      <w:proofErr w:type="spellStart"/>
      <w:r w:rsidRPr="00817B84">
        <w:rPr>
          <w:rFonts w:eastAsia="Times New Roman" w:cs="Times New Roman"/>
          <w:szCs w:val="24"/>
        </w:rPr>
        <w:t>pārapstiprināts</w:t>
      </w:r>
      <w:proofErr w:type="spellEnd"/>
      <w:r w:rsidRPr="00817B84">
        <w:rPr>
          <w:rFonts w:eastAsia="Times New Roman" w:cs="Times New Roman"/>
          <w:szCs w:val="24"/>
        </w:rPr>
        <w:t xml:space="preserve"> kā TEN-T pamata tīkla Ziemeļjūras – Baltijas jūras koridora sastāvdaļa.</w:t>
      </w:r>
    </w:p>
    <w:p w14:paraId="586D56AB"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2024. gada 12. jūnijā ES Padome apstiprināja TEN-T pārskata regulu. </w:t>
      </w:r>
      <w:bookmarkStart w:id="2" w:name="_Hlk169349480"/>
      <w:r w:rsidRPr="00817B84">
        <w:rPr>
          <w:rFonts w:eastAsia="Times New Roman" w:cs="Times New Roman"/>
          <w:szCs w:val="24"/>
        </w:rPr>
        <w:t>ES Oficiālajā Vēstnesī tā tika publicēta 2024. gada 28. jūnijā, un stāsies spēkā divdesmit dienas pēc tās publicēšanas</w:t>
      </w:r>
      <w:bookmarkEnd w:id="2"/>
      <w:r w:rsidRPr="00817B84">
        <w:rPr>
          <w:rFonts w:eastAsia="Times New Roman" w:cs="Times New Roman"/>
          <w:szCs w:val="24"/>
        </w:rPr>
        <w:t xml:space="preserve">. Ar TEN-T pārskata regulu “nosaka pamatnostādnes tāda Eiropas transporta tīkla attīstībai, ko veido visaptverošais tīkls, kā arī pamattīkls un paplašinātais pamattīkls, un pamattīkls un paplašinātais pamattīkls ir jāizveido, pamatojoties uz visaptverošo tīklu. Šajā regulā apzināti stratēģiski vissvarīgākie Eiropas transporta koridori, pamatojoties uz Eiropas transporta tīkla prioritārajiem posmiem un kopīgu interešu projektiem, un precizētas prasības, kas jāievēro, izstrādājot un īstenojot Eiropas transporta tīkla infrastruktūru. Ar šo regulu nosaka prioritātes Eiropas transporta tīkla attīstībai un paredz pasākumus Eiropas transporta tīkla īstenošanai.” </w:t>
      </w:r>
    </w:p>
    <w:p w14:paraId="75A2BAA8"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Papildus 2030. un 2050. gada termiņiem, kas jau tika ieviesti ar TEN-T Regulu (2013. gads), attiecībā uz paplašināto pamattīklu tiek pievienots starpposma termiņš – 2040. gads. Tomēr īpaši atzīmējams, ka šāda starpposma ieviešanas mērķis ir paātrināt atsevišķu visaptverošā tīkla elementu ieviešanu, kam līdz šim termiņš bija 2050. gads. </w:t>
      </w:r>
      <w:r w:rsidRPr="00817B84">
        <w:rPr>
          <w:rFonts w:eastAsia="Times New Roman" w:cs="Times New Roman"/>
          <w:b/>
          <w:bCs/>
          <w:szCs w:val="24"/>
        </w:rPr>
        <w:lastRenderedPageBreak/>
        <w:t>Pretējā virzienā, t.i. kādu aktivitāšu atlikšana no 2030. gada uz 2040. gadu, ņemot vērā pamattīkla un jo īpaši – tā koridoru ieviešanas prioritāti, netika rosināts nedz no Eiropas Komisijas, nedz ES Padomes, nedz arī Eiropas Parlamenta puses</w:t>
      </w:r>
      <w:r w:rsidRPr="00817B84">
        <w:rPr>
          <w:rFonts w:eastAsia="Times New Roman" w:cs="Times New Roman"/>
          <w:szCs w:val="24"/>
        </w:rPr>
        <w:t>, lai gan gandrīz visas valstis indicēja, ka mērķi ir augsti un visa tīkla pabeigšana visos posmos ir skatāma kopā ar pieejamo finansējumu. Būtiski, ka vienošanās par ambiciozu TEN-T pārskata regulu no visām iesaistītajām pusēm tika un tiek uzskatīts par būtisku argumentu ambicioza finansējuma iezīmēšanai transporta jomai nākamās ES daudzgadu budžeta ietvaros. Vienlaikus jāuzsver tas, ko Eiropas Komisija regulāri akcentē, ka arī dalībvalstīm ir jāsniedz savs nacionālais finansējums tīkla izveidošanai/pabeigšanai, ne tikai jāpaļaujas uz ES pieejamo finansējumu.</w:t>
      </w:r>
    </w:p>
    <w:p w14:paraId="7EDFA561"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p>
    <w:p w14:paraId="64D87F3C" w14:textId="77777777" w:rsidR="00817B84" w:rsidRPr="00817B84" w:rsidRDefault="00817B84" w:rsidP="00817B84">
      <w:pPr>
        <w:keepNext/>
        <w:keepLines/>
        <w:numPr>
          <w:ilvl w:val="1"/>
          <w:numId w:val="0"/>
        </w:numPr>
        <w:spacing w:after="0" w:line="240" w:lineRule="auto"/>
        <w:ind w:left="576" w:hanging="576"/>
        <w:contextualSpacing/>
        <w:jc w:val="center"/>
        <w:outlineLvl w:val="1"/>
        <w:rPr>
          <w:rFonts w:eastAsia="Yu Gothic Light" w:cs="Times New Roman"/>
          <w:b/>
          <w:bCs/>
          <w:szCs w:val="24"/>
        </w:rPr>
      </w:pPr>
      <w:bookmarkStart w:id="3" w:name="_Toc170298617"/>
      <w:r w:rsidRPr="00817B84">
        <w:rPr>
          <w:rFonts w:eastAsia="Yu Gothic Light" w:cs="Times New Roman"/>
          <w:b/>
          <w:bCs/>
          <w:szCs w:val="24"/>
        </w:rPr>
        <w:t xml:space="preserve">TEN-T pārskata regulas nosacījumi attiecībā uz Rail </w:t>
      </w:r>
      <w:proofErr w:type="spellStart"/>
      <w:r w:rsidRPr="00817B84">
        <w:rPr>
          <w:rFonts w:eastAsia="Yu Gothic Light" w:cs="Times New Roman"/>
          <w:b/>
          <w:bCs/>
          <w:szCs w:val="24"/>
        </w:rPr>
        <w:t>Baltica</w:t>
      </w:r>
      <w:bookmarkEnd w:id="3"/>
      <w:proofErr w:type="spellEnd"/>
    </w:p>
    <w:p w14:paraId="60960A85"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TEN-T pārskata regulas 6. panta 1. punkts paredz, ka TEN-T tīklu pakāpeniski attīsta trīs posmos, t.sk. pamattīklu pabeidz līdz 2030. gada 31. decembrim.  3. punkts nosaka, ka: “Pamattīklu un paplašināto pamattīklu veido tās Eiropas transporta tīkla daļas, kas jāattīsta prioritārā kārtā un kas jāpabeidz saskaņā ar 1. punktā izklāstītajiem termiņiem, lai sasniegtu Eiropas transporta tīkla attīstības mērķus.” 8. panta 7. punkts nosaka, ka </w:t>
      </w:r>
      <w:r w:rsidRPr="00817B84">
        <w:rPr>
          <w:rFonts w:eastAsia="Times New Roman" w:cs="Times New Roman"/>
          <w:szCs w:val="24"/>
          <w:u w:val="single"/>
        </w:rPr>
        <w:t>“dalībvalstis dara visu iespējamo</w:t>
      </w:r>
      <w:r w:rsidRPr="00817B84">
        <w:rPr>
          <w:rFonts w:eastAsia="Times New Roman" w:cs="Times New Roman"/>
          <w:szCs w:val="24"/>
        </w:rPr>
        <w:t xml:space="preserve">, lai nodrošinātu, ka kopīgu interešu projekti tiek īstenoti savlaicīgi un efektīvi”. TEN-T pārskata regula nosaka prasības un termiņus dažādiem transporta viediem, savstarpējai sinerģijai, kā arī atsevišķiem objektiem. Zemāk apskatīti būtiskākie nosacījumi Ministru kabineta uzdevuma izpildes un turpmāku diskusiju kontekstā. </w:t>
      </w:r>
    </w:p>
    <w:p w14:paraId="771E7577" w14:textId="77777777" w:rsidR="00817B84" w:rsidRPr="00817B84" w:rsidRDefault="00817B84" w:rsidP="00817B84">
      <w:pPr>
        <w:keepNext/>
        <w:keepLines/>
        <w:numPr>
          <w:ilvl w:val="2"/>
          <w:numId w:val="0"/>
        </w:numPr>
        <w:spacing w:after="0" w:line="240" w:lineRule="auto"/>
        <w:ind w:left="720" w:hanging="720"/>
        <w:contextualSpacing/>
        <w:jc w:val="both"/>
        <w:outlineLvl w:val="2"/>
        <w:rPr>
          <w:rFonts w:eastAsia="Yu Gothic Light" w:cs="Times New Roman"/>
          <w:b/>
          <w:bCs/>
          <w:szCs w:val="24"/>
        </w:rPr>
      </w:pPr>
      <w:bookmarkStart w:id="4" w:name="_Toc170298618"/>
      <w:r w:rsidRPr="00817B84">
        <w:rPr>
          <w:rFonts w:eastAsia="Yu Gothic Light" w:cs="Times New Roman"/>
          <w:b/>
          <w:bCs/>
          <w:szCs w:val="24"/>
        </w:rPr>
        <w:t>Pārrobežu koridori</w:t>
      </w:r>
      <w:bookmarkEnd w:id="4"/>
    </w:p>
    <w:p w14:paraId="668D5EAC"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Saskaņā ar 7. pantu - “Eiropas transporta koridorus veido tās pamattīkla vai paplašinātā pamattīkla daļas, kurām ir </w:t>
      </w:r>
      <w:r w:rsidRPr="00817B84">
        <w:rPr>
          <w:rFonts w:eastAsia="Times New Roman" w:cs="Times New Roman"/>
          <w:szCs w:val="24"/>
          <w:u w:val="single"/>
        </w:rPr>
        <w:t>vislielākā stratēģiskā nozīme</w:t>
      </w:r>
      <w:r w:rsidRPr="00817B84">
        <w:rPr>
          <w:rFonts w:eastAsia="Times New Roman" w:cs="Times New Roman"/>
          <w:szCs w:val="24"/>
        </w:rPr>
        <w:t xml:space="preserve"> ilgtspējīgu un multimodālu kravu un pasažieru pārvadājumu plūsmu attīstībā Eiropā un savstarpēji izmantojamas augstas kvalitātes infrastruktūras un darbības rādītāju attīstībā”. </w:t>
      </w:r>
    </w:p>
    <w:p w14:paraId="5875E3D8"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Saskaņā ar TEN-T pārskata regulas 11. pantu tiek noteikti 9 Eiropas transporta koridori. Atzīstot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w:t>
      </w:r>
      <w:proofErr w:type="spellStart"/>
      <w:r w:rsidRPr="00817B84">
        <w:rPr>
          <w:rFonts w:eastAsia="Times New Roman" w:cs="Times New Roman"/>
          <w:szCs w:val="24"/>
        </w:rPr>
        <w:t>ģeostratēģisko</w:t>
      </w:r>
      <w:proofErr w:type="spellEnd"/>
      <w:r w:rsidRPr="00817B84">
        <w:rPr>
          <w:rFonts w:eastAsia="Times New Roman" w:cs="Times New Roman"/>
          <w:szCs w:val="24"/>
        </w:rPr>
        <w:t xml:space="preserve"> lomu ES līmenī,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ir iekļauts nu jau divos ES transporta koridoros -  </w:t>
      </w:r>
      <w:proofErr w:type="spellStart"/>
      <w:r w:rsidRPr="00817B84">
        <w:rPr>
          <w:rFonts w:eastAsia="Times New Roman" w:cs="Times New Roman"/>
          <w:szCs w:val="24"/>
        </w:rPr>
        <w:t>pārapstiprinātajā</w:t>
      </w:r>
      <w:proofErr w:type="spellEnd"/>
      <w:r w:rsidRPr="00817B84">
        <w:rPr>
          <w:rFonts w:eastAsia="Times New Roman" w:cs="Times New Roman"/>
          <w:szCs w:val="24"/>
        </w:rPr>
        <w:t xml:space="preserve"> Ziemeļjūras – Baltijas jūras koridorā, tajā ietverot arī pagarinājumu ar Somiju un Zviedriju, kā arī Ukrainas teritoriju, kā arī izveidots jauns Baltijas jūras – Melnās jūras un Egejas jūras koridors, kas t.sk. ietver savienojumus ar Ukrainu un Moldovu. </w:t>
      </w:r>
    </w:p>
    <w:p w14:paraId="3DB2BCDF"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Attiecībā uz koridoru ieviešanu TEN-T pārskata regulas 11. pants nosaka, ka “dalībvalstis veic attiecīgus pasākumus, lai Eiropas transporta koridori, kas jāattīsta, panāktu atbilstību šīs regulas noteikumiem </w:t>
      </w:r>
      <w:r w:rsidRPr="00817B84">
        <w:rPr>
          <w:rFonts w:eastAsia="Times New Roman" w:cs="Times New Roman"/>
          <w:szCs w:val="24"/>
          <w:u w:val="single"/>
        </w:rPr>
        <w:t>līdz 2030. gada 31. decembrim</w:t>
      </w:r>
      <w:r w:rsidRPr="00817B84">
        <w:rPr>
          <w:rFonts w:eastAsia="Times New Roman" w:cs="Times New Roman"/>
          <w:szCs w:val="24"/>
        </w:rPr>
        <w:t xml:space="preserve"> attiecībā uz infrastruktūru, kas ir daļa no pamattīkla, un līdz 2040. gada 31. decembrim attiecībā uz infrastruktūru, kas ir daļa no paplašinātā pamattīkla, ja vien šajā regulā nav noteikts citādi.” </w:t>
      </w:r>
    </w:p>
    <w:p w14:paraId="0D0483F7" w14:textId="77777777" w:rsidR="00817B84" w:rsidRPr="00817B84" w:rsidRDefault="00817B84" w:rsidP="00817B84">
      <w:pPr>
        <w:keepNext/>
        <w:keepLines/>
        <w:numPr>
          <w:ilvl w:val="2"/>
          <w:numId w:val="0"/>
        </w:numPr>
        <w:spacing w:after="0" w:line="240" w:lineRule="auto"/>
        <w:ind w:left="720" w:hanging="720"/>
        <w:contextualSpacing/>
        <w:jc w:val="both"/>
        <w:outlineLvl w:val="2"/>
        <w:rPr>
          <w:rFonts w:eastAsia="Yu Gothic Light" w:cs="Times New Roman"/>
          <w:b/>
          <w:bCs/>
          <w:szCs w:val="24"/>
        </w:rPr>
      </w:pPr>
      <w:bookmarkStart w:id="5" w:name="_Toc170298619"/>
      <w:r w:rsidRPr="00817B84">
        <w:rPr>
          <w:rFonts w:eastAsia="Yu Gothic Light" w:cs="Times New Roman"/>
          <w:b/>
          <w:bCs/>
          <w:szCs w:val="24"/>
        </w:rPr>
        <w:t>Pilsētu mezgli</w:t>
      </w:r>
      <w:bookmarkEnd w:id="5"/>
    </w:p>
    <w:p w14:paraId="0147631E"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TEN-T pārskata regulas II pielikumā </w:t>
      </w:r>
      <w:r w:rsidRPr="00817B84">
        <w:rPr>
          <w:rFonts w:eastAsia="Times New Roman" w:cs="Times New Roman"/>
          <w:szCs w:val="24"/>
          <w:u w:val="single"/>
        </w:rPr>
        <w:t>Rīga definēta kā vienīgais Latvijas pilsētas mezgls</w:t>
      </w:r>
      <w:r w:rsidRPr="00817B84">
        <w:rPr>
          <w:rFonts w:eastAsia="Times New Roman" w:cs="Times New Roman"/>
          <w:szCs w:val="24"/>
        </w:rPr>
        <w:t xml:space="preserve">, kas </w:t>
      </w:r>
      <w:r w:rsidRPr="00817B84">
        <w:rPr>
          <w:rFonts w:eastAsia="Times New Roman" w:cs="Times New Roman"/>
          <w:color w:val="333333"/>
          <w:szCs w:val="24"/>
        </w:rPr>
        <w:t>TEN-T pārskata regulas 3. panta 6.punktā</w:t>
      </w:r>
      <w:r w:rsidRPr="00817B84">
        <w:rPr>
          <w:rFonts w:eastAsia="Times New Roman" w:cs="Times New Roman"/>
          <w:szCs w:val="24"/>
        </w:rPr>
        <w:t xml:space="preserve"> tiek definēts kā “pilsētas teritorija, kurā pasažieriem un kravai paredzētās Eiropas transporta tīkla transporta infrastruktūras elementi, piemēram, ostas, tostarp pasažieru termināļi, lidostas, dzelzceļa stacijas, autoostas un multimodāli kravu termināļi, kas atrodas pilsētas teritorijā un ap to, ir savienoti ar citiem minētās infrastruktūras elementiem un reģionālās un vietējās satiksmes infrastruktūru, tostarp infrastruktūru aktīvajiem transporta veidiem”.</w:t>
      </w:r>
    </w:p>
    <w:p w14:paraId="2AB214D8"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TEN-T pārskata regulas 41. panta </w:t>
      </w:r>
      <w:r w:rsidRPr="00817B84">
        <w:rPr>
          <w:rFonts w:eastAsia="Times New Roman" w:cs="Times New Roman"/>
          <w:color w:val="333333"/>
          <w:szCs w:val="24"/>
        </w:rPr>
        <w:t>1.punkta c) apakšpunkts</w:t>
      </w:r>
      <w:r w:rsidRPr="00817B84">
        <w:rPr>
          <w:rFonts w:eastAsia="Times New Roman" w:cs="Times New Roman"/>
          <w:szCs w:val="24"/>
        </w:rPr>
        <w:t xml:space="preserve"> nosaka, ka pilsētas mezglā </w:t>
      </w:r>
      <w:r w:rsidRPr="00817B84">
        <w:rPr>
          <w:rFonts w:eastAsia="Times New Roman" w:cs="Times New Roman"/>
          <w:szCs w:val="24"/>
          <w:u w:val="single"/>
        </w:rPr>
        <w:t xml:space="preserve">dalībvalstis “līdz 2030. gada 31. decembrim nodrošina, ka tiek attīstīti </w:t>
      </w:r>
      <w:r w:rsidRPr="00817B84">
        <w:rPr>
          <w:rFonts w:eastAsia="Times New Roman" w:cs="Times New Roman"/>
          <w:szCs w:val="24"/>
          <w:u w:val="single"/>
        </w:rPr>
        <w:lastRenderedPageBreak/>
        <w:t>multimodālie pasažieru pārvadājumu mezgli</w:t>
      </w:r>
      <w:r w:rsidRPr="00817B84">
        <w:rPr>
          <w:rFonts w:eastAsia="Times New Roman" w:cs="Times New Roman"/>
          <w:szCs w:val="24"/>
        </w:rPr>
        <w:t xml:space="preserve">, lai atvieglotu pirmās un pēdējās jūdzes savienojumus, tostarp atvieglotu piekļuvi sabiedriskā transporta infrastruktūrai un aktīvai mobilitātei, un kuri ir aprīkoti ar vismaz vienu uzlādes staciju, kas definēta Regulas (ES) 2023/1804 2. panta 52. punktā un paredzēta autobusu un tālsatiksmes autobusu apkalpošanai; dalībvalstis arī pārbauda, kā šādos mezglos tiek attīstīta </w:t>
      </w:r>
      <w:proofErr w:type="spellStart"/>
      <w:r w:rsidRPr="00817B84">
        <w:rPr>
          <w:rFonts w:eastAsia="Times New Roman" w:cs="Times New Roman"/>
          <w:szCs w:val="24"/>
        </w:rPr>
        <w:t>uzpildes</w:t>
      </w:r>
      <w:proofErr w:type="spellEnd"/>
      <w:r w:rsidRPr="00817B84">
        <w:rPr>
          <w:rFonts w:eastAsia="Times New Roman" w:cs="Times New Roman"/>
          <w:szCs w:val="24"/>
        </w:rPr>
        <w:t xml:space="preserve"> stacija, kas definēta minētās regulas 2. panta 59. punktā un ko izmanto ūdeņradim, un kas paredzēta autobusu un tālsatiksmes autobusu apkalpošanai”. </w:t>
      </w:r>
    </w:p>
    <w:p w14:paraId="0CD67CFD" w14:textId="77777777" w:rsidR="00817B84" w:rsidRPr="00817B84" w:rsidRDefault="00817B84" w:rsidP="00817B84">
      <w:pPr>
        <w:keepNext/>
        <w:keepLines/>
        <w:numPr>
          <w:ilvl w:val="2"/>
          <w:numId w:val="0"/>
        </w:numPr>
        <w:spacing w:after="0" w:line="240" w:lineRule="auto"/>
        <w:ind w:left="720" w:hanging="720"/>
        <w:contextualSpacing/>
        <w:jc w:val="both"/>
        <w:outlineLvl w:val="2"/>
        <w:rPr>
          <w:rFonts w:eastAsia="Yu Gothic Light" w:cs="Times New Roman"/>
          <w:b/>
          <w:bCs/>
          <w:szCs w:val="24"/>
        </w:rPr>
      </w:pPr>
      <w:bookmarkStart w:id="6" w:name="_Toc170298620"/>
      <w:r w:rsidRPr="00817B84">
        <w:rPr>
          <w:rFonts w:eastAsia="Yu Gothic Light" w:cs="Times New Roman"/>
          <w:b/>
          <w:bCs/>
          <w:szCs w:val="24"/>
        </w:rPr>
        <w:t>Multimodālo kravas termināļu infrastruktūra</w:t>
      </w:r>
      <w:bookmarkEnd w:id="6"/>
    </w:p>
    <w:p w14:paraId="1B859EB6"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TEN-T pārskata regulas II pielikums definē arī vienīgo </w:t>
      </w:r>
      <w:r w:rsidRPr="00817B84">
        <w:rPr>
          <w:rFonts w:eastAsia="Times New Roman" w:cs="Times New Roman"/>
          <w:szCs w:val="24"/>
          <w:u w:val="single"/>
        </w:rPr>
        <w:t>pamattīkla dzelzceļa - autoceļa termināli Latvijas teritorijā – Salaspili</w:t>
      </w:r>
      <w:r w:rsidRPr="00817B84">
        <w:rPr>
          <w:rFonts w:eastAsia="Times New Roman" w:cs="Times New Roman"/>
          <w:szCs w:val="24"/>
        </w:rPr>
        <w:t>. Uz Latviju attiecas prasība “</w:t>
      </w:r>
      <w:r w:rsidRPr="00817B84">
        <w:rPr>
          <w:rFonts w:eastAsia="Times New Roman" w:cs="Times New Roman"/>
          <w:szCs w:val="24"/>
          <w:u w:val="single"/>
        </w:rPr>
        <w:t>dalībvalstij darīt visu iespējamo tādu nodrošināt līdz 2030. gada 31. decembrim</w:t>
      </w:r>
      <w:r w:rsidRPr="00817B84">
        <w:rPr>
          <w:rFonts w:eastAsia="Times New Roman" w:cs="Times New Roman"/>
          <w:szCs w:val="24"/>
        </w:rPr>
        <w:t xml:space="preserve">”, turklāt nodrošinot TEN-T Pārskata regulas VI iedaļā “Multimodālo kravas termināļu infrastruktūra” noteiktās prasības. </w:t>
      </w:r>
    </w:p>
    <w:p w14:paraId="70266F10" w14:textId="77777777" w:rsidR="00817B84" w:rsidRPr="00817B84" w:rsidRDefault="00817B84" w:rsidP="00817B84">
      <w:pPr>
        <w:keepNext/>
        <w:keepLines/>
        <w:numPr>
          <w:ilvl w:val="2"/>
          <w:numId w:val="0"/>
        </w:numPr>
        <w:spacing w:after="0" w:line="240" w:lineRule="auto"/>
        <w:ind w:left="720" w:hanging="720"/>
        <w:contextualSpacing/>
        <w:jc w:val="both"/>
        <w:outlineLvl w:val="2"/>
        <w:rPr>
          <w:rFonts w:eastAsia="Yu Gothic Light" w:cs="Times New Roman"/>
          <w:b/>
          <w:bCs/>
          <w:szCs w:val="24"/>
        </w:rPr>
      </w:pPr>
      <w:bookmarkStart w:id="7" w:name="_Toc170298621"/>
      <w:r w:rsidRPr="00817B84">
        <w:rPr>
          <w:rFonts w:eastAsia="Yu Gothic Light" w:cs="Times New Roman"/>
          <w:b/>
          <w:bCs/>
          <w:szCs w:val="24"/>
        </w:rPr>
        <w:t>Jūras infrastruktūra</w:t>
      </w:r>
      <w:bookmarkEnd w:id="7"/>
    </w:p>
    <w:p w14:paraId="0D7FB130"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TEN-T pārskata regulas 26. pants nosaka pienākumu līdz 2050. gada 31. decembrim nodrošināt “visaptverošajā tīklā, kura kopējais ikgadējais kravu apjoms ir vairāk nekā 2 miljoni tonnu, jūras ostas ir savienotas ar dzelzceļa un autoceļu infrastruktūru”. Ņemot vērā, ka </w:t>
      </w:r>
      <w:r w:rsidRPr="00817B84">
        <w:rPr>
          <w:rFonts w:eastAsia="Times New Roman" w:cs="Times New Roman"/>
          <w:szCs w:val="24"/>
          <w:u w:val="single"/>
        </w:rPr>
        <w:t>Rīgas osta ir iekļauta pamattīklā</w:t>
      </w:r>
      <w:r w:rsidRPr="00817B84">
        <w:rPr>
          <w:rFonts w:eastAsia="Times New Roman" w:cs="Times New Roman"/>
          <w:szCs w:val="24"/>
        </w:rPr>
        <w:t xml:space="preserve">, uz to attiecas TEN-T pārskata regulas 27. panta 2. punkta noteikumi – šādu savienojumu nodrošināt līdz 2030. gada 31. decembrim. </w:t>
      </w:r>
    </w:p>
    <w:p w14:paraId="76BD3DC0" w14:textId="77777777" w:rsidR="00817B84" w:rsidRPr="00817B84" w:rsidRDefault="00817B84" w:rsidP="00817B84">
      <w:pPr>
        <w:keepNext/>
        <w:keepLines/>
        <w:numPr>
          <w:ilvl w:val="2"/>
          <w:numId w:val="0"/>
        </w:numPr>
        <w:spacing w:after="0" w:line="240" w:lineRule="auto"/>
        <w:ind w:left="720" w:hanging="720"/>
        <w:contextualSpacing/>
        <w:jc w:val="both"/>
        <w:outlineLvl w:val="2"/>
        <w:rPr>
          <w:rFonts w:eastAsia="Yu Gothic Light" w:cs="Times New Roman"/>
          <w:b/>
          <w:bCs/>
          <w:szCs w:val="24"/>
        </w:rPr>
      </w:pPr>
      <w:bookmarkStart w:id="8" w:name="_Toc170298622"/>
      <w:r w:rsidRPr="00817B84">
        <w:rPr>
          <w:rFonts w:eastAsia="Yu Gothic Light" w:cs="Times New Roman"/>
          <w:b/>
          <w:bCs/>
          <w:szCs w:val="24"/>
        </w:rPr>
        <w:t>Gaisa transporta infrastruktūra</w:t>
      </w:r>
      <w:bookmarkEnd w:id="8"/>
    </w:p>
    <w:p w14:paraId="54F6DB3F"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r>
      <w:r w:rsidRPr="00817B84">
        <w:rPr>
          <w:rFonts w:eastAsia="Times New Roman" w:cs="Times New Roman"/>
          <w:szCs w:val="24"/>
          <w:u w:val="single"/>
        </w:rPr>
        <w:t>Rīgas starptautiskā lidosta (turpmāk - RIX) TEN-T pārskata regulā ir definēta kā pamattīkla lidosta</w:t>
      </w:r>
      <w:r w:rsidRPr="00817B84">
        <w:rPr>
          <w:rFonts w:eastAsia="Times New Roman" w:cs="Times New Roman"/>
          <w:szCs w:val="24"/>
        </w:rPr>
        <w:t xml:space="preserve">. Neskatoties uz to, TEN-T pārskata regulas prasības attiecībā uz gaisa transporta infrastruktūras savienojumu izveidi, definē pasažieru skaita kritēriju. Ņemot vērā, ka dati tiek skaitīti,  balstoties uz jaunākajiem pieejamajiem trīs gadu vidējiem rādītājiem uz TEN-T pārskata regulas spēkā stāšanos un kuru pamatā ir </w:t>
      </w:r>
      <w:proofErr w:type="spellStart"/>
      <w:r w:rsidRPr="00817B84">
        <w:rPr>
          <w:rFonts w:eastAsia="Times New Roman" w:cs="Times New Roman"/>
          <w:i/>
          <w:iCs/>
          <w:szCs w:val="24"/>
        </w:rPr>
        <w:t>Eurostat</w:t>
      </w:r>
      <w:proofErr w:type="spellEnd"/>
      <w:r w:rsidRPr="00817B84">
        <w:rPr>
          <w:rFonts w:eastAsia="Times New Roman" w:cs="Times New Roman"/>
          <w:i/>
          <w:iCs/>
          <w:szCs w:val="24"/>
        </w:rPr>
        <w:t xml:space="preserve"> </w:t>
      </w:r>
      <w:r w:rsidRPr="00817B84">
        <w:rPr>
          <w:rFonts w:eastAsia="Times New Roman" w:cs="Times New Roman"/>
          <w:szCs w:val="24"/>
        </w:rPr>
        <w:t xml:space="preserve">publicētā statistika, uz starptautiskās Rīgas lidostas (turpmāk - RIX) savienojumu attiecas prasība Latvijai </w:t>
      </w:r>
      <w:r w:rsidRPr="00817B84">
        <w:rPr>
          <w:rFonts w:eastAsia="Times New Roman" w:cs="Times New Roman"/>
          <w:szCs w:val="24"/>
          <w:u w:val="single"/>
        </w:rPr>
        <w:t>līdz 2050. gada 31. decembrim</w:t>
      </w:r>
      <w:r w:rsidRPr="00817B84">
        <w:rPr>
          <w:rFonts w:eastAsia="Times New Roman" w:cs="Times New Roman"/>
          <w:szCs w:val="24"/>
        </w:rPr>
        <w:t xml:space="preserve"> nodrošināt, ka TEN-T tīkla </w:t>
      </w:r>
      <w:r w:rsidRPr="00817B84">
        <w:rPr>
          <w:rFonts w:eastAsia="Times New Roman" w:cs="Times New Roman"/>
          <w:szCs w:val="24"/>
          <w:u w:val="single"/>
        </w:rPr>
        <w:t>lidostas, kuru kopējais ikgadējais pasažieru satiksmes apjoms pārsniedz četrus miljonus un nepārsniedz 12 miljonus pasažieru</w:t>
      </w:r>
      <w:r w:rsidRPr="00817B84">
        <w:rPr>
          <w:rFonts w:eastAsia="Times New Roman" w:cs="Times New Roman"/>
          <w:szCs w:val="24"/>
        </w:rPr>
        <w:t xml:space="preserve">, </w:t>
      </w:r>
      <w:r w:rsidRPr="00817B84">
        <w:rPr>
          <w:rFonts w:eastAsia="Times New Roman" w:cs="Times New Roman"/>
          <w:szCs w:val="24"/>
          <w:u w:val="single"/>
        </w:rPr>
        <w:t>ir savienota ar TEN-T tīklu</w:t>
      </w:r>
      <w:r w:rsidRPr="00817B84">
        <w:rPr>
          <w:rFonts w:eastAsia="Times New Roman" w:cs="Times New Roman"/>
          <w:szCs w:val="24"/>
        </w:rPr>
        <w:t xml:space="preserve">. </w:t>
      </w:r>
    </w:p>
    <w:p w14:paraId="1D45DA54" w14:textId="77777777" w:rsidR="00817B84" w:rsidRPr="00817B84" w:rsidRDefault="00817B84" w:rsidP="00817B84">
      <w:pPr>
        <w:spacing w:after="0" w:line="240" w:lineRule="auto"/>
        <w:contextualSpacing/>
        <w:jc w:val="both"/>
        <w:rPr>
          <w:rFonts w:eastAsia="Times New Roman" w:cs="Times New Roman"/>
          <w:szCs w:val="24"/>
        </w:rPr>
      </w:pPr>
      <w:r w:rsidRPr="00817B84">
        <w:rPr>
          <w:rFonts w:eastAsia="Times New Roman" w:cs="Times New Roman"/>
          <w:szCs w:val="24"/>
        </w:rPr>
        <w:t>Ņemot vērā, ka RIX atrodas TEN-T tīkla pilsētas mezglā vai tā tuvumā, savienojums ar šo pilsētas mezglu nodrošināms, “</w:t>
      </w:r>
      <w:r w:rsidRPr="00817B84">
        <w:rPr>
          <w:rFonts w:eastAsia="Times New Roman" w:cs="Times New Roman"/>
          <w:szCs w:val="24"/>
          <w:u w:val="single"/>
        </w:rPr>
        <w:t xml:space="preserve">izmantojot </w:t>
      </w:r>
      <w:bookmarkStart w:id="9" w:name="_Hlk169348368"/>
      <w:r w:rsidRPr="00817B84">
        <w:rPr>
          <w:rFonts w:eastAsia="Times New Roman" w:cs="Times New Roman"/>
          <w:szCs w:val="24"/>
          <w:u w:val="single"/>
        </w:rPr>
        <w:t xml:space="preserve">dzelzceļu, metro, vieglo dzelzceļu, tramvajus, trošu vagonus vai izņēmuma kārtā citus </w:t>
      </w:r>
      <w:proofErr w:type="spellStart"/>
      <w:r w:rsidRPr="00817B84">
        <w:rPr>
          <w:rFonts w:eastAsia="Times New Roman" w:cs="Times New Roman"/>
          <w:szCs w:val="24"/>
          <w:u w:val="single"/>
        </w:rPr>
        <w:t>bezemisiju</w:t>
      </w:r>
      <w:proofErr w:type="spellEnd"/>
      <w:r w:rsidRPr="00817B84">
        <w:rPr>
          <w:rFonts w:eastAsia="Times New Roman" w:cs="Times New Roman"/>
          <w:szCs w:val="24"/>
          <w:u w:val="single"/>
        </w:rPr>
        <w:t xml:space="preserve"> sabiedriskā transporta risinājumus</w:t>
      </w:r>
      <w:bookmarkEnd w:id="9"/>
      <w:r w:rsidRPr="00817B84">
        <w:rPr>
          <w:rFonts w:eastAsia="Times New Roman" w:cs="Times New Roman"/>
          <w:szCs w:val="24"/>
        </w:rPr>
        <w:t xml:space="preserve">, izņemot gadījumus, kad šādi savienojumi nav iespējami īpašu ģeogrāfisku vai būtisku fizisku ierobežojumu dēļ”. </w:t>
      </w:r>
    </w:p>
    <w:p w14:paraId="1BD58536" w14:textId="77777777" w:rsidR="00817B84" w:rsidRPr="00817B84" w:rsidRDefault="00817B84" w:rsidP="00817B84">
      <w:pPr>
        <w:keepNext/>
        <w:keepLines/>
        <w:numPr>
          <w:ilvl w:val="2"/>
          <w:numId w:val="0"/>
        </w:numPr>
        <w:spacing w:after="0" w:line="240" w:lineRule="auto"/>
        <w:ind w:left="720" w:hanging="720"/>
        <w:contextualSpacing/>
        <w:jc w:val="both"/>
        <w:outlineLvl w:val="2"/>
        <w:rPr>
          <w:rFonts w:eastAsia="Yu Gothic Light" w:cs="Times New Roman"/>
          <w:b/>
          <w:bCs/>
          <w:szCs w:val="24"/>
        </w:rPr>
      </w:pPr>
      <w:bookmarkStart w:id="10" w:name="_Toc170298623"/>
      <w:r w:rsidRPr="00817B84">
        <w:rPr>
          <w:rFonts w:eastAsia="Yu Gothic Light" w:cs="Times New Roman"/>
          <w:b/>
          <w:bCs/>
          <w:szCs w:val="24"/>
        </w:rPr>
        <w:t>Eiropas standarta nominālais sliežu ceļa platums dzelzceļam</w:t>
      </w:r>
      <w:bookmarkEnd w:id="10"/>
    </w:p>
    <w:p w14:paraId="69642109"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Ņemot vērā, ka Latvijas esošā dzelzceļa tīkla platums ir 1520mm, ES līmenī tas ir definēts kā izolētais tīkls (TEN-T pārskata regula skaidri to ir definējusi, jo spēkā esošā radīja dažādas interpretācijas no Eiropas Komisijas puses), kam pieļaujamas atsevišķas atkāpes no kopējiem standartiem. Vienlaikus, ņemot vērā, ka izolētie tīkli (papildus Spānijai un Portugālei ES dienvidos) dominē ES ziemeļaustrumos un attiecas uz Somijas, Igaunijas, Latvijas un Lietuvas dzelzceļa tīkliem, aktuālās ģeopolitiskās situācijas ietvaros TEN-T pārskata regula kā ilgtermiņa mērķi definē pakāpenisku migrāciju uz 1435mm sliežu platumu. Šādā platumā tiek attīstīts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w:t>
      </w:r>
    </w:p>
    <w:p w14:paraId="41544DDB"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Ņemot vērā, ka Ministru kabineta uzdevuma ietvaros jāskata iespējamās tehniskās alternatīvas, turklāt Rīgas pilsētas posmā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tiek attīstīts vienotā koridorā ar esošo dzelzceļu, jāņem vērā, ka saskaņā ar TEN-T pārskata regulas 17. pantu – </w:t>
      </w:r>
      <w:r w:rsidRPr="00817B84">
        <w:rPr>
          <w:rFonts w:eastAsia="Times New Roman" w:cs="Times New Roman"/>
          <w:szCs w:val="24"/>
          <w:u w:val="single"/>
        </w:rPr>
        <w:t>jaunas dzelzceļa līnijas, kuru būvniecība nav uzsākta uz TEN-T pārskata regulas spēkā stāšanās brīdi, īstenojamas vienīgi 1435mm sliežu platumā.</w:t>
      </w:r>
    </w:p>
    <w:p w14:paraId="5A3BA080"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lastRenderedPageBreak/>
        <w:tab/>
        <w:t xml:space="preserve">Tāpat tiek noteikts, ka dalībvalstis, kurās ir no TEN-T pamattīkla atšķirīgs sliežu platuma tīkls, vēlākais </w:t>
      </w:r>
      <w:r w:rsidRPr="00817B84">
        <w:rPr>
          <w:rFonts w:eastAsia="Times New Roman" w:cs="Times New Roman"/>
          <w:szCs w:val="24"/>
          <w:u w:val="single"/>
        </w:rPr>
        <w:t>divu gadu laikā pēc TEN-T pārskata regulas spēkā stāšanās</w:t>
      </w:r>
      <w:r w:rsidRPr="00817B84">
        <w:rPr>
          <w:rFonts w:eastAsia="Times New Roman" w:cs="Times New Roman"/>
          <w:szCs w:val="24"/>
        </w:rPr>
        <w:t xml:space="preserve"> veic novērtējumu, “nosakot esošās, Eiropas transporta koridoros iekļautās dzelzceļa līnijas, ņemot vērā to </w:t>
      </w:r>
      <w:r w:rsidRPr="00817B84">
        <w:rPr>
          <w:rFonts w:eastAsia="Times New Roman" w:cs="Times New Roman"/>
          <w:szCs w:val="24"/>
          <w:u w:val="single"/>
        </w:rPr>
        <w:t>iespējamo</w:t>
      </w:r>
      <w:r w:rsidRPr="00817B84">
        <w:rPr>
          <w:rFonts w:eastAsia="Times New Roman" w:cs="Times New Roman"/>
          <w:szCs w:val="24"/>
        </w:rPr>
        <w:t xml:space="preserve"> pāreju uz Eiropas standarta nominālo sliežu ceļa platumu 1435 mm. Pārrobežu posmu gadījumā novērtējumu koordinē ar kaimiņos esošo dalībvalsti vai dalībvalstīm. Novērtējumā iekļauj sociālekonomisko izmaksu un ieguvumu analīzi par to, cik dzīvotspējīga ir iespējama pāreja uz Eiropas standarta nominālo sliežu ceļa platumu 1435 mm, un novērtējumu par ietekmi uz savstarpēju </w:t>
      </w:r>
      <w:proofErr w:type="spellStart"/>
      <w:r w:rsidRPr="00817B84">
        <w:rPr>
          <w:rFonts w:eastAsia="Times New Roman" w:cs="Times New Roman"/>
          <w:szCs w:val="24"/>
        </w:rPr>
        <w:t>izmantojamību</w:t>
      </w:r>
      <w:proofErr w:type="spellEnd"/>
      <w:r w:rsidRPr="00817B84">
        <w:rPr>
          <w:rFonts w:eastAsia="Times New Roman" w:cs="Times New Roman"/>
          <w:szCs w:val="24"/>
        </w:rPr>
        <w:t xml:space="preserve">”. Tāpat tiek noteikts, ka vēlākais </w:t>
      </w:r>
      <w:r w:rsidRPr="00817B84">
        <w:rPr>
          <w:rFonts w:eastAsia="Times New Roman" w:cs="Times New Roman"/>
          <w:szCs w:val="24"/>
          <w:u w:val="single"/>
        </w:rPr>
        <w:t>viena gada laikā pēc šāda novērtējuma pabeigšanas jāizstrādā plānu pārejai uz Eiropas standarta nominālo sliežu ceļa platumu 1435 mm</w:t>
      </w:r>
      <w:r w:rsidRPr="00817B84">
        <w:rPr>
          <w:rFonts w:eastAsia="Times New Roman" w:cs="Times New Roman"/>
          <w:szCs w:val="24"/>
        </w:rPr>
        <w:t xml:space="preserve">, nosakot, kurām esošajām, Eiropas transporta koridoros iekļautajām dzelzceļa līnijām būtu jāīsteno pāreja uz Eiropas standarta nominālo sliežu ceļa platumu 1435 mm. Apzinoties šādas migrācijas būtiskās finansiālās izmaksas, TEN-T pārskata regulas ietvaros šādas potenciālās pārejas termiņa noteikšana tiek atstāta dalībvalstu lēmumam, vienlaikus nodrošinot pārrobežu koordināciju ar saistītajām kaimiņvalstīm ES. </w:t>
      </w:r>
    </w:p>
    <w:p w14:paraId="3C893574"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Atzīmējams, ka attiecībā uz jaunu pamata tīkla dzelzceļa infrastruktūru TEN-T pārskata regula nosaka arī vairākas citas </w:t>
      </w:r>
      <w:r w:rsidRPr="00817B84">
        <w:rPr>
          <w:rFonts w:eastAsia="Times New Roman" w:cs="Times New Roman"/>
          <w:szCs w:val="24"/>
          <w:u w:val="single"/>
        </w:rPr>
        <w:t>tehniskās prasības, kas nodrošināmas līdz 2030. gada 31. decembrim</w:t>
      </w:r>
      <w:r w:rsidRPr="00817B84">
        <w:rPr>
          <w:rFonts w:eastAsia="Times New Roman" w:cs="Times New Roman"/>
          <w:szCs w:val="24"/>
        </w:rPr>
        <w:t xml:space="preserve">, t.sk. atbilstību Eiropas Parlamenta un Padomes Direktīvai (ES) 2016/797 par dzelzceļa sistēmas savstarpēju </w:t>
      </w:r>
      <w:proofErr w:type="spellStart"/>
      <w:r w:rsidRPr="00817B84">
        <w:rPr>
          <w:rFonts w:eastAsia="Times New Roman" w:cs="Times New Roman"/>
          <w:szCs w:val="24"/>
        </w:rPr>
        <w:t>izmantojamību</w:t>
      </w:r>
      <w:proofErr w:type="spellEnd"/>
      <w:r w:rsidRPr="00817B84">
        <w:rPr>
          <w:rFonts w:eastAsia="Times New Roman" w:cs="Times New Roman"/>
          <w:szCs w:val="24"/>
        </w:rPr>
        <w:t xml:space="preserve"> Eiropas Savienībā (pārstrādāta redakcija</w:t>
      </w:r>
      <w:r w:rsidRPr="00817B84">
        <w:rPr>
          <w:rFonts w:eastAsia="Times New Roman" w:cs="Times New Roman"/>
          <w:szCs w:val="24"/>
          <w:vertAlign w:val="superscript"/>
        </w:rPr>
        <w:footnoteReference w:id="3"/>
      </w:r>
      <w:r w:rsidRPr="00817B84">
        <w:rPr>
          <w:rFonts w:eastAsia="Times New Roman" w:cs="Times New Roman"/>
          <w:szCs w:val="24"/>
        </w:rPr>
        <w:t xml:space="preserve">) un īstenošanas aktiem, kas pieņemti saskaņā ar to, lai panāktu visaptverošā tīkla savstarpēju </w:t>
      </w:r>
      <w:proofErr w:type="spellStart"/>
      <w:r w:rsidRPr="00817B84">
        <w:rPr>
          <w:rFonts w:eastAsia="Times New Roman" w:cs="Times New Roman"/>
          <w:szCs w:val="24"/>
        </w:rPr>
        <w:t>izmantojamību</w:t>
      </w:r>
      <w:proofErr w:type="spellEnd"/>
      <w:r w:rsidRPr="00817B84">
        <w:rPr>
          <w:rFonts w:eastAsia="Times New Roman" w:cs="Times New Roman"/>
          <w:szCs w:val="24"/>
        </w:rPr>
        <w:t xml:space="preserve">, kā arī prasībām savstarpējas </w:t>
      </w:r>
      <w:proofErr w:type="spellStart"/>
      <w:r w:rsidRPr="00817B84">
        <w:rPr>
          <w:rFonts w:eastAsia="Times New Roman" w:cs="Times New Roman"/>
          <w:szCs w:val="24"/>
        </w:rPr>
        <w:t>izmantojamības</w:t>
      </w:r>
      <w:proofErr w:type="spellEnd"/>
      <w:r w:rsidRPr="00817B84">
        <w:rPr>
          <w:rFonts w:eastAsia="Times New Roman" w:cs="Times New Roman"/>
          <w:szCs w:val="24"/>
        </w:rPr>
        <w:t xml:space="preserve"> tehniskajās specifikācijās (SITS), kas pieņemtas, ievērojot minētās Direktīvas (ES) 2016/797 4. un 5. pantu, neskarot minētās direktīvas 7. panta 1. punktā paredzētos izņēmumus. </w:t>
      </w:r>
    </w:p>
    <w:p w14:paraId="76D46CA4"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Saskaņā ar TEN-T pārskata regulas 15. un 16. pantu – </w:t>
      </w:r>
      <w:r w:rsidRPr="00817B84">
        <w:rPr>
          <w:rFonts w:eastAsia="Times New Roman" w:cs="Times New Roman"/>
          <w:szCs w:val="24"/>
          <w:u w:val="single"/>
        </w:rPr>
        <w:t>līdz 2030. gada 31. decembrim pamata tīkla dzelzceļa infrastruktūrai jābūt pilnībā elektrificētai</w:t>
      </w:r>
      <w:r w:rsidRPr="00817B84">
        <w:rPr>
          <w:rFonts w:eastAsia="Times New Roman" w:cs="Times New Roman"/>
          <w:szCs w:val="24"/>
        </w:rPr>
        <w:t xml:space="preserve">, savukārt saskaņā ar 18. pantu – </w:t>
      </w:r>
      <w:r w:rsidRPr="00817B84">
        <w:rPr>
          <w:rFonts w:eastAsia="Times New Roman" w:cs="Times New Roman"/>
          <w:szCs w:val="24"/>
          <w:u w:val="single"/>
        </w:rPr>
        <w:t>aprīkotai ar Eiropas Dzelzceļa satiksmes vadības sistēmu</w:t>
      </w:r>
      <w:r w:rsidRPr="00817B84">
        <w:rPr>
          <w:rFonts w:eastAsia="Times New Roman" w:cs="Times New Roman"/>
          <w:szCs w:val="24"/>
        </w:rPr>
        <w:t xml:space="preserve">.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kā Eiropas sliežu platuma – 1435mm – infrastruktūru, kas atbilst SITS un ir pilnībā elektrificēta līnija nosaka arī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Starpvaldību nolīgums.</w:t>
      </w:r>
    </w:p>
    <w:p w14:paraId="4E58D70C"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p>
    <w:p w14:paraId="413ED0C9" w14:textId="77777777" w:rsidR="00817B84" w:rsidRPr="00817B84" w:rsidRDefault="00817B84" w:rsidP="00817B84">
      <w:pPr>
        <w:keepNext/>
        <w:keepLines/>
        <w:numPr>
          <w:ilvl w:val="1"/>
          <w:numId w:val="0"/>
        </w:numPr>
        <w:spacing w:after="0" w:line="240" w:lineRule="auto"/>
        <w:ind w:left="576" w:hanging="576"/>
        <w:contextualSpacing/>
        <w:jc w:val="center"/>
        <w:outlineLvl w:val="1"/>
        <w:rPr>
          <w:rFonts w:eastAsia="Yu Gothic Light" w:cs="Times New Roman"/>
          <w:b/>
          <w:bCs/>
          <w:szCs w:val="24"/>
        </w:rPr>
      </w:pPr>
      <w:bookmarkStart w:id="11" w:name="_Toc170298624"/>
      <w:r w:rsidRPr="00817B84">
        <w:rPr>
          <w:rFonts w:eastAsia="Yu Gothic Light" w:cs="Times New Roman"/>
          <w:b/>
          <w:bCs/>
          <w:szCs w:val="24"/>
        </w:rPr>
        <w:t xml:space="preserve">TEN-T pārskata regulas </w:t>
      </w:r>
      <w:proofErr w:type="spellStart"/>
      <w:r w:rsidRPr="00817B84">
        <w:rPr>
          <w:rFonts w:eastAsia="Yu Gothic Light" w:cs="Times New Roman"/>
          <w:b/>
          <w:bCs/>
          <w:szCs w:val="24"/>
        </w:rPr>
        <w:t>izvērtējuma</w:t>
      </w:r>
      <w:proofErr w:type="spellEnd"/>
      <w:r w:rsidRPr="00817B84">
        <w:rPr>
          <w:rFonts w:eastAsia="Yu Gothic Light" w:cs="Times New Roman"/>
          <w:b/>
          <w:bCs/>
          <w:szCs w:val="24"/>
        </w:rPr>
        <w:t xml:space="preserve"> secinājumi</w:t>
      </w:r>
      <w:bookmarkEnd w:id="11"/>
    </w:p>
    <w:p w14:paraId="21DC784D"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Attiecībā uz tehnisko tvērumu un visām prasībām, izņemot finansējumu, aktuālais ES tiesību akts ir TEN-T pārskata regula, kas no ES Padomes puses tika apstiprināta š.g. 13. jūnijā un ES Oficiālajā Vēstnesī tika publicēts 2024. gada 28. jūnijā, tai stājoties spēkā divdesmit dienas pēc tās publicēšanas. </w:t>
      </w:r>
    </w:p>
    <w:p w14:paraId="21FFEE2D"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TEN-T pārskata regula t.sk. groza EISI 2 regulas pielikumā pievienoto ES transporta tīkla koridoru sarakstu, EISI 2 regulai definējot EISI darbību 2021. – 2027. ES daudzgadu budžeta ietvaros. Tāpat, ņemot vērā, ka uzsākts darbs pie Eiropas dzelzceļu kravu koridoru regulas, t.sk. tās pielikumā pievienotā Eiropas dzelzceļu kravu koridoru saraksta, atcelšanas, tā vietā ES līmenī koridorus definējot ar TEN-T pārskata regulu, turpmāka Eiropas dzelzceļu kravu koridoru regulas analīze netiek veikta. TEN-T pārskata regula definē pienākumu dalībvalstij darīt visu iespējamo, lai ieviestu kopējās intereses projektus, Latvijas gadījumā –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Latvijas posmu – līdz 2030. gada 31. decembrim. TEN-T pārskata regulas tehniskajos pielikumos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atspoguļots aktuālajā risinājumā un pilnā apmērā. </w:t>
      </w:r>
    </w:p>
    <w:p w14:paraId="726103C5"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Vērtējot atsevišķas TEN-T pārskata regulas prasības attiecībā uz atsevišķiem elementiem, secināms, ka </w:t>
      </w:r>
      <w:r w:rsidRPr="00817B84">
        <w:rPr>
          <w:rFonts w:eastAsia="Times New Roman" w:cs="Times New Roman"/>
          <w:b/>
          <w:bCs/>
          <w:szCs w:val="24"/>
        </w:rPr>
        <w:t xml:space="preserve">TEN-T pārskata regula paredz pienākumu </w:t>
      </w:r>
      <w:r w:rsidRPr="00817B84">
        <w:rPr>
          <w:rFonts w:eastAsia="Times New Roman" w:cs="Times New Roman"/>
          <w:szCs w:val="24"/>
        </w:rPr>
        <w:t xml:space="preserve">("dalībvalstis </w:t>
      </w:r>
      <w:r w:rsidRPr="00817B84">
        <w:rPr>
          <w:rFonts w:eastAsia="Times New Roman" w:cs="Times New Roman"/>
          <w:szCs w:val="24"/>
        </w:rPr>
        <w:lastRenderedPageBreak/>
        <w:t>[...] nodrošina [...]")</w:t>
      </w:r>
      <w:r w:rsidRPr="00817B84">
        <w:rPr>
          <w:rFonts w:eastAsia="Times New Roman" w:cs="Times New Roman"/>
          <w:b/>
          <w:bCs/>
          <w:szCs w:val="24"/>
        </w:rPr>
        <w:t xml:space="preserve"> Latvijai līdz 2030. gada 31. decembrim attīstīt Rīgas centrālo multimodālo pasažieru pārvadājumu mezglu</w:t>
      </w:r>
      <w:r w:rsidRPr="00817B84">
        <w:rPr>
          <w:rFonts w:eastAsia="Times New Roman" w:cs="Times New Roman"/>
          <w:szCs w:val="24"/>
        </w:rPr>
        <w:t xml:space="preserve">, ņemot vērā, ka TEN-T pārskata regulas izpratnē Rīga ir vienīgais Latvijas pilsētas mezgls. Vienlaikus šajā pašā termiņā – </w:t>
      </w:r>
      <w:r w:rsidRPr="00817B84">
        <w:rPr>
          <w:rFonts w:eastAsia="Times New Roman" w:cs="Times New Roman"/>
          <w:b/>
          <w:bCs/>
          <w:szCs w:val="24"/>
        </w:rPr>
        <w:t xml:space="preserve">līdz 2030. gada 31. decembrim Latvijai jānodrošina </w:t>
      </w:r>
      <w:r w:rsidRPr="00817B84">
        <w:rPr>
          <w:rFonts w:eastAsia="Times New Roman" w:cs="Times New Roman"/>
          <w:szCs w:val="24"/>
        </w:rPr>
        <w:t xml:space="preserve">("dalībvalstis dara visu iespējamo [...]" </w:t>
      </w:r>
      <w:r w:rsidRPr="00817B84">
        <w:rPr>
          <w:rFonts w:eastAsia="Times New Roman" w:cs="Times New Roman"/>
          <w:b/>
          <w:bCs/>
          <w:szCs w:val="24"/>
        </w:rPr>
        <w:t>Salaspils multimodālais terminālis kā vienīgais pamattīkla dzelzceļa - autoceļa terminālis Latvijas teritorijā TEN-T pārskata regulas izpratnē</w:t>
      </w:r>
      <w:r w:rsidRPr="00817B84">
        <w:rPr>
          <w:rFonts w:eastAsia="Times New Roman" w:cs="Times New Roman"/>
          <w:szCs w:val="24"/>
        </w:rPr>
        <w:t>.</w:t>
      </w:r>
    </w:p>
    <w:p w14:paraId="0EDA8B17" w14:textId="77777777" w:rsidR="00817B84" w:rsidRPr="00817B84" w:rsidRDefault="00817B84" w:rsidP="00817B84">
      <w:pPr>
        <w:spacing w:after="0" w:line="240" w:lineRule="auto"/>
        <w:ind w:firstLine="360"/>
        <w:contextualSpacing/>
        <w:jc w:val="right"/>
        <w:rPr>
          <w:rFonts w:eastAsia="Times New Roman" w:cs="Times New Roman"/>
          <w:sz w:val="20"/>
          <w:szCs w:val="20"/>
        </w:rPr>
      </w:pPr>
      <w:r w:rsidRPr="00817B84">
        <w:rPr>
          <w:rFonts w:eastAsia="Times New Roman" w:cs="Times New Roman"/>
          <w:sz w:val="20"/>
          <w:szCs w:val="20"/>
        </w:rPr>
        <w:t>Attēls Nr. 1</w:t>
      </w:r>
    </w:p>
    <w:p w14:paraId="7116A1D5" w14:textId="77777777" w:rsidR="00817B84" w:rsidRPr="00817B84" w:rsidRDefault="00817B84" w:rsidP="00817B84">
      <w:pPr>
        <w:spacing w:after="0" w:line="240" w:lineRule="auto"/>
        <w:ind w:firstLine="360"/>
        <w:contextualSpacing/>
        <w:jc w:val="right"/>
        <w:rPr>
          <w:rFonts w:eastAsia="Times New Roman" w:cs="Times New Roman"/>
          <w:sz w:val="20"/>
          <w:szCs w:val="20"/>
        </w:rPr>
      </w:pPr>
      <w:r w:rsidRPr="00817B84">
        <w:rPr>
          <w:rFonts w:eastAsia="Times New Roman" w:cs="Times New Roman"/>
          <w:sz w:val="20"/>
          <w:szCs w:val="20"/>
        </w:rPr>
        <w:t>Eiropas transporta tīkls (TEN-T)</w:t>
      </w:r>
    </w:p>
    <w:p w14:paraId="0C4B563A" w14:textId="77777777" w:rsidR="00817B84" w:rsidRPr="00817B84" w:rsidRDefault="00817B84" w:rsidP="00817B84">
      <w:pPr>
        <w:spacing w:after="0" w:line="240" w:lineRule="auto"/>
        <w:ind w:firstLine="360"/>
        <w:contextualSpacing/>
        <w:jc w:val="both"/>
        <w:rPr>
          <w:rFonts w:eastAsia="Times New Roman" w:cs="Times New Roman"/>
          <w:szCs w:val="24"/>
        </w:rPr>
      </w:pPr>
      <w:r w:rsidRPr="00817B84">
        <w:rPr>
          <w:rFonts w:eastAsia="Calibri" w:cs="Times New Roman"/>
          <w:noProof/>
          <w:szCs w:val="24"/>
        </w:rPr>
        <w:drawing>
          <wp:anchor distT="0" distB="0" distL="114300" distR="114300" simplePos="0" relativeHeight="251659264" behindDoc="1" locked="0" layoutInCell="1" allowOverlap="1" wp14:anchorId="0C36212E" wp14:editId="13A39856">
            <wp:simplePos x="0" y="0"/>
            <wp:positionH relativeFrom="margin">
              <wp:posOffset>2778125</wp:posOffset>
            </wp:positionH>
            <wp:positionV relativeFrom="paragraph">
              <wp:posOffset>6985</wp:posOffset>
            </wp:positionV>
            <wp:extent cx="3073400" cy="3912235"/>
            <wp:effectExtent l="0" t="0" r="0" b="0"/>
            <wp:wrapTight wrapText="bothSides">
              <wp:wrapPolygon edited="0">
                <wp:start x="0" y="0"/>
                <wp:lineTo x="0" y="21456"/>
                <wp:lineTo x="21421" y="21456"/>
                <wp:lineTo x="21421" y="0"/>
                <wp:lineTo x="0" y="0"/>
              </wp:wrapPolygon>
            </wp:wrapTight>
            <wp:docPr id="3" name="Picture 3" descr="A map of europe with different colored lines&#10;&#10;Description automatically generated">
              <a:extLst xmlns:a="http://schemas.openxmlformats.org/drawingml/2006/main">
                <a:ext uri="{FF2B5EF4-FFF2-40B4-BE49-F238E27FC236}">
                  <a16:creationId xmlns:a16="http://schemas.microsoft.com/office/drawing/2014/main" id="{41E22A8E-B32E-D3C2-77BF-2E358B0640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map of europe with different colored lines&#10;&#10;Description automatically generated">
                      <a:extLst>
                        <a:ext uri="{FF2B5EF4-FFF2-40B4-BE49-F238E27FC236}">
                          <a16:creationId xmlns:a16="http://schemas.microsoft.com/office/drawing/2014/main" id="{41E22A8E-B32E-D3C2-77BF-2E358B0640C6}"/>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073400" cy="3912235"/>
                    </a:xfrm>
                    <a:prstGeom prst="rect">
                      <a:avLst/>
                    </a:prstGeom>
                  </pic:spPr>
                </pic:pic>
              </a:graphicData>
            </a:graphic>
            <wp14:sizeRelH relativeFrom="page">
              <wp14:pctWidth>0</wp14:pctWidth>
            </wp14:sizeRelH>
            <wp14:sizeRelV relativeFrom="page">
              <wp14:pctHeight>0</wp14:pctHeight>
            </wp14:sizeRelV>
          </wp:anchor>
        </w:drawing>
      </w:r>
      <w:r w:rsidRPr="00817B84">
        <w:rPr>
          <w:rFonts w:eastAsia="Times New Roman" w:cs="Times New Roman"/>
          <w:szCs w:val="24"/>
        </w:rPr>
        <w:t xml:space="preserve">RB projekta ietvaros jau plānotais </w:t>
      </w:r>
      <w:r w:rsidRPr="00817B84">
        <w:rPr>
          <w:rFonts w:eastAsia="Times New Roman" w:cs="Times New Roman"/>
          <w:b/>
          <w:bCs/>
          <w:szCs w:val="24"/>
        </w:rPr>
        <w:t>savienojums ar RIX</w:t>
      </w:r>
      <w:r w:rsidRPr="00817B84">
        <w:rPr>
          <w:rFonts w:eastAsia="Times New Roman" w:cs="Times New Roman"/>
          <w:szCs w:val="24"/>
        </w:rPr>
        <w:t xml:space="preserve"> pilnībā atbilst TEN-T pārskata regulā definētajiem mērķiem, vienlaikus saskaņā ar TEN-T pārskata regulas prasībām šāds savienojums ir īstenojams līdz 2050. gada 31. decembrim, turklāt pieļaujot elastību savienojuma veidam (dzelzceļu, metro, vieglo dzelzceļu, tramvajus, trošu vagonus vai izņēmuma kārtā citus </w:t>
      </w:r>
      <w:proofErr w:type="spellStart"/>
      <w:r w:rsidRPr="00817B84">
        <w:rPr>
          <w:rFonts w:eastAsia="Times New Roman" w:cs="Times New Roman"/>
          <w:szCs w:val="24"/>
        </w:rPr>
        <w:t>bezemisiju</w:t>
      </w:r>
      <w:proofErr w:type="spellEnd"/>
      <w:r w:rsidRPr="00817B84">
        <w:rPr>
          <w:rFonts w:eastAsia="Times New Roman" w:cs="Times New Roman"/>
          <w:szCs w:val="24"/>
        </w:rPr>
        <w:t xml:space="preserve"> sabiedriskā transporta risinājumus). Attiecībā uz </w:t>
      </w:r>
      <w:r w:rsidRPr="00817B84">
        <w:rPr>
          <w:rFonts w:eastAsia="Times New Roman" w:cs="Times New Roman"/>
          <w:b/>
          <w:bCs/>
          <w:szCs w:val="24"/>
        </w:rPr>
        <w:t>Rīgas ostas savienojumu</w:t>
      </w:r>
      <w:r w:rsidRPr="00817B84">
        <w:rPr>
          <w:rFonts w:eastAsia="Times New Roman" w:cs="Times New Roman"/>
          <w:szCs w:val="24"/>
        </w:rPr>
        <w:t xml:space="preserve"> – TEN-T pārskata regulā iekļauts pienākums nodrošināt TEN-T pamata tīkla ostas – Rīgas – savienojumu ar dzelzceļa tīklu līdz 2030. gada 31.decembrim, vienlaikus Latvijas gadījumā var tikt uzskatīts par jau izpildītu, neskatoties, ka tas darīts ar 1520mm sliežu platuma infrastruktūru. Kopumā </w:t>
      </w:r>
      <w:proofErr w:type="spellStart"/>
      <w:r w:rsidRPr="00817B84">
        <w:rPr>
          <w:rFonts w:eastAsia="Times New Roman" w:cs="Times New Roman"/>
          <w:szCs w:val="24"/>
        </w:rPr>
        <w:t>izvērtējums</w:t>
      </w:r>
      <w:proofErr w:type="spellEnd"/>
      <w:r w:rsidRPr="00817B84">
        <w:rPr>
          <w:rFonts w:eastAsia="Times New Roman" w:cs="Times New Roman"/>
          <w:szCs w:val="24"/>
        </w:rPr>
        <w:t xml:space="preserve"> liecina, ka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skatāms un arī TEN-T pārskata regulā atspoguļots kā vienots, multimodāls projekts, kura ieviešana nodrošināma tā pilnībā. Ņemot vērā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kā nu jau divu - Ziemeļjūras – Baltijas jūras, kā arī Baltijas jūras – Melnās jūras – Egejas jūras transporta koridoru daļu un ES transporta koridoriem definējot visaugstākās prioritātes ES transporta kopējā tīkla, </w:t>
      </w:r>
      <w:r w:rsidRPr="00817B84">
        <w:rPr>
          <w:rFonts w:eastAsia="Times New Roman" w:cs="Times New Roman"/>
          <w:b/>
          <w:bCs/>
          <w:szCs w:val="24"/>
        </w:rPr>
        <w:t xml:space="preserve">Rail </w:t>
      </w:r>
      <w:proofErr w:type="spellStart"/>
      <w:r w:rsidRPr="00817B84">
        <w:rPr>
          <w:rFonts w:eastAsia="Times New Roman" w:cs="Times New Roman"/>
          <w:b/>
          <w:bCs/>
          <w:szCs w:val="24"/>
        </w:rPr>
        <w:t>Baltica</w:t>
      </w:r>
      <w:proofErr w:type="spellEnd"/>
      <w:r w:rsidRPr="00817B84">
        <w:rPr>
          <w:rFonts w:eastAsia="Times New Roman" w:cs="Times New Roman"/>
          <w:b/>
          <w:bCs/>
          <w:szCs w:val="24"/>
        </w:rPr>
        <w:t xml:space="preserve"> projekta, tāpat kā visu pārējo TEN-T projektu, ieviešanas termiņš saskaņā ar TEN-T pārskata regulu ir 2030. gada 31. decembris.</w:t>
      </w:r>
      <w:r w:rsidRPr="00817B84">
        <w:rPr>
          <w:rFonts w:eastAsia="Times New Roman" w:cs="Times New Roman"/>
          <w:szCs w:val="24"/>
        </w:rPr>
        <w:t xml:space="preserve"> Vienlaikus, ņemot vērā, ka pašas EK aplēses par nepieciešamajām investīcijām TEN-T pamata tīkla trūkstošo posmu izveidei sasniedz 500 miljardus </w:t>
      </w:r>
      <w:proofErr w:type="spellStart"/>
      <w:r w:rsidRPr="00817B84">
        <w:rPr>
          <w:rFonts w:eastAsia="Times New Roman" w:cs="Times New Roman"/>
          <w:szCs w:val="24"/>
        </w:rPr>
        <w:t>euro</w:t>
      </w:r>
      <w:proofErr w:type="spellEnd"/>
      <w:r w:rsidRPr="00817B84">
        <w:rPr>
          <w:rFonts w:eastAsia="Times New Roman" w:cs="Times New Roman"/>
          <w:szCs w:val="24"/>
        </w:rPr>
        <w:t xml:space="preserve">, savukārt, salīdzinājumam – EISI fonda apmērs 2014. – 2020. gada ES daudzgadu finanšu shēmā bija 23,2 miljardi </w:t>
      </w:r>
      <w:proofErr w:type="spellStart"/>
      <w:r w:rsidRPr="00817B84">
        <w:rPr>
          <w:rFonts w:eastAsia="Times New Roman" w:cs="Times New Roman"/>
          <w:szCs w:val="24"/>
        </w:rPr>
        <w:t>euro</w:t>
      </w:r>
      <w:proofErr w:type="spellEnd"/>
      <w:r w:rsidRPr="00817B84">
        <w:rPr>
          <w:rFonts w:eastAsia="Times New Roman" w:cs="Times New Roman"/>
          <w:szCs w:val="24"/>
        </w:rPr>
        <w:t xml:space="preserve">,  savukārt 2021. – 2027. periodā ir 25,8 miljardi </w:t>
      </w:r>
      <w:proofErr w:type="spellStart"/>
      <w:r w:rsidRPr="00817B84">
        <w:rPr>
          <w:rFonts w:eastAsia="Times New Roman" w:cs="Times New Roman"/>
          <w:szCs w:val="24"/>
        </w:rPr>
        <w:t>euro</w:t>
      </w:r>
      <w:proofErr w:type="spellEnd"/>
      <w:r w:rsidRPr="00817B84">
        <w:rPr>
          <w:rFonts w:eastAsia="Times New Roman" w:cs="Times New Roman"/>
          <w:szCs w:val="24"/>
        </w:rPr>
        <w:t>, pienākumi skatāmi TEN-T pārskata regulas 8. panta 5. punkta kontekstā, kas nosaka “</w:t>
      </w:r>
      <w:r w:rsidRPr="00817B84">
        <w:rPr>
          <w:rFonts w:eastAsia="Times New Roman" w:cs="Times New Roman"/>
          <w:b/>
          <w:bCs/>
          <w:szCs w:val="24"/>
        </w:rPr>
        <w:t>kopīgu interešu projektu īstenošana ir atkarīga no to gatavības pakāpes, atbilstības ES un valstu juridiskajām procedūrām un finanšu resursu pieejamības, neskarot dalībvalsts vai Savienības finanšu saistības</w:t>
      </w:r>
      <w:r w:rsidRPr="00817B84">
        <w:rPr>
          <w:rFonts w:eastAsia="Times New Roman" w:cs="Times New Roman"/>
          <w:szCs w:val="24"/>
        </w:rPr>
        <w:t>”.</w:t>
      </w:r>
    </w:p>
    <w:p w14:paraId="4137ADA3" w14:textId="77777777" w:rsidR="00817B84" w:rsidRPr="00817B84" w:rsidRDefault="00817B84" w:rsidP="00817B84">
      <w:pPr>
        <w:spacing w:after="0" w:line="240" w:lineRule="auto"/>
        <w:ind w:firstLine="360"/>
        <w:contextualSpacing/>
        <w:jc w:val="both"/>
        <w:rPr>
          <w:rFonts w:eastAsia="Times New Roman" w:cs="Times New Roman"/>
          <w:szCs w:val="24"/>
        </w:rPr>
      </w:pPr>
    </w:p>
    <w:p w14:paraId="100D1365" w14:textId="77777777" w:rsidR="00817B84" w:rsidRPr="00817B84" w:rsidRDefault="00817B84" w:rsidP="00817B84">
      <w:pPr>
        <w:keepNext/>
        <w:keepLines/>
        <w:spacing w:after="0" w:line="240" w:lineRule="auto"/>
        <w:ind w:left="432" w:hanging="432"/>
        <w:contextualSpacing/>
        <w:jc w:val="center"/>
        <w:outlineLvl w:val="0"/>
        <w:rPr>
          <w:rFonts w:eastAsia="Yu Gothic Light" w:cs="Times New Roman"/>
          <w:b/>
          <w:bCs/>
          <w:szCs w:val="24"/>
        </w:rPr>
      </w:pPr>
      <w:bookmarkStart w:id="12" w:name="_Toc170298625"/>
      <w:r w:rsidRPr="00817B84">
        <w:rPr>
          <w:rFonts w:eastAsia="Yu Gothic Light" w:cs="Times New Roman"/>
          <w:b/>
          <w:bCs/>
          <w:szCs w:val="24"/>
        </w:rPr>
        <w:t xml:space="preserve">Rail </w:t>
      </w:r>
      <w:proofErr w:type="spellStart"/>
      <w:r w:rsidRPr="00817B84">
        <w:rPr>
          <w:rFonts w:eastAsia="Yu Gothic Light" w:cs="Times New Roman"/>
          <w:b/>
          <w:bCs/>
          <w:szCs w:val="24"/>
        </w:rPr>
        <w:t>Baltica</w:t>
      </w:r>
      <w:proofErr w:type="spellEnd"/>
      <w:r w:rsidRPr="00817B84">
        <w:rPr>
          <w:rFonts w:eastAsia="Yu Gothic Light" w:cs="Times New Roman"/>
          <w:b/>
          <w:bCs/>
          <w:szCs w:val="24"/>
        </w:rPr>
        <w:t xml:space="preserve"> saistošie dokumenti</w:t>
      </w:r>
      <w:bookmarkEnd w:id="12"/>
    </w:p>
    <w:p w14:paraId="60ADC09D" w14:textId="77777777" w:rsidR="00817B84" w:rsidRPr="00817B84" w:rsidRDefault="00817B84" w:rsidP="00817B84">
      <w:pPr>
        <w:spacing w:after="0" w:line="240" w:lineRule="auto"/>
        <w:contextualSpacing/>
        <w:jc w:val="both"/>
        <w:rPr>
          <w:rFonts w:eastAsia="Times New Roman" w:cs="Times New Roman"/>
          <w:szCs w:val="24"/>
        </w:rPr>
      </w:pPr>
      <w:r w:rsidRPr="00817B84">
        <w:rPr>
          <w:rFonts w:eastAsia="Times New Roman" w:cs="Times New Roman"/>
          <w:szCs w:val="24"/>
        </w:rPr>
        <w:t>Galvenie secinājumi:</w:t>
      </w:r>
    </w:p>
    <w:p w14:paraId="04C32659" w14:textId="77777777" w:rsidR="00817B84" w:rsidRPr="00817B84" w:rsidRDefault="00817B84" w:rsidP="00817B84">
      <w:pPr>
        <w:numPr>
          <w:ilvl w:val="0"/>
          <w:numId w:val="2"/>
        </w:numPr>
        <w:spacing w:after="0" w:line="240" w:lineRule="auto"/>
        <w:contextualSpacing/>
        <w:jc w:val="both"/>
        <w:rPr>
          <w:rFonts w:eastAsia="Times New Roman" w:cs="Times New Roman"/>
          <w:szCs w:val="24"/>
        </w:rPr>
      </w:pPr>
      <w:r w:rsidRPr="00817B84">
        <w:rPr>
          <w:rFonts w:eastAsia="Times New Roman" w:cs="Times New Roman"/>
          <w:szCs w:val="24"/>
        </w:rPr>
        <w:lastRenderedPageBreak/>
        <w:t xml:space="preserve">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ir ES līmeņa </w:t>
      </w:r>
      <w:proofErr w:type="spellStart"/>
      <w:r w:rsidRPr="00817B84">
        <w:rPr>
          <w:rFonts w:eastAsia="Times New Roman" w:cs="Times New Roman"/>
          <w:szCs w:val="24"/>
        </w:rPr>
        <w:t>ģeostratēģiskas</w:t>
      </w:r>
      <w:proofErr w:type="spellEnd"/>
      <w:r w:rsidRPr="00817B84">
        <w:rPr>
          <w:rFonts w:eastAsia="Times New Roman" w:cs="Times New Roman"/>
          <w:szCs w:val="24"/>
        </w:rPr>
        <w:t xml:space="preserve"> nozīmes projekts ar skaidru prioritāti - pārrobežu savienojuma izbūve līdz 2030. gada beigām. Lēmums par 1. kārtas tvērumu ir skaņojams ar projekta partneriem, t.sk. ES līmenī;</w:t>
      </w:r>
    </w:p>
    <w:p w14:paraId="4DA2D99B" w14:textId="77777777" w:rsidR="00817B84" w:rsidRPr="00817B84" w:rsidRDefault="00817B84" w:rsidP="00817B84">
      <w:pPr>
        <w:numPr>
          <w:ilvl w:val="0"/>
          <w:numId w:val="2"/>
        </w:numPr>
        <w:spacing w:after="0" w:line="240" w:lineRule="auto"/>
        <w:contextualSpacing/>
        <w:jc w:val="both"/>
        <w:rPr>
          <w:rFonts w:eastAsia="Times New Roman" w:cs="Times New Roman"/>
          <w:szCs w:val="24"/>
        </w:rPr>
      </w:pPr>
      <w:r w:rsidRPr="00817B84">
        <w:rPr>
          <w:rFonts w:eastAsia="Times New Roman" w:cs="Times New Roman"/>
          <w:szCs w:val="24"/>
        </w:rPr>
        <w:t>Kopš 2022. gada februāra RB projekta militārās mobilitātes konteksts kļuvis kritiski svarīgs;</w:t>
      </w:r>
    </w:p>
    <w:p w14:paraId="7B82EEC4" w14:textId="77777777" w:rsidR="00817B84" w:rsidRPr="00817B84" w:rsidRDefault="00817B84" w:rsidP="00817B84">
      <w:pPr>
        <w:numPr>
          <w:ilvl w:val="0"/>
          <w:numId w:val="2"/>
        </w:numPr>
        <w:spacing w:after="0" w:line="240" w:lineRule="auto"/>
        <w:contextualSpacing/>
        <w:jc w:val="both"/>
        <w:rPr>
          <w:rFonts w:eastAsia="Times New Roman" w:cs="Times New Roman"/>
          <w:szCs w:val="24"/>
        </w:rPr>
      </w:pPr>
      <w:r w:rsidRPr="00817B84">
        <w:rPr>
          <w:rFonts w:eastAsia="Times New Roman" w:cs="Times New Roman"/>
          <w:szCs w:val="24"/>
        </w:rPr>
        <w:t xml:space="preserve">Ministru kabinets, 2016. gadā lemjot par paredzētās darbības akceptu, ir noteicis, kur Latvijas teritorijā būvējama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trase, tai skaitā paredzot, ka kravu pārvadājumi caur Rīgu netiks veikti</w:t>
      </w:r>
      <w:r w:rsidRPr="00817B84">
        <w:rPr>
          <w:rFonts w:eastAsia="Times New Roman" w:cs="Times New Roman"/>
          <w:szCs w:val="24"/>
          <w:vertAlign w:val="superscript"/>
        </w:rPr>
        <w:footnoteReference w:id="4"/>
      </w:r>
      <w:r w:rsidRPr="00817B84">
        <w:rPr>
          <w:rFonts w:eastAsia="Times New Roman" w:cs="Times New Roman"/>
          <w:szCs w:val="24"/>
        </w:rPr>
        <w:t>;</w:t>
      </w:r>
    </w:p>
    <w:p w14:paraId="690EBEC6" w14:textId="77777777" w:rsidR="00817B84" w:rsidRPr="00817B84" w:rsidRDefault="00817B84" w:rsidP="00817B84">
      <w:pPr>
        <w:numPr>
          <w:ilvl w:val="0"/>
          <w:numId w:val="2"/>
        </w:numPr>
        <w:spacing w:after="0" w:line="240" w:lineRule="auto"/>
        <w:contextualSpacing/>
        <w:jc w:val="both"/>
        <w:rPr>
          <w:rFonts w:eastAsia="Times New Roman" w:cs="Times New Roman"/>
          <w:szCs w:val="24"/>
        </w:rPr>
      </w:pPr>
      <w:r w:rsidRPr="00817B84">
        <w:rPr>
          <w:rFonts w:eastAsia="Times New Roman" w:cs="Times New Roman"/>
          <w:szCs w:val="24"/>
        </w:rPr>
        <w:t xml:space="preserve">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tiek projektēts atbilstoši Ministru kabineta mandātam saskaņā ar ES savstarpējas </w:t>
      </w:r>
      <w:proofErr w:type="spellStart"/>
      <w:r w:rsidRPr="00817B84">
        <w:rPr>
          <w:rFonts w:eastAsia="Times New Roman" w:cs="Times New Roman"/>
          <w:szCs w:val="24"/>
        </w:rPr>
        <w:t>izmantojamības</w:t>
      </w:r>
      <w:proofErr w:type="spellEnd"/>
      <w:r w:rsidRPr="00817B84">
        <w:rPr>
          <w:rFonts w:eastAsia="Times New Roman" w:cs="Times New Roman"/>
          <w:szCs w:val="24"/>
        </w:rPr>
        <w:t xml:space="preserve"> tehniskajām specifikācijām. Ministru kabineta mandāts neparedz pilnvērtīgus kravu pārvadājumus cauri Rīgai;</w:t>
      </w:r>
    </w:p>
    <w:p w14:paraId="75B9AF95" w14:textId="77777777" w:rsidR="00817B84" w:rsidRPr="00817B84" w:rsidRDefault="00817B84" w:rsidP="00817B84">
      <w:pPr>
        <w:numPr>
          <w:ilvl w:val="0"/>
          <w:numId w:val="2"/>
        </w:numPr>
        <w:spacing w:after="0" w:line="240" w:lineRule="auto"/>
        <w:contextualSpacing/>
        <w:jc w:val="both"/>
        <w:rPr>
          <w:rFonts w:eastAsia="Times New Roman" w:cs="Times New Roman"/>
          <w:szCs w:val="24"/>
        </w:rPr>
      </w:pPr>
      <w:r w:rsidRPr="00817B84">
        <w:rPr>
          <w:rFonts w:eastAsia="Times New Roman" w:cs="Times New Roman"/>
          <w:szCs w:val="24"/>
        </w:rPr>
        <w:t xml:space="preserve">Rīgas posms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trasē ir pats sarežģītākais. Jānodrošina, ka jaunā infrastruktūra tiek izbūvēta pilsētvidē, vienlaikus nodrošinot saistīto infrastruktūras un inženierkomunikāciju objektu darbības nepārtrauktību, kā arī mobilitāti, t.sk. būvniecības laikā, saglabājot teritoriju integritāti. </w:t>
      </w:r>
    </w:p>
    <w:p w14:paraId="6F91D86B" w14:textId="77777777" w:rsidR="00817B84" w:rsidRPr="00817B84" w:rsidRDefault="00817B84" w:rsidP="00817B84">
      <w:pPr>
        <w:spacing w:after="0" w:line="240" w:lineRule="auto"/>
        <w:contextualSpacing/>
        <w:jc w:val="both"/>
        <w:rPr>
          <w:rFonts w:eastAsia="Times New Roman" w:cs="Times New Roman"/>
          <w:szCs w:val="24"/>
          <w:shd w:val="clear" w:color="auto" w:fill="FFFFFF"/>
        </w:rPr>
      </w:pPr>
    </w:p>
    <w:p w14:paraId="49287349"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shd w:val="clear" w:color="auto" w:fill="FFFFFF"/>
        </w:rPr>
        <w:tab/>
        <w:t xml:space="preserve">Vislielākā pasažieru plūsma Rail </w:t>
      </w:r>
      <w:proofErr w:type="spellStart"/>
      <w:r w:rsidRPr="00817B84">
        <w:rPr>
          <w:rFonts w:eastAsia="Times New Roman" w:cs="Times New Roman"/>
          <w:szCs w:val="24"/>
          <w:shd w:val="clear" w:color="auto" w:fill="FFFFFF"/>
        </w:rPr>
        <w:t>Baltica</w:t>
      </w:r>
      <w:proofErr w:type="spellEnd"/>
      <w:r w:rsidRPr="00817B84">
        <w:rPr>
          <w:rFonts w:eastAsia="Times New Roman" w:cs="Times New Roman"/>
          <w:szCs w:val="24"/>
          <w:shd w:val="clear" w:color="auto" w:fill="FFFFFF"/>
        </w:rPr>
        <w:t xml:space="preserve"> līnijā ir sagaidāma starp galvaspilsētas centru un RIX, jo </w:t>
      </w:r>
      <w:r w:rsidRPr="00817B84">
        <w:rPr>
          <w:rFonts w:eastAsia="Times New Roman" w:cs="Times New Roman"/>
          <w:szCs w:val="24"/>
        </w:rPr>
        <w:t>kā liecina ieguvumu-izmaksu analīzes rezultāti,</w:t>
      </w:r>
      <w:r w:rsidRPr="00817B84">
        <w:rPr>
          <w:rFonts w:eastAsia="Times New Roman" w:cs="Times New Roman"/>
          <w:b/>
          <w:bCs/>
          <w:szCs w:val="24"/>
        </w:rPr>
        <w:t xml:space="preserve"> </w:t>
      </w:r>
      <w:r w:rsidRPr="00817B84">
        <w:rPr>
          <w:rFonts w:eastAsia="Times New Roman" w:cs="Times New Roman"/>
          <w:szCs w:val="24"/>
        </w:rPr>
        <w:t xml:space="preserve">lielāko sociālekonomisko ieguvumu rada pasažieru pārvadājumi (81%) un vislielākā pasažieru plūsma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līnijā ir sagaidāma uz/no Rīgas centrālās (turpmāk – RCS) un RIX stacijām. </w:t>
      </w:r>
    </w:p>
    <w:p w14:paraId="2FDB9F72" w14:textId="77777777" w:rsidR="00817B84" w:rsidRPr="00817B84" w:rsidRDefault="00817B84" w:rsidP="00817B84">
      <w:pPr>
        <w:tabs>
          <w:tab w:val="left" w:pos="567"/>
        </w:tabs>
        <w:spacing w:after="0" w:line="240" w:lineRule="auto"/>
        <w:contextualSpacing/>
        <w:jc w:val="both"/>
        <w:rPr>
          <w:rFonts w:eastAsia="Times New Roman" w:cs="Times New Roman"/>
          <w:b/>
          <w:bCs/>
          <w:szCs w:val="24"/>
        </w:rPr>
      </w:pPr>
      <w:r w:rsidRPr="00817B84">
        <w:rPr>
          <w:rFonts w:eastAsia="Times New Roman" w:cs="Times New Roman"/>
          <w:szCs w:val="24"/>
        </w:rPr>
        <w:tab/>
      </w:r>
      <w:r w:rsidRPr="00817B84">
        <w:rPr>
          <w:rFonts w:eastAsia="Calibri" w:cs="Times New Roman"/>
          <w:szCs w:val="24"/>
        </w:rPr>
        <w:t xml:space="preserve">RIX kā lielākajai lidostai Baltijas valstīs un nacionālās aviosabiedrības </w:t>
      </w:r>
      <w:proofErr w:type="spellStart"/>
      <w:r w:rsidRPr="00817B84">
        <w:rPr>
          <w:rFonts w:eastAsia="Calibri" w:cs="Times New Roman"/>
          <w:szCs w:val="24"/>
        </w:rPr>
        <w:t>airBaltic</w:t>
      </w:r>
      <w:proofErr w:type="spellEnd"/>
      <w:r w:rsidRPr="00817B84">
        <w:rPr>
          <w:rFonts w:eastAsia="Calibri" w:cs="Times New Roman"/>
          <w:szCs w:val="24"/>
        </w:rPr>
        <w:t xml:space="preserve"> mītnes zemes lidostai, ir svarīgi nodrošināt ērtu sasniedzamību no kaimiņvalstīm, vienlaikus radot iespēju īsos lidojumus starp Baltijas valstu galvaspilsētām aizstāt ar ātrgaitas vilcienu satiksmi. Izbūvējot savienojumu ar Rīgu, Latvija varēs pilnvērtīgi izmantot jauno infrastruktūru un gūt pēc iespējas lielākus sociālekonomiskos ieguvumus no Rail </w:t>
      </w:r>
      <w:proofErr w:type="spellStart"/>
      <w:r w:rsidRPr="00817B84">
        <w:rPr>
          <w:rFonts w:eastAsia="Calibri" w:cs="Times New Roman"/>
          <w:szCs w:val="24"/>
        </w:rPr>
        <w:t>Baltica</w:t>
      </w:r>
      <w:proofErr w:type="spellEnd"/>
      <w:r w:rsidRPr="00817B84">
        <w:rPr>
          <w:rFonts w:eastAsia="Calibri" w:cs="Times New Roman"/>
          <w:szCs w:val="24"/>
        </w:rPr>
        <w:t xml:space="preserve"> projekta. Rail </w:t>
      </w:r>
      <w:proofErr w:type="spellStart"/>
      <w:r w:rsidRPr="00817B84">
        <w:rPr>
          <w:rFonts w:eastAsia="Calibri" w:cs="Times New Roman"/>
          <w:szCs w:val="24"/>
        </w:rPr>
        <w:t>Baltica</w:t>
      </w:r>
      <w:proofErr w:type="spellEnd"/>
      <w:r w:rsidRPr="00817B84">
        <w:rPr>
          <w:rFonts w:eastAsia="Calibri" w:cs="Times New Roman"/>
          <w:szCs w:val="24"/>
        </w:rPr>
        <w:t xml:space="preserve"> dzelzceļa pārvadājumi kļūs daudz pievilcīgāki Latvijas un starptautiskajai sabiedrībai (pasažieriem), attiecīgi arī RIX un Rīgas pilsētai, sniedzot iespēju piesaistīt lielākas pasažieru plūsmas un tādējādi veicinot ekonomisko aktivitāti.</w:t>
      </w:r>
    </w:p>
    <w:p w14:paraId="1780AFC9" w14:textId="77777777" w:rsidR="00817B84" w:rsidRPr="00817B84" w:rsidRDefault="00817B84" w:rsidP="00817B84">
      <w:pPr>
        <w:tabs>
          <w:tab w:val="left" w:pos="567"/>
        </w:tabs>
        <w:spacing w:after="0" w:line="240" w:lineRule="auto"/>
        <w:ind w:firstLine="360"/>
        <w:contextualSpacing/>
        <w:jc w:val="both"/>
        <w:rPr>
          <w:rFonts w:eastAsia="Times New Roman" w:cs="Times New Roman"/>
          <w:szCs w:val="24"/>
        </w:rPr>
      </w:pPr>
      <w:r w:rsidRPr="00817B84">
        <w:rPr>
          <w:rFonts w:eastAsia="Times New Roman" w:cs="Times New Roman"/>
          <w:szCs w:val="24"/>
        </w:rPr>
        <w:t xml:space="preserve">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kopš 2013. gada ir iekļauts TEN-T pamata tīkla Ziemeļjūras – Baltijas jūras koridorā, kura (tāpat kā pārējo 8 TEN-T pamata tīkla koridoru) ieviešanas termiņš ir 2030. gada 31. decembris. TEN-T koridori atspoguļo “pamata tīkla daļas ar vislielāko stratēģisko nozīmi ilgtspējīgu un multimodālu kravu un pasažieru pārvadājumu plūsmu attīstībai Eiropā un savstarpēji izmantojamas augstas kvalitātes infrastruktūras un darbības rādītāju attīstībā”. </w:t>
      </w:r>
    </w:p>
    <w:p w14:paraId="3EE45D8E" w14:textId="77777777" w:rsidR="00817B84" w:rsidRPr="00817B84" w:rsidRDefault="00817B84" w:rsidP="00817B84">
      <w:pPr>
        <w:spacing w:line="240" w:lineRule="auto"/>
        <w:ind w:firstLine="360"/>
        <w:contextualSpacing/>
        <w:jc w:val="right"/>
        <w:rPr>
          <w:rFonts w:eastAsia="Times New Roman" w:cs="Times New Roman"/>
          <w:sz w:val="20"/>
          <w:szCs w:val="20"/>
        </w:rPr>
      </w:pPr>
      <w:r w:rsidRPr="00817B84">
        <w:rPr>
          <w:rFonts w:eastAsia="Times New Roman" w:cs="Times New Roman"/>
          <w:sz w:val="20"/>
          <w:szCs w:val="20"/>
        </w:rPr>
        <w:t>Attēli Nr. 2 un 3</w:t>
      </w:r>
    </w:p>
    <w:p w14:paraId="59E5D884" w14:textId="77777777" w:rsidR="00817B84" w:rsidRPr="00817B84" w:rsidRDefault="00817B84" w:rsidP="00817B84">
      <w:pPr>
        <w:spacing w:line="240" w:lineRule="auto"/>
        <w:ind w:firstLine="360"/>
        <w:contextualSpacing/>
        <w:jc w:val="right"/>
        <w:rPr>
          <w:rFonts w:eastAsia="Times New Roman" w:cs="Times New Roman"/>
          <w:sz w:val="20"/>
          <w:szCs w:val="20"/>
        </w:rPr>
      </w:pPr>
      <w:r w:rsidRPr="00817B84">
        <w:rPr>
          <w:rFonts w:eastAsia="Calibri" w:cs="Times New Roman"/>
          <w:noProof/>
          <w:szCs w:val="24"/>
        </w:rPr>
        <w:lastRenderedPageBreak/>
        <w:drawing>
          <wp:anchor distT="0" distB="0" distL="114300" distR="114300" simplePos="0" relativeHeight="251662336" behindDoc="0" locked="0" layoutInCell="1" allowOverlap="1" wp14:anchorId="0617DEAE" wp14:editId="5CC67EF8">
            <wp:simplePos x="0" y="0"/>
            <wp:positionH relativeFrom="column">
              <wp:posOffset>2971800</wp:posOffset>
            </wp:positionH>
            <wp:positionV relativeFrom="paragraph">
              <wp:posOffset>151765</wp:posOffset>
            </wp:positionV>
            <wp:extent cx="2742565" cy="2990850"/>
            <wp:effectExtent l="0" t="0" r="635" b="0"/>
            <wp:wrapSquare wrapText="bothSides"/>
            <wp:docPr id="1940679458" name="Picture 930954592" descr="A map of europe with roads and cit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954592"/>
                    <pic:cNvPicPr/>
                  </pic:nvPicPr>
                  <pic:blipFill>
                    <a:blip r:embed="rId12">
                      <a:extLst>
                        <a:ext uri="{28A0092B-C50C-407E-A947-70E740481C1C}">
                          <a14:useLocalDpi xmlns:a14="http://schemas.microsoft.com/office/drawing/2010/main" val="0"/>
                        </a:ext>
                      </a:extLst>
                    </a:blip>
                    <a:stretch>
                      <a:fillRect/>
                    </a:stretch>
                  </pic:blipFill>
                  <pic:spPr>
                    <a:xfrm>
                      <a:off x="0" y="0"/>
                      <a:ext cx="2742565" cy="2990850"/>
                    </a:xfrm>
                    <a:prstGeom prst="rect">
                      <a:avLst/>
                    </a:prstGeom>
                  </pic:spPr>
                </pic:pic>
              </a:graphicData>
            </a:graphic>
            <wp14:sizeRelH relativeFrom="page">
              <wp14:pctWidth>0</wp14:pctWidth>
            </wp14:sizeRelH>
            <wp14:sizeRelV relativeFrom="page">
              <wp14:pctHeight>0</wp14:pctHeight>
            </wp14:sizeRelV>
          </wp:anchor>
        </w:drawing>
      </w:r>
      <w:r w:rsidRPr="00817B84">
        <w:rPr>
          <w:rFonts w:eastAsia="Calibri" w:cs="Times New Roman"/>
          <w:noProof/>
          <w:szCs w:val="24"/>
        </w:rPr>
        <w:drawing>
          <wp:anchor distT="0" distB="0" distL="114300" distR="114300" simplePos="0" relativeHeight="251661312" behindDoc="0" locked="0" layoutInCell="1" allowOverlap="1" wp14:anchorId="4601CE0E" wp14:editId="6F9AC9EC">
            <wp:simplePos x="0" y="0"/>
            <wp:positionH relativeFrom="margin">
              <wp:posOffset>0</wp:posOffset>
            </wp:positionH>
            <wp:positionV relativeFrom="paragraph">
              <wp:posOffset>145415</wp:posOffset>
            </wp:positionV>
            <wp:extent cx="2735580" cy="2948305"/>
            <wp:effectExtent l="0" t="0" r="7620" b="4445"/>
            <wp:wrapSquare wrapText="bothSides"/>
            <wp:docPr id="394180504" name="Picture 1605037796" descr="A map of europe with roads and cit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03779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35580" cy="2948305"/>
                    </a:xfrm>
                    <a:prstGeom prst="rect">
                      <a:avLst/>
                    </a:prstGeom>
                  </pic:spPr>
                </pic:pic>
              </a:graphicData>
            </a:graphic>
            <wp14:sizeRelH relativeFrom="page">
              <wp14:pctWidth>0</wp14:pctWidth>
            </wp14:sizeRelH>
            <wp14:sizeRelV relativeFrom="page">
              <wp14:pctHeight>0</wp14:pctHeight>
            </wp14:sizeRelV>
          </wp:anchor>
        </w:drawing>
      </w:r>
    </w:p>
    <w:p w14:paraId="61B0282D" w14:textId="77777777" w:rsidR="00817B84" w:rsidRPr="00817B84" w:rsidRDefault="00817B84" w:rsidP="00817B84">
      <w:pPr>
        <w:tabs>
          <w:tab w:val="left" w:pos="567"/>
        </w:tabs>
        <w:spacing w:after="0" w:line="240" w:lineRule="auto"/>
        <w:ind w:firstLine="360"/>
        <w:contextualSpacing/>
        <w:jc w:val="both"/>
        <w:rPr>
          <w:rFonts w:eastAsia="Times New Roman" w:cs="Times New Roman"/>
          <w:b/>
          <w:bCs/>
          <w:szCs w:val="24"/>
        </w:rPr>
      </w:pPr>
    </w:p>
    <w:p w14:paraId="3E023996" w14:textId="77777777" w:rsidR="00817B84" w:rsidRPr="00817B84" w:rsidRDefault="00817B84" w:rsidP="00817B84">
      <w:pPr>
        <w:tabs>
          <w:tab w:val="left" w:pos="567"/>
        </w:tabs>
        <w:spacing w:after="0" w:line="240" w:lineRule="auto"/>
        <w:contextualSpacing/>
        <w:jc w:val="both"/>
        <w:rPr>
          <w:rFonts w:eastAsia="Times New Roman" w:cs="Times New Roman"/>
          <w:sz w:val="20"/>
          <w:szCs w:val="20"/>
        </w:rPr>
      </w:pPr>
      <w:r w:rsidRPr="00817B84">
        <w:rPr>
          <w:rFonts w:eastAsia="Times New Roman" w:cs="Times New Roman"/>
          <w:szCs w:val="24"/>
        </w:rPr>
        <w:tab/>
        <w:t xml:space="preserve">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ir viens no būtiskākajiem iztrūkstošajiem posmiem TEN-T tīklā, tādēļ tas ir ne tikai saglabāts Ziemeļjūras – Baltijas jūras transporta koridorā TEN-T politikas ietvara pārskata laikā 2021. gadā, bet 2024. gadā iekļauts arī jaunā – Baltijas jūra – Melnā jūra – Egejas jūra transporta koridorā, nodrošinot savienojumus ar Ukrainu un Moldovu. Transporta koridoru ieviešanas termiņš – 2030. gada 31. decembris - kopš 2013. gada saglabāts nemainīgs, t.sk. TEN-T </w:t>
      </w:r>
      <w:proofErr w:type="spellStart"/>
      <w:r w:rsidRPr="00817B84">
        <w:rPr>
          <w:rFonts w:eastAsia="Times New Roman" w:cs="Times New Roman"/>
          <w:szCs w:val="24"/>
        </w:rPr>
        <w:t>pārskaa</w:t>
      </w:r>
      <w:proofErr w:type="spellEnd"/>
      <w:r w:rsidRPr="00817B84">
        <w:rPr>
          <w:rFonts w:eastAsia="Times New Roman" w:cs="Times New Roman"/>
          <w:szCs w:val="24"/>
        </w:rPr>
        <w:t xml:space="preserve"> regulā, kas stāsies spēkā 2024. gada vasarā. </w:t>
      </w:r>
      <w:r w:rsidRPr="00817B84">
        <w:rPr>
          <w:rFonts w:eastAsia="Times New Roman" w:cs="Times New Roman"/>
          <w:b/>
          <w:bCs/>
          <w:szCs w:val="24"/>
        </w:rPr>
        <w:t xml:space="preserve">Ņemot vērā t.sk. un jo īpaši Rail </w:t>
      </w:r>
      <w:proofErr w:type="spellStart"/>
      <w:r w:rsidRPr="00817B84">
        <w:rPr>
          <w:rFonts w:eastAsia="Times New Roman" w:cs="Times New Roman"/>
          <w:b/>
          <w:bCs/>
          <w:szCs w:val="24"/>
        </w:rPr>
        <w:t>Baltica</w:t>
      </w:r>
      <w:proofErr w:type="spellEnd"/>
      <w:r w:rsidRPr="00817B84">
        <w:rPr>
          <w:rFonts w:eastAsia="Times New Roman" w:cs="Times New Roman"/>
          <w:b/>
          <w:bCs/>
          <w:szCs w:val="24"/>
        </w:rPr>
        <w:t xml:space="preserve"> </w:t>
      </w:r>
      <w:proofErr w:type="spellStart"/>
      <w:r w:rsidRPr="00817B84">
        <w:rPr>
          <w:rFonts w:eastAsia="Times New Roman" w:cs="Times New Roman"/>
          <w:b/>
          <w:bCs/>
          <w:szCs w:val="24"/>
        </w:rPr>
        <w:t>ģeostratēģisko</w:t>
      </w:r>
      <w:proofErr w:type="spellEnd"/>
      <w:r w:rsidRPr="00817B84">
        <w:rPr>
          <w:rFonts w:eastAsia="Times New Roman" w:cs="Times New Roman"/>
          <w:b/>
          <w:bCs/>
          <w:szCs w:val="24"/>
        </w:rPr>
        <w:t xml:space="preserve"> nozīmi, kā skaidra prioritāte Rail </w:t>
      </w:r>
      <w:proofErr w:type="spellStart"/>
      <w:r w:rsidRPr="00817B84">
        <w:rPr>
          <w:rFonts w:eastAsia="Times New Roman" w:cs="Times New Roman"/>
          <w:b/>
          <w:bCs/>
          <w:szCs w:val="24"/>
        </w:rPr>
        <w:t>Baltica</w:t>
      </w:r>
      <w:proofErr w:type="spellEnd"/>
      <w:r w:rsidRPr="00817B84">
        <w:rPr>
          <w:rFonts w:eastAsia="Times New Roman" w:cs="Times New Roman"/>
          <w:b/>
          <w:bCs/>
          <w:szCs w:val="24"/>
        </w:rPr>
        <w:t xml:space="preserve"> ieviešanā līdz 2030. gada beigām definēta pārrobežu savienojuma izbūve</w:t>
      </w:r>
      <w:r w:rsidRPr="00817B84">
        <w:rPr>
          <w:rFonts w:eastAsia="Times New Roman" w:cs="Times New Roman"/>
          <w:szCs w:val="24"/>
        </w:rPr>
        <w:t xml:space="preserve">, t.i. tāda savienojuma ieviešana, kas ļauj veikt pārvadājumus no Tallinas, Igaunijā līdz savienojumam ar Eiropas sliežu platuma tīklu Polijā. Būtiski atzīmēt, ka savienojums ar Tallinu, t.sk. nozīmē savienojumu ar Somiju, izmantojot jūras transportu, savukārt savienojums ar TEN-T pamattīklu Polijas teritorijā praksē nodrošina savienojumu ar jebkuru citu punktu ES teritorijā. </w:t>
      </w:r>
    </w:p>
    <w:p w14:paraId="76681744" w14:textId="77777777" w:rsidR="00817B84" w:rsidRPr="00817B84" w:rsidRDefault="00817B84" w:rsidP="00817B84">
      <w:pPr>
        <w:tabs>
          <w:tab w:val="left" w:pos="567"/>
        </w:tabs>
        <w:spacing w:after="0" w:line="240" w:lineRule="auto"/>
        <w:contextualSpacing/>
        <w:jc w:val="right"/>
        <w:rPr>
          <w:rFonts w:eastAsia="Times New Roman" w:cs="Times New Roman"/>
          <w:sz w:val="20"/>
          <w:szCs w:val="20"/>
        </w:rPr>
      </w:pPr>
      <w:r w:rsidRPr="00817B84">
        <w:rPr>
          <w:rFonts w:eastAsia="Times New Roman" w:cs="Times New Roman"/>
          <w:sz w:val="20"/>
          <w:szCs w:val="20"/>
        </w:rPr>
        <w:t>Attēls Nr. 4</w:t>
      </w:r>
    </w:p>
    <w:p w14:paraId="12517B80" w14:textId="77777777" w:rsidR="00817B84" w:rsidRPr="00817B84" w:rsidRDefault="00817B84" w:rsidP="00817B84">
      <w:pPr>
        <w:tabs>
          <w:tab w:val="left" w:pos="567"/>
        </w:tabs>
        <w:spacing w:after="0" w:line="240" w:lineRule="auto"/>
        <w:contextualSpacing/>
        <w:jc w:val="right"/>
        <w:rPr>
          <w:rFonts w:eastAsia="Times New Roman" w:cs="Times New Roman"/>
          <w:sz w:val="20"/>
          <w:szCs w:val="20"/>
        </w:rPr>
      </w:pPr>
      <w:r w:rsidRPr="00817B84">
        <w:rPr>
          <w:rFonts w:eastAsia="Times New Roman" w:cs="Times New Roman"/>
          <w:sz w:val="20"/>
          <w:szCs w:val="20"/>
        </w:rPr>
        <w:t xml:space="preserve">Rail </w:t>
      </w:r>
      <w:proofErr w:type="spellStart"/>
      <w:r w:rsidRPr="00817B84">
        <w:rPr>
          <w:rFonts w:eastAsia="Times New Roman" w:cs="Times New Roman"/>
          <w:sz w:val="20"/>
          <w:szCs w:val="20"/>
        </w:rPr>
        <w:t>Baltica</w:t>
      </w:r>
      <w:proofErr w:type="spellEnd"/>
      <w:r w:rsidRPr="00817B84">
        <w:rPr>
          <w:rFonts w:eastAsia="Times New Roman" w:cs="Times New Roman"/>
          <w:sz w:val="20"/>
          <w:szCs w:val="20"/>
        </w:rPr>
        <w:t xml:space="preserve"> koridors TEN-T pamata tīklā</w:t>
      </w:r>
    </w:p>
    <w:p w14:paraId="5AFB9146" w14:textId="77777777" w:rsidR="00817B84" w:rsidRPr="00817B84" w:rsidRDefault="00817B84" w:rsidP="00817B84">
      <w:pPr>
        <w:tabs>
          <w:tab w:val="left" w:pos="567"/>
        </w:tabs>
        <w:spacing w:after="0" w:line="240" w:lineRule="auto"/>
        <w:contextualSpacing/>
        <w:jc w:val="center"/>
        <w:rPr>
          <w:rFonts w:eastAsia="Times New Roman" w:cs="Times New Roman"/>
          <w:sz w:val="20"/>
          <w:szCs w:val="20"/>
        </w:rPr>
      </w:pPr>
      <w:r w:rsidRPr="00817B84">
        <w:rPr>
          <w:rFonts w:ascii="Myriad Pro" w:eastAsia="Calibri" w:hAnsi="Myriad Pro" w:cs="Times New Roman"/>
          <w:noProof/>
          <w:sz w:val="20"/>
          <w:szCs w:val="20"/>
        </w:rPr>
        <w:drawing>
          <wp:inline distT="0" distB="0" distL="0" distR="0" wp14:anchorId="24C34C84" wp14:editId="735B206B">
            <wp:extent cx="2642532" cy="1816631"/>
            <wp:effectExtent l="0" t="0" r="0" b="0"/>
            <wp:docPr id="1986697174" name="Picture 1" descr="A map with a rou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697174" name="Picture 1" descr="A map with a rout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10525" cy="1863374"/>
                    </a:xfrm>
                    <a:prstGeom prst="rect">
                      <a:avLst/>
                    </a:prstGeom>
                  </pic:spPr>
                </pic:pic>
              </a:graphicData>
            </a:graphic>
          </wp:inline>
        </w:drawing>
      </w:r>
    </w:p>
    <w:p w14:paraId="000117FB"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Tieši pārrobežu savienojumu izveide tiek </w:t>
      </w:r>
      <w:proofErr w:type="spellStart"/>
      <w:r w:rsidRPr="00817B84">
        <w:rPr>
          <w:rFonts w:eastAsia="Times New Roman" w:cs="Times New Roman"/>
          <w:szCs w:val="24"/>
        </w:rPr>
        <w:t>prioretizēta</w:t>
      </w:r>
      <w:proofErr w:type="spellEnd"/>
      <w:r w:rsidRPr="00817B84">
        <w:rPr>
          <w:rFonts w:eastAsia="Times New Roman" w:cs="Times New Roman"/>
          <w:szCs w:val="24"/>
        </w:rPr>
        <w:t xml:space="preserve"> arī no ES finansējuma, konkrēti - EISI puses, kas šādam mērķim izveidots 2013. gadā un darbojas jau divu Eiropas daudzgadu finanšu shēmas ietvaros. Tieši tādēļ arī projekta ieviešanā tieši </w:t>
      </w:r>
      <w:proofErr w:type="spellStart"/>
      <w:r w:rsidRPr="00817B84">
        <w:rPr>
          <w:rFonts w:eastAsia="Times New Roman" w:cs="Times New Roman"/>
          <w:szCs w:val="24"/>
        </w:rPr>
        <w:t>kopdarbojas</w:t>
      </w:r>
      <w:proofErr w:type="spellEnd"/>
      <w:r w:rsidRPr="00817B84">
        <w:rPr>
          <w:rFonts w:eastAsia="Times New Roman" w:cs="Times New Roman"/>
          <w:szCs w:val="24"/>
        </w:rPr>
        <w:t xml:space="preserve"> trīs Baltijas valstis un regulāra sadarbība notiek arī ar Poliju un Somiju. Tieši vienota pārrobežu savienojuma prioritātes dēļ visi EISI finansējuma pieteikumi un arī finansēšanas līgumi ir gatavoti un attiecas uz visiem četriem labuma guvējiem – </w:t>
      </w:r>
      <w:r w:rsidRPr="00817B84">
        <w:rPr>
          <w:rFonts w:eastAsia="Times New Roman" w:cs="Times New Roman"/>
          <w:szCs w:val="24"/>
        </w:rPr>
        <w:lastRenderedPageBreak/>
        <w:t xml:space="preserve">trīs Baltijas valstīm un to kopuzņēmumu RB Rail AS. Neskatoties uz to, ka jo īpaši būvniecības aktivitātes notiek konkrētās valsts teritorijā, Baltijas valstis par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ieviešanu ir atbildīgas solidāri. </w:t>
      </w:r>
    </w:p>
    <w:p w14:paraId="45019ABA" w14:textId="77777777" w:rsidR="00817B84" w:rsidRPr="00817B84" w:rsidRDefault="00817B84" w:rsidP="00817B84">
      <w:pPr>
        <w:spacing w:after="0" w:line="240" w:lineRule="auto"/>
        <w:ind w:firstLine="360"/>
        <w:contextualSpacing/>
        <w:jc w:val="right"/>
        <w:rPr>
          <w:rFonts w:eastAsia="Times New Roman" w:cs="Times New Roman"/>
          <w:sz w:val="20"/>
          <w:szCs w:val="20"/>
        </w:rPr>
      </w:pPr>
      <w:r w:rsidRPr="00817B84">
        <w:rPr>
          <w:rFonts w:eastAsia="Times New Roman" w:cs="Times New Roman"/>
          <w:sz w:val="20"/>
          <w:szCs w:val="20"/>
        </w:rPr>
        <w:t>Attēls Nr.5</w:t>
      </w:r>
    </w:p>
    <w:p w14:paraId="6999A14B" w14:textId="77777777" w:rsidR="00817B84" w:rsidRPr="00817B84" w:rsidRDefault="00817B84" w:rsidP="00817B84">
      <w:pPr>
        <w:spacing w:after="0" w:line="240" w:lineRule="auto"/>
        <w:ind w:firstLine="360"/>
        <w:contextualSpacing/>
        <w:jc w:val="right"/>
        <w:rPr>
          <w:rFonts w:eastAsia="Times New Roman" w:cs="Times New Roman"/>
          <w:sz w:val="20"/>
          <w:szCs w:val="20"/>
        </w:rPr>
      </w:pPr>
      <w:r w:rsidRPr="00817B84">
        <w:rPr>
          <w:rFonts w:eastAsia="Times New Roman" w:cs="Times New Roman"/>
          <w:i/>
          <w:iCs/>
          <w:sz w:val="20"/>
          <w:szCs w:val="20"/>
        </w:rPr>
        <w:t xml:space="preserve">MK akceptētais Rail </w:t>
      </w:r>
      <w:proofErr w:type="spellStart"/>
      <w:r w:rsidRPr="00817B84">
        <w:rPr>
          <w:rFonts w:eastAsia="Times New Roman" w:cs="Times New Roman"/>
          <w:i/>
          <w:iCs/>
          <w:sz w:val="20"/>
          <w:szCs w:val="20"/>
        </w:rPr>
        <w:t>Baltica</w:t>
      </w:r>
      <w:proofErr w:type="spellEnd"/>
      <w:r w:rsidRPr="00817B84">
        <w:rPr>
          <w:rFonts w:eastAsia="Times New Roman" w:cs="Times New Roman"/>
          <w:i/>
          <w:iCs/>
          <w:sz w:val="20"/>
          <w:szCs w:val="20"/>
        </w:rPr>
        <w:t xml:space="preserve"> trases novietojums Latvijā (MK Rīkojums Nr. 467).</w:t>
      </w:r>
    </w:p>
    <w:p w14:paraId="45CDAC23" w14:textId="77777777" w:rsidR="00817B84" w:rsidRPr="00817B84" w:rsidRDefault="00817B84" w:rsidP="00817B84">
      <w:pPr>
        <w:spacing w:after="0" w:line="240" w:lineRule="auto"/>
        <w:contextualSpacing/>
        <w:jc w:val="both"/>
        <w:rPr>
          <w:rFonts w:eastAsia="Times New Roman" w:cs="Times New Roman"/>
          <w:b/>
          <w:bCs/>
          <w:szCs w:val="24"/>
        </w:rPr>
      </w:pPr>
      <w:r w:rsidRPr="00817B84">
        <w:rPr>
          <w:rFonts w:eastAsia="Calibri" w:cs="Times New Roman"/>
          <w:noProof/>
          <w:szCs w:val="24"/>
        </w:rPr>
        <w:drawing>
          <wp:anchor distT="0" distB="0" distL="114300" distR="114300" simplePos="0" relativeHeight="251660288" behindDoc="1" locked="0" layoutInCell="1" allowOverlap="1" wp14:anchorId="09F7991E" wp14:editId="13F4153D">
            <wp:simplePos x="0" y="0"/>
            <wp:positionH relativeFrom="column">
              <wp:posOffset>190500</wp:posOffset>
            </wp:positionH>
            <wp:positionV relativeFrom="paragraph">
              <wp:posOffset>3810</wp:posOffset>
            </wp:positionV>
            <wp:extent cx="2543810" cy="4522470"/>
            <wp:effectExtent l="0" t="0" r="8890" b="0"/>
            <wp:wrapTight wrapText="bothSides">
              <wp:wrapPolygon edited="0">
                <wp:start x="0" y="0"/>
                <wp:lineTo x="0" y="21473"/>
                <wp:lineTo x="21514" y="21473"/>
                <wp:lineTo x="21514" y="0"/>
                <wp:lineTo x="0" y="0"/>
              </wp:wrapPolygon>
            </wp:wrapTight>
            <wp:docPr id="1445183211" name="Picture 1445183211" descr="A map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183211" name="Picture 1445183211" descr="A map of a road&#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43810" cy="4522470"/>
                    </a:xfrm>
                    <a:prstGeom prst="rect">
                      <a:avLst/>
                    </a:prstGeom>
                  </pic:spPr>
                </pic:pic>
              </a:graphicData>
            </a:graphic>
          </wp:anchor>
        </w:drawing>
      </w:r>
    </w:p>
    <w:p w14:paraId="7E519826" w14:textId="77777777" w:rsidR="00817B84" w:rsidRPr="00817B84" w:rsidRDefault="00817B84" w:rsidP="00817B84">
      <w:pPr>
        <w:spacing w:after="0" w:line="240" w:lineRule="auto"/>
        <w:contextualSpacing/>
        <w:jc w:val="both"/>
        <w:rPr>
          <w:rFonts w:eastAsia="Times New Roman" w:cs="Times New Roman"/>
          <w:i/>
          <w:iCs/>
          <w:szCs w:val="24"/>
        </w:rPr>
      </w:pPr>
      <w:r w:rsidRPr="00817B84">
        <w:rPr>
          <w:rFonts w:eastAsia="Times New Roman" w:cs="Times New Roman"/>
          <w:b/>
          <w:bCs/>
          <w:szCs w:val="24"/>
        </w:rPr>
        <w:t xml:space="preserve">Kopš 2022. gada februāra, ņemot vērā Krievijas karu Ukrainā, Rail </w:t>
      </w:r>
      <w:proofErr w:type="spellStart"/>
      <w:r w:rsidRPr="00817B84">
        <w:rPr>
          <w:rFonts w:eastAsia="Times New Roman" w:cs="Times New Roman"/>
          <w:b/>
          <w:bCs/>
          <w:szCs w:val="24"/>
        </w:rPr>
        <w:t>Baltica</w:t>
      </w:r>
      <w:proofErr w:type="spellEnd"/>
      <w:r w:rsidRPr="00817B84">
        <w:rPr>
          <w:rFonts w:eastAsia="Times New Roman" w:cs="Times New Roman"/>
          <w:b/>
          <w:bCs/>
          <w:szCs w:val="24"/>
        </w:rPr>
        <w:t xml:space="preserve"> projekta militārās mobilitātes konteksts kļuvis par vēl augstāku prioritāti.</w:t>
      </w:r>
      <w:r w:rsidRPr="00817B84">
        <w:rPr>
          <w:rFonts w:eastAsia="Times New Roman" w:cs="Times New Roman"/>
          <w:b/>
          <w:bCs/>
          <w:i/>
          <w:iCs/>
          <w:szCs w:val="24"/>
        </w:rPr>
        <w:t xml:space="preserve"> </w:t>
      </w:r>
      <w:r w:rsidRPr="00817B84">
        <w:rPr>
          <w:rFonts w:eastAsia="Times New Roman" w:cs="Times New Roman"/>
          <w:szCs w:val="24"/>
        </w:rPr>
        <w:t xml:space="preserve">Līdz ar to </w:t>
      </w:r>
      <w:r w:rsidRPr="00817B84">
        <w:rPr>
          <w:rFonts w:eastAsia="Times New Roman" w:cs="Times New Roman"/>
          <w:b/>
          <w:bCs/>
          <w:szCs w:val="24"/>
        </w:rPr>
        <w:t xml:space="preserve">nepastāv jautājumi par Rail </w:t>
      </w:r>
      <w:proofErr w:type="spellStart"/>
      <w:r w:rsidRPr="00817B84">
        <w:rPr>
          <w:rFonts w:eastAsia="Times New Roman" w:cs="Times New Roman"/>
          <w:b/>
          <w:bCs/>
          <w:szCs w:val="24"/>
        </w:rPr>
        <w:t>Baltica</w:t>
      </w:r>
      <w:proofErr w:type="spellEnd"/>
      <w:r w:rsidRPr="00817B84">
        <w:rPr>
          <w:rFonts w:eastAsia="Times New Roman" w:cs="Times New Roman"/>
          <w:b/>
          <w:bCs/>
          <w:szCs w:val="24"/>
        </w:rPr>
        <w:t xml:space="preserve"> Latvijas teritorijā dienvidu posma un ziemeļu posma prioritāti</w:t>
      </w:r>
      <w:r w:rsidRPr="00817B84">
        <w:rPr>
          <w:rFonts w:eastAsia="Times New Roman" w:cs="Times New Roman"/>
          <w:szCs w:val="24"/>
        </w:rPr>
        <w:t xml:space="preserve">, ņemot vērā, ka to izbūve nepieciešama savienojumu izveidei attiecīgi ar Lietuvu un Igauniju un alternatīvs ES sliežu platuma trasējums, pat pagaidu risinājumam, neeksistē. Vienlaikus š.g. 11. jūnija Ministru kabineta diskusijas rezultātā Satiksmes ministrijai, t.sk. SIA “Eiropas Dzelzceļa līnijas”, sadarbībā ar RB Rail AS ir uzdots izvērtēt iespējamos risinājumus un sagatavot priekšlikumus, tādējādi nodrošinot visaptverošu informāciju </w:t>
      </w:r>
      <w:proofErr w:type="spellStart"/>
      <w:r w:rsidRPr="00817B84">
        <w:rPr>
          <w:rFonts w:eastAsia="Times New Roman" w:cs="Times New Roman"/>
          <w:szCs w:val="24"/>
        </w:rPr>
        <w:t>izSvērta</w:t>
      </w:r>
      <w:proofErr w:type="spellEnd"/>
      <w:r w:rsidRPr="00817B84">
        <w:rPr>
          <w:rFonts w:eastAsia="Times New Roman" w:cs="Times New Roman"/>
          <w:szCs w:val="24"/>
        </w:rPr>
        <w:t xml:space="preserve"> lēmuma pieņemšanai par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w:t>
      </w:r>
      <w:proofErr w:type="spellStart"/>
      <w:r w:rsidRPr="00817B84">
        <w:rPr>
          <w:rFonts w:eastAsia="Times New Roman" w:cs="Times New Roman"/>
          <w:szCs w:val="24"/>
        </w:rPr>
        <w:t>pamattrases</w:t>
      </w:r>
      <w:proofErr w:type="spellEnd"/>
      <w:r w:rsidRPr="00817B84">
        <w:rPr>
          <w:rFonts w:eastAsia="Times New Roman" w:cs="Times New Roman"/>
          <w:szCs w:val="24"/>
        </w:rPr>
        <w:t xml:space="preserve"> posma caur Rīgu integrācijai projekta 1. kārtas tvērumā, kas </w:t>
      </w:r>
      <w:proofErr w:type="spellStart"/>
      <w:r w:rsidRPr="00817B84">
        <w:rPr>
          <w:rFonts w:eastAsia="Times New Roman" w:cs="Times New Roman"/>
          <w:szCs w:val="24"/>
        </w:rPr>
        <w:t>prioritizējama</w:t>
      </w:r>
      <w:proofErr w:type="spellEnd"/>
      <w:r w:rsidRPr="00817B84">
        <w:rPr>
          <w:rFonts w:eastAsia="Times New Roman" w:cs="Times New Roman"/>
          <w:szCs w:val="24"/>
        </w:rPr>
        <w:t xml:space="preserve"> ar mērķi nodrošināt darbspējīgu pārrobežu savienojumu līdz 2030. gada 31. decembrim. </w:t>
      </w:r>
    </w:p>
    <w:p w14:paraId="1B46D70D" w14:textId="77777777" w:rsidR="00817B84" w:rsidRPr="00817B84" w:rsidRDefault="00817B84" w:rsidP="00817B84">
      <w:pPr>
        <w:spacing w:after="0" w:line="240" w:lineRule="auto"/>
        <w:ind w:firstLine="360"/>
        <w:contextualSpacing/>
        <w:jc w:val="both"/>
        <w:rPr>
          <w:rFonts w:eastAsia="Times New Roman" w:cs="Times New Roman"/>
          <w:szCs w:val="24"/>
        </w:rPr>
      </w:pPr>
      <w:r w:rsidRPr="00817B84">
        <w:rPr>
          <w:rFonts w:eastAsia="Times New Roman" w:cs="Times New Roman"/>
          <w:szCs w:val="24"/>
        </w:rPr>
        <w:t xml:space="preserve">Atzīmējams, ka Latvijā, lai noteiktu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dzelzceļa līnijas trasi un ar to saistīto infrastruktūru, 2014. - 2016. gadā tika veikta sākotnējā tehniskā izpēte un ietekmes uz vidi novērtējums (IVN), kā rezultātā Vides pārvaldības valsts birojs (Vides Birojs) 2016. gada 3. maijā izdeva</w:t>
      </w:r>
      <w:bookmarkStart w:id="14" w:name="_Hlk169763875"/>
      <w:r w:rsidRPr="00817B84">
        <w:rPr>
          <w:rFonts w:eastAsia="Times New Roman" w:cs="Times New Roman"/>
          <w:szCs w:val="24"/>
        </w:rPr>
        <w:t xml:space="preserve"> Atzinumu Nr. 5 “Par Eiropas standarta platuma publiskās lietošanas dzelzceļa infrastruktūras līnijas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būvniecības ietekmes uz vidi novērtējuma ziņojumu” (Atzinums Nr. 5), kas ir pamats Ministru </w:t>
      </w:r>
      <w:bookmarkEnd w:id="14"/>
      <w:r w:rsidRPr="00817B84">
        <w:rPr>
          <w:rFonts w:eastAsia="Times New Roman" w:cs="Times New Roman"/>
          <w:szCs w:val="24"/>
        </w:rPr>
        <w:t xml:space="preserve">kabineta 2016. gada 24. augusta rīkojumam Nr. 467 “Par Eiropas standarta platuma publiskās lietošanas dzelzceļa infrastruktūras līnijas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būvniecības paredzētās darbības akceptu” (turpmāk - MK Rīkojums Nr. 467) un rīkojumam Nr. 468 “Par nacionālo interešu objekta statusa noteikšanu Eiropas standarta platuma publiskās lietošanas dzelzceļa infrastruktūrai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(MK Rīkojums Nr. 468). </w:t>
      </w:r>
    </w:p>
    <w:p w14:paraId="07B4E145"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Ar MK Rīkojumu Nr. 467,</w:t>
      </w:r>
      <w:r w:rsidRPr="00817B84">
        <w:rPr>
          <w:rFonts w:eastAsia="Times New Roman" w:cs="Times New Roman"/>
          <w:b/>
          <w:bCs/>
          <w:szCs w:val="24"/>
        </w:rPr>
        <w:t xml:space="preserve"> </w:t>
      </w:r>
      <w:r w:rsidRPr="00817B84">
        <w:rPr>
          <w:rFonts w:eastAsia="Times New Roman" w:cs="Times New Roman"/>
          <w:szCs w:val="24"/>
        </w:rPr>
        <w:t>balstoties uz IVN rezultātiem,</w:t>
      </w:r>
      <w:r w:rsidRPr="00817B84">
        <w:rPr>
          <w:rFonts w:eastAsia="Times New Roman" w:cs="Times New Roman"/>
          <w:b/>
          <w:bCs/>
          <w:szCs w:val="24"/>
        </w:rPr>
        <w:t xml:space="preserve"> Ministru kabinets ir noteicis, kur Latvijas teritorijā un ar kādiem risinājumiem būvējama Rail </w:t>
      </w:r>
      <w:proofErr w:type="spellStart"/>
      <w:r w:rsidRPr="00817B84">
        <w:rPr>
          <w:rFonts w:eastAsia="Times New Roman" w:cs="Times New Roman"/>
          <w:b/>
          <w:bCs/>
          <w:szCs w:val="24"/>
        </w:rPr>
        <w:t>Baltica</w:t>
      </w:r>
      <w:proofErr w:type="spellEnd"/>
      <w:r w:rsidRPr="00817B84">
        <w:rPr>
          <w:rFonts w:eastAsia="Times New Roman" w:cs="Times New Roman"/>
          <w:b/>
          <w:bCs/>
          <w:szCs w:val="24"/>
        </w:rPr>
        <w:t xml:space="preserve"> trase Latvijā, tai skaitā noteicis, ka Rail </w:t>
      </w:r>
      <w:proofErr w:type="spellStart"/>
      <w:r w:rsidRPr="00817B84">
        <w:rPr>
          <w:rFonts w:eastAsia="Times New Roman" w:cs="Times New Roman"/>
          <w:b/>
          <w:bCs/>
          <w:szCs w:val="24"/>
        </w:rPr>
        <w:t>Baltica</w:t>
      </w:r>
      <w:proofErr w:type="spellEnd"/>
      <w:r w:rsidRPr="00817B84">
        <w:rPr>
          <w:rFonts w:eastAsia="Times New Roman" w:cs="Times New Roman"/>
          <w:b/>
          <w:bCs/>
          <w:szCs w:val="24"/>
        </w:rPr>
        <w:t xml:space="preserve"> koridors ietver Rīgas posmu caur Rīgu, kur kravu pārvadājumi netiks veikti</w:t>
      </w:r>
      <w:r w:rsidRPr="00817B84">
        <w:rPr>
          <w:rFonts w:eastAsia="Times New Roman" w:cs="Times New Roman"/>
          <w:szCs w:val="24"/>
        </w:rPr>
        <w:t xml:space="preserve"> (no K. Ulmaņa gatves dienvidos līdz Rīgas Preču 2 stacijai ziemeļos (paredzēti tikai pasažieru pārvadājumi). MK Rīkojums Nr. 467 ir lēmums, kas pieņemts, balstoties uz Dzelzceļa likuma 22. panta un likuma “Par ietekmes uz vidi novērtējumu” (IVN likums) 21. panta pirmās daļas un </w:t>
      </w:r>
      <w:r w:rsidRPr="00817B84">
        <w:rPr>
          <w:rFonts w:eastAsia="Times New Roman" w:cs="Times New Roman"/>
          <w:szCs w:val="24"/>
        </w:rPr>
        <w:lastRenderedPageBreak/>
        <w:t xml:space="preserve">deleģējumu, kas paredz, ka Ministru kabinets lēmumu par akceptējamo darbību pieņem, vispusīgi izvērtējis IVN ziņojumu, pašvaldības un sabiedrības viedokli un ievērojot kompetentās institūcijas atzinumu par IVN ziņojumu. Rīkojuma Nr. 467 5.2. punkts noteic: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īstenojams atbilstoši paredzētās IVN ietvaros izstrādātajam ziņojumam un biroja 2016. gada 3. maija atzinumam Nr. 5 "Par Eiropas standarta platuma publiskās lietošanas dzelzceļa infrastruktūras līnijas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būvniecības ietekmes uz vidi novērtējuma ziņojumu". </w:t>
      </w:r>
      <w:r w:rsidRPr="00817B84">
        <w:rPr>
          <w:rFonts w:eastAsia="Times New Roman" w:cs="Times New Roman"/>
          <w:b/>
          <w:bCs/>
          <w:szCs w:val="24"/>
        </w:rPr>
        <w:t xml:space="preserve">Rail </w:t>
      </w:r>
      <w:proofErr w:type="spellStart"/>
      <w:r w:rsidRPr="00817B84">
        <w:rPr>
          <w:rFonts w:eastAsia="Times New Roman" w:cs="Times New Roman"/>
          <w:b/>
          <w:bCs/>
          <w:szCs w:val="24"/>
        </w:rPr>
        <w:t>Baltica</w:t>
      </w:r>
      <w:proofErr w:type="spellEnd"/>
      <w:r w:rsidRPr="00817B84">
        <w:rPr>
          <w:rFonts w:eastAsia="Times New Roman" w:cs="Times New Roman"/>
          <w:b/>
          <w:bCs/>
          <w:szCs w:val="24"/>
        </w:rPr>
        <w:t xml:space="preserve"> Latvijas teritorijā  tiek plānota un projektēta atbilstoši Ministru kabineta mandātam un uzdevumam attiecībā uz kravu neparedzēšanu Rīgā, tai skaitā plānots un projektēts tehniskajā izpildījumā, kas līdz šim neparedz kravu pārvadājumus cauri Rīgai.</w:t>
      </w:r>
    </w:p>
    <w:p w14:paraId="4132DBD9"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Īpaši atzīmējams, ka sākotnējā projekta ieviešanas stadijā lēmums par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pasažieru līnijas trasējumu caur Rīgu tika pieņemts vēlīnā sākotnējās detalizētās tehniskās izpētes laikā. Lai gan sākotnējā detalizētā izpēte bija pietiekama, lai pieņemtu konceptuālos lēmumus, projekta risinājumu detalizēšana tika atstāta turpmākām īstenošanas kārtām (galvenokārt, projektēšanas fāzei). Rīgas posms atzīts kā īpaši sarežģīts, jo jāpanāk, ka </w:t>
      </w:r>
      <w:bookmarkStart w:id="15" w:name="_Hlk169698262"/>
      <w:r w:rsidRPr="00817B84">
        <w:rPr>
          <w:rFonts w:eastAsia="Times New Roman" w:cs="Times New Roman"/>
          <w:szCs w:val="24"/>
        </w:rPr>
        <w:t xml:space="preserve">dzelzceļa līnija tiek integrēta esošajā dzīves telpā, kur jāpanāk, ka tiek nodrošināta esošo infrastruktūras un inženierkomunikāciju objektu funkcionēšana, saglabāta teritoriju integritāte, nodrošināta mobilitāte un teritoriju sasniedzamība. </w:t>
      </w:r>
      <w:bookmarkEnd w:id="15"/>
      <w:r w:rsidRPr="00817B84">
        <w:rPr>
          <w:rFonts w:eastAsia="Times New Roman" w:cs="Times New Roman"/>
          <w:szCs w:val="24"/>
        </w:rPr>
        <w:t xml:space="preserve">Aktuālā situācija gan abu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starptautisko staciju, gan </w:t>
      </w:r>
      <w:proofErr w:type="spellStart"/>
      <w:r w:rsidRPr="00817B84">
        <w:rPr>
          <w:rFonts w:eastAsia="Times New Roman" w:cs="Times New Roman"/>
          <w:szCs w:val="24"/>
        </w:rPr>
        <w:t>pamattrases</w:t>
      </w:r>
      <w:proofErr w:type="spellEnd"/>
      <w:r w:rsidRPr="00817B84">
        <w:rPr>
          <w:rFonts w:eastAsia="Times New Roman" w:cs="Times New Roman"/>
          <w:szCs w:val="24"/>
        </w:rPr>
        <w:t xml:space="preserve"> projektēšanas gaitā apstiprina, ka </w:t>
      </w:r>
      <w:r w:rsidRPr="00817B84">
        <w:rPr>
          <w:rFonts w:eastAsia="Times New Roman" w:cs="Times New Roman"/>
          <w:b/>
          <w:bCs/>
          <w:szCs w:val="24"/>
        </w:rPr>
        <w:t>Rīgas posms ir vissarežģītākais Latvijas teritorijā</w:t>
      </w:r>
      <w:r w:rsidRPr="00817B84">
        <w:rPr>
          <w:rFonts w:eastAsia="Times New Roman" w:cs="Times New Roman"/>
          <w:szCs w:val="24"/>
        </w:rPr>
        <w:t xml:space="preserve">. </w:t>
      </w:r>
    </w:p>
    <w:p w14:paraId="5728EE1F"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t xml:space="preserve">Tādēļ šis materiāls identificē galvenos apstākļus, kas tieši ietekmē Rīgas posma ieviešanu, vienlaikus identificējot lēmumus, normatīvu grozījumus un citas rīcības, kas veicamas  identificēto šķēršļu novēršanai, kā arī vērtējumu, vai šādu šķēršļu novēršana ir savienojama ar mērķi – līdz 2030. gada 31. decembrim izbūvēt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trases posmu Latvijā, nekavējot pārrobežu savienojuma izveidei.</w:t>
      </w:r>
    </w:p>
    <w:p w14:paraId="5843F061" w14:textId="77777777" w:rsidR="00817B84" w:rsidRPr="00817B84" w:rsidRDefault="00817B84" w:rsidP="00817B84">
      <w:pPr>
        <w:tabs>
          <w:tab w:val="left" w:pos="567"/>
        </w:tabs>
        <w:spacing w:after="0" w:line="240" w:lineRule="auto"/>
        <w:contextualSpacing/>
        <w:jc w:val="both"/>
        <w:rPr>
          <w:rFonts w:eastAsia="Times New Roman" w:cs="Times New Roman"/>
          <w:szCs w:val="24"/>
        </w:rPr>
      </w:pPr>
      <w:r w:rsidRPr="00817B84">
        <w:rPr>
          <w:rFonts w:eastAsia="Times New Roman" w:cs="Times New Roman"/>
          <w:szCs w:val="24"/>
        </w:rPr>
        <w:tab/>
      </w:r>
      <w:r w:rsidRPr="00817B84">
        <w:rPr>
          <w:rFonts w:eastAsia="Times New Roman" w:cs="Times New Roman"/>
          <w:b/>
          <w:bCs/>
          <w:szCs w:val="24"/>
        </w:rPr>
        <w:t xml:space="preserve">Ņemot vērā projekta </w:t>
      </w:r>
      <w:proofErr w:type="spellStart"/>
      <w:r w:rsidRPr="00817B84">
        <w:rPr>
          <w:rFonts w:eastAsia="Times New Roman" w:cs="Times New Roman"/>
          <w:b/>
          <w:bCs/>
          <w:szCs w:val="24"/>
        </w:rPr>
        <w:t>ģeostratēgisko</w:t>
      </w:r>
      <w:proofErr w:type="spellEnd"/>
      <w:r w:rsidRPr="00817B84">
        <w:rPr>
          <w:rFonts w:eastAsia="Times New Roman" w:cs="Times New Roman"/>
          <w:b/>
          <w:bCs/>
          <w:szCs w:val="24"/>
        </w:rPr>
        <w:t xml:space="preserve"> nozīmi, savlaicīga un izsvērta lēmuma pieņemšana ir skatāma ne tikai Latvijas interešu, bet arī Latvijas reputācijas kontekstā – gan sadarbībā ar vistiešākajiem projekta partneriem reģionā, gan ES, kā arī NATO partneriem. </w:t>
      </w:r>
      <w:r w:rsidRPr="00817B84">
        <w:rPr>
          <w:rFonts w:eastAsia="Times New Roman" w:cs="Times New Roman"/>
          <w:szCs w:val="24"/>
        </w:rPr>
        <w:t xml:space="preserve">Turklāt atzīmējams, ka līdz ar jaunā Eiropas Parlamenta un Eiropas Komisijas </w:t>
      </w:r>
      <w:proofErr w:type="spellStart"/>
      <w:r w:rsidRPr="00817B84">
        <w:rPr>
          <w:rFonts w:eastAsia="Times New Roman" w:cs="Times New Roman"/>
          <w:szCs w:val="24"/>
        </w:rPr>
        <w:t>sasaukuma</w:t>
      </w:r>
      <w:proofErr w:type="spellEnd"/>
      <w:r w:rsidRPr="00817B84">
        <w:rPr>
          <w:rFonts w:eastAsia="Times New Roman" w:cs="Times New Roman"/>
          <w:szCs w:val="24"/>
        </w:rPr>
        <w:t xml:space="preserve"> darba uzsākšanu, uzsāksies diskusijas par ES daudzgadu budžetu 2028. – 2034. gadam. </w:t>
      </w:r>
      <w:r w:rsidRPr="00817B84">
        <w:rPr>
          <w:rFonts w:eastAsia="Times New Roman" w:cs="Times New Roman"/>
          <w:b/>
          <w:bCs/>
          <w:szCs w:val="24"/>
        </w:rPr>
        <w:t xml:space="preserve">Ņemot vērā nākamā ES daudzgadu budžeta izšķirošo lomu 1. kārtas ieviešanas iespējamībā, </w:t>
      </w:r>
      <w:r w:rsidRPr="00817B84">
        <w:rPr>
          <w:rFonts w:eastAsia="Times New Roman" w:cs="Times New Roman"/>
          <w:szCs w:val="24"/>
        </w:rPr>
        <w:t xml:space="preserve">Latvijas kopā ar pārējiem projekta partneriem tieša un </w:t>
      </w:r>
      <w:proofErr w:type="spellStart"/>
      <w:r w:rsidRPr="00817B84">
        <w:rPr>
          <w:rFonts w:eastAsia="Times New Roman" w:cs="Times New Roman"/>
          <w:szCs w:val="24"/>
        </w:rPr>
        <w:t>prioritizējama</w:t>
      </w:r>
      <w:proofErr w:type="spellEnd"/>
      <w:r w:rsidRPr="00817B84">
        <w:rPr>
          <w:rFonts w:eastAsia="Times New Roman" w:cs="Times New Roman"/>
          <w:szCs w:val="24"/>
        </w:rPr>
        <w:t xml:space="preserve"> interese ir uzrādīt pēc iespējas augstāku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kā vienota pārrobežu projekta briedumu, fizisko starpvalstu savienojuma būvniecības progresu, kā arī ES būvniecības sektora spēlētāju aktīvu iesaisti, tādējādi veicinot projektam labvēlīgu lēmumu pieņemšanu. Tādēļ jāizvairās no lēmumiem, vai lēmumu trūkuma, kas negatīvi ietekmē mērķi līdz 2030. gada beigām izveidot 1. kārtas pārrobežu savienojumu, tādējādi nenodrošinot TEN-T pamata tīkla kritiski iztrūkstoša elementa ar augstu </w:t>
      </w:r>
      <w:proofErr w:type="spellStart"/>
      <w:r w:rsidRPr="00817B84">
        <w:rPr>
          <w:rFonts w:eastAsia="Times New Roman" w:cs="Times New Roman"/>
          <w:szCs w:val="24"/>
        </w:rPr>
        <w:t>ģeostratēģisko</w:t>
      </w:r>
      <w:proofErr w:type="spellEnd"/>
      <w:r w:rsidRPr="00817B84">
        <w:rPr>
          <w:rFonts w:eastAsia="Times New Roman" w:cs="Times New Roman"/>
          <w:szCs w:val="24"/>
        </w:rPr>
        <w:t xml:space="preserve"> nozīmi izveidi, jo šāda situācija tieši un negatīvi ietekmētu diskusijas par ES daudzgadu budžetu pēc 2027. gada un tādējādi – projekta ieviešanu – gan 1. kārtas ieviešanu līdz 2030. gada beigām, gan atlikušās daļas, kas nepieciešamas pilnai izdevumu- ieguvumu analīzes (2024) identificēto sociālekonomisko ieguvumu </w:t>
      </w:r>
      <w:proofErr w:type="spellStart"/>
      <w:r w:rsidRPr="00817B84">
        <w:rPr>
          <w:rFonts w:eastAsia="Times New Roman" w:cs="Times New Roman"/>
          <w:szCs w:val="24"/>
        </w:rPr>
        <w:t>iespējošanai</w:t>
      </w:r>
      <w:proofErr w:type="spellEnd"/>
      <w:r w:rsidRPr="00817B84">
        <w:rPr>
          <w:rFonts w:eastAsia="Times New Roman" w:cs="Times New Roman"/>
          <w:szCs w:val="24"/>
        </w:rPr>
        <w:t xml:space="preserve">. </w:t>
      </w:r>
    </w:p>
    <w:p w14:paraId="4169A044" w14:textId="77777777" w:rsidR="00817B84" w:rsidRPr="00817B84" w:rsidRDefault="00817B84" w:rsidP="00817B84">
      <w:pPr>
        <w:spacing w:after="0" w:line="240" w:lineRule="auto"/>
        <w:ind w:firstLine="360"/>
        <w:contextualSpacing/>
        <w:jc w:val="both"/>
        <w:rPr>
          <w:rFonts w:eastAsia="Times New Roman" w:cs="Times New Roman"/>
          <w:szCs w:val="24"/>
        </w:rPr>
      </w:pPr>
      <w:r w:rsidRPr="00817B84">
        <w:rPr>
          <w:rFonts w:eastAsia="Times New Roman" w:cs="Times New Roman"/>
          <w:szCs w:val="24"/>
        </w:rPr>
        <w:t xml:space="preserve">Būtiski atzīmēt, ka, ņemot vērā Rail </w:t>
      </w:r>
      <w:proofErr w:type="spellStart"/>
      <w:r w:rsidRPr="00817B84">
        <w:rPr>
          <w:rFonts w:eastAsia="Times New Roman" w:cs="Times New Roman"/>
          <w:szCs w:val="24"/>
        </w:rPr>
        <w:t>Baltica</w:t>
      </w:r>
      <w:proofErr w:type="spellEnd"/>
      <w:r w:rsidRPr="00817B84">
        <w:rPr>
          <w:rFonts w:eastAsia="Times New Roman" w:cs="Times New Roman"/>
          <w:szCs w:val="24"/>
        </w:rPr>
        <w:t xml:space="preserve"> pārrobežu dabu, </w:t>
      </w:r>
      <w:bookmarkStart w:id="16" w:name="_Hlk169698568"/>
      <w:r w:rsidRPr="00817B84">
        <w:rPr>
          <w:rFonts w:eastAsia="Times New Roman" w:cs="Times New Roman"/>
          <w:b/>
          <w:bCs/>
          <w:szCs w:val="24"/>
        </w:rPr>
        <w:t xml:space="preserve">lēmums par 1. kārtas tvērumu ir skaņojams ar projekta partneriem, t.sk. arī ES </w:t>
      </w:r>
      <w:bookmarkEnd w:id="16"/>
      <w:r w:rsidRPr="00817B84">
        <w:rPr>
          <w:rFonts w:eastAsia="Times New Roman" w:cs="Times New Roman"/>
          <w:b/>
          <w:bCs/>
          <w:szCs w:val="24"/>
        </w:rPr>
        <w:t xml:space="preserve">un attiecīgi </w:t>
      </w:r>
      <w:r w:rsidRPr="00817B84">
        <w:rPr>
          <w:rFonts w:eastAsia="Times New Roman" w:cs="Times New Roman"/>
          <w:b/>
          <w:bCs/>
          <w:szCs w:val="24"/>
        </w:rPr>
        <w:lastRenderedPageBreak/>
        <w:t>nostiprināms gan ES līmeņa Komisijas ieviešanas lēmuma</w:t>
      </w:r>
      <w:r w:rsidRPr="00817B84">
        <w:rPr>
          <w:rFonts w:eastAsia="Times New Roman" w:cs="Times New Roman"/>
          <w:b/>
          <w:bCs/>
          <w:szCs w:val="24"/>
          <w:vertAlign w:val="superscript"/>
        </w:rPr>
        <w:footnoteReference w:id="5"/>
      </w:r>
      <w:r w:rsidRPr="00817B84">
        <w:rPr>
          <w:rFonts w:eastAsia="Times New Roman" w:cs="Times New Roman"/>
          <w:b/>
          <w:bCs/>
          <w:szCs w:val="24"/>
        </w:rPr>
        <w:t xml:space="preserve">, gan arī Rail </w:t>
      </w:r>
      <w:proofErr w:type="spellStart"/>
      <w:r w:rsidRPr="00817B84">
        <w:rPr>
          <w:rFonts w:eastAsia="Times New Roman" w:cs="Times New Roman"/>
          <w:b/>
          <w:bCs/>
          <w:szCs w:val="24"/>
        </w:rPr>
        <w:t>Baltica</w:t>
      </w:r>
      <w:proofErr w:type="spellEnd"/>
      <w:r w:rsidRPr="00817B84">
        <w:rPr>
          <w:rFonts w:eastAsia="Times New Roman" w:cs="Times New Roman"/>
          <w:b/>
          <w:bCs/>
          <w:szCs w:val="24"/>
        </w:rPr>
        <w:t xml:space="preserve"> Starpvalstu nolīguma</w:t>
      </w:r>
      <w:r w:rsidRPr="00817B84">
        <w:rPr>
          <w:rFonts w:eastAsia="Times New Roman" w:cs="Times New Roman"/>
          <w:b/>
          <w:bCs/>
          <w:szCs w:val="24"/>
          <w:vertAlign w:val="superscript"/>
        </w:rPr>
        <w:footnoteReference w:id="6"/>
      </w:r>
      <w:r w:rsidRPr="00817B84">
        <w:rPr>
          <w:rFonts w:eastAsia="Times New Roman" w:cs="Times New Roman"/>
          <w:b/>
          <w:bCs/>
          <w:szCs w:val="24"/>
        </w:rPr>
        <w:t xml:space="preserve"> grozījumos</w:t>
      </w:r>
      <w:r w:rsidRPr="00817B84">
        <w:rPr>
          <w:rFonts w:eastAsia="Times New Roman" w:cs="Times New Roman"/>
          <w:szCs w:val="24"/>
        </w:rPr>
        <w:t>.</w:t>
      </w:r>
    </w:p>
    <w:p w14:paraId="237B589F" w14:textId="77777777" w:rsidR="00B1303E" w:rsidRDefault="00B1303E"/>
    <w:sectPr w:rsidR="00B1303E">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E0E60" w14:textId="77777777" w:rsidR="00700A7D" w:rsidRDefault="00700A7D" w:rsidP="00817B84">
      <w:pPr>
        <w:spacing w:after="0" w:line="240" w:lineRule="auto"/>
      </w:pPr>
      <w:r>
        <w:separator/>
      </w:r>
    </w:p>
  </w:endnote>
  <w:endnote w:type="continuationSeparator" w:id="0">
    <w:p w14:paraId="3C586790" w14:textId="77777777" w:rsidR="00700A7D" w:rsidRDefault="00700A7D" w:rsidP="00817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200247B" w:usb2="00000009" w:usb3="00000000" w:csb0="000001FF" w:csb1="00000000"/>
  </w:font>
  <w:font w:name="Myriad Pro">
    <w:altName w:val="Segoe UI"/>
    <w:panose1 w:val="00000000000000000000"/>
    <w:charset w:val="00"/>
    <w:family w:val="swiss"/>
    <w:notTrueType/>
    <w:pitch w:val="variable"/>
    <w:sig w:usb0="A00002AF" w:usb1="50002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46BE99" w14:textId="77777777" w:rsidR="00700A7D" w:rsidRDefault="00700A7D" w:rsidP="00817B84">
      <w:pPr>
        <w:spacing w:after="0" w:line="240" w:lineRule="auto"/>
      </w:pPr>
      <w:r>
        <w:separator/>
      </w:r>
    </w:p>
  </w:footnote>
  <w:footnote w:type="continuationSeparator" w:id="0">
    <w:p w14:paraId="3B3F018E" w14:textId="77777777" w:rsidR="00700A7D" w:rsidRDefault="00700A7D" w:rsidP="00817B84">
      <w:pPr>
        <w:spacing w:after="0" w:line="240" w:lineRule="auto"/>
      </w:pPr>
      <w:r>
        <w:continuationSeparator/>
      </w:r>
    </w:p>
  </w:footnote>
  <w:footnote w:id="1">
    <w:p w14:paraId="60D179B6" w14:textId="77777777" w:rsidR="00817B84" w:rsidRPr="00817B84" w:rsidRDefault="00817B84" w:rsidP="00817B84">
      <w:pPr>
        <w:snapToGrid w:val="0"/>
        <w:spacing w:after="0" w:line="240" w:lineRule="auto"/>
        <w:jc w:val="both"/>
        <w:rPr>
          <w:rFonts w:eastAsia="Times New Roman" w:cs="Times New Roman"/>
          <w:color w:val="000000"/>
          <w:sz w:val="20"/>
          <w:szCs w:val="20"/>
          <w:lang w:eastAsia="lv-LV"/>
        </w:rPr>
      </w:pPr>
      <w:r w:rsidRPr="00817B84">
        <w:rPr>
          <w:rStyle w:val="FootnoteReference"/>
          <w:rFonts w:cs="Times New Roman"/>
          <w:color w:val="000000"/>
          <w:sz w:val="20"/>
          <w:szCs w:val="20"/>
        </w:rPr>
        <w:footnoteRef/>
      </w:r>
      <w:r w:rsidRPr="00817B84">
        <w:rPr>
          <w:rFonts w:cs="Times New Roman"/>
          <w:color w:val="000000"/>
          <w:sz w:val="20"/>
          <w:szCs w:val="20"/>
        </w:rPr>
        <w:t xml:space="preserve"> </w:t>
      </w:r>
      <w:r w:rsidRPr="00817B84">
        <w:rPr>
          <w:rFonts w:eastAsia="Times New Roman" w:cs="Times New Roman"/>
          <w:color w:val="000000"/>
          <w:sz w:val="20"/>
          <w:szCs w:val="20"/>
          <w:lang w:eastAsia="lv-LV"/>
        </w:rPr>
        <w:t>Satiksmes ministrijas sagatavotā nacionālā pozīcija Nr. 1 “Priekšlikums Eiropas Parlamenta un Padomes Regula par dzelzceļa infrastruktūras jaudas izmantošanu vienotā Eiropas dzelzceļa telpā, ar ko groza Direktīvu 2012/34/ES un atceļ Regulu (ES) Nr. 913/2010” apstiprināta Ministru kabineta 2022. gada 5. aprīļa sēdē un izskatīta Saeimas Eiropas lietu komisijas 2022. gada 27. aprīļa sēdē.</w:t>
      </w:r>
    </w:p>
    <w:p w14:paraId="5F372AC2" w14:textId="77777777" w:rsidR="00817B84" w:rsidRPr="001259D2" w:rsidRDefault="00817B84" w:rsidP="00817B84">
      <w:pPr>
        <w:pStyle w:val="FootnoteText"/>
        <w:jc w:val="both"/>
        <w:rPr>
          <w:rFonts w:cs="Times New Roman"/>
        </w:rPr>
      </w:pPr>
    </w:p>
  </w:footnote>
  <w:footnote w:id="2">
    <w:p w14:paraId="6270470A" w14:textId="77777777" w:rsidR="00817B84" w:rsidRPr="001259D2" w:rsidRDefault="00817B84" w:rsidP="00817B84">
      <w:pPr>
        <w:snapToGrid w:val="0"/>
        <w:spacing w:after="0" w:line="240" w:lineRule="auto"/>
        <w:jc w:val="both"/>
        <w:rPr>
          <w:rFonts w:eastAsia="Times New Roman" w:cs="Times New Roman"/>
          <w:b/>
          <w:bCs/>
          <w:sz w:val="20"/>
          <w:szCs w:val="20"/>
          <w:lang w:eastAsia="lv-LV"/>
        </w:rPr>
      </w:pPr>
      <w:r w:rsidRPr="001259D2">
        <w:rPr>
          <w:rStyle w:val="FootnoteReference"/>
          <w:rFonts w:cs="Times New Roman"/>
          <w:sz w:val="20"/>
          <w:szCs w:val="20"/>
        </w:rPr>
        <w:footnoteRef/>
      </w:r>
      <w:r w:rsidRPr="001259D2">
        <w:rPr>
          <w:rFonts w:cs="Times New Roman"/>
          <w:sz w:val="20"/>
          <w:szCs w:val="20"/>
        </w:rPr>
        <w:t xml:space="preserve"> </w:t>
      </w:r>
      <w:r w:rsidRPr="001259D2">
        <w:rPr>
          <w:rFonts w:eastAsia="Times New Roman" w:cs="Times New Roman"/>
          <w:sz w:val="20"/>
          <w:szCs w:val="20"/>
          <w:lang w:eastAsia="lv-LV"/>
        </w:rPr>
        <w:t>Satiksmes ministrijas sagatavotā nacionālā pozīcija Nr. 1 “Priekšlikums Eiropas Parlamenta un Padomes Regula par dzelzceļa infrastruktūras jaudas izmantošanu vienotā Eiropas dzelzceļa telpā, ar ko groza Direktīvu 2012/34/ES un atceļ Regulu (ES) Nr. 913/2010” apstiprināta Ministru kabineta 2023. gada 17. oktobra sēdē un izskatīta Saeimas Eiropas lietu komisijas 2023. gada 1. novembra sēdē.</w:t>
      </w:r>
    </w:p>
  </w:footnote>
  <w:footnote w:id="3">
    <w:p w14:paraId="0862406C" w14:textId="77777777" w:rsidR="00817B84" w:rsidRDefault="00817B84" w:rsidP="00817B84">
      <w:pPr>
        <w:pStyle w:val="FootnoteText"/>
        <w:jc w:val="both"/>
      </w:pPr>
      <w:r>
        <w:rPr>
          <w:rStyle w:val="FootnoteReference"/>
        </w:rPr>
        <w:footnoteRef/>
      </w:r>
      <w:r>
        <w:t xml:space="preserve">Transponēta Latvijā šādos tiesību aktos: </w:t>
      </w:r>
      <w:r w:rsidRPr="006831E3">
        <w:t>https://eur-lex.europa.eu/legal-content/LV/NIM/?uri=CELEX:32016L0797</w:t>
      </w:r>
    </w:p>
  </w:footnote>
  <w:footnote w:id="4">
    <w:p w14:paraId="3C4E3764" w14:textId="77777777" w:rsidR="00817B84" w:rsidRPr="001259D2" w:rsidRDefault="00817B84" w:rsidP="00817B84">
      <w:pPr>
        <w:pStyle w:val="FootnoteText"/>
        <w:jc w:val="both"/>
        <w:rPr>
          <w:rFonts w:cs="Times New Roman"/>
        </w:rPr>
      </w:pPr>
      <w:r w:rsidRPr="001259D2">
        <w:rPr>
          <w:rStyle w:val="FootnoteReference"/>
          <w:rFonts w:cs="Times New Roman"/>
        </w:rPr>
        <w:footnoteRef/>
      </w:r>
      <w:r w:rsidRPr="001259D2">
        <w:rPr>
          <w:rFonts w:cs="Times New Roman"/>
        </w:rPr>
        <w:t xml:space="preserve"> </w:t>
      </w:r>
      <w:bookmarkStart w:id="13" w:name="_Hlk169775362"/>
      <w:r w:rsidRPr="001259D2">
        <w:rPr>
          <w:rFonts w:cs="Times New Roman"/>
        </w:rPr>
        <w:t xml:space="preserve">Ministru kabineta 2016.gada 24.augusta rīkojums Nr.467 “Par Eiropas standarta platuma publiskās lietošanas dzelzceļa infrastruktūras līnijas Rail </w:t>
      </w:r>
      <w:proofErr w:type="spellStart"/>
      <w:r w:rsidRPr="001259D2">
        <w:rPr>
          <w:rFonts w:cs="Times New Roman"/>
        </w:rPr>
        <w:t>Baltica</w:t>
      </w:r>
      <w:proofErr w:type="spellEnd"/>
      <w:r w:rsidRPr="001259D2">
        <w:rPr>
          <w:rFonts w:cs="Times New Roman"/>
        </w:rPr>
        <w:t xml:space="preserve"> būvniecības paredzētās darbības akceptu”</w:t>
      </w:r>
      <w:bookmarkEnd w:id="13"/>
    </w:p>
  </w:footnote>
  <w:footnote w:id="5">
    <w:p w14:paraId="1FAFCE19" w14:textId="77777777" w:rsidR="00817B84" w:rsidRPr="001259D2" w:rsidRDefault="00817B84" w:rsidP="00817B84">
      <w:pPr>
        <w:pStyle w:val="FootnoteText"/>
        <w:jc w:val="both"/>
        <w:rPr>
          <w:rFonts w:cs="Times New Roman"/>
        </w:rPr>
      </w:pPr>
      <w:r w:rsidRPr="001259D2">
        <w:rPr>
          <w:rStyle w:val="FootnoteReference"/>
          <w:rFonts w:cs="Times New Roman"/>
        </w:rPr>
        <w:footnoteRef/>
      </w:r>
      <w:r w:rsidRPr="001259D2">
        <w:rPr>
          <w:rFonts w:cs="Times New Roman"/>
        </w:rPr>
        <w:t xml:space="preserve"> </w:t>
      </w:r>
      <w:hyperlink r:id="rId1" w:history="1">
        <w:r w:rsidRPr="001259D2">
          <w:rPr>
            <w:rStyle w:val="Hyperlink1"/>
            <w:rFonts w:cs="Times New Roman"/>
          </w:rPr>
          <w:t>https://eur-lex.europa.eu/legal-content/LV/TXT/?uri=CELEX%3A32018D1723</w:t>
        </w:r>
      </w:hyperlink>
      <w:r w:rsidRPr="001259D2">
        <w:rPr>
          <w:rFonts w:cs="Times New Roman"/>
        </w:rPr>
        <w:t xml:space="preserve"> </w:t>
      </w:r>
    </w:p>
  </w:footnote>
  <w:footnote w:id="6">
    <w:p w14:paraId="36825599" w14:textId="77777777" w:rsidR="00817B84" w:rsidRPr="001259D2" w:rsidRDefault="00817B84" w:rsidP="00817B84">
      <w:pPr>
        <w:pStyle w:val="FootnoteText"/>
        <w:jc w:val="both"/>
        <w:rPr>
          <w:rFonts w:cs="Times New Roman"/>
        </w:rPr>
      </w:pPr>
      <w:r w:rsidRPr="001259D2">
        <w:rPr>
          <w:rStyle w:val="FootnoteReference"/>
          <w:rFonts w:cs="Times New Roman"/>
        </w:rPr>
        <w:footnoteRef/>
      </w:r>
      <w:hyperlink r:id="rId2" w:history="1">
        <w:r w:rsidRPr="00BB0904">
          <w:rPr>
            <w:rStyle w:val="Hyperlink1"/>
            <w:rFonts w:cs="Times New Roman"/>
          </w:rPr>
          <w:t>https://likumi.lv/ta/id/292029-par-igaunijas-republikas-valdibas-latvijas-republikas-valdibas-un-lietuvas-republikas-valdibas-ligumu-par-irail-balticrail-balticai-dzelzcela-savienojuma-izveidi</w:t>
        </w:r>
      </w:hyperlink>
      <w:r w:rsidRPr="001259D2">
        <w:rPr>
          <w:rFonts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A17AAB"/>
    <w:multiLevelType w:val="hybridMultilevel"/>
    <w:tmpl w:val="1922B640"/>
    <w:lvl w:ilvl="0" w:tplc="0426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7E4C774F"/>
    <w:multiLevelType w:val="hybridMultilevel"/>
    <w:tmpl w:val="15B2B208"/>
    <w:lvl w:ilvl="0" w:tplc="0426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772045196">
    <w:abstractNumId w:val="1"/>
  </w:num>
  <w:num w:numId="2" w16cid:durableId="1211841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B84"/>
    <w:rsid w:val="003A1FDA"/>
    <w:rsid w:val="00700A7D"/>
    <w:rsid w:val="0071041B"/>
    <w:rsid w:val="007A597F"/>
    <w:rsid w:val="007B0C29"/>
    <w:rsid w:val="007D47EA"/>
    <w:rsid w:val="00817B84"/>
    <w:rsid w:val="00820983"/>
    <w:rsid w:val="00A15425"/>
    <w:rsid w:val="00A42337"/>
    <w:rsid w:val="00B1303E"/>
    <w:rsid w:val="00D070D9"/>
    <w:rsid w:val="00DB7A4A"/>
    <w:rsid w:val="00F477E7"/>
    <w:rsid w:val="00FB36E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57F0F"/>
  <w15:chartTrackingRefBased/>
  <w15:docId w15:val="{238D4136-BBC8-4515-B6B8-5AEA8F80B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7B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7B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7B8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7B8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17B8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17B8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17B8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17B8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17B8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7B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7B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7B8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7B8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17B8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17B8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17B8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17B8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17B8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17B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7B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7B8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7B8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17B84"/>
    <w:pPr>
      <w:spacing w:before="160"/>
      <w:jc w:val="center"/>
    </w:pPr>
    <w:rPr>
      <w:i/>
      <w:iCs/>
      <w:color w:val="404040" w:themeColor="text1" w:themeTint="BF"/>
    </w:rPr>
  </w:style>
  <w:style w:type="character" w:customStyle="1" w:styleId="QuoteChar">
    <w:name w:val="Quote Char"/>
    <w:basedOn w:val="DefaultParagraphFont"/>
    <w:link w:val="Quote"/>
    <w:uiPriority w:val="29"/>
    <w:rsid w:val="00817B84"/>
    <w:rPr>
      <w:i/>
      <w:iCs/>
      <w:color w:val="404040" w:themeColor="text1" w:themeTint="BF"/>
    </w:rPr>
  </w:style>
  <w:style w:type="paragraph" w:styleId="ListParagraph">
    <w:name w:val="List Paragraph"/>
    <w:basedOn w:val="Normal"/>
    <w:uiPriority w:val="34"/>
    <w:qFormat/>
    <w:rsid w:val="00817B84"/>
    <w:pPr>
      <w:ind w:left="720"/>
      <w:contextualSpacing/>
    </w:pPr>
  </w:style>
  <w:style w:type="character" w:styleId="IntenseEmphasis">
    <w:name w:val="Intense Emphasis"/>
    <w:basedOn w:val="DefaultParagraphFont"/>
    <w:uiPriority w:val="21"/>
    <w:qFormat/>
    <w:rsid w:val="00817B84"/>
    <w:rPr>
      <w:i/>
      <w:iCs/>
      <w:color w:val="0F4761" w:themeColor="accent1" w:themeShade="BF"/>
    </w:rPr>
  </w:style>
  <w:style w:type="paragraph" w:styleId="IntenseQuote">
    <w:name w:val="Intense Quote"/>
    <w:basedOn w:val="Normal"/>
    <w:next w:val="Normal"/>
    <w:link w:val="IntenseQuoteChar"/>
    <w:uiPriority w:val="30"/>
    <w:qFormat/>
    <w:rsid w:val="00817B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7B84"/>
    <w:rPr>
      <w:i/>
      <w:iCs/>
      <w:color w:val="0F4761" w:themeColor="accent1" w:themeShade="BF"/>
    </w:rPr>
  </w:style>
  <w:style w:type="character" w:styleId="IntenseReference">
    <w:name w:val="Intense Reference"/>
    <w:basedOn w:val="DefaultParagraphFont"/>
    <w:uiPriority w:val="32"/>
    <w:qFormat/>
    <w:rsid w:val="00817B84"/>
    <w:rPr>
      <w:b/>
      <w:bCs/>
      <w:smallCaps/>
      <w:color w:val="0F4761" w:themeColor="accent1" w:themeShade="BF"/>
      <w:spacing w:val="5"/>
    </w:rPr>
  </w:style>
  <w:style w:type="paragraph" w:styleId="FootnoteText">
    <w:name w:val="footnote text"/>
    <w:basedOn w:val="Normal"/>
    <w:link w:val="FootnoteTextChar"/>
    <w:uiPriority w:val="99"/>
    <w:semiHidden/>
    <w:unhideWhenUsed/>
    <w:rsid w:val="00817B8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7B84"/>
    <w:rPr>
      <w:sz w:val="20"/>
      <w:szCs w:val="20"/>
    </w:rPr>
  </w:style>
  <w:style w:type="character" w:styleId="FootnoteReference">
    <w:name w:val="footnote reference"/>
    <w:basedOn w:val="DefaultParagraphFont"/>
    <w:uiPriority w:val="99"/>
    <w:semiHidden/>
    <w:unhideWhenUsed/>
    <w:rsid w:val="00817B84"/>
    <w:rPr>
      <w:vertAlign w:val="superscript"/>
    </w:rPr>
  </w:style>
  <w:style w:type="character" w:customStyle="1" w:styleId="Hyperlink1">
    <w:name w:val="Hyperlink1"/>
    <w:basedOn w:val="DefaultParagraphFont"/>
    <w:uiPriority w:val="99"/>
    <w:unhideWhenUsed/>
    <w:rsid w:val="00817B84"/>
    <w:rPr>
      <w:color w:val="0563C1"/>
      <w:u w:val="single"/>
    </w:rPr>
  </w:style>
  <w:style w:type="character" w:styleId="Hyperlink">
    <w:name w:val="Hyperlink"/>
    <w:basedOn w:val="DefaultParagraphFont"/>
    <w:uiPriority w:val="99"/>
    <w:semiHidden/>
    <w:unhideWhenUsed/>
    <w:rsid w:val="00817B8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hyperlink" Target="https://eur-lex.europa.eu/eli/reg/2013/1316/oj/?locale=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92029-par-igaunijas-republikas-valdibas-latvijas-republikas-valdibas-un-lietuvas-republikas-valdibas-ligumu-par-irail-balticrail-balticai-dzelzcela-savienojuma-izveidi" TargetMode="External"/><Relationship Id="rId1" Type="http://schemas.openxmlformats.org/officeDocument/2006/relationships/hyperlink" Target="https://eur-lex.europa.eu/legal-content/LV/TXT/?uri=CELEX%3A32018D17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0670bfd-22b1-412c-a180-1cbc292fcd09" xsi:nil="true"/>
    <lcf76f155ced4ddcb4097134ff3c332f xmlns="b70c0239-a51c-465a-b1e5-221dd90dcbd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F20C2F029DD3B544856B024E0B00EBC6" ma:contentTypeVersion="18" ma:contentTypeDescription="Izveidot jaunu dokumentu." ma:contentTypeScope="" ma:versionID="ca756bb74c4158bb2452c0e4293b2cf9">
  <xsd:schema xmlns:xsd="http://www.w3.org/2001/XMLSchema" xmlns:xs="http://www.w3.org/2001/XMLSchema" xmlns:p="http://schemas.microsoft.com/office/2006/metadata/properties" xmlns:ns2="b70c0239-a51c-465a-b1e5-221dd90dcbdb" xmlns:ns3="80670bfd-22b1-412c-a180-1cbc292fcd09" targetNamespace="http://schemas.microsoft.com/office/2006/metadata/properties" ma:root="true" ma:fieldsID="6bacc21a2de927d2348e30c6c4db870d" ns2:_="" ns3:_="">
    <xsd:import namespace="b70c0239-a51c-465a-b1e5-221dd90dcbdb"/>
    <xsd:import namespace="80670bfd-22b1-412c-a180-1cbc292fcd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0c0239-a51c-465a-b1e5-221dd90dcb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a02c859b-0546-4206-9cae-cfa997077b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670bfd-22b1-412c-a180-1cbc292fcd09" elementFormDefault="qualified">
    <xsd:import namespace="http://schemas.microsoft.com/office/2006/documentManagement/types"/>
    <xsd:import namespace="http://schemas.microsoft.com/office/infopath/2007/PartnerControls"/>
    <xsd:element name="SharedWithUsers" ma:index="17"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70a0a924-2650-479c-b9de-57fd428d26b3}" ma:internalName="TaxCatchAll" ma:showField="CatchAllData" ma:web="80670bfd-22b1-412c-a180-1cbc292fcd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68B4F3-A6EE-4784-BE0B-DFE694C4B5E0}">
  <ds:schemaRefs>
    <ds:schemaRef ds:uri="http://schemas.microsoft.com/office/2006/metadata/properties"/>
    <ds:schemaRef ds:uri="http://schemas.microsoft.com/office/infopath/2007/PartnerControls"/>
    <ds:schemaRef ds:uri="80670bfd-22b1-412c-a180-1cbc292fcd09"/>
    <ds:schemaRef ds:uri="b70c0239-a51c-465a-b1e5-221dd90dcbdb"/>
  </ds:schemaRefs>
</ds:datastoreItem>
</file>

<file path=customXml/itemProps2.xml><?xml version="1.0" encoding="utf-8"?>
<ds:datastoreItem xmlns:ds="http://schemas.openxmlformats.org/officeDocument/2006/customXml" ds:itemID="{F0E6C473-0E41-4EB4-BB6C-F2597D64D4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0c0239-a51c-465a-b1e5-221dd90dcbdb"/>
    <ds:schemaRef ds:uri="80670bfd-22b1-412c-a180-1cbc292fc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DE9CDA-C40A-4135-8074-5B7A2DA50A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22162</Words>
  <Characters>12633</Characters>
  <Application>Microsoft Office Word</Application>
  <DocSecurity>4</DocSecurity>
  <Lines>105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Elvita Jadigarjana</dc:creator>
  <cp:keywords/>
  <dc:description/>
  <cp:lastModifiedBy>Jevgenija Kučāne</cp:lastModifiedBy>
  <cp:revision>2</cp:revision>
  <dcterms:created xsi:type="dcterms:W3CDTF">2024-10-24T14:43:00Z</dcterms:created>
  <dcterms:modified xsi:type="dcterms:W3CDTF">2024-10-24T14:43:00Z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0x010100F20C2F029DD3B544856B024E0B00EBC6</vt:lpwstr>
  </property>
</Properties>
</file>