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987237" w:rsidR="00011443" w:rsidP="00B02582" w:rsidRDefault="00011443" w14:paraId="57D1884A" w14:textId="77777777">
      <w:pPr>
        <w:spacing w:after="120" w:line="276" w:lineRule="auto"/>
        <w:ind w:right="-180"/>
        <w:jc w:val="center"/>
        <w15:collapsed w:val="false"/>
        <w:rPr>
          <w:rFonts w:ascii="Times New Roman" w:hAnsi="Times New Roman"/>
          <w:b/>
          <w:color w:val="000000" w:themeColor="text1"/>
          <w:sz w:val="24"/>
          <w:szCs w:val="24"/>
        </w:rPr>
      </w:pPr>
      <w:r w:rsidRPr="00987237">
        <w:rPr>
          <w:rFonts w:ascii="Times New Roman" w:hAnsi="Times New Roman"/>
          <w:b/>
          <w:color w:val="000000" w:themeColor="text1"/>
          <w:sz w:val="24"/>
          <w:szCs w:val="24"/>
        </w:rPr>
        <w:t>Informatīvais ziņojums</w:t>
      </w:r>
    </w:p>
    <w:p w:rsidRPr="00987237" w:rsidR="00011443" w:rsidP="00F3602A" w:rsidRDefault="00F3602A" w14:paraId="22441349" w14:textId="5CDB59CD">
      <w:pPr>
        <w:ind w:right="-180"/>
        <w:jc w:val="center"/>
        <w:rPr>
          <w:rFonts w:ascii="Times New Roman" w:hAnsi="Times New Roman"/>
          <w:color w:val="000000" w:themeColor="text1"/>
          <w:sz w:val="24"/>
          <w:szCs w:val="24"/>
        </w:rPr>
      </w:pPr>
      <w:r w:rsidRPr="00F3602A">
        <w:rPr>
          <w:rFonts w:ascii="Times New Roman" w:hAnsi="Times New Roman"/>
          <w:b/>
          <w:color w:val="000000" w:themeColor="text1"/>
          <w:sz w:val="24"/>
          <w:szCs w:val="24"/>
        </w:rPr>
        <w:t>“Par Komisijas priekšlikumiem par autonomiem pasākumiem ES-AK Tirdzniecības un sadarbības nolīguma un Izstāšanās līguma ieviešanai”</w:t>
      </w:r>
    </w:p>
    <w:p w:rsidR="00611D03" w:rsidP="00B02582" w:rsidRDefault="00E93C4D" w14:paraId="7FAE65E4" w14:textId="2B26C0D3">
      <w:pPr>
        <w:pStyle w:val="CommentText"/>
        <w:suppressAutoHyphens/>
        <w:spacing w:after="120" w:line="276" w:lineRule="auto"/>
        <w:ind w:right="-180"/>
        <w:jc w:val="both"/>
        <w:rPr>
          <w:rFonts w:ascii="Times New Roman" w:hAnsi="Times New Roman"/>
          <w:color w:val="000000" w:themeColor="text1"/>
          <w:sz w:val="24"/>
          <w:szCs w:val="24"/>
        </w:rPr>
      </w:pPr>
      <w:r w:rsidRPr="00E93C4D">
        <w:rPr>
          <w:rFonts w:ascii="Times New Roman" w:hAnsi="Times New Roman"/>
          <w:color w:val="000000" w:themeColor="text1"/>
          <w:sz w:val="24"/>
          <w:szCs w:val="24"/>
        </w:rPr>
        <w:t>2022.gada 11.martā ir publicēti divi Komisijas priekšlikumi autonomiem pasākumiem E</w:t>
      </w:r>
      <w:r w:rsidR="00561519">
        <w:rPr>
          <w:rFonts w:ascii="Times New Roman" w:hAnsi="Times New Roman"/>
          <w:color w:val="000000" w:themeColor="text1"/>
          <w:sz w:val="24"/>
          <w:szCs w:val="24"/>
        </w:rPr>
        <w:t>iropas Savienības (turpmāk ES) un Apvienotās Karalistes (turpmāk- AK)</w:t>
      </w:r>
      <w:r w:rsidRPr="00E93C4D">
        <w:rPr>
          <w:rFonts w:ascii="Times New Roman" w:hAnsi="Times New Roman"/>
          <w:color w:val="000000" w:themeColor="text1"/>
          <w:sz w:val="24"/>
          <w:szCs w:val="24"/>
        </w:rPr>
        <w:t xml:space="preserve"> Tirdzniecības un sadarbības nolīguma (</w:t>
      </w:r>
      <w:r w:rsidR="00561519">
        <w:rPr>
          <w:rFonts w:ascii="Times New Roman" w:hAnsi="Times New Roman"/>
          <w:color w:val="000000" w:themeColor="text1"/>
          <w:sz w:val="24"/>
          <w:szCs w:val="24"/>
        </w:rPr>
        <w:t xml:space="preserve">turpmāk - </w:t>
      </w:r>
      <w:r w:rsidRPr="00E93C4D">
        <w:rPr>
          <w:rFonts w:ascii="Times New Roman" w:hAnsi="Times New Roman"/>
          <w:color w:val="000000" w:themeColor="text1"/>
          <w:sz w:val="24"/>
          <w:szCs w:val="24"/>
        </w:rPr>
        <w:t>TCA) un Izstāšanās līguma (</w:t>
      </w:r>
      <w:r w:rsidR="00561519">
        <w:rPr>
          <w:rFonts w:ascii="Times New Roman" w:hAnsi="Times New Roman"/>
          <w:color w:val="000000" w:themeColor="text1"/>
          <w:sz w:val="24"/>
          <w:szCs w:val="24"/>
        </w:rPr>
        <w:t xml:space="preserve">turpmāk - </w:t>
      </w:r>
      <w:r w:rsidRPr="00E93C4D">
        <w:rPr>
          <w:rFonts w:ascii="Times New Roman" w:hAnsi="Times New Roman"/>
          <w:color w:val="000000" w:themeColor="text1"/>
          <w:sz w:val="24"/>
          <w:szCs w:val="24"/>
        </w:rPr>
        <w:t>IL) ieviešanai</w:t>
      </w:r>
      <w:r w:rsidR="00561519">
        <w:rPr>
          <w:rFonts w:ascii="Times New Roman" w:hAnsi="Times New Roman"/>
          <w:color w:val="000000" w:themeColor="text1"/>
          <w:sz w:val="24"/>
          <w:szCs w:val="24"/>
        </w:rPr>
        <w:t xml:space="preserve">. </w:t>
      </w:r>
    </w:p>
    <w:p w:rsidR="00561519" w:rsidP="00B02582" w:rsidRDefault="00561519" w14:paraId="08C01A39" w14:textId="7A9B46AF">
      <w:pPr>
        <w:pStyle w:val="CommentText"/>
        <w:suppressAutoHyphens/>
        <w:spacing w:after="120" w:line="276" w:lineRule="auto"/>
        <w:ind w:right="-180"/>
        <w:jc w:val="both"/>
        <w:rPr>
          <w:rFonts w:ascii="Times New Roman" w:hAnsi="Times New Roman"/>
          <w:sz w:val="24"/>
          <w:szCs w:val="24"/>
        </w:rPr>
      </w:pPr>
      <w:r w:rsidRPr="00561519">
        <w:rPr>
          <w:rFonts w:ascii="Times New Roman" w:hAnsi="Times New Roman"/>
          <w:sz w:val="24"/>
          <w:szCs w:val="24"/>
        </w:rPr>
        <w:t>Gan IL, gan TCA ir paredzēts, ka puse (ES vai Apvienotā Karaliste) konkrētos gadījumos un saskaņā ar šajos nolīgumos paredzētajiem nosacījumiem un procedūrām var pieņemt konkrētus vienpusējus pasākumus savu līgumos paredzēto tiesību efektīvai un savlaicīgai aizsardzībai. Šie pasākumi tostarp var nozīmēt attiecīgajā nolīgumā paredzētu konkrētu saistību apturēšanu, tirdzniecības tarifu noteikšanu, pieejas tirgum ierobežošanu u.c.</w:t>
      </w:r>
    </w:p>
    <w:p w:rsidR="00561519" w:rsidP="00B02582" w:rsidRDefault="00561519" w14:paraId="31F39AF7" w14:textId="4F099AB6">
      <w:pPr>
        <w:pStyle w:val="CommentText"/>
        <w:suppressAutoHyphens/>
        <w:spacing w:after="120" w:line="276" w:lineRule="auto"/>
        <w:ind w:right="-180"/>
        <w:jc w:val="both"/>
        <w:rPr>
          <w:rFonts w:ascii="Times New Roman" w:hAnsi="Times New Roman"/>
          <w:sz w:val="24"/>
          <w:szCs w:val="24"/>
        </w:rPr>
      </w:pPr>
      <w:r>
        <w:rPr>
          <w:rFonts w:ascii="Times New Roman" w:hAnsi="Times New Roman"/>
          <w:sz w:val="24"/>
          <w:szCs w:val="24"/>
        </w:rPr>
        <w:t>Piedāvātās regulas ir tehniski priekšlikumi, kas paredz noteikumus</w:t>
      </w:r>
      <w:r w:rsidRPr="00561519">
        <w:rPr>
          <w:rFonts w:ascii="Times New Roman" w:hAnsi="Times New Roman"/>
          <w:sz w:val="24"/>
          <w:szCs w:val="24"/>
        </w:rPr>
        <w:t xml:space="preserve"> un procedūras, kas reglamentē </w:t>
      </w:r>
      <w:r>
        <w:rPr>
          <w:rFonts w:ascii="Times New Roman" w:hAnsi="Times New Roman"/>
          <w:sz w:val="24"/>
          <w:szCs w:val="24"/>
        </w:rPr>
        <w:t>šo</w:t>
      </w:r>
      <w:r w:rsidRPr="00561519">
        <w:rPr>
          <w:rFonts w:ascii="Times New Roman" w:hAnsi="Times New Roman"/>
          <w:sz w:val="24"/>
          <w:szCs w:val="24"/>
        </w:rPr>
        <w:t xml:space="preserve"> pasākumu pieņemšanu.</w:t>
      </w:r>
      <w:r w:rsidR="00652327">
        <w:rPr>
          <w:rFonts w:ascii="Times New Roman" w:hAnsi="Times New Roman"/>
          <w:sz w:val="24"/>
          <w:szCs w:val="24"/>
        </w:rPr>
        <w:t xml:space="preserve"> P</w:t>
      </w:r>
      <w:r w:rsidRPr="00652327" w:rsidR="00652327">
        <w:rPr>
          <w:rFonts w:ascii="Times New Roman" w:hAnsi="Times New Roman"/>
          <w:sz w:val="24"/>
          <w:szCs w:val="24"/>
        </w:rPr>
        <w:t>asākumiem būtu jāattiecas arī uz citiem TCA papildinošiem divpusējiem nolīgumiem.</w:t>
      </w:r>
    </w:p>
    <w:p w:rsidR="00421FCC" w:rsidP="00B02582" w:rsidRDefault="00421FCC" w14:paraId="3E811C4C" w14:textId="7FAE1274">
      <w:pPr>
        <w:pStyle w:val="CommentText"/>
        <w:suppressAutoHyphens/>
        <w:spacing w:after="120" w:line="276" w:lineRule="auto"/>
        <w:ind w:right="-180"/>
        <w:jc w:val="both"/>
        <w:rPr>
          <w:rFonts w:ascii="Times New Roman" w:hAnsi="Times New Roman"/>
          <w:sz w:val="24"/>
          <w:szCs w:val="24"/>
        </w:rPr>
      </w:pPr>
      <w:r w:rsidRPr="00421FCC">
        <w:rPr>
          <w:rFonts w:ascii="Times New Roman" w:hAnsi="Times New Roman"/>
          <w:sz w:val="24"/>
          <w:szCs w:val="24"/>
        </w:rPr>
        <w:t>Regulu projekti pilnvaro Komisiju pieņemt iepriekš minētos pasākumus īstenošanas aktu formā, kā arī vajadzības gadījumā, izmantojot īstenošanas aktus, tos grozīt, apturēt vai atcelt. Ja pasākums ir saistību izpildes apturēšana saskaņā ar kādu no nolīgumiem, pilnvarojums attiecas arī uz atbilstīgu tirdzniecības, investīciju vai citu darbību ierobežojumu pieņemšanu attiecīgā nolīguma darbības jomā. Tādējādi ierosinātās regulas nodrošina, ka ES var savlaicīgi un efektīvi rīkoties, lai aizsargātu savas intereses gan IL, gan TCA īstenošanā un izpildē.</w:t>
      </w:r>
    </w:p>
    <w:p w:rsidRPr="00421FCC" w:rsidR="00421FCC" w:rsidP="00421FCC" w:rsidRDefault="00421FCC" w14:paraId="6A8EFE5D" w14:textId="42785670">
      <w:pPr>
        <w:pStyle w:val="CommentText"/>
        <w:suppressAutoHyphens/>
        <w:spacing w:after="120" w:line="276" w:lineRule="auto"/>
        <w:ind w:right="-180"/>
        <w:jc w:val="both"/>
        <w:rPr>
          <w:rFonts w:ascii="Times New Roman" w:hAnsi="Times New Roman"/>
          <w:sz w:val="24"/>
          <w:szCs w:val="24"/>
        </w:rPr>
      </w:pPr>
      <w:r w:rsidRPr="00421FCC">
        <w:rPr>
          <w:rFonts w:ascii="Times New Roman" w:hAnsi="Times New Roman"/>
          <w:sz w:val="24"/>
          <w:szCs w:val="24"/>
        </w:rPr>
        <w:t>Latvija iestājas par tuvām un abpusēji izdevīgām attiecībām ar Apvienot Karalisti, tādēļ ir jāievēro samērība regulas piemērošanā, izvēloties apstākļiem atbilstošāko risinājumu un izvairoties no neproporcionālas vērš</w:t>
      </w:r>
      <w:r>
        <w:rPr>
          <w:rFonts w:ascii="Times New Roman" w:hAnsi="Times New Roman"/>
          <w:sz w:val="24"/>
          <w:szCs w:val="24"/>
        </w:rPr>
        <w:t xml:space="preserve">anās pret Apvienoto Karalisti. </w:t>
      </w:r>
    </w:p>
    <w:p w:rsidR="00124DD5" w:rsidP="00421FCC" w:rsidRDefault="00421FCC" w14:paraId="5729F56D" w14:textId="733783A0">
      <w:pPr>
        <w:pStyle w:val="CommentText"/>
        <w:suppressAutoHyphens/>
        <w:spacing w:after="120" w:line="276" w:lineRule="auto"/>
        <w:ind w:right="-180"/>
        <w:jc w:val="both"/>
        <w:rPr>
          <w:rFonts w:ascii="Times New Roman" w:hAnsi="Times New Roman"/>
          <w:sz w:val="24"/>
          <w:szCs w:val="24"/>
        </w:rPr>
      </w:pPr>
      <w:r w:rsidRPr="00421FCC">
        <w:rPr>
          <w:rFonts w:ascii="Times New Roman" w:hAnsi="Times New Roman"/>
          <w:sz w:val="24"/>
          <w:szCs w:val="24"/>
        </w:rPr>
        <w:t>Latvija kopumā atbalsta, ka ES nepieciešami efektīvi instrumenti savu interešu aizstāvēšanai, tomēr uzskatām, ka vienpusējie pasākumi jāizmanto kā pēdējais lī</w:t>
      </w:r>
      <w:r>
        <w:rPr>
          <w:rFonts w:ascii="Times New Roman" w:hAnsi="Times New Roman"/>
          <w:sz w:val="24"/>
          <w:szCs w:val="24"/>
        </w:rPr>
        <w:t>dzeklis atbilstības panākšanai.</w:t>
      </w:r>
    </w:p>
    <w:p w:rsidRPr="00421FCC" w:rsidR="00421FCC" w:rsidP="00421FCC" w:rsidRDefault="00421FCC" w14:paraId="33C1869D" w14:textId="77777777">
      <w:pPr>
        <w:pStyle w:val="CommentText"/>
        <w:suppressAutoHyphens/>
        <w:spacing w:after="120" w:line="276" w:lineRule="auto"/>
        <w:ind w:right="-180"/>
        <w:jc w:val="both"/>
        <w:rPr>
          <w:rFonts w:ascii="Times New Roman" w:hAnsi="Times New Roman"/>
          <w:sz w:val="24"/>
          <w:szCs w:val="24"/>
        </w:rPr>
      </w:pPr>
    </w:p>
    <w:p w:rsidRPr="00FF5950" w:rsidR="00124DD5" w:rsidP="00B02582" w:rsidRDefault="00B02582" w14:paraId="117A28F8" w14:textId="54903869">
      <w:pPr>
        <w:spacing w:after="120" w:line="276" w:lineRule="auto"/>
        <w:ind w:right="-720"/>
        <w:rPr>
          <w:rFonts w:ascii="Times New Roman" w:hAnsi="Times New Roman" w:eastAsia="Times New Roman"/>
          <w:bCs/>
          <w:sz w:val="24"/>
          <w:szCs w:val="24"/>
        </w:rPr>
      </w:pPr>
      <w:r w:rsidRPr="00FF5950">
        <w:rPr>
          <w:rFonts w:ascii="Times New Roman" w:hAnsi="Times New Roman" w:eastAsia="Times New Roman"/>
          <w:bCs/>
          <w:sz w:val="24"/>
          <w:szCs w:val="24"/>
        </w:rPr>
        <w:t xml:space="preserve">Iesniedzējs: ārlietu ministrs                            </w:t>
      </w:r>
      <w:r w:rsidRPr="00FF5950">
        <w:rPr>
          <w:rFonts w:ascii="Times New Roman" w:hAnsi="Times New Roman" w:eastAsia="Times New Roman"/>
          <w:bCs/>
          <w:sz w:val="24"/>
          <w:szCs w:val="24"/>
        </w:rPr>
        <w:tab/>
      </w:r>
      <w:r w:rsidRPr="00FF5950">
        <w:rPr>
          <w:rFonts w:ascii="Times New Roman" w:hAnsi="Times New Roman" w:eastAsia="Times New Roman"/>
          <w:bCs/>
          <w:sz w:val="24"/>
          <w:szCs w:val="24"/>
        </w:rPr>
        <w:tab/>
      </w:r>
      <w:r w:rsidRPr="00FF5950">
        <w:rPr>
          <w:rFonts w:ascii="Times New Roman" w:hAnsi="Times New Roman" w:eastAsia="Times New Roman"/>
          <w:bCs/>
          <w:sz w:val="24"/>
          <w:szCs w:val="24"/>
        </w:rPr>
        <w:tab/>
        <w:t xml:space="preserve">                      Edgars Rinkēvičs</w:t>
      </w:r>
      <w:r w:rsidRPr="00FF5950">
        <w:rPr>
          <w:rFonts w:ascii="Times New Roman" w:hAnsi="Times New Roman" w:eastAsia="Times New Roman"/>
          <w:bCs/>
          <w:sz w:val="24"/>
          <w:szCs w:val="24"/>
        </w:rPr>
        <w:tab/>
      </w:r>
      <w:r w:rsidRPr="00FF5950">
        <w:rPr>
          <w:rFonts w:ascii="Times New Roman" w:hAnsi="Times New Roman" w:eastAsia="Times New Roman"/>
          <w:bCs/>
          <w:sz w:val="24"/>
          <w:szCs w:val="24"/>
        </w:rPr>
        <w:tab/>
      </w:r>
      <w:r w:rsidRPr="00FF5950">
        <w:rPr>
          <w:rFonts w:ascii="Times New Roman" w:hAnsi="Times New Roman" w:eastAsia="Times New Roman"/>
          <w:bCs/>
          <w:sz w:val="24"/>
          <w:szCs w:val="24"/>
        </w:rPr>
        <w:tab/>
        <w:t xml:space="preserve">       </w:t>
      </w:r>
    </w:p>
    <w:p w:rsidRPr="00FF5950" w:rsidR="00B02582" w:rsidP="00B02582" w:rsidRDefault="00B02582" w14:paraId="2EC3D57D" w14:textId="77777777">
      <w:pPr>
        <w:spacing w:after="120" w:line="276" w:lineRule="auto"/>
        <w:ind w:right="-720"/>
        <w:rPr>
          <w:rFonts w:ascii="Times New Roman" w:hAnsi="Times New Roman" w:eastAsia="Times New Roman"/>
          <w:bCs/>
          <w:sz w:val="24"/>
          <w:szCs w:val="24"/>
        </w:rPr>
      </w:pPr>
      <w:r w:rsidRPr="00FF5950">
        <w:rPr>
          <w:rFonts w:ascii="Times New Roman" w:hAnsi="Times New Roman" w:eastAsia="Times New Roman"/>
          <w:bCs/>
          <w:sz w:val="24"/>
          <w:szCs w:val="24"/>
        </w:rPr>
        <w:t>Vīza: valsts sekretārs</w:t>
      </w:r>
      <w:r w:rsidRPr="00FF5950">
        <w:rPr>
          <w:rFonts w:ascii="Times New Roman" w:hAnsi="Times New Roman" w:eastAsia="Times New Roman"/>
          <w:bCs/>
          <w:sz w:val="24"/>
          <w:szCs w:val="24"/>
        </w:rPr>
        <w:tab/>
      </w:r>
      <w:r w:rsidRPr="00FF5950">
        <w:rPr>
          <w:rFonts w:ascii="Times New Roman" w:hAnsi="Times New Roman" w:eastAsia="Times New Roman"/>
          <w:bCs/>
          <w:sz w:val="24"/>
          <w:szCs w:val="24"/>
        </w:rPr>
        <w:tab/>
      </w:r>
      <w:r w:rsidRPr="00FF5950">
        <w:rPr>
          <w:rFonts w:ascii="Times New Roman" w:hAnsi="Times New Roman" w:eastAsia="Times New Roman"/>
          <w:bCs/>
          <w:sz w:val="24"/>
          <w:szCs w:val="24"/>
        </w:rPr>
        <w:tab/>
      </w:r>
      <w:r w:rsidRPr="00FF5950">
        <w:rPr>
          <w:rFonts w:ascii="Times New Roman" w:hAnsi="Times New Roman" w:eastAsia="Times New Roman"/>
          <w:bCs/>
          <w:sz w:val="24"/>
          <w:szCs w:val="24"/>
        </w:rPr>
        <w:tab/>
      </w:r>
      <w:r w:rsidRPr="00FF5950">
        <w:rPr>
          <w:rFonts w:ascii="Times New Roman" w:hAnsi="Times New Roman" w:eastAsia="Times New Roman"/>
          <w:bCs/>
          <w:sz w:val="24"/>
          <w:szCs w:val="24"/>
        </w:rPr>
        <w:tab/>
        <w:t xml:space="preserve">  </w:t>
      </w:r>
      <w:r w:rsidRPr="00FF5950">
        <w:rPr>
          <w:rFonts w:ascii="Times New Roman" w:hAnsi="Times New Roman" w:eastAsia="Times New Roman"/>
          <w:bCs/>
          <w:sz w:val="24"/>
          <w:szCs w:val="24"/>
        </w:rPr>
        <w:tab/>
      </w:r>
      <w:r w:rsidRPr="00FF5950">
        <w:rPr>
          <w:rFonts w:ascii="Times New Roman" w:hAnsi="Times New Roman" w:eastAsia="Times New Roman"/>
          <w:bCs/>
          <w:sz w:val="24"/>
          <w:szCs w:val="24"/>
        </w:rPr>
        <w:tab/>
        <w:t xml:space="preserve">               Andris Pelšs</w:t>
      </w:r>
    </w:p>
    <w:p w:rsidR="00124DD5" w:rsidP="00B02582" w:rsidRDefault="00124DD5" w14:paraId="578C3DBC" w14:textId="7D23231D">
      <w:pPr>
        <w:spacing w:after="120" w:line="276" w:lineRule="auto"/>
        <w:ind w:right="-720"/>
        <w:jc w:val="both"/>
        <w:rPr>
          <w:rFonts w:ascii="Times New Roman" w:hAnsi="Times New Roman"/>
          <w:i/>
          <w:sz w:val="24"/>
          <w:szCs w:val="24"/>
        </w:rPr>
      </w:pPr>
    </w:p>
    <w:p w:rsidR="00124DD5" w:rsidP="00B02582" w:rsidRDefault="00124DD5" w14:paraId="157D9411" w14:textId="5CC3A06B">
      <w:pPr>
        <w:spacing w:after="120" w:line="276" w:lineRule="auto"/>
        <w:ind w:right="-720"/>
        <w:jc w:val="both"/>
        <w:rPr>
          <w:rFonts w:ascii="Times New Roman" w:hAnsi="Times New Roman"/>
          <w:i/>
          <w:sz w:val="24"/>
          <w:szCs w:val="24"/>
        </w:rPr>
      </w:pPr>
    </w:p>
    <w:p w:rsidRPr="00FF5950" w:rsidR="00124DD5" w:rsidP="00B02582" w:rsidRDefault="00124DD5" w14:paraId="57EE143E" w14:textId="77777777">
      <w:pPr>
        <w:spacing w:after="120" w:line="276" w:lineRule="auto"/>
        <w:ind w:right="-720"/>
        <w:jc w:val="both"/>
        <w:rPr>
          <w:rFonts w:ascii="Times New Roman" w:hAnsi="Times New Roman"/>
          <w:i/>
          <w:sz w:val="24"/>
          <w:szCs w:val="24"/>
        </w:rPr>
      </w:pPr>
    </w:p>
    <w:p w:rsidRPr="00B02582" w:rsidR="00B02582" w:rsidP="00B02582" w:rsidRDefault="00F3602A" w14:paraId="59890B43" w14:textId="6246D828">
      <w:pPr>
        <w:spacing w:after="0" w:line="276" w:lineRule="auto"/>
        <w:ind w:right="-720"/>
        <w:rPr>
          <w:rFonts w:ascii="Times New Roman" w:hAnsi="Times New Roman"/>
          <w:sz w:val="20"/>
          <w:szCs w:val="20"/>
        </w:rPr>
      </w:pPr>
      <w:r>
        <w:rPr>
          <w:rFonts w:ascii="Times New Roman" w:hAnsi="Times New Roman"/>
          <w:sz w:val="20"/>
          <w:szCs w:val="20"/>
        </w:rPr>
        <w:t>E.</w:t>
      </w:r>
      <w:r w:rsidR="008443A6">
        <w:rPr>
          <w:rFonts w:ascii="Times New Roman" w:hAnsi="Times New Roman"/>
          <w:sz w:val="20"/>
          <w:szCs w:val="20"/>
        </w:rPr>
        <w:t>Dombrovskis</w:t>
      </w:r>
      <w:r>
        <w:rPr>
          <w:rFonts w:ascii="Times New Roman" w:hAnsi="Times New Roman"/>
          <w:sz w:val="20"/>
          <w:szCs w:val="20"/>
        </w:rPr>
        <w:t xml:space="preserve"> 67016465</w:t>
      </w:r>
    </w:p>
    <w:p w:rsidR="008F401B" w:rsidP="00CF01CF" w:rsidRDefault="00652327" w14:paraId="50F16BB9" w14:textId="6826DF8C">
      <w:pPr>
        <w:spacing w:after="0" w:line="276" w:lineRule="auto"/>
        <w:ind w:right="-720"/>
        <w:rPr>
          <w:rFonts w:ascii="Times New Roman" w:hAnsi="Times New Roman"/>
          <w:sz w:val="20"/>
          <w:szCs w:val="20"/>
        </w:rPr>
      </w:pPr>
      <w:r>
        <w:rPr>
          <w:rFonts w:ascii="Times New Roman" w:hAnsi="Times New Roman"/>
          <w:sz w:val="20"/>
          <w:szCs w:val="20"/>
        </w:rPr>
        <w:t>Emils.Dombrovskis</w:t>
      </w:r>
      <w:r w:rsidR="00CF01CF">
        <w:rPr>
          <w:rFonts w:ascii="Times New Roman" w:hAnsi="Times New Roman"/>
          <w:sz w:val="20"/>
          <w:szCs w:val="20"/>
        </w:rPr>
        <w:t>@mfa.gov.lv</w:t>
      </w:r>
    </w:p>
    <w:p w:rsidRPr="008F401B" w:rsidR="00E57AA9" w:rsidP="008F401B" w:rsidRDefault="008F401B" w14:paraId="365AD9CC" w14:textId="5FB66B19">
      <w:pPr>
        <w:tabs>
          <w:tab w:val="left" w:pos="945"/>
        </w:tabs>
        <w:rPr>
          <w:rFonts w:ascii="Times New Roman" w:hAnsi="Times New Roman"/>
          <w:sz w:val="20"/>
          <w:szCs w:val="20"/>
        </w:rPr>
      </w:pPr>
      <w:r>
        <w:rPr>
          <w:rFonts w:ascii="Times New Roman" w:hAnsi="Times New Roman"/>
          <w:sz w:val="20"/>
          <w:szCs w:val="20"/>
        </w:rPr>
        <w:tab/>
      </w:r>
    </w:p>
    <w:sectPr w:rsidRPr="008F401B" w:rsidR="00E57AA9" w:rsidSect="00B02582">
      <w:headerReference w:type="even" r:id="rId7"/>
      <w:headerReference w:type="default" r:id="rId8"/>
      <w:footerReference w:type="even" r:id="rId9"/>
      <w:footerReference w:type="default" r:id="rId10"/>
      <w:headerReference w:type="first" r:id="rId11"/>
      <w:footerReference w:type="first" r:id="rId12"/>
      <w:pgSz w:w="12240" w:h="15840"/>
      <w:pgMar w:top="1440" w:right="126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4DE3B" w14:textId="77777777" w:rsidR="00011443" w:rsidRDefault="00011443" w:rsidP="00011443">
      <w:pPr>
        <w:spacing w:after="0" w:line="240" w:lineRule="auto"/>
      </w:pPr>
      <w:r>
        <w:separator/>
      </w:r>
    </w:p>
  </w:endnote>
  <w:endnote w:type="continuationSeparator" w:id="0">
    <w:p w14:paraId="67C203E8" w14:textId="77777777" w:rsidR="00011443" w:rsidRDefault="00011443" w:rsidP="00011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EC Square Sans Pro">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C1859" w14:textId="77777777" w:rsidR="008F401B" w:rsidRDefault="008F40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10B0B" w14:textId="5D702E9B" w:rsidR="00CF01CF" w:rsidRPr="00CF01CF" w:rsidRDefault="007B3FF5" w:rsidP="00CF01CF">
    <w:pPr>
      <w:spacing w:after="120" w:line="276" w:lineRule="auto"/>
      <w:ind w:right="-720"/>
      <w:jc w:val="both"/>
      <w:rPr>
        <w:rFonts w:ascii="Times New Roman" w:hAnsi="Times New Roman"/>
        <w:sz w:val="20"/>
        <w:szCs w:val="20"/>
      </w:rPr>
    </w:pPr>
    <w:r>
      <w:rPr>
        <w:rFonts w:ascii="Times New Roman" w:hAnsi="Times New Roman"/>
        <w:sz w:val="20"/>
        <w:szCs w:val="20"/>
      </w:rPr>
      <w:t>AMzino_0606</w:t>
    </w:r>
    <w:bookmarkStart w:id="0" w:name="_GoBack"/>
    <w:bookmarkEnd w:id="0"/>
    <w:r w:rsidR="00F3602A">
      <w:rPr>
        <w:rFonts w:ascii="Times New Roman" w:hAnsi="Times New Roman"/>
        <w:sz w:val="20"/>
        <w:szCs w:val="20"/>
      </w:rPr>
      <w:t>2022</w:t>
    </w:r>
    <w:r w:rsidR="00CF01CF">
      <w:rPr>
        <w:rFonts w:ascii="Times New Roman" w:hAnsi="Times New Roman"/>
        <w:sz w:val="20"/>
        <w:szCs w:val="20"/>
      </w:rPr>
      <w:t xml:space="preserve">; Informatīvais ziņojums </w:t>
    </w:r>
    <w:r w:rsidR="00CF01CF" w:rsidRPr="000B47E2">
      <w:rPr>
        <w:rFonts w:ascii="Times New Roman" w:hAnsi="Times New Roman"/>
        <w:sz w:val="20"/>
        <w:szCs w:val="20"/>
      </w:rPr>
      <w:t>“</w:t>
    </w:r>
    <w:r w:rsidR="00F3602A" w:rsidRPr="00F3602A">
      <w:rPr>
        <w:rFonts w:ascii="Times New Roman" w:hAnsi="Times New Roman"/>
        <w:sz w:val="20"/>
        <w:szCs w:val="20"/>
      </w:rPr>
      <w:t>Par Komisijas priekšlikumiem par autonomiem pasākumiem ES-AK Tirdzniecības un sadarbības nolīguma un Izstāšanās līguma ieviešanai</w:t>
    </w:r>
    <w:r w:rsidR="00CF01CF" w:rsidRPr="000B47E2">
      <w:rPr>
        <w:rFonts w:ascii="Times New Roman" w:hAnsi="Times New Roman"/>
        <w:sz w:val="20"/>
        <w:szCs w:val="20"/>
      </w:rPr>
      <w:t>”</w:t>
    </w:r>
  </w:p>
  <w:p w14:paraId="7CD4BE51" w14:textId="51902488" w:rsidR="00011443" w:rsidRPr="005754BE" w:rsidRDefault="007B3FF5" w:rsidP="005754BE">
    <w:pPr>
      <w:pStyle w:val="Footer"/>
      <w:jc w:val="center"/>
      <w:rPr>
        <w:rFonts w:ascii="Times New Roman" w:hAnsi="Times New Roman"/>
      </w:rPr>
    </w:pPr>
    <w:sdt>
      <w:sdtPr>
        <w:rPr>
          <w:rFonts w:ascii="Times New Roman" w:hAnsi="Times New Roman"/>
        </w:rPr>
        <w:id w:val="-943378494"/>
        <w:docPartObj>
          <w:docPartGallery w:val="Page Numbers (Bottom of Page)"/>
          <w:docPartUnique/>
        </w:docPartObj>
      </w:sdtPr>
      <w:sdtEndPr>
        <w:rPr>
          <w:noProof/>
        </w:rPr>
      </w:sdtEndPr>
      <w:sdtContent>
        <w:r w:rsidR="00CF01CF" w:rsidRPr="005754BE">
          <w:rPr>
            <w:rFonts w:ascii="Times New Roman" w:hAnsi="Times New Roman"/>
          </w:rPr>
          <w:fldChar w:fldCharType="begin"/>
        </w:r>
        <w:r w:rsidR="00CF01CF" w:rsidRPr="005754BE">
          <w:rPr>
            <w:rFonts w:ascii="Times New Roman" w:hAnsi="Times New Roman"/>
          </w:rPr>
          <w:instrText xml:space="preserve"> PAGE   \* MERGEFORMAT </w:instrText>
        </w:r>
        <w:r w:rsidR="00CF01CF" w:rsidRPr="005754BE">
          <w:rPr>
            <w:rFonts w:ascii="Times New Roman" w:hAnsi="Times New Roman"/>
          </w:rPr>
          <w:fldChar w:fldCharType="separate"/>
        </w:r>
        <w:r>
          <w:rPr>
            <w:rFonts w:ascii="Times New Roman" w:hAnsi="Times New Roman"/>
            <w:noProof/>
          </w:rPr>
          <w:t>1</w:t>
        </w:r>
        <w:r w:rsidR="00CF01CF" w:rsidRPr="005754BE">
          <w:rPr>
            <w:rFonts w:ascii="Times New Roman" w:hAnsi="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5FBDF" w14:textId="77777777" w:rsidR="008F401B" w:rsidRDefault="008F40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8CE7B" w14:textId="77777777" w:rsidR="00011443" w:rsidRDefault="00011443" w:rsidP="00011443">
      <w:pPr>
        <w:spacing w:after="0" w:line="240" w:lineRule="auto"/>
      </w:pPr>
      <w:r>
        <w:separator/>
      </w:r>
    </w:p>
  </w:footnote>
  <w:footnote w:type="continuationSeparator" w:id="0">
    <w:p w14:paraId="6656FD25" w14:textId="77777777" w:rsidR="00011443" w:rsidRDefault="00011443" w:rsidP="00011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4FE2E" w14:textId="77777777" w:rsidR="008F401B" w:rsidRDefault="008F40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9BDF8" w14:textId="77777777" w:rsidR="008F401B" w:rsidRDefault="008F40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89FF5" w14:textId="77777777" w:rsidR="008F401B" w:rsidRDefault="008F40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79698C"/>
    <w:multiLevelType w:val="hybridMultilevel"/>
    <w:tmpl w:val="2ED4FCA6"/>
    <w:lvl w:ilvl="0" w:tplc="333C0BFE">
      <w:start w:val="1"/>
      <w:numFmt w:val="bullet"/>
      <w:lvlText w:val=""/>
      <w:lvlJc w:val="left"/>
      <w:pPr>
        <w:ind w:left="705" w:hanging="360"/>
      </w:pPr>
      <w:rPr>
        <w:rFonts w:ascii="Symbol" w:hAnsi="Symbol" w:hint="default"/>
        <w:color w:val="auto"/>
      </w:rPr>
    </w:lvl>
    <w:lvl w:ilvl="1" w:tplc="04260003" w:tentative="1">
      <w:start w:val="1"/>
      <w:numFmt w:val="bullet"/>
      <w:lvlText w:val="o"/>
      <w:lvlJc w:val="left"/>
      <w:pPr>
        <w:ind w:left="1425" w:hanging="360"/>
      </w:pPr>
      <w:rPr>
        <w:rFonts w:ascii="Courier New" w:hAnsi="Courier New" w:cs="Courier New" w:hint="default"/>
      </w:rPr>
    </w:lvl>
    <w:lvl w:ilvl="2" w:tplc="04260005" w:tentative="1">
      <w:start w:val="1"/>
      <w:numFmt w:val="bullet"/>
      <w:lvlText w:val=""/>
      <w:lvlJc w:val="left"/>
      <w:pPr>
        <w:ind w:left="2145" w:hanging="360"/>
      </w:pPr>
      <w:rPr>
        <w:rFonts w:ascii="Wingdings" w:hAnsi="Wingdings" w:hint="default"/>
      </w:rPr>
    </w:lvl>
    <w:lvl w:ilvl="3" w:tplc="04260001" w:tentative="1">
      <w:start w:val="1"/>
      <w:numFmt w:val="bullet"/>
      <w:lvlText w:val=""/>
      <w:lvlJc w:val="left"/>
      <w:pPr>
        <w:ind w:left="2865" w:hanging="360"/>
      </w:pPr>
      <w:rPr>
        <w:rFonts w:ascii="Symbol" w:hAnsi="Symbol" w:hint="default"/>
      </w:rPr>
    </w:lvl>
    <w:lvl w:ilvl="4" w:tplc="04260003" w:tentative="1">
      <w:start w:val="1"/>
      <w:numFmt w:val="bullet"/>
      <w:lvlText w:val="o"/>
      <w:lvlJc w:val="left"/>
      <w:pPr>
        <w:ind w:left="3585" w:hanging="360"/>
      </w:pPr>
      <w:rPr>
        <w:rFonts w:ascii="Courier New" w:hAnsi="Courier New" w:cs="Courier New" w:hint="default"/>
      </w:rPr>
    </w:lvl>
    <w:lvl w:ilvl="5" w:tplc="04260005" w:tentative="1">
      <w:start w:val="1"/>
      <w:numFmt w:val="bullet"/>
      <w:lvlText w:val=""/>
      <w:lvlJc w:val="left"/>
      <w:pPr>
        <w:ind w:left="4305" w:hanging="360"/>
      </w:pPr>
      <w:rPr>
        <w:rFonts w:ascii="Wingdings" w:hAnsi="Wingdings" w:hint="default"/>
      </w:rPr>
    </w:lvl>
    <w:lvl w:ilvl="6" w:tplc="04260001" w:tentative="1">
      <w:start w:val="1"/>
      <w:numFmt w:val="bullet"/>
      <w:lvlText w:val=""/>
      <w:lvlJc w:val="left"/>
      <w:pPr>
        <w:ind w:left="5025" w:hanging="360"/>
      </w:pPr>
      <w:rPr>
        <w:rFonts w:ascii="Symbol" w:hAnsi="Symbol" w:hint="default"/>
      </w:rPr>
    </w:lvl>
    <w:lvl w:ilvl="7" w:tplc="04260003" w:tentative="1">
      <w:start w:val="1"/>
      <w:numFmt w:val="bullet"/>
      <w:lvlText w:val="o"/>
      <w:lvlJc w:val="left"/>
      <w:pPr>
        <w:ind w:left="5745" w:hanging="360"/>
      </w:pPr>
      <w:rPr>
        <w:rFonts w:ascii="Courier New" w:hAnsi="Courier New" w:cs="Courier New" w:hint="default"/>
      </w:rPr>
    </w:lvl>
    <w:lvl w:ilvl="8" w:tplc="04260005" w:tentative="1">
      <w:start w:val="1"/>
      <w:numFmt w:val="bullet"/>
      <w:lvlText w:val=""/>
      <w:lvlJc w:val="left"/>
      <w:pPr>
        <w:ind w:left="64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445"/>
    <w:rsid w:val="00011443"/>
    <w:rsid w:val="000D5725"/>
    <w:rsid w:val="00124DD5"/>
    <w:rsid w:val="00421FCC"/>
    <w:rsid w:val="00475A2F"/>
    <w:rsid w:val="004B1C5D"/>
    <w:rsid w:val="00543C9B"/>
    <w:rsid w:val="00561519"/>
    <w:rsid w:val="005754BE"/>
    <w:rsid w:val="00611D03"/>
    <w:rsid w:val="00652327"/>
    <w:rsid w:val="00675C34"/>
    <w:rsid w:val="006F13AE"/>
    <w:rsid w:val="00756EEC"/>
    <w:rsid w:val="007B3FF5"/>
    <w:rsid w:val="008047FC"/>
    <w:rsid w:val="008443A6"/>
    <w:rsid w:val="008F401B"/>
    <w:rsid w:val="00960062"/>
    <w:rsid w:val="00982F2A"/>
    <w:rsid w:val="00987237"/>
    <w:rsid w:val="009C491C"/>
    <w:rsid w:val="009C5AB3"/>
    <w:rsid w:val="00A104EC"/>
    <w:rsid w:val="00A175E9"/>
    <w:rsid w:val="00A7154A"/>
    <w:rsid w:val="00AC71ED"/>
    <w:rsid w:val="00AD4AB0"/>
    <w:rsid w:val="00B02582"/>
    <w:rsid w:val="00B1569C"/>
    <w:rsid w:val="00B76445"/>
    <w:rsid w:val="00B83BA2"/>
    <w:rsid w:val="00C66CD2"/>
    <w:rsid w:val="00C72DDF"/>
    <w:rsid w:val="00C81FCA"/>
    <w:rsid w:val="00CF01CF"/>
    <w:rsid w:val="00DF7F78"/>
    <w:rsid w:val="00E57AA9"/>
    <w:rsid w:val="00E93C4D"/>
    <w:rsid w:val="00F3602A"/>
    <w:rsid w:val="00F42CF7"/>
    <w:rsid w:val="00F96DAB"/>
    <w:rsid w:val="00FF0CCC"/>
    <w:rsid w:val="00FF68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443"/>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443"/>
    <w:pPr>
      <w:tabs>
        <w:tab w:val="center" w:pos="4320"/>
        <w:tab w:val="right" w:pos="8640"/>
      </w:tabs>
      <w:spacing w:after="0" w:line="240" w:lineRule="auto"/>
    </w:pPr>
  </w:style>
  <w:style w:type="character" w:customStyle="1" w:styleId="HeaderChar">
    <w:name w:val="Header Char"/>
    <w:basedOn w:val="DefaultParagraphFont"/>
    <w:link w:val="Header"/>
    <w:uiPriority w:val="99"/>
    <w:rsid w:val="00011443"/>
    <w:rPr>
      <w:rFonts w:ascii="Calibri" w:eastAsia="Calibri" w:hAnsi="Calibri" w:cs="Times New Roman"/>
    </w:rPr>
  </w:style>
  <w:style w:type="paragraph" w:styleId="Footer">
    <w:name w:val="footer"/>
    <w:basedOn w:val="Normal"/>
    <w:link w:val="FooterChar"/>
    <w:uiPriority w:val="99"/>
    <w:unhideWhenUsed/>
    <w:rsid w:val="00011443"/>
    <w:pPr>
      <w:tabs>
        <w:tab w:val="center" w:pos="4320"/>
        <w:tab w:val="right" w:pos="8640"/>
      </w:tabs>
      <w:spacing w:after="0" w:line="240" w:lineRule="auto"/>
    </w:pPr>
  </w:style>
  <w:style w:type="character" w:customStyle="1" w:styleId="FooterChar">
    <w:name w:val="Footer Char"/>
    <w:basedOn w:val="DefaultParagraphFont"/>
    <w:link w:val="Footer"/>
    <w:uiPriority w:val="99"/>
    <w:rsid w:val="00011443"/>
    <w:rPr>
      <w:rFonts w:ascii="Calibri" w:eastAsia="Calibri" w:hAnsi="Calibri" w:cs="Times New Roman"/>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A7154A"/>
    <w:pPr>
      <w:spacing w:after="0" w:line="240" w:lineRule="auto"/>
      <w:ind w:left="720"/>
      <w:contextualSpacing/>
    </w:pPr>
    <w:rPr>
      <w:rFonts w:ascii="Times New Roman" w:eastAsia="Times New Roman" w:hAnsi="Times New Roman"/>
      <w:sz w:val="24"/>
      <w:szCs w:val="24"/>
      <w:lang w:val="en-GB"/>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A7154A"/>
    <w:rPr>
      <w:rFonts w:ascii="Times New Roman" w:eastAsia="Times New Roman" w:hAnsi="Times New Roman" w:cs="Times New Roman"/>
      <w:sz w:val="24"/>
      <w:szCs w:val="24"/>
      <w:lang w:val="en-GB"/>
    </w:rPr>
  </w:style>
  <w:style w:type="paragraph" w:customStyle="1" w:styleId="Default">
    <w:name w:val="Default"/>
    <w:rsid w:val="00A104EC"/>
    <w:pPr>
      <w:autoSpaceDE w:val="0"/>
      <w:autoSpaceDN w:val="0"/>
      <w:adjustRightInd w:val="0"/>
      <w:spacing w:after="0" w:line="240" w:lineRule="auto"/>
    </w:pPr>
    <w:rPr>
      <w:rFonts w:ascii="EC Square Sans Pro" w:hAnsi="EC Square Sans Pro" w:cs="EC Square Sans Pro"/>
      <w:color w:val="000000"/>
      <w:sz w:val="24"/>
      <w:szCs w:val="24"/>
    </w:rPr>
  </w:style>
  <w:style w:type="character" w:styleId="CommentReference">
    <w:name w:val="annotation reference"/>
    <w:basedOn w:val="DefaultParagraphFont"/>
    <w:uiPriority w:val="99"/>
    <w:semiHidden/>
    <w:unhideWhenUsed/>
    <w:rsid w:val="00543C9B"/>
    <w:rPr>
      <w:sz w:val="16"/>
      <w:szCs w:val="16"/>
    </w:rPr>
  </w:style>
  <w:style w:type="paragraph" w:styleId="CommentText">
    <w:name w:val="annotation text"/>
    <w:basedOn w:val="Normal"/>
    <w:link w:val="CommentTextChar"/>
    <w:uiPriority w:val="99"/>
    <w:unhideWhenUsed/>
    <w:rsid w:val="00543C9B"/>
    <w:pPr>
      <w:spacing w:line="240" w:lineRule="auto"/>
    </w:pPr>
    <w:rPr>
      <w:sz w:val="20"/>
      <w:szCs w:val="20"/>
    </w:rPr>
  </w:style>
  <w:style w:type="character" w:customStyle="1" w:styleId="CommentTextChar">
    <w:name w:val="Comment Text Char"/>
    <w:basedOn w:val="DefaultParagraphFont"/>
    <w:link w:val="CommentText"/>
    <w:uiPriority w:val="99"/>
    <w:rsid w:val="00543C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43C9B"/>
    <w:rPr>
      <w:b/>
      <w:bCs/>
    </w:rPr>
  </w:style>
  <w:style w:type="character" w:customStyle="1" w:styleId="CommentSubjectChar">
    <w:name w:val="Comment Subject Char"/>
    <w:basedOn w:val="CommentTextChar"/>
    <w:link w:val="CommentSubject"/>
    <w:uiPriority w:val="99"/>
    <w:semiHidden/>
    <w:rsid w:val="00543C9B"/>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43C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C9B"/>
    <w:rPr>
      <w:rFonts w:ascii="Segoe UI" w:eastAsia="Calibri" w:hAnsi="Segoe UI" w:cs="Segoe UI"/>
      <w:sz w:val="18"/>
      <w:szCs w:val="18"/>
    </w:rPr>
  </w:style>
  <w:style w:type="character" w:styleId="Hyperlink">
    <w:name w:val="Hyperlink"/>
    <w:uiPriority w:val="99"/>
    <w:semiHidden/>
    <w:unhideWhenUsed/>
    <w:rsid w:val="00B0258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
    <Relationship Target="header2.xml" Type="http://schemas.openxmlformats.org/officeDocument/2006/relationships/header" Id="rId8"/>
    <Relationship Target="fontTable.xml" Type="http://schemas.openxmlformats.org/officeDocument/2006/relationships/fontTable" Id="rId13"/>
    <Relationship Target="settings.xml" Type="http://schemas.openxmlformats.org/officeDocument/2006/relationships/settings" Id="rId3"/>
    <Relationship Target="header1.xml" Type="http://schemas.openxmlformats.org/officeDocument/2006/relationships/header" Id="rId7"/>
    <Relationship Target="footer3.xml" Type="http://schemas.openxmlformats.org/officeDocument/2006/relationships/footer"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header3.xml" Type="http://schemas.openxmlformats.org/officeDocument/2006/relationships/header" Id="rId11"/>
    <Relationship Target="footnotes.xml" Type="http://schemas.openxmlformats.org/officeDocument/2006/relationships/footnotes" Id="rId5"/>
    <Relationship Target="footer2.xml" Type="http://schemas.openxmlformats.org/officeDocument/2006/relationships/footer" Id="rId10"/>
    <Relationship Target="webSettings.xml" Type="http://schemas.openxmlformats.org/officeDocument/2006/relationships/webSettings" Id="rId4"/>
    <Relationship Target="footer1.xml" Type="http://schemas.openxmlformats.org/officeDocument/2006/relationships/footer"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1441</Words>
  <Characters>822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Kaleja</dc:creator>
  <cp:keywords/>
  <dc:description/>
  <cp:lastModifiedBy>Emils Dombrovskis</cp:lastModifiedBy>
  <cp:revision>8</cp:revision>
  <dcterms:created xsi:type="dcterms:W3CDTF">2022-05-26T12:52:00Z</dcterms:created>
  <dcterms:modified xsi:type="dcterms:W3CDTF">2022-06-06T10:28:00Z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Trešais sekretārs Emīls Dombrovskis</vt:lpwstr>
  </property>
  <property fmtid="{D5CDD505-2E9C-101B-9397-08002B2CF9AE}" pid="3" name="DIScgiUrl">
    <vt:lpwstr>https://lim.esvis.gov.lv/cs/idcplg</vt:lpwstr>
  </property>
  <property fmtid="{D5CDD505-2E9C-101B-9397-08002B2CF9AE}" pid="4" name="DISdDocName">
    <vt:lpwstr>L317994</vt:lpwstr>
  </property>
  <property fmtid="{D5CDD505-2E9C-101B-9397-08002B2CF9AE}" pid="5" name="DISCesvisAdditionalTutors">
    <vt:lpwstr>Vecākā referente Aija Vēja, Trešais  sekretārs Pauls Gailītis</vt:lpwstr>
  </property>
  <property fmtid="{D5CDD505-2E9C-101B-9397-08002B2CF9AE}" pid="6" name="DISCesvisAdditionalMakersPhone">
    <vt:lpwstr>67016465</vt:lpwstr>
  </property>
  <property fmtid="{D5CDD505-2E9C-101B-9397-08002B2CF9AE}" pid="7" name="DISCesvisSigner">
    <vt:lpwstr>Ministrs Edgars Rinkēvičs</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https://lim.esvis.gov.lv/cs/idcplg?ClientControlled=DocMan&amp;coreContentOnly=1&amp;WebdavRequest=1&amp;IdcService=DOC_INFO&amp;dID=409356</vt:lpwstr>
  </property>
  <property fmtid="{D5CDD505-2E9C-101B-9397-08002B2CF9AE}" pid="10" name="DISCesvisTitle">
    <vt:lpwstr>Par Komisijas priekšlikumiem par autonomiem pasākumiem ES-AK Tirdzniecības un sadarbības nolīguma un Izstāšanās līguma ieviešanai.</vt:lpwstr>
  </property>
  <property fmtid="{D5CDD505-2E9C-101B-9397-08002B2CF9AE}" pid="11" name="DISCesvisMinistryOfMinister">
    <vt:lpwstr>wwTemplateNP_MinistryOfMinister(Ārlietu,)</vt:lpwstr>
  </property>
  <property fmtid="{D5CDD505-2E9C-101B-9397-08002B2CF9AE}" pid="12" name="DISCesvisAuthor">
    <vt:lpwstr>Ārlietu ministrija</vt:lpwstr>
  </property>
  <property fmtid="{D5CDD505-2E9C-101B-9397-08002B2CF9AE}" pid="13" name="DISCesvisMainMaker">
    <vt:lpwstr>Trešais sekretārs Emīls Dombrovskis</vt:lpwstr>
  </property>
  <property fmtid="{D5CDD505-2E9C-101B-9397-08002B2CF9AE}" pid="14" name="DISCesvisAdditionalTutorsMail">
    <vt:lpwstr>aija.veja@mfa.gov.lv, pauls.gailitis@mfa.gov.lv</vt:lpwstr>
  </property>
  <property fmtid="{D5CDD505-2E9C-101B-9397-08002B2CF9AE}" pid="15" name="DISCesvisAdditionalTutorsPhone">
    <vt:lpwstr>67016487, 67016209</vt:lpwstr>
  </property>
  <property fmtid="{D5CDD505-2E9C-101B-9397-08002B2CF9AE}" pid="16" name="DISidcName">
    <vt:lpwstr>1020404016200</vt:lpwstr>
  </property>
  <property fmtid="{D5CDD505-2E9C-101B-9397-08002B2CF9AE}" pid="17" name="DISProperties">
    <vt:lpwstr>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CesvisRelatedDocNP,DISidcName,DISCesvisDescription,DISCesvisAdditionalMakersMail,DISdUser,DISCesvisOrgApprovers,DISdID,DISCesvisMainMakerOrgUnitTitle</vt:lpwstr>
  </property>
  <property fmtid="{D5CDD505-2E9C-101B-9397-08002B2CF9AE}" pid="18" name="DISCesvisDescription">
    <vt:lpwstr>
</vt:lpwstr>
  </property>
  <property fmtid="{D5CDD505-2E9C-101B-9397-08002B2CF9AE}" pid="19" name="DISCesvisAdditionalMakersMail">
    <vt:lpwstr>emils.dombrovskis@mfa.gov.lv</vt:lpwstr>
  </property>
  <property fmtid="{D5CDD505-2E9C-101B-9397-08002B2CF9AE}" pid="20" name="DISdUser">
    <vt:lpwstr>weblogic</vt:lpwstr>
  </property>
  <property fmtid="{D5CDD505-2E9C-101B-9397-08002B2CF9AE}" pid="21" name="DISdID">
    <vt:lpwstr>409356</vt:lpwstr>
  </property>
  <property fmtid="{D5CDD505-2E9C-101B-9397-08002B2CF9AE}" pid="22" name="DISCesvisMainMakerOrgUnitTitle">
    <vt:lpwstr>Rietumeiropas valstu nodaļa</vt:lpwstr>
  </property>
  <property fmtid="{D5CDD505-2E9C-101B-9397-08002B2CF9AE}" pid="23" name="DISCesvisRelatedDocNP">
    <vt:lpwstr>Par Komisijas priekšlikumiem par autonomiem pasākumiem ES-AK Tirdzniecības un sadarbības nolīguma un Izstāšanās līguma ieviešanai. </vt:lpwstr>
  </property>
  <property fmtid="{D5CDD505-2E9C-101B-9397-08002B2CF9AE}" pid="24" name="DISCesvisOrgApprovers">
    <vt:lpwstr>Aizsardzības ministrija, Ekonomikas ministrija, Iekšlietu ministrija, Finanšu ministrija, Izglītības un zinātnes ministrija, Kultūras ministrija, Labklājības ministrija, Satiksmes ministrija, Tieslietu ministrija, Vides aizsardzības un reģionālās attīstības ministrija, Veselības ministrija, Zemkopības ministrija, Latvijas Banka</vt:lpwstr>
  </property>
</Properties>
</file>