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73C4F" w14:textId="77777777" w:rsidR="00C9606C" w:rsidRPr="00C9606C" w:rsidRDefault="00C9606C" w:rsidP="00C9606C">
      <w:pPr>
        <w:tabs>
          <w:tab w:val="left" w:pos="5797"/>
        </w:tabs>
        <w:rPr>
          <w:color w:val="000000" w:themeColor="text1"/>
        </w:rPr>
      </w:pPr>
      <w:r w:rsidRPr="00C9606C">
        <w:rPr>
          <w:b/>
          <w:bCs/>
          <w:color w:val="000000" w:themeColor="text1"/>
        </w:rPr>
        <w:t>Deklasifikācijas datums:</w:t>
      </w:r>
      <w:r w:rsidRPr="00C9606C">
        <w:rPr>
          <w:color w:val="000000" w:themeColor="text1"/>
        </w:rPr>
        <w:t xml:space="preserve"> 13.10.2026.</w:t>
      </w:r>
    </w:p>
    <w:p w14:paraId="46817AD1" w14:textId="77777777" w:rsidR="00C9606C" w:rsidRPr="00C9606C" w:rsidRDefault="00C9606C" w:rsidP="00C9606C">
      <w:pPr>
        <w:tabs>
          <w:tab w:val="left" w:pos="5797"/>
        </w:tabs>
        <w:rPr>
          <w:color w:val="000000" w:themeColor="text1"/>
        </w:rPr>
      </w:pPr>
      <w:r w:rsidRPr="00C9606C">
        <w:rPr>
          <w:b/>
          <w:bCs/>
          <w:color w:val="000000" w:themeColor="text1"/>
        </w:rPr>
        <w:t>Deklasifikācijas pamatojums:</w:t>
      </w:r>
      <w:r w:rsidRPr="00C9606C">
        <w:rPr>
          <w:color w:val="000000" w:themeColor="text1"/>
        </w:rPr>
        <w:t xml:space="preserve"> zudis ierobežotas pieejamības statusa noteikšanas pamats. Eiropas komisija pārkāpuma procedūras lietu ir izbeigusi. </w:t>
      </w:r>
    </w:p>
    <w:p w14:paraId="3235A664" w14:textId="77777777" w:rsidR="009151FF" w:rsidRDefault="009151FF" w:rsidP="003118EC">
      <w:pPr>
        <w:tabs>
          <w:tab w:val="left" w:pos="5797"/>
        </w:tabs>
        <w:rPr>
          <w:color w:val="000000" w:themeColor="text1"/>
          <w:sz w:val="28"/>
        </w:rPr>
      </w:pPr>
    </w:p>
    <w:p w14:paraId="4BD53271" w14:textId="71610625" w:rsidR="003118EC" w:rsidRPr="00C9606C" w:rsidRDefault="003118EC" w:rsidP="003118EC">
      <w:pPr>
        <w:tabs>
          <w:tab w:val="left" w:pos="5797"/>
        </w:tabs>
        <w:rPr>
          <w:color w:val="000000" w:themeColor="text1"/>
        </w:rPr>
      </w:pPr>
      <w:r w:rsidRPr="00C9606C">
        <w:rPr>
          <w:color w:val="000000" w:themeColor="text1"/>
        </w:rPr>
        <w:t>Eiropas Komisijas</w:t>
      </w:r>
    </w:p>
    <w:p w14:paraId="4CFCF4EA" w14:textId="77777777" w:rsidR="003118EC" w:rsidRPr="00C9606C" w:rsidRDefault="003118EC" w:rsidP="003118EC">
      <w:pPr>
        <w:tabs>
          <w:tab w:val="left" w:pos="5797"/>
        </w:tabs>
        <w:rPr>
          <w:color w:val="000000" w:themeColor="text1"/>
        </w:rPr>
      </w:pPr>
      <w:r w:rsidRPr="00C9606C">
        <w:rPr>
          <w:color w:val="000000" w:themeColor="text1"/>
        </w:rPr>
        <w:t>Ģenerālsekretariātam</w:t>
      </w:r>
    </w:p>
    <w:p w14:paraId="1F4C8303" w14:textId="77777777" w:rsidR="003118EC" w:rsidRPr="00C9606C" w:rsidRDefault="003118EC" w:rsidP="003118EC">
      <w:pPr>
        <w:tabs>
          <w:tab w:val="left" w:pos="5797"/>
        </w:tabs>
        <w:rPr>
          <w:color w:val="000000" w:themeColor="text1"/>
        </w:rPr>
      </w:pPr>
      <w:r w:rsidRPr="00C9606C">
        <w:rPr>
          <w:color w:val="000000" w:themeColor="text1"/>
        </w:rPr>
        <w:t>(SG-R2)</w:t>
      </w:r>
    </w:p>
    <w:p w14:paraId="554AC0F0" w14:textId="77777777" w:rsidR="003118EC" w:rsidRPr="00C9606C" w:rsidRDefault="003118EC" w:rsidP="003118EC">
      <w:pPr>
        <w:tabs>
          <w:tab w:val="left" w:pos="5797"/>
        </w:tabs>
        <w:rPr>
          <w:color w:val="000000" w:themeColor="text1"/>
        </w:rPr>
      </w:pPr>
      <w:r w:rsidRPr="00C9606C">
        <w:rPr>
          <w:color w:val="000000" w:themeColor="text1"/>
        </w:rPr>
        <w:t>1049 Brisele</w:t>
      </w:r>
    </w:p>
    <w:p w14:paraId="2FD88F87" w14:textId="77777777" w:rsidR="003118EC" w:rsidRPr="00C9606C" w:rsidRDefault="003118EC" w:rsidP="003118EC">
      <w:pPr>
        <w:tabs>
          <w:tab w:val="left" w:pos="5797"/>
        </w:tabs>
        <w:rPr>
          <w:color w:val="000000" w:themeColor="text1"/>
        </w:rPr>
      </w:pPr>
      <w:r w:rsidRPr="00C9606C">
        <w:rPr>
          <w:color w:val="000000" w:themeColor="text1"/>
        </w:rPr>
        <w:t>Beļģija</w:t>
      </w:r>
    </w:p>
    <w:p w14:paraId="22070DCE" w14:textId="77777777" w:rsidR="003118EC" w:rsidRPr="00C9606C" w:rsidRDefault="003118EC" w:rsidP="003118EC">
      <w:pPr>
        <w:tabs>
          <w:tab w:val="left" w:pos="4500"/>
        </w:tabs>
        <w:jc w:val="both"/>
        <w:rPr>
          <w:color w:val="000000" w:themeColor="text1"/>
        </w:rPr>
      </w:pPr>
      <w:r w:rsidRPr="00C9606C">
        <w:rPr>
          <w:color w:val="000000" w:themeColor="text1"/>
        </w:rPr>
        <w:t xml:space="preserve"> </w:t>
      </w:r>
    </w:p>
    <w:p w14:paraId="03A95090" w14:textId="79646023" w:rsidR="003118EC" w:rsidRPr="00C9606C" w:rsidRDefault="003118EC" w:rsidP="003118EC">
      <w:pPr>
        <w:tabs>
          <w:tab w:val="left" w:pos="4500"/>
        </w:tabs>
        <w:jc w:val="both"/>
        <w:rPr>
          <w:i/>
          <w:color w:val="000000" w:themeColor="text1"/>
        </w:rPr>
      </w:pPr>
      <w:r w:rsidRPr="00C9606C">
        <w:rPr>
          <w:i/>
          <w:color w:val="000000" w:themeColor="text1"/>
        </w:rPr>
        <w:t>Uz Eiropas Komisijas 20</w:t>
      </w:r>
      <w:r w:rsidR="00701FDB" w:rsidRPr="00C9606C">
        <w:rPr>
          <w:i/>
          <w:color w:val="000000" w:themeColor="text1"/>
        </w:rPr>
        <w:t>21</w:t>
      </w:r>
      <w:r w:rsidRPr="00C9606C">
        <w:rPr>
          <w:i/>
          <w:color w:val="000000" w:themeColor="text1"/>
        </w:rPr>
        <w:t xml:space="preserve">.gada </w:t>
      </w:r>
      <w:r w:rsidR="00E5375A" w:rsidRPr="00C9606C">
        <w:rPr>
          <w:i/>
          <w:color w:val="000000" w:themeColor="text1"/>
        </w:rPr>
        <w:t>23.jūlija</w:t>
      </w:r>
    </w:p>
    <w:p w14:paraId="118444AF" w14:textId="77777777" w:rsidR="007C7E51" w:rsidRPr="00C9606C" w:rsidRDefault="003118EC" w:rsidP="003118EC">
      <w:pPr>
        <w:tabs>
          <w:tab w:val="left" w:pos="4500"/>
        </w:tabs>
        <w:jc w:val="both"/>
        <w:rPr>
          <w:i/>
          <w:color w:val="000000" w:themeColor="text1"/>
        </w:rPr>
      </w:pPr>
      <w:r w:rsidRPr="00C9606C">
        <w:rPr>
          <w:i/>
          <w:color w:val="000000" w:themeColor="text1"/>
        </w:rPr>
        <w:t xml:space="preserve">formālo paziņojumu pārkāpuma </w:t>
      </w:r>
    </w:p>
    <w:p w14:paraId="1A4BB309" w14:textId="4F58F98C" w:rsidR="003118EC" w:rsidRPr="00C9606C" w:rsidRDefault="003118EC" w:rsidP="003118EC">
      <w:pPr>
        <w:tabs>
          <w:tab w:val="left" w:pos="4500"/>
        </w:tabs>
        <w:jc w:val="both"/>
        <w:rPr>
          <w:i/>
          <w:color w:val="000000" w:themeColor="text1"/>
        </w:rPr>
      </w:pPr>
      <w:r w:rsidRPr="00C9606C">
        <w:rPr>
          <w:i/>
          <w:color w:val="000000" w:themeColor="text1"/>
        </w:rPr>
        <w:t>procedūras lietā Nr.</w:t>
      </w:r>
      <w:r w:rsidR="00701FDB" w:rsidRPr="00C9606C">
        <w:rPr>
          <w:i/>
          <w:color w:val="000000" w:themeColor="text1"/>
        </w:rPr>
        <w:t>2021</w:t>
      </w:r>
      <w:r w:rsidR="00A81A85" w:rsidRPr="00C9606C">
        <w:rPr>
          <w:i/>
          <w:color w:val="000000" w:themeColor="text1"/>
        </w:rPr>
        <w:t>/</w:t>
      </w:r>
      <w:r w:rsidR="00711456" w:rsidRPr="00C9606C">
        <w:rPr>
          <w:i/>
          <w:color w:val="000000" w:themeColor="text1"/>
        </w:rPr>
        <w:t>0299</w:t>
      </w:r>
    </w:p>
    <w:p w14:paraId="6520225B" w14:textId="77777777" w:rsidR="003118EC" w:rsidRPr="00C9606C" w:rsidRDefault="003118EC" w:rsidP="003118EC">
      <w:pPr>
        <w:jc w:val="both"/>
        <w:rPr>
          <w:color w:val="000000" w:themeColor="text1"/>
        </w:rPr>
      </w:pPr>
    </w:p>
    <w:p w14:paraId="1CD2DED8" w14:textId="6923D299" w:rsidR="00EF55C8" w:rsidRPr="00C9606C" w:rsidRDefault="00EF55C8" w:rsidP="00EF55C8">
      <w:pPr>
        <w:ind w:firstLine="709"/>
        <w:jc w:val="both"/>
      </w:pPr>
      <w:r w:rsidRPr="00C9606C">
        <w:t xml:space="preserve">1. Latvijas Republika ir saņēmusi Eiropas Komisijas </w:t>
      </w:r>
      <w:r w:rsidR="00F83752" w:rsidRPr="00C9606C">
        <w:t>2021</w:t>
      </w:r>
      <w:r w:rsidRPr="00C9606C">
        <w:t xml:space="preserve">.gada </w:t>
      </w:r>
      <w:r w:rsidR="00E5375A" w:rsidRPr="00C9606C">
        <w:t>23.jūlija</w:t>
      </w:r>
      <w:r w:rsidRPr="00C9606C">
        <w:t xml:space="preserve"> formālo paziņojumu pārkāpuma procedūras lietā Nr.</w:t>
      </w:r>
      <w:r w:rsidR="00F83752" w:rsidRPr="00C9606C">
        <w:t>2021</w:t>
      </w:r>
      <w:r w:rsidRPr="00C9606C">
        <w:t>/</w:t>
      </w:r>
      <w:r w:rsidR="00711456" w:rsidRPr="00C9606C">
        <w:t>0299</w:t>
      </w:r>
      <w:r w:rsidRPr="00C9606C">
        <w:t>, kurā norādīts:</w:t>
      </w:r>
    </w:p>
    <w:p w14:paraId="451096A2" w14:textId="4C49E857" w:rsidR="00553B0D" w:rsidRPr="00C9606C" w:rsidRDefault="00EF55C8" w:rsidP="00CC2A9B">
      <w:pPr>
        <w:ind w:firstLine="709"/>
        <w:jc w:val="both"/>
      </w:pPr>
      <w:r w:rsidRPr="00C9606C">
        <w:t xml:space="preserve">1.1. Latvijas Republika nav izpildījusi pienākumu paziņot par </w:t>
      </w:r>
      <w:r w:rsidR="004D1895" w:rsidRPr="00C9606C">
        <w:t xml:space="preserve">Eiropas Parlamenta un Padomes 2019.gada 27.novembra </w:t>
      </w:r>
      <w:r w:rsidR="001E6654" w:rsidRPr="00C9606C">
        <w:t>D</w:t>
      </w:r>
      <w:r w:rsidR="004D1895" w:rsidRPr="00C9606C">
        <w:t>irektīvas</w:t>
      </w:r>
      <w:r w:rsidR="001E6654" w:rsidRPr="00C9606C">
        <w:t xml:space="preserve"> (ES)</w:t>
      </w:r>
      <w:r w:rsidR="004D1895" w:rsidRPr="00C9606C">
        <w:t xml:space="preserve"> Nr.2019/2034 par ieguldījumu brokeru sabiedrību </w:t>
      </w:r>
      <w:proofErr w:type="spellStart"/>
      <w:r w:rsidR="004D1895" w:rsidRPr="00C9606C">
        <w:t>prudenciālo</w:t>
      </w:r>
      <w:proofErr w:type="spellEnd"/>
      <w:r w:rsidR="004D1895" w:rsidRPr="00C9606C">
        <w:t xml:space="preserve"> uzraudzību un ar ko groza Direktīvas 2002/87/EK, 2009/65/EK, 2011/61/ES, 2013/36/ES, 2014/59/ES un 2014/65/ES (turpmāk – Direktīva Nr. 2019/2034)</w:t>
      </w:r>
      <w:r w:rsidR="00703B30" w:rsidRPr="00C9606C">
        <w:t>, transponēšanas pasākumiem.</w:t>
      </w:r>
    </w:p>
    <w:p w14:paraId="1CC8EDDF" w14:textId="66B1A325" w:rsidR="00EF55C8" w:rsidRPr="00C9606C" w:rsidRDefault="00EF55C8" w:rsidP="00EF55C8">
      <w:pPr>
        <w:ind w:firstLine="709"/>
        <w:jc w:val="both"/>
        <w:rPr>
          <w:color w:val="000000" w:themeColor="text1"/>
        </w:rPr>
      </w:pPr>
      <w:r w:rsidRPr="00C9606C">
        <w:rPr>
          <w:color w:val="000000" w:themeColor="text1"/>
        </w:rPr>
        <w:t xml:space="preserve">1.2. Saskaņā ar procedūru, kas paredzēta Līguma par Eiropas Savienības darbību 258.pantā, Eiropas Komisija dod iespēju Latvijas Republikai divu mēnešu laikā iesniegt paskaidrojumus par </w:t>
      </w:r>
      <w:r w:rsidR="004D1895" w:rsidRPr="00C9606C">
        <w:t>Direktīvas Nr. 2019/2034</w:t>
      </w:r>
      <w:r w:rsidR="00A81A85" w:rsidRPr="00C9606C">
        <w:rPr>
          <w:color w:val="000000" w:themeColor="text1"/>
        </w:rPr>
        <w:t xml:space="preserve"> </w:t>
      </w:r>
      <w:r w:rsidRPr="00C9606C">
        <w:rPr>
          <w:color w:val="000000" w:themeColor="text1"/>
        </w:rPr>
        <w:t>transponēšanu.</w:t>
      </w:r>
    </w:p>
    <w:p w14:paraId="635A5395" w14:textId="7DFDAF93" w:rsidR="00EF55C8" w:rsidRPr="00C9606C" w:rsidRDefault="00EF55C8" w:rsidP="00EF55C8">
      <w:pPr>
        <w:ind w:firstLine="720"/>
        <w:jc w:val="both"/>
        <w:rPr>
          <w:color w:val="000000" w:themeColor="text1"/>
          <w:lang w:eastAsia="en-US"/>
        </w:rPr>
      </w:pPr>
      <w:r w:rsidRPr="00C9606C">
        <w:rPr>
          <w:color w:val="000000" w:themeColor="text1"/>
        </w:rPr>
        <w:t xml:space="preserve">2. Latvijas Republika, atbildot uz </w:t>
      </w:r>
      <w:r w:rsidR="00A15DB4" w:rsidRPr="00C9606C">
        <w:rPr>
          <w:color w:val="000000" w:themeColor="text1"/>
        </w:rPr>
        <w:t xml:space="preserve">Eiropas Komisijas </w:t>
      </w:r>
      <w:r w:rsidR="00CC2A9B" w:rsidRPr="00C9606C">
        <w:rPr>
          <w:color w:val="000000" w:themeColor="text1"/>
        </w:rPr>
        <w:t>2021</w:t>
      </w:r>
      <w:r w:rsidRPr="00C9606C">
        <w:rPr>
          <w:color w:val="000000" w:themeColor="text1"/>
        </w:rPr>
        <w:t xml:space="preserve">.gada </w:t>
      </w:r>
      <w:r w:rsidR="00E5375A" w:rsidRPr="00C9606C">
        <w:rPr>
          <w:color w:val="000000" w:themeColor="text1"/>
        </w:rPr>
        <w:t>2</w:t>
      </w:r>
      <w:r w:rsidR="00CC2A9B" w:rsidRPr="00C9606C">
        <w:rPr>
          <w:color w:val="000000" w:themeColor="text1"/>
        </w:rPr>
        <w:t>3</w:t>
      </w:r>
      <w:r w:rsidR="00A20CFB" w:rsidRPr="00C9606C">
        <w:rPr>
          <w:color w:val="000000" w:themeColor="text1"/>
        </w:rPr>
        <w:t>.</w:t>
      </w:r>
      <w:r w:rsidR="00E5375A" w:rsidRPr="00C9606C">
        <w:rPr>
          <w:color w:val="000000" w:themeColor="text1"/>
        </w:rPr>
        <w:t>jūlija</w:t>
      </w:r>
      <w:r w:rsidRPr="00C9606C">
        <w:rPr>
          <w:color w:val="000000" w:themeColor="text1"/>
        </w:rPr>
        <w:t xml:space="preserve"> formālo paziņojumu pārkāpuma procedūras lietā Nr.</w:t>
      </w:r>
      <w:r w:rsidR="00CC2A9B" w:rsidRPr="00C9606C">
        <w:rPr>
          <w:color w:val="000000" w:themeColor="text1"/>
        </w:rPr>
        <w:t>2021</w:t>
      </w:r>
      <w:r w:rsidRPr="00C9606C">
        <w:rPr>
          <w:color w:val="000000" w:themeColor="text1"/>
        </w:rPr>
        <w:t>/</w:t>
      </w:r>
      <w:r w:rsidR="00711456" w:rsidRPr="00C9606C">
        <w:rPr>
          <w:color w:val="000000" w:themeColor="text1"/>
        </w:rPr>
        <w:t>0299</w:t>
      </w:r>
      <w:r w:rsidRPr="00C9606C">
        <w:rPr>
          <w:color w:val="000000" w:themeColor="text1"/>
        </w:rPr>
        <w:t>, sniedz šādu informāciju:</w:t>
      </w:r>
    </w:p>
    <w:p w14:paraId="1B457796" w14:textId="440D6156" w:rsidR="00EF55C8" w:rsidRPr="00C9606C" w:rsidRDefault="00EF55C8" w:rsidP="00EF55C8">
      <w:pPr>
        <w:ind w:firstLine="720"/>
        <w:jc w:val="both"/>
      </w:pPr>
      <w:r w:rsidRPr="00C9606C">
        <w:rPr>
          <w:color w:val="000000" w:themeColor="text1"/>
        </w:rPr>
        <w:t xml:space="preserve">2.1. Latvijas Republika atzīst, ka tā nav izpildījusi pienākumu savlaicīgi paziņot par </w:t>
      </w:r>
      <w:r w:rsidR="006C29D6" w:rsidRPr="00C9606C">
        <w:t>Direktīvas Nr.2019/2034</w:t>
      </w:r>
      <w:r w:rsidR="00DD5529" w:rsidRPr="00C9606C">
        <w:t xml:space="preserve"> </w:t>
      </w:r>
      <w:r w:rsidRPr="00C9606C">
        <w:t>transponēšanas pasākumiem.</w:t>
      </w:r>
    </w:p>
    <w:p w14:paraId="3565F315" w14:textId="3248BD9C" w:rsidR="00E65D1A" w:rsidRPr="00C9606C" w:rsidRDefault="009205B0" w:rsidP="00E65D1A">
      <w:pPr>
        <w:ind w:firstLine="720"/>
        <w:jc w:val="both"/>
        <w:rPr>
          <w:color w:val="000000" w:themeColor="text1"/>
        </w:rPr>
      </w:pPr>
      <w:r w:rsidRPr="00C9606C">
        <w:rPr>
          <w:color w:val="000000" w:themeColor="text1"/>
        </w:rPr>
        <w:t xml:space="preserve">2.2. </w:t>
      </w:r>
      <w:r w:rsidR="00E65D1A" w:rsidRPr="00C9606C">
        <w:rPr>
          <w:color w:val="000000" w:themeColor="text1"/>
        </w:rPr>
        <w:t xml:space="preserve">Lai pilnībā transponētu </w:t>
      </w:r>
      <w:r w:rsidR="006C29D6" w:rsidRPr="00C9606C">
        <w:rPr>
          <w:color w:val="000000" w:themeColor="text1"/>
        </w:rPr>
        <w:t>Direktīvas Nr.2019/2034</w:t>
      </w:r>
      <w:r w:rsidR="00E65D1A" w:rsidRPr="00C9606C">
        <w:rPr>
          <w:color w:val="000000" w:themeColor="text1"/>
        </w:rPr>
        <w:t xml:space="preserve"> prasības, ir nep</w:t>
      </w:r>
      <w:r w:rsidR="00E87062" w:rsidRPr="00C9606C">
        <w:rPr>
          <w:color w:val="000000" w:themeColor="text1"/>
        </w:rPr>
        <w:t>ieciešams pieņemt likumprojektu</w:t>
      </w:r>
      <w:r w:rsidR="00DF3EBD" w:rsidRPr="00C9606C">
        <w:rPr>
          <w:color w:val="000000" w:themeColor="text1"/>
        </w:rPr>
        <w:t>s</w:t>
      </w:r>
      <w:r w:rsidR="00E65D1A" w:rsidRPr="00C9606C">
        <w:rPr>
          <w:color w:val="000000" w:themeColor="text1"/>
        </w:rPr>
        <w:t xml:space="preserve"> </w:t>
      </w:r>
      <w:r w:rsidR="006C29D6" w:rsidRPr="00C9606C">
        <w:rPr>
          <w:color w:val="000000" w:themeColor="text1"/>
        </w:rPr>
        <w:t>“Ieguldījumu brokeru sabiedrību likums”, “Grozījumi Finanšu instrumentu tirgus likumā”, “Grozījumi Kredītiestāžu likumā”, “Grozījumi Ieguldījumu pārvaldes sabiedrību likumā”, “Grozījumi Alternatīvo ieguldījumu fondu un to pārvaldnieku likumā”, “Grozījumi Kredītiestāžu un ieguldījumu brokeru sabiedrību darbības atjaunošanas un noregulējuma likumā”, “Grozījumi Finanšu konglomerātu likumā”. Likumprojekti</w:t>
      </w:r>
      <w:r w:rsidR="003D345E" w:rsidRPr="00C9606C">
        <w:rPr>
          <w:color w:val="000000" w:themeColor="text1"/>
        </w:rPr>
        <w:t xml:space="preserve"> 2021.gada 19. un 20.augustā</w:t>
      </w:r>
      <w:r w:rsidR="006C29D6" w:rsidRPr="00C9606C">
        <w:rPr>
          <w:color w:val="000000" w:themeColor="text1"/>
        </w:rPr>
        <w:t xml:space="preserve"> ir iesnieg</w:t>
      </w:r>
      <w:r w:rsidR="003D345E" w:rsidRPr="00C9606C">
        <w:rPr>
          <w:color w:val="000000" w:themeColor="text1"/>
        </w:rPr>
        <w:t>ti</w:t>
      </w:r>
      <w:r w:rsidR="006C29D6" w:rsidRPr="00C9606C">
        <w:rPr>
          <w:color w:val="000000" w:themeColor="text1"/>
        </w:rPr>
        <w:t xml:space="preserve"> Latvijas Republikas Ministru kabinetā, lai tos virzītu uz Latvijas Republikas Saeimu</w:t>
      </w:r>
      <w:r w:rsidR="003D345E" w:rsidRPr="00C9606C">
        <w:rPr>
          <w:color w:val="000000" w:themeColor="text1"/>
        </w:rPr>
        <w:t xml:space="preserve"> (turpmāk – Saeima)</w:t>
      </w:r>
      <w:r w:rsidR="006C29D6" w:rsidRPr="00C9606C">
        <w:rPr>
          <w:color w:val="000000" w:themeColor="text1"/>
        </w:rPr>
        <w:t>. Paredzams, ka sagatavotie likumprojekti tiks pieņemti Saeimā galīgajā lasījumā līdz 2022.gada 28. februārim, līdz ar to Direktīvas Nr. 2019/2034 prasības tiks pārņemtas pilnībā.</w:t>
      </w:r>
      <w:r w:rsidR="00E65D1A" w:rsidRPr="00C9606C">
        <w:rPr>
          <w:color w:val="000000" w:themeColor="text1"/>
        </w:rPr>
        <w:t xml:space="preserve"> </w:t>
      </w:r>
    </w:p>
    <w:p w14:paraId="07DC80D8" w14:textId="0771890E" w:rsidR="00A86324" w:rsidRPr="00C9606C" w:rsidRDefault="00A86324" w:rsidP="00A86324">
      <w:pPr>
        <w:ind w:firstLine="720"/>
        <w:jc w:val="both"/>
      </w:pPr>
      <w:r w:rsidRPr="00C9606C">
        <w:t xml:space="preserve">2.3. Direktīvas </w:t>
      </w:r>
      <w:r w:rsidRPr="00C9606C">
        <w:rPr>
          <w:color w:val="000000" w:themeColor="text1"/>
        </w:rPr>
        <w:t xml:space="preserve">Nr.2019/2034 </w:t>
      </w:r>
      <w:r w:rsidRPr="00C9606C">
        <w:t>pārņemšanas kavējums saistīts galvenokārt ar to, ka saskaņā ar Ministru kabineta 2020.gada 12.marta rīkojumu Nr.103 “Par ārkārtējās situācijas izsludināšanu” Latvijas Republikā tika izsludināta ārkārtējā situācija, kas bija spēkā līdz 2020.gada 9.jūnijam, kas būtiski ietekmēja likumprojektu saskaņošanu, izskatīšanu un virzību Saeimā.</w:t>
      </w:r>
    </w:p>
    <w:p w14:paraId="250A6220" w14:textId="2D7002A1" w:rsidR="00E94879" w:rsidRPr="00C9606C" w:rsidRDefault="00E94879" w:rsidP="00E94879">
      <w:pPr>
        <w:tabs>
          <w:tab w:val="left" w:pos="1134"/>
        </w:tabs>
        <w:ind w:firstLine="720"/>
        <w:jc w:val="both"/>
      </w:pPr>
      <w:r w:rsidRPr="00C9606C">
        <w:t>3. Tiklīdz nostājas 2.</w:t>
      </w:r>
      <w:r w:rsidR="009B58F1" w:rsidRPr="00C9606C">
        <w:t>2</w:t>
      </w:r>
      <w:r w:rsidRPr="00C9606C">
        <w:t>.apakšpunktā minēt</w:t>
      </w:r>
      <w:r w:rsidR="009B58F1" w:rsidRPr="00C9606C">
        <w:t>ie</w:t>
      </w:r>
      <w:r w:rsidRPr="00C9606C">
        <w:t xml:space="preserve"> likumprojekt</w:t>
      </w:r>
      <w:r w:rsidR="009B58F1" w:rsidRPr="00C9606C">
        <w:t>i</w:t>
      </w:r>
      <w:r w:rsidRPr="00C9606C">
        <w:t xml:space="preserve"> tiks pieņemt</w:t>
      </w:r>
      <w:r w:rsidR="009B58F1" w:rsidRPr="00C9606C">
        <w:t>i</w:t>
      </w:r>
      <w:r w:rsidRPr="00C9606C">
        <w:t xml:space="preserve"> Saeimā un publicēt</w:t>
      </w:r>
      <w:r w:rsidR="00126CA1" w:rsidRPr="00C9606C">
        <w:t>i</w:t>
      </w:r>
      <w:r w:rsidRPr="00C9606C">
        <w:t xml:space="preserve"> Latvijas Republikas oficiālajā izdevumā “Latvijas Vēstnesis”, Latvijas Republika par to nekavējoties paziņos Eiropas Komisijai, izmantojot Valsts izpildes pasākumu paziņošanas sistēmu.</w:t>
      </w:r>
    </w:p>
    <w:p w14:paraId="1A6321A5" w14:textId="77777777" w:rsidR="00D5095E" w:rsidRPr="00553B0D" w:rsidRDefault="00D5095E" w:rsidP="00D5095E">
      <w:pPr>
        <w:ind w:firstLine="720"/>
        <w:jc w:val="both"/>
        <w:rPr>
          <w:color w:val="FF0000"/>
          <w:szCs w:val="26"/>
        </w:rPr>
      </w:pPr>
    </w:p>
    <w:p w14:paraId="680E7D5F" w14:textId="77777777" w:rsidR="003277BE" w:rsidRPr="00553B0D" w:rsidRDefault="003277BE" w:rsidP="00723399">
      <w:pPr>
        <w:ind w:firstLine="539"/>
        <w:jc w:val="both"/>
        <w:rPr>
          <w:color w:val="FF0000"/>
        </w:rPr>
      </w:pPr>
    </w:p>
    <w:p w14:paraId="0EEC9BD4" w14:textId="77777777" w:rsidR="00AE5C99" w:rsidRPr="00CC2A9B" w:rsidRDefault="00EF55C8" w:rsidP="005178F5">
      <w:pPr>
        <w:ind w:left="539"/>
        <w:rPr>
          <w:color w:val="000000" w:themeColor="text1"/>
        </w:rPr>
      </w:pPr>
      <w:r w:rsidRPr="00CC2A9B">
        <w:rPr>
          <w:color w:val="000000" w:themeColor="text1"/>
        </w:rPr>
        <w:t>Finanšu ministrs</w:t>
      </w:r>
      <w:r w:rsidR="005178F5" w:rsidRPr="00CC2A9B">
        <w:rPr>
          <w:color w:val="000000" w:themeColor="text1"/>
        </w:rPr>
        <w:tab/>
      </w:r>
      <w:r w:rsidR="005178F5" w:rsidRPr="00CC2A9B">
        <w:rPr>
          <w:color w:val="000000" w:themeColor="text1"/>
        </w:rPr>
        <w:tab/>
      </w:r>
      <w:r w:rsidR="005178F5" w:rsidRPr="00CC2A9B">
        <w:rPr>
          <w:color w:val="000000" w:themeColor="text1"/>
        </w:rPr>
        <w:tab/>
      </w:r>
      <w:r w:rsidR="005178F5" w:rsidRPr="00CC2A9B">
        <w:rPr>
          <w:color w:val="000000" w:themeColor="text1"/>
        </w:rPr>
        <w:tab/>
      </w:r>
      <w:r w:rsidR="005178F5" w:rsidRPr="00CC2A9B">
        <w:rPr>
          <w:color w:val="000000" w:themeColor="text1"/>
        </w:rPr>
        <w:tab/>
      </w:r>
      <w:r w:rsidR="005178F5" w:rsidRPr="00CC2A9B">
        <w:rPr>
          <w:color w:val="000000" w:themeColor="text1"/>
        </w:rPr>
        <w:tab/>
      </w:r>
      <w:r w:rsidR="005178F5" w:rsidRPr="00CC2A9B">
        <w:rPr>
          <w:color w:val="000000" w:themeColor="text1"/>
        </w:rPr>
        <w:tab/>
      </w:r>
      <w:r w:rsidR="005178F5" w:rsidRPr="00CC2A9B">
        <w:rPr>
          <w:color w:val="000000" w:themeColor="text1"/>
        </w:rPr>
        <w:tab/>
      </w:r>
      <w:r w:rsidR="005178F5" w:rsidRPr="00CC2A9B">
        <w:rPr>
          <w:color w:val="000000" w:themeColor="text1"/>
        </w:rPr>
        <w:tab/>
      </w:r>
      <w:r w:rsidRPr="00CC2A9B">
        <w:rPr>
          <w:color w:val="000000" w:themeColor="text1"/>
        </w:rPr>
        <w:tab/>
      </w:r>
      <w:proofErr w:type="spellStart"/>
      <w:r w:rsidRPr="00CC2A9B">
        <w:rPr>
          <w:color w:val="000000" w:themeColor="text1"/>
        </w:rPr>
        <w:t>J.Reirs</w:t>
      </w:r>
      <w:proofErr w:type="spellEnd"/>
    </w:p>
    <w:sectPr w:rsidR="00AE5C99" w:rsidRPr="00CC2A9B" w:rsidSect="004E7B37">
      <w:headerReference w:type="default" r:id="rId8"/>
      <w:footerReference w:type="default" r:id="rId9"/>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EE649" w14:textId="77777777" w:rsidR="00BB5F71" w:rsidRDefault="00BB5F71" w:rsidP="00CC44E2">
      <w:r>
        <w:separator/>
      </w:r>
    </w:p>
  </w:endnote>
  <w:endnote w:type="continuationSeparator" w:id="0">
    <w:p w14:paraId="17302E92" w14:textId="77777777" w:rsidR="00BB5F71" w:rsidRDefault="00BB5F71" w:rsidP="00CC44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FBFB5" w14:textId="77777777" w:rsidR="00E46F64" w:rsidRDefault="00E46F64">
    <w:pPr>
      <w:pStyle w:val="Footer"/>
      <w:jc w:val="right"/>
    </w:pPr>
  </w:p>
  <w:p w14:paraId="78BA76AA" w14:textId="77777777" w:rsidR="00E46F64" w:rsidRDefault="00E46F64" w:rsidP="006E1B8A">
    <w:pPr>
      <w:pStyle w:val="Header"/>
      <w:jc w:val="center"/>
      <w:rPr>
        <w:strike/>
      </w:rPr>
    </w:pPr>
    <w:r w:rsidRPr="009151FF">
      <w:rPr>
        <w:strike/>
      </w:rPr>
      <w:t>IEROBEŽOTAS PIEEJAMĪBAS INFORMĀCIJA</w:t>
    </w:r>
  </w:p>
  <w:p w14:paraId="1C1723E5" w14:textId="3BE98516" w:rsidR="009151FF" w:rsidRPr="009151FF" w:rsidRDefault="009151FF" w:rsidP="009151FF">
    <w:pPr>
      <w:pStyle w:val="Header"/>
      <w:jc w:val="center"/>
      <w:rPr>
        <w:strike/>
      </w:rPr>
    </w:pPr>
    <w:r w:rsidRPr="0043354C">
      <w:t>NAV KLASIFICĒTS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EE699" w14:textId="77777777" w:rsidR="00BB5F71" w:rsidRDefault="00BB5F71" w:rsidP="00CC44E2">
      <w:r>
        <w:separator/>
      </w:r>
    </w:p>
  </w:footnote>
  <w:footnote w:type="continuationSeparator" w:id="0">
    <w:p w14:paraId="4F1E0C62" w14:textId="77777777" w:rsidR="00BB5F71" w:rsidRDefault="00BB5F71" w:rsidP="00CC44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84FA6" w14:textId="77777777" w:rsidR="00700522" w:rsidRDefault="00700522" w:rsidP="00700522">
    <w:pPr>
      <w:pStyle w:val="Header"/>
      <w:jc w:val="center"/>
      <w:rPr>
        <w:strike/>
      </w:rPr>
    </w:pPr>
    <w:r w:rsidRPr="00591791">
      <w:rPr>
        <w:strike/>
      </w:rPr>
      <w:t>IEROBEŽOTAS PIEEJAMĪBAS INFORMĀCIJA</w:t>
    </w:r>
  </w:p>
  <w:p w14:paraId="1C86B974" w14:textId="12A6BDE0" w:rsidR="00591791" w:rsidRPr="00591791" w:rsidRDefault="009151FF" w:rsidP="009151FF">
    <w:pPr>
      <w:pStyle w:val="Header"/>
      <w:jc w:val="center"/>
      <w:rPr>
        <w:strike/>
      </w:rPr>
    </w:pPr>
    <w:r w:rsidRPr="0043354C">
      <w:t>NAV KLASIFICĒTS</w:t>
    </w:r>
  </w:p>
  <w:p w14:paraId="649455FD" w14:textId="77777777" w:rsidR="00700522" w:rsidRDefault="007005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AF35F6"/>
    <w:multiLevelType w:val="hybridMultilevel"/>
    <w:tmpl w:val="2ECEE948"/>
    <w:lvl w:ilvl="0" w:tplc="C70479F6">
      <w:start w:val="1"/>
      <w:numFmt w:val="decimal"/>
      <w:lvlText w:val="%1."/>
      <w:lvlJc w:val="left"/>
      <w:pPr>
        <w:ind w:left="899" w:hanging="360"/>
      </w:pPr>
      <w:rPr>
        <w:rFonts w:eastAsia="Calibri" w:hint="default"/>
        <w:color w:val="000000"/>
      </w:rPr>
    </w:lvl>
    <w:lvl w:ilvl="1" w:tplc="04260019" w:tentative="1">
      <w:start w:val="1"/>
      <w:numFmt w:val="lowerLetter"/>
      <w:lvlText w:val="%2."/>
      <w:lvlJc w:val="left"/>
      <w:pPr>
        <w:ind w:left="1619" w:hanging="360"/>
      </w:pPr>
    </w:lvl>
    <w:lvl w:ilvl="2" w:tplc="0426001B" w:tentative="1">
      <w:start w:val="1"/>
      <w:numFmt w:val="lowerRoman"/>
      <w:lvlText w:val="%3."/>
      <w:lvlJc w:val="right"/>
      <w:pPr>
        <w:ind w:left="2339" w:hanging="180"/>
      </w:pPr>
    </w:lvl>
    <w:lvl w:ilvl="3" w:tplc="0426000F" w:tentative="1">
      <w:start w:val="1"/>
      <w:numFmt w:val="decimal"/>
      <w:lvlText w:val="%4."/>
      <w:lvlJc w:val="left"/>
      <w:pPr>
        <w:ind w:left="3059" w:hanging="360"/>
      </w:pPr>
    </w:lvl>
    <w:lvl w:ilvl="4" w:tplc="04260019" w:tentative="1">
      <w:start w:val="1"/>
      <w:numFmt w:val="lowerLetter"/>
      <w:lvlText w:val="%5."/>
      <w:lvlJc w:val="left"/>
      <w:pPr>
        <w:ind w:left="3779" w:hanging="360"/>
      </w:pPr>
    </w:lvl>
    <w:lvl w:ilvl="5" w:tplc="0426001B" w:tentative="1">
      <w:start w:val="1"/>
      <w:numFmt w:val="lowerRoman"/>
      <w:lvlText w:val="%6."/>
      <w:lvlJc w:val="right"/>
      <w:pPr>
        <w:ind w:left="4499" w:hanging="180"/>
      </w:pPr>
    </w:lvl>
    <w:lvl w:ilvl="6" w:tplc="0426000F" w:tentative="1">
      <w:start w:val="1"/>
      <w:numFmt w:val="decimal"/>
      <w:lvlText w:val="%7."/>
      <w:lvlJc w:val="left"/>
      <w:pPr>
        <w:ind w:left="5219" w:hanging="360"/>
      </w:pPr>
    </w:lvl>
    <w:lvl w:ilvl="7" w:tplc="04260019" w:tentative="1">
      <w:start w:val="1"/>
      <w:numFmt w:val="lowerLetter"/>
      <w:lvlText w:val="%8."/>
      <w:lvlJc w:val="left"/>
      <w:pPr>
        <w:ind w:left="5939" w:hanging="360"/>
      </w:pPr>
    </w:lvl>
    <w:lvl w:ilvl="8" w:tplc="0426001B" w:tentative="1">
      <w:start w:val="1"/>
      <w:numFmt w:val="lowerRoman"/>
      <w:lvlText w:val="%9."/>
      <w:lvlJc w:val="right"/>
      <w:pPr>
        <w:ind w:left="6659" w:hanging="180"/>
      </w:pPr>
    </w:lvl>
  </w:abstractNum>
  <w:abstractNum w:abstractNumId="1" w15:restartNumberingAfterBreak="0">
    <w:nsid w:val="4FDB5D0F"/>
    <w:multiLevelType w:val="hybridMultilevel"/>
    <w:tmpl w:val="F92A75F0"/>
    <w:lvl w:ilvl="0" w:tplc="FFFFFFFF">
      <w:start w:val="11"/>
      <w:numFmt w:val="bullet"/>
      <w:lvlText w:val="-"/>
      <w:lvlJc w:val="left"/>
      <w:pPr>
        <w:ind w:left="1080" w:hanging="360"/>
      </w:pPr>
      <w:rPr>
        <w:rFonts w:ascii="Times New Roman" w:eastAsia="Times New Roman" w:hAnsi="Times New Roman" w:cs="Times New Roman"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2" w15:restartNumberingAfterBreak="0">
    <w:nsid w:val="6A9A6166"/>
    <w:multiLevelType w:val="hybridMultilevel"/>
    <w:tmpl w:val="F3F0CE9E"/>
    <w:lvl w:ilvl="0" w:tplc="37DE9198">
      <w:start w:val="1"/>
      <w:numFmt w:val="decimal"/>
      <w:lvlText w:val="%1."/>
      <w:lvlJc w:val="left"/>
      <w:pPr>
        <w:ind w:left="899" w:hanging="360"/>
      </w:pPr>
      <w:rPr>
        <w:rFonts w:hint="default"/>
        <w:b w:val="0"/>
      </w:rPr>
    </w:lvl>
    <w:lvl w:ilvl="1" w:tplc="04260019" w:tentative="1">
      <w:start w:val="1"/>
      <w:numFmt w:val="lowerLetter"/>
      <w:lvlText w:val="%2."/>
      <w:lvlJc w:val="left"/>
      <w:pPr>
        <w:ind w:left="1619" w:hanging="360"/>
      </w:pPr>
    </w:lvl>
    <w:lvl w:ilvl="2" w:tplc="0426001B" w:tentative="1">
      <w:start w:val="1"/>
      <w:numFmt w:val="lowerRoman"/>
      <w:lvlText w:val="%3."/>
      <w:lvlJc w:val="right"/>
      <w:pPr>
        <w:ind w:left="2339" w:hanging="180"/>
      </w:pPr>
    </w:lvl>
    <w:lvl w:ilvl="3" w:tplc="0426000F" w:tentative="1">
      <w:start w:val="1"/>
      <w:numFmt w:val="decimal"/>
      <w:lvlText w:val="%4."/>
      <w:lvlJc w:val="left"/>
      <w:pPr>
        <w:ind w:left="3059" w:hanging="360"/>
      </w:pPr>
    </w:lvl>
    <w:lvl w:ilvl="4" w:tplc="04260019" w:tentative="1">
      <w:start w:val="1"/>
      <w:numFmt w:val="lowerLetter"/>
      <w:lvlText w:val="%5."/>
      <w:lvlJc w:val="left"/>
      <w:pPr>
        <w:ind w:left="3779" w:hanging="360"/>
      </w:pPr>
    </w:lvl>
    <w:lvl w:ilvl="5" w:tplc="0426001B" w:tentative="1">
      <w:start w:val="1"/>
      <w:numFmt w:val="lowerRoman"/>
      <w:lvlText w:val="%6."/>
      <w:lvlJc w:val="right"/>
      <w:pPr>
        <w:ind w:left="4499" w:hanging="180"/>
      </w:pPr>
    </w:lvl>
    <w:lvl w:ilvl="6" w:tplc="0426000F" w:tentative="1">
      <w:start w:val="1"/>
      <w:numFmt w:val="decimal"/>
      <w:lvlText w:val="%7."/>
      <w:lvlJc w:val="left"/>
      <w:pPr>
        <w:ind w:left="5219" w:hanging="360"/>
      </w:pPr>
    </w:lvl>
    <w:lvl w:ilvl="7" w:tplc="04260019" w:tentative="1">
      <w:start w:val="1"/>
      <w:numFmt w:val="lowerLetter"/>
      <w:lvlText w:val="%8."/>
      <w:lvlJc w:val="left"/>
      <w:pPr>
        <w:ind w:left="5939" w:hanging="360"/>
      </w:pPr>
    </w:lvl>
    <w:lvl w:ilvl="8" w:tplc="0426001B" w:tentative="1">
      <w:start w:val="1"/>
      <w:numFmt w:val="lowerRoman"/>
      <w:lvlText w:val="%9."/>
      <w:lvlJc w:val="right"/>
      <w:pPr>
        <w:ind w:left="6659" w:hanging="180"/>
      </w:pPr>
    </w:lvl>
  </w:abstractNum>
  <w:abstractNum w:abstractNumId="3" w15:restartNumberingAfterBreak="0">
    <w:nsid w:val="7B5F5117"/>
    <w:multiLevelType w:val="hybridMultilevel"/>
    <w:tmpl w:val="4C8028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84100524">
    <w:abstractNumId w:val="2"/>
  </w:num>
  <w:num w:numId="2" w16cid:durableId="565840204">
    <w:abstractNumId w:val="1"/>
  </w:num>
  <w:num w:numId="3" w16cid:durableId="695621603">
    <w:abstractNumId w:val="3"/>
  </w:num>
  <w:num w:numId="4" w16cid:durableId="5301910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4E2"/>
    <w:rsid w:val="00001287"/>
    <w:rsid w:val="00006AC0"/>
    <w:rsid w:val="00006EE0"/>
    <w:rsid w:val="00010B43"/>
    <w:rsid w:val="0003273B"/>
    <w:rsid w:val="00050B8A"/>
    <w:rsid w:val="00052207"/>
    <w:rsid w:val="00074516"/>
    <w:rsid w:val="00082AE8"/>
    <w:rsid w:val="000916CF"/>
    <w:rsid w:val="000942D3"/>
    <w:rsid w:val="000A1A02"/>
    <w:rsid w:val="000B1501"/>
    <w:rsid w:val="000C28B6"/>
    <w:rsid w:val="000D2243"/>
    <w:rsid w:val="000E1E41"/>
    <w:rsid w:val="000E72B3"/>
    <w:rsid w:val="001032E6"/>
    <w:rsid w:val="00105772"/>
    <w:rsid w:val="00112A62"/>
    <w:rsid w:val="00112F15"/>
    <w:rsid w:val="00112F7A"/>
    <w:rsid w:val="00126CA1"/>
    <w:rsid w:val="00134EFD"/>
    <w:rsid w:val="001445CE"/>
    <w:rsid w:val="0014642C"/>
    <w:rsid w:val="00147268"/>
    <w:rsid w:val="0015266C"/>
    <w:rsid w:val="00166D32"/>
    <w:rsid w:val="00171E49"/>
    <w:rsid w:val="001821AA"/>
    <w:rsid w:val="00185766"/>
    <w:rsid w:val="00187749"/>
    <w:rsid w:val="001B2F17"/>
    <w:rsid w:val="001B35A9"/>
    <w:rsid w:val="001D062F"/>
    <w:rsid w:val="001D7046"/>
    <w:rsid w:val="001E31F5"/>
    <w:rsid w:val="001E348E"/>
    <w:rsid w:val="001E55F1"/>
    <w:rsid w:val="001E6654"/>
    <w:rsid w:val="001F74B6"/>
    <w:rsid w:val="00201544"/>
    <w:rsid w:val="00205481"/>
    <w:rsid w:val="002249B5"/>
    <w:rsid w:val="00231D4A"/>
    <w:rsid w:val="00232A50"/>
    <w:rsid w:val="00233986"/>
    <w:rsid w:val="00240716"/>
    <w:rsid w:val="00245897"/>
    <w:rsid w:val="0024783B"/>
    <w:rsid w:val="00262706"/>
    <w:rsid w:val="00293510"/>
    <w:rsid w:val="002936D3"/>
    <w:rsid w:val="002A2D7F"/>
    <w:rsid w:val="002B49F2"/>
    <w:rsid w:val="002B701D"/>
    <w:rsid w:val="002D28EF"/>
    <w:rsid w:val="002D5533"/>
    <w:rsid w:val="002E3111"/>
    <w:rsid w:val="002F2D82"/>
    <w:rsid w:val="00302D11"/>
    <w:rsid w:val="003118EC"/>
    <w:rsid w:val="00323E7C"/>
    <w:rsid w:val="003255DB"/>
    <w:rsid w:val="003277BE"/>
    <w:rsid w:val="00353110"/>
    <w:rsid w:val="00361E97"/>
    <w:rsid w:val="003842B8"/>
    <w:rsid w:val="00387900"/>
    <w:rsid w:val="003C1A46"/>
    <w:rsid w:val="003C3CD4"/>
    <w:rsid w:val="003D345E"/>
    <w:rsid w:val="00402D6C"/>
    <w:rsid w:val="00410745"/>
    <w:rsid w:val="00412843"/>
    <w:rsid w:val="00412CBB"/>
    <w:rsid w:val="0042061A"/>
    <w:rsid w:val="00424531"/>
    <w:rsid w:val="00424900"/>
    <w:rsid w:val="00442C68"/>
    <w:rsid w:val="0045192F"/>
    <w:rsid w:val="00452541"/>
    <w:rsid w:val="00453DFC"/>
    <w:rsid w:val="00461746"/>
    <w:rsid w:val="00480400"/>
    <w:rsid w:val="00485DA4"/>
    <w:rsid w:val="0048630D"/>
    <w:rsid w:val="00491622"/>
    <w:rsid w:val="004A1CDD"/>
    <w:rsid w:val="004A621A"/>
    <w:rsid w:val="004B5089"/>
    <w:rsid w:val="004D1895"/>
    <w:rsid w:val="004E7B37"/>
    <w:rsid w:val="00500013"/>
    <w:rsid w:val="00503158"/>
    <w:rsid w:val="0051071D"/>
    <w:rsid w:val="005178F5"/>
    <w:rsid w:val="005443DA"/>
    <w:rsid w:val="00553B0D"/>
    <w:rsid w:val="0056658D"/>
    <w:rsid w:val="00571B86"/>
    <w:rsid w:val="005777F5"/>
    <w:rsid w:val="00581867"/>
    <w:rsid w:val="00591791"/>
    <w:rsid w:val="00591C27"/>
    <w:rsid w:val="005A37CD"/>
    <w:rsid w:val="005A76E8"/>
    <w:rsid w:val="005C004B"/>
    <w:rsid w:val="005D27CB"/>
    <w:rsid w:val="005D6289"/>
    <w:rsid w:val="005E06F3"/>
    <w:rsid w:val="005E0F76"/>
    <w:rsid w:val="005E1E08"/>
    <w:rsid w:val="006072E4"/>
    <w:rsid w:val="006114DF"/>
    <w:rsid w:val="00617DAB"/>
    <w:rsid w:val="0062683A"/>
    <w:rsid w:val="006458DA"/>
    <w:rsid w:val="00657195"/>
    <w:rsid w:val="0066136D"/>
    <w:rsid w:val="00677B53"/>
    <w:rsid w:val="00680E46"/>
    <w:rsid w:val="0068653F"/>
    <w:rsid w:val="006B2B1F"/>
    <w:rsid w:val="006B3ECC"/>
    <w:rsid w:val="006C29D6"/>
    <w:rsid w:val="006E1B8A"/>
    <w:rsid w:val="006F3B22"/>
    <w:rsid w:val="00700522"/>
    <w:rsid w:val="00701FDB"/>
    <w:rsid w:val="00703B30"/>
    <w:rsid w:val="00710CED"/>
    <w:rsid w:val="00711456"/>
    <w:rsid w:val="00723399"/>
    <w:rsid w:val="00747E87"/>
    <w:rsid w:val="0075425F"/>
    <w:rsid w:val="00762CBC"/>
    <w:rsid w:val="007636A6"/>
    <w:rsid w:val="00774D77"/>
    <w:rsid w:val="0078363E"/>
    <w:rsid w:val="0079079A"/>
    <w:rsid w:val="007A066C"/>
    <w:rsid w:val="007A0829"/>
    <w:rsid w:val="007A47AF"/>
    <w:rsid w:val="007B06D2"/>
    <w:rsid w:val="007B49B1"/>
    <w:rsid w:val="007C4598"/>
    <w:rsid w:val="007C7E51"/>
    <w:rsid w:val="007E3E49"/>
    <w:rsid w:val="007E6A12"/>
    <w:rsid w:val="00801C21"/>
    <w:rsid w:val="0081393A"/>
    <w:rsid w:val="00816B24"/>
    <w:rsid w:val="0083042C"/>
    <w:rsid w:val="00845776"/>
    <w:rsid w:val="0084614C"/>
    <w:rsid w:val="008713A8"/>
    <w:rsid w:val="008B27F6"/>
    <w:rsid w:val="008C3222"/>
    <w:rsid w:val="008C3C11"/>
    <w:rsid w:val="008D1FF1"/>
    <w:rsid w:val="008D395B"/>
    <w:rsid w:val="008E4EA6"/>
    <w:rsid w:val="00905373"/>
    <w:rsid w:val="009113CC"/>
    <w:rsid w:val="009116A1"/>
    <w:rsid w:val="009151FF"/>
    <w:rsid w:val="009205B0"/>
    <w:rsid w:val="00925D49"/>
    <w:rsid w:val="00952126"/>
    <w:rsid w:val="00955AAE"/>
    <w:rsid w:val="00964C3C"/>
    <w:rsid w:val="00993BC2"/>
    <w:rsid w:val="009A2B24"/>
    <w:rsid w:val="009A7921"/>
    <w:rsid w:val="009B3716"/>
    <w:rsid w:val="009B58F1"/>
    <w:rsid w:val="009C1489"/>
    <w:rsid w:val="009C1703"/>
    <w:rsid w:val="009C2030"/>
    <w:rsid w:val="009C214F"/>
    <w:rsid w:val="009C3B4E"/>
    <w:rsid w:val="009C7DC5"/>
    <w:rsid w:val="009D4687"/>
    <w:rsid w:val="009E2840"/>
    <w:rsid w:val="009E3B5E"/>
    <w:rsid w:val="009E44E9"/>
    <w:rsid w:val="009F0895"/>
    <w:rsid w:val="009F0946"/>
    <w:rsid w:val="009F1561"/>
    <w:rsid w:val="009F422A"/>
    <w:rsid w:val="00A03D3B"/>
    <w:rsid w:val="00A13F56"/>
    <w:rsid w:val="00A14504"/>
    <w:rsid w:val="00A15DB4"/>
    <w:rsid w:val="00A20CFB"/>
    <w:rsid w:val="00A30E0C"/>
    <w:rsid w:val="00A566A2"/>
    <w:rsid w:val="00A56C40"/>
    <w:rsid w:val="00A70D10"/>
    <w:rsid w:val="00A816E5"/>
    <w:rsid w:val="00A81A85"/>
    <w:rsid w:val="00A86324"/>
    <w:rsid w:val="00A90A41"/>
    <w:rsid w:val="00A90DE8"/>
    <w:rsid w:val="00AA3AA9"/>
    <w:rsid w:val="00AA6207"/>
    <w:rsid w:val="00AB1B7C"/>
    <w:rsid w:val="00AB686A"/>
    <w:rsid w:val="00AC287F"/>
    <w:rsid w:val="00AC3FF1"/>
    <w:rsid w:val="00AE5C99"/>
    <w:rsid w:val="00AF0D91"/>
    <w:rsid w:val="00B17417"/>
    <w:rsid w:val="00B20D21"/>
    <w:rsid w:val="00B46F49"/>
    <w:rsid w:val="00B52CDC"/>
    <w:rsid w:val="00B605D9"/>
    <w:rsid w:val="00B71907"/>
    <w:rsid w:val="00B77E2C"/>
    <w:rsid w:val="00B86FA7"/>
    <w:rsid w:val="00BA0A6B"/>
    <w:rsid w:val="00BB5F71"/>
    <w:rsid w:val="00BD28C7"/>
    <w:rsid w:val="00BE4AD0"/>
    <w:rsid w:val="00BF6B30"/>
    <w:rsid w:val="00BF716D"/>
    <w:rsid w:val="00C130C5"/>
    <w:rsid w:val="00C2545E"/>
    <w:rsid w:val="00C4205F"/>
    <w:rsid w:val="00C43858"/>
    <w:rsid w:val="00C445F9"/>
    <w:rsid w:val="00C51C32"/>
    <w:rsid w:val="00C55DF2"/>
    <w:rsid w:val="00C8655F"/>
    <w:rsid w:val="00C9606C"/>
    <w:rsid w:val="00CA413C"/>
    <w:rsid w:val="00CB53EB"/>
    <w:rsid w:val="00CC01AE"/>
    <w:rsid w:val="00CC27F0"/>
    <w:rsid w:val="00CC2A9B"/>
    <w:rsid w:val="00CC44E2"/>
    <w:rsid w:val="00CE359F"/>
    <w:rsid w:val="00CE3EA3"/>
    <w:rsid w:val="00D021EC"/>
    <w:rsid w:val="00D10B34"/>
    <w:rsid w:val="00D13698"/>
    <w:rsid w:val="00D25E93"/>
    <w:rsid w:val="00D431A5"/>
    <w:rsid w:val="00D4786E"/>
    <w:rsid w:val="00D5095E"/>
    <w:rsid w:val="00D63607"/>
    <w:rsid w:val="00D63CCB"/>
    <w:rsid w:val="00D85E18"/>
    <w:rsid w:val="00DA3D37"/>
    <w:rsid w:val="00DB64EB"/>
    <w:rsid w:val="00DC2F02"/>
    <w:rsid w:val="00DD5529"/>
    <w:rsid w:val="00DE00E3"/>
    <w:rsid w:val="00DF3EBD"/>
    <w:rsid w:val="00E0694C"/>
    <w:rsid w:val="00E343FF"/>
    <w:rsid w:val="00E43302"/>
    <w:rsid w:val="00E46F64"/>
    <w:rsid w:val="00E5375A"/>
    <w:rsid w:val="00E55050"/>
    <w:rsid w:val="00E65D1A"/>
    <w:rsid w:val="00E70A28"/>
    <w:rsid w:val="00E71A31"/>
    <w:rsid w:val="00E71F4D"/>
    <w:rsid w:val="00E856D5"/>
    <w:rsid w:val="00E87062"/>
    <w:rsid w:val="00E94879"/>
    <w:rsid w:val="00E94D02"/>
    <w:rsid w:val="00EA0A70"/>
    <w:rsid w:val="00EB575F"/>
    <w:rsid w:val="00EC379E"/>
    <w:rsid w:val="00EE0E32"/>
    <w:rsid w:val="00EE2AC1"/>
    <w:rsid w:val="00EE3A91"/>
    <w:rsid w:val="00EF55C8"/>
    <w:rsid w:val="00F011F2"/>
    <w:rsid w:val="00F1399B"/>
    <w:rsid w:val="00F463A8"/>
    <w:rsid w:val="00F4733C"/>
    <w:rsid w:val="00F561E1"/>
    <w:rsid w:val="00F766C0"/>
    <w:rsid w:val="00F76A0E"/>
    <w:rsid w:val="00F76EA6"/>
    <w:rsid w:val="00F83752"/>
    <w:rsid w:val="00FC31D0"/>
    <w:rsid w:val="00FD7558"/>
    <w:rsid w:val="00FE4D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5E31E"/>
  <w15:chartTrackingRefBased/>
  <w15:docId w15:val="{E271EA2E-111E-418F-9686-D38B3EBC5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4E2"/>
    <w:rPr>
      <w:rFonts w:ascii="Times New Roman" w:eastAsia="Times New Roman" w:hAnsi="Times New Roman" w:cs="Times New Roman"/>
      <w:sz w:val="24"/>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C44E2"/>
    <w:rPr>
      <w:sz w:val="20"/>
      <w:szCs w:val="20"/>
    </w:rPr>
  </w:style>
  <w:style w:type="character" w:customStyle="1" w:styleId="FootnoteTextChar">
    <w:name w:val="Footnote Text Char"/>
    <w:basedOn w:val="DefaultParagraphFont"/>
    <w:link w:val="FootnoteText"/>
    <w:uiPriority w:val="99"/>
    <w:semiHidden/>
    <w:rsid w:val="00CC44E2"/>
    <w:rPr>
      <w:rFonts w:ascii="Times New Roman" w:eastAsia="Times New Roman" w:hAnsi="Times New Roman" w:cs="Times New Roman"/>
      <w:sz w:val="20"/>
      <w:szCs w:val="20"/>
      <w:lang w:val="lv-LV" w:eastAsia="lv-LV"/>
    </w:rPr>
  </w:style>
  <w:style w:type="character" w:styleId="FootnoteReference">
    <w:name w:val="footnote reference"/>
    <w:basedOn w:val="DefaultParagraphFont"/>
    <w:uiPriority w:val="99"/>
    <w:semiHidden/>
    <w:unhideWhenUsed/>
    <w:rsid w:val="00CC44E2"/>
    <w:rPr>
      <w:vertAlign w:val="superscript"/>
    </w:rPr>
  </w:style>
  <w:style w:type="paragraph" w:styleId="BalloonText">
    <w:name w:val="Balloon Text"/>
    <w:basedOn w:val="Normal"/>
    <w:link w:val="BalloonTextChar"/>
    <w:uiPriority w:val="99"/>
    <w:semiHidden/>
    <w:unhideWhenUsed/>
    <w:rsid w:val="00FE4DD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4DD1"/>
    <w:rPr>
      <w:rFonts w:ascii="Segoe UI" w:eastAsia="Times New Roman" w:hAnsi="Segoe UI" w:cs="Segoe UI"/>
      <w:sz w:val="18"/>
      <w:szCs w:val="18"/>
      <w:lang w:val="lv-LV" w:eastAsia="lv-LV"/>
    </w:rPr>
  </w:style>
  <w:style w:type="paragraph" w:styleId="ListParagraph">
    <w:name w:val="List Paragraph"/>
    <w:basedOn w:val="Normal"/>
    <w:uiPriority w:val="34"/>
    <w:qFormat/>
    <w:rsid w:val="00FE4DD1"/>
    <w:pPr>
      <w:ind w:left="720"/>
      <w:contextualSpacing/>
    </w:pPr>
  </w:style>
  <w:style w:type="paragraph" w:customStyle="1" w:styleId="Default">
    <w:name w:val="Default"/>
    <w:rsid w:val="001445CE"/>
    <w:pPr>
      <w:autoSpaceDE w:val="0"/>
      <w:autoSpaceDN w:val="0"/>
      <w:adjustRightInd w:val="0"/>
    </w:pPr>
    <w:rPr>
      <w:rFonts w:ascii="Times New Roman" w:hAnsi="Times New Roman" w:cs="Times New Roman"/>
      <w:color w:val="000000"/>
      <w:sz w:val="24"/>
      <w:szCs w:val="24"/>
      <w:lang w:val="lv-LV"/>
    </w:rPr>
  </w:style>
  <w:style w:type="paragraph" w:styleId="Header">
    <w:name w:val="header"/>
    <w:basedOn w:val="Normal"/>
    <w:link w:val="HeaderChar"/>
    <w:unhideWhenUsed/>
    <w:rsid w:val="001B35A9"/>
    <w:pPr>
      <w:tabs>
        <w:tab w:val="center" w:pos="4153"/>
        <w:tab w:val="right" w:pos="8306"/>
      </w:tabs>
    </w:pPr>
  </w:style>
  <w:style w:type="character" w:customStyle="1" w:styleId="HeaderChar">
    <w:name w:val="Header Char"/>
    <w:basedOn w:val="DefaultParagraphFont"/>
    <w:link w:val="Header"/>
    <w:rsid w:val="001B35A9"/>
    <w:rPr>
      <w:rFonts w:ascii="Times New Roman" w:eastAsia="Times New Roman" w:hAnsi="Times New Roman" w:cs="Times New Roman"/>
      <w:sz w:val="24"/>
      <w:szCs w:val="24"/>
      <w:lang w:val="lv-LV" w:eastAsia="lv-LV"/>
    </w:rPr>
  </w:style>
  <w:style w:type="paragraph" w:styleId="Footer">
    <w:name w:val="footer"/>
    <w:basedOn w:val="Normal"/>
    <w:link w:val="FooterChar"/>
    <w:uiPriority w:val="99"/>
    <w:unhideWhenUsed/>
    <w:rsid w:val="001B35A9"/>
    <w:pPr>
      <w:tabs>
        <w:tab w:val="center" w:pos="4153"/>
        <w:tab w:val="right" w:pos="8306"/>
      </w:tabs>
    </w:pPr>
  </w:style>
  <w:style w:type="character" w:customStyle="1" w:styleId="FooterChar">
    <w:name w:val="Footer Char"/>
    <w:basedOn w:val="DefaultParagraphFont"/>
    <w:link w:val="Footer"/>
    <w:uiPriority w:val="99"/>
    <w:rsid w:val="001B35A9"/>
    <w:rPr>
      <w:rFonts w:ascii="Times New Roman" w:eastAsia="Times New Roman" w:hAnsi="Times New Roman" w:cs="Times New Roman"/>
      <w:sz w:val="24"/>
      <w:szCs w:val="24"/>
      <w:lang w:val="lv-LV" w:eastAsia="lv-LV"/>
    </w:rPr>
  </w:style>
  <w:style w:type="character" w:styleId="CommentReference">
    <w:name w:val="annotation reference"/>
    <w:basedOn w:val="DefaultParagraphFont"/>
    <w:uiPriority w:val="99"/>
    <w:semiHidden/>
    <w:unhideWhenUsed/>
    <w:rsid w:val="00205481"/>
    <w:rPr>
      <w:sz w:val="16"/>
      <w:szCs w:val="16"/>
    </w:rPr>
  </w:style>
  <w:style w:type="paragraph" w:styleId="CommentText">
    <w:name w:val="annotation text"/>
    <w:basedOn w:val="Normal"/>
    <w:link w:val="CommentTextChar"/>
    <w:uiPriority w:val="99"/>
    <w:unhideWhenUsed/>
    <w:rsid w:val="00205481"/>
    <w:rPr>
      <w:sz w:val="20"/>
      <w:szCs w:val="20"/>
    </w:rPr>
  </w:style>
  <w:style w:type="character" w:customStyle="1" w:styleId="CommentTextChar">
    <w:name w:val="Comment Text Char"/>
    <w:basedOn w:val="DefaultParagraphFont"/>
    <w:link w:val="CommentText"/>
    <w:uiPriority w:val="99"/>
    <w:rsid w:val="00205481"/>
    <w:rPr>
      <w:rFonts w:ascii="Times New Roman" w:eastAsia="Times New Roman" w:hAnsi="Times New Roman" w:cs="Times New Roman"/>
      <w:sz w:val="20"/>
      <w:szCs w:val="20"/>
      <w:lang w:val="lv-LV" w:eastAsia="lv-LV"/>
    </w:rPr>
  </w:style>
  <w:style w:type="paragraph" w:styleId="CommentSubject">
    <w:name w:val="annotation subject"/>
    <w:basedOn w:val="CommentText"/>
    <w:next w:val="CommentText"/>
    <w:link w:val="CommentSubjectChar"/>
    <w:uiPriority w:val="99"/>
    <w:semiHidden/>
    <w:unhideWhenUsed/>
    <w:rsid w:val="00205481"/>
    <w:rPr>
      <w:b/>
      <w:bCs/>
    </w:rPr>
  </w:style>
  <w:style w:type="character" w:customStyle="1" w:styleId="CommentSubjectChar">
    <w:name w:val="Comment Subject Char"/>
    <w:basedOn w:val="CommentTextChar"/>
    <w:link w:val="CommentSubject"/>
    <w:uiPriority w:val="99"/>
    <w:semiHidden/>
    <w:rsid w:val="00205481"/>
    <w:rPr>
      <w:rFonts w:ascii="Times New Roman" w:eastAsia="Times New Roman" w:hAnsi="Times New Roman" w:cs="Times New Roman"/>
      <w:b/>
      <w:bCs/>
      <w:sz w:val="20"/>
      <w:szCs w:val="20"/>
      <w:lang w:val="lv-LV" w:eastAsia="lv-LV"/>
    </w:rPr>
  </w:style>
  <w:style w:type="table" w:styleId="TableGrid">
    <w:name w:val="Table Grid"/>
    <w:basedOn w:val="TableNormal"/>
    <w:uiPriority w:val="59"/>
    <w:rsid w:val="00CE35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43858"/>
    <w:rPr>
      <w:color w:val="0000FF"/>
      <w:u w:val="single"/>
    </w:rPr>
  </w:style>
  <w:style w:type="character" w:styleId="FollowedHyperlink">
    <w:name w:val="FollowedHyperlink"/>
    <w:basedOn w:val="DefaultParagraphFont"/>
    <w:uiPriority w:val="99"/>
    <w:semiHidden/>
    <w:unhideWhenUsed/>
    <w:rsid w:val="00F76EA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46184">
      <w:bodyDiv w:val="1"/>
      <w:marLeft w:val="0"/>
      <w:marRight w:val="0"/>
      <w:marTop w:val="0"/>
      <w:marBottom w:val="0"/>
      <w:divBdr>
        <w:top w:val="none" w:sz="0" w:space="0" w:color="auto"/>
        <w:left w:val="none" w:sz="0" w:space="0" w:color="auto"/>
        <w:bottom w:val="none" w:sz="0" w:space="0" w:color="auto"/>
        <w:right w:val="none" w:sz="0" w:space="0" w:color="auto"/>
      </w:divBdr>
    </w:div>
    <w:div w:id="76367841">
      <w:bodyDiv w:val="1"/>
      <w:marLeft w:val="0"/>
      <w:marRight w:val="0"/>
      <w:marTop w:val="0"/>
      <w:marBottom w:val="0"/>
      <w:divBdr>
        <w:top w:val="none" w:sz="0" w:space="0" w:color="auto"/>
        <w:left w:val="none" w:sz="0" w:space="0" w:color="auto"/>
        <w:bottom w:val="none" w:sz="0" w:space="0" w:color="auto"/>
        <w:right w:val="none" w:sz="0" w:space="0" w:color="auto"/>
      </w:divBdr>
    </w:div>
    <w:div w:id="227151459">
      <w:bodyDiv w:val="1"/>
      <w:marLeft w:val="0"/>
      <w:marRight w:val="0"/>
      <w:marTop w:val="0"/>
      <w:marBottom w:val="0"/>
      <w:divBdr>
        <w:top w:val="none" w:sz="0" w:space="0" w:color="auto"/>
        <w:left w:val="none" w:sz="0" w:space="0" w:color="auto"/>
        <w:bottom w:val="none" w:sz="0" w:space="0" w:color="auto"/>
        <w:right w:val="none" w:sz="0" w:space="0" w:color="auto"/>
      </w:divBdr>
    </w:div>
    <w:div w:id="340932309">
      <w:bodyDiv w:val="1"/>
      <w:marLeft w:val="0"/>
      <w:marRight w:val="0"/>
      <w:marTop w:val="0"/>
      <w:marBottom w:val="0"/>
      <w:divBdr>
        <w:top w:val="none" w:sz="0" w:space="0" w:color="auto"/>
        <w:left w:val="none" w:sz="0" w:space="0" w:color="auto"/>
        <w:bottom w:val="none" w:sz="0" w:space="0" w:color="auto"/>
        <w:right w:val="none" w:sz="0" w:space="0" w:color="auto"/>
      </w:divBdr>
    </w:div>
    <w:div w:id="571544259">
      <w:bodyDiv w:val="1"/>
      <w:marLeft w:val="0"/>
      <w:marRight w:val="0"/>
      <w:marTop w:val="0"/>
      <w:marBottom w:val="0"/>
      <w:divBdr>
        <w:top w:val="none" w:sz="0" w:space="0" w:color="auto"/>
        <w:left w:val="none" w:sz="0" w:space="0" w:color="auto"/>
        <w:bottom w:val="none" w:sz="0" w:space="0" w:color="auto"/>
        <w:right w:val="none" w:sz="0" w:space="0" w:color="auto"/>
      </w:divBdr>
    </w:div>
    <w:div w:id="1203252358">
      <w:bodyDiv w:val="1"/>
      <w:marLeft w:val="0"/>
      <w:marRight w:val="0"/>
      <w:marTop w:val="0"/>
      <w:marBottom w:val="0"/>
      <w:divBdr>
        <w:top w:val="none" w:sz="0" w:space="0" w:color="auto"/>
        <w:left w:val="none" w:sz="0" w:space="0" w:color="auto"/>
        <w:bottom w:val="none" w:sz="0" w:space="0" w:color="auto"/>
        <w:right w:val="none" w:sz="0" w:space="0" w:color="auto"/>
      </w:divBdr>
    </w:div>
    <w:div w:id="1269504581">
      <w:bodyDiv w:val="1"/>
      <w:marLeft w:val="0"/>
      <w:marRight w:val="0"/>
      <w:marTop w:val="0"/>
      <w:marBottom w:val="0"/>
      <w:divBdr>
        <w:top w:val="none" w:sz="0" w:space="0" w:color="auto"/>
        <w:left w:val="none" w:sz="0" w:space="0" w:color="auto"/>
        <w:bottom w:val="none" w:sz="0" w:space="0" w:color="auto"/>
        <w:right w:val="none" w:sz="0" w:space="0" w:color="auto"/>
      </w:divBdr>
    </w:div>
    <w:div w:id="1448543177">
      <w:bodyDiv w:val="1"/>
      <w:marLeft w:val="0"/>
      <w:marRight w:val="0"/>
      <w:marTop w:val="0"/>
      <w:marBottom w:val="0"/>
      <w:divBdr>
        <w:top w:val="none" w:sz="0" w:space="0" w:color="auto"/>
        <w:left w:val="none" w:sz="0" w:space="0" w:color="auto"/>
        <w:bottom w:val="none" w:sz="0" w:space="0" w:color="auto"/>
        <w:right w:val="none" w:sz="0" w:space="0" w:color="auto"/>
      </w:divBdr>
    </w:div>
    <w:div w:id="1610967638">
      <w:bodyDiv w:val="1"/>
      <w:marLeft w:val="0"/>
      <w:marRight w:val="0"/>
      <w:marTop w:val="0"/>
      <w:marBottom w:val="0"/>
      <w:divBdr>
        <w:top w:val="none" w:sz="0" w:space="0" w:color="auto"/>
        <w:left w:val="none" w:sz="0" w:space="0" w:color="auto"/>
        <w:bottom w:val="none" w:sz="0" w:space="0" w:color="auto"/>
        <w:right w:val="none" w:sz="0" w:space="0" w:color="auto"/>
      </w:divBdr>
    </w:div>
    <w:div w:id="1618756050">
      <w:bodyDiv w:val="1"/>
      <w:marLeft w:val="0"/>
      <w:marRight w:val="0"/>
      <w:marTop w:val="0"/>
      <w:marBottom w:val="0"/>
      <w:divBdr>
        <w:top w:val="none" w:sz="0" w:space="0" w:color="auto"/>
        <w:left w:val="none" w:sz="0" w:space="0" w:color="auto"/>
        <w:bottom w:val="none" w:sz="0" w:space="0" w:color="auto"/>
        <w:right w:val="none" w:sz="0" w:space="0" w:color="auto"/>
      </w:divBdr>
    </w:div>
    <w:div w:id="1757903147">
      <w:bodyDiv w:val="1"/>
      <w:marLeft w:val="0"/>
      <w:marRight w:val="0"/>
      <w:marTop w:val="0"/>
      <w:marBottom w:val="0"/>
      <w:divBdr>
        <w:top w:val="none" w:sz="0" w:space="0" w:color="auto"/>
        <w:left w:val="none" w:sz="0" w:space="0" w:color="auto"/>
        <w:bottom w:val="none" w:sz="0" w:space="0" w:color="auto"/>
        <w:right w:val="none" w:sz="0" w:space="0" w:color="auto"/>
      </w:divBdr>
    </w:div>
    <w:div w:id="1778059962">
      <w:bodyDiv w:val="1"/>
      <w:marLeft w:val="0"/>
      <w:marRight w:val="0"/>
      <w:marTop w:val="0"/>
      <w:marBottom w:val="0"/>
      <w:divBdr>
        <w:top w:val="none" w:sz="0" w:space="0" w:color="auto"/>
        <w:left w:val="none" w:sz="0" w:space="0" w:color="auto"/>
        <w:bottom w:val="none" w:sz="0" w:space="0" w:color="auto"/>
        <w:right w:val="none" w:sz="0" w:space="0" w:color="auto"/>
      </w:divBdr>
      <w:divsChild>
        <w:div w:id="1667979967">
          <w:marLeft w:val="0"/>
          <w:marRight w:val="0"/>
          <w:marTop w:val="0"/>
          <w:marBottom w:val="0"/>
          <w:divBdr>
            <w:top w:val="none" w:sz="0" w:space="0" w:color="auto"/>
            <w:left w:val="none" w:sz="0" w:space="0" w:color="auto"/>
            <w:bottom w:val="none" w:sz="0" w:space="0" w:color="auto"/>
            <w:right w:val="none" w:sz="0" w:space="0" w:color="auto"/>
          </w:divBdr>
          <w:divsChild>
            <w:div w:id="1928035162">
              <w:marLeft w:val="0"/>
              <w:marRight w:val="0"/>
              <w:marTop w:val="0"/>
              <w:marBottom w:val="0"/>
              <w:divBdr>
                <w:top w:val="none" w:sz="0" w:space="0" w:color="auto"/>
                <w:left w:val="none" w:sz="0" w:space="0" w:color="auto"/>
                <w:bottom w:val="none" w:sz="0" w:space="0" w:color="auto"/>
                <w:right w:val="none" w:sz="0" w:space="0" w:color="auto"/>
              </w:divBdr>
              <w:divsChild>
                <w:div w:id="2113281119">
                  <w:marLeft w:val="0"/>
                  <w:marRight w:val="0"/>
                  <w:marTop w:val="0"/>
                  <w:marBottom w:val="0"/>
                  <w:divBdr>
                    <w:top w:val="none" w:sz="0" w:space="0" w:color="auto"/>
                    <w:left w:val="none" w:sz="0" w:space="0" w:color="auto"/>
                    <w:bottom w:val="none" w:sz="0" w:space="0" w:color="auto"/>
                    <w:right w:val="none" w:sz="0" w:space="0" w:color="auto"/>
                  </w:divBdr>
                  <w:divsChild>
                    <w:div w:id="834301309">
                      <w:marLeft w:val="0"/>
                      <w:marRight w:val="0"/>
                      <w:marTop w:val="0"/>
                      <w:marBottom w:val="0"/>
                      <w:divBdr>
                        <w:top w:val="none" w:sz="0" w:space="0" w:color="auto"/>
                        <w:left w:val="none" w:sz="0" w:space="0" w:color="auto"/>
                        <w:bottom w:val="none" w:sz="0" w:space="0" w:color="auto"/>
                        <w:right w:val="none" w:sz="0" w:space="0" w:color="auto"/>
                      </w:divBdr>
                      <w:divsChild>
                        <w:div w:id="348454994">
                          <w:marLeft w:val="0"/>
                          <w:marRight w:val="0"/>
                          <w:marTop w:val="0"/>
                          <w:marBottom w:val="0"/>
                          <w:divBdr>
                            <w:top w:val="none" w:sz="0" w:space="0" w:color="auto"/>
                            <w:left w:val="none" w:sz="0" w:space="0" w:color="auto"/>
                            <w:bottom w:val="none" w:sz="0" w:space="0" w:color="auto"/>
                            <w:right w:val="none" w:sz="0" w:space="0" w:color="auto"/>
                          </w:divBdr>
                          <w:divsChild>
                            <w:div w:id="1396126441">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494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B62AE8-B0E3-424E-AA22-2B6763E40D19}">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1845</Words>
  <Characters>1053</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Uz Eiropas Komisijas 2021.gada 3.februāra formālo paziņojumu pārkāpuma procedūras lietā Nr.2021/0071</vt:lpstr>
    </vt:vector>
  </TitlesOfParts>
  <Company>Finanšu Ministrija</Company>
  <LinksUpToDate>false</LinksUpToDate>
  <CharactersWithSpaces>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 Eiropas Komisijas 2021.gada 23.jūlija formālo paziņojumu pārkāpuma procedūras lietā Nr.2021/00299</dc:title>
  <dc:subject/>
  <dc:creator>ilga.jermacane@fm.gov.lv</dc:creator>
  <cp:keywords/>
  <dc:description>Ilga.Jermacane@fm.gov.lv
67083802</dc:description>
  <cp:lastModifiedBy>Ilze Āboliņa</cp:lastModifiedBy>
  <cp:revision>5</cp:revision>
  <cp:lastPrinted>2019-04-15T10:18:00Z</cp:lastPrinted>
  <dcterms:created xsi:type="dcterms:W3CDTF">2026-10-13T08:34:00Z</dcterms:created>
  <dcterms:modified xsi:type="dcterms:W3CDTF">2026-10-13T08:36:00Z</dcterms:modified>
</cp:coreProperties>
</file>