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223B" w:rsidRPr="00EA0E30" w:rsidRDefault="0062223B" w:rsidP="00EA0E30">
      <w:pPr>
        <w:spacing w:before="240" w:after="240" w:line="240" w:lineRule="auto"/>
        <w:jc w:val="center"/>
        <w:rPr>
          <w:rFonts w:ascii="Calibri" w:hAnsi="Calibri" w:cs="Segoe UI"/>
          <w:b/>
          <w:bCs/>
          <w:color w:val="333333"/>
          <w:sz w:val="28"/>
          <w:szCs w:val="28"/>
          <w:shd w:val="clear" w:color="auto" w:fill="FFFFFF"/>
        </w:rPr>
      </w:pPr>
      <w:r w:rsidRPr="00EA0E30">
        <w:rPr>
          <w:rFonts w:ascii="Calibri" w:hAnsi="Calibri" w:cs="Segoe UI"/>
          <w:b/>
          <w:bCs/>
          <w:color w:val="333333"/>
          <w:sz w:val="28"/>
          <w:szCs w:val="28"/>
          <w:shd w:val="clear" w:color="auto" w:fill="FFFFFF"/>
        </w:rPr>
        <w:t>Latvijai izteiktās rekomendācijas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6"/>
        <w:gridCol w:w="6230"/>
      </w:tblGrid>
      <w:tr w:rsidR="0062223B" w:rsidRPr="0062223B" w:rsidTr="0062223B">
        <w:trPr>
          <w:trHeight w:val="1408"/>
        </w:trPr>
        <w:tc>
          <w:tcPr>
            <w:tcW w:w="1980" w:type="dxa"/>
          </w:tcPr>
          <w:p w:rsidR="0062223B" w:rsidRPr="0062223B" w:rsidRDefault="0062223B" w:rsidP="0062223B">
            <w:pPr>
              <w:spacing w:before="240" w:after="240"/>
              <w:jc w:val="both"/>
              <w:rPr>
                <w:rFonts w:ascii="Calibri" w:hAnsi="Calibri" w:cs="Segoe UI"/>
                <w:b/>
                <w:bCs/>
                <w:color w:val="000000" w:themeColor="text1"/>
                <w:sz w:val="24"/>
                <w:szCs w:val="24"/>
                <w:shd w:val="clear" w:color="auto" w:fill="FFFFFF"/>
              </w:rPr>
            </w:pPr>
            <w:r w:rsidRPr="0062223B">
              <w:rPr>
                <w:rFonts w:ascii="Calibri" w:hAnsi="Calibri" w:cs="Segoe UI"/>
                <w:b/>
                <w:bCs/>
                <w:noProof/>
                <w:color w:val="000000" w:themeColor="text1"/>
                <w:sz w:val="24"/>
                <w:szCs w:val="24"/>
                <w:shd w:val="clear" w:color="auto" w:fill="FFFFFF"/>
              </w:rPr>
              <w:drawing>
                <wp:inline distT="0" distB="0" distL="0" distR="0" wp14:anchorId="6AFA3E11">
                  <wp:extent cx="1638300"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pic:spPr>
                      </pic:pic>
                    </a:graphicData>
                  </a:graphic>
                </wp:inline>
              </w:drawing>
            </w:r>
          </w:p>
        </w:tc>
        <w:tc>
          <w:tcPr>
            <w:tcW w:w="7036" w:type="dxa"/>
          </w:tcPr>
          <w:p w:rsidR="0062223B" w:rsidRPr="0062223B" w:rsidRDefault="0062223B" w:rsidP="0062223B">
            <w:pPr>
              <w:spacing w:before="240" w:after="240"/>
              <w:jc w:val="both"/>
              <w:rPr>
                <w:rFonts w:ascii="Calibri" w:eastAsia="Times New Roman" w:hAnsi="Calibri" w:cs="Arial"/>
                <w:color w:val="000000" w:themeColor="text1"/>
                <w:sz w:val="24"/>
                <w:szCs w:val="24"/>
                <w:lang w:eastAsia="lv-LV"/>
              </w:rPr>
            </w:pPr>
            <w:r w:rsidRPr="0062223B">
              <w:rPr>
                <w:rFonts w:ascii="Calibri" w:hAnsi="Calibri" w:cs="Segoe UI"/>
                <w:b/>
                <w:bCs/>
                <w:color w:val="000000" w:themeColor="text1"/>
                <w:sz w:val="24"/>
                <w:szCs w:val="24"/>
                <w:shd w:val="clear" w:color="auto" w:fill="FFFFFF"/>
              </w:rPr>
              <w:t>Eiropas Parlamenta un Padomes Direktīva (ES) 2024/1712 (2024. gada 13. jūnijs), ar ko groza Direktīvu 2011/36/ES par cilvēku tirdzniecības novēršanu un apkarošanu un cietušo aizsardzību</w:t>
            </w:r>
          </w:p>
        </w:tc>
      </w:tr>
    </w:tbl>
    <w:p w:rsidR="0062223B" w:rsidRPr="0062223B" w:rsidRDefault="0062223B" w:rsidP="0062223B">
      <w:pPr>
        <w:spacing w:before="120" w:after="120" w:line="240" w:lineRule="auto"/>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xml:space="preserve">Saite: </w:t>
      </w:r>
      <w:hyperlink r:id="rId8" w:history="1">
        <w:r w:rsidRPr="0062223B">
          <w:rPr>
            <w:rFonts w:ascii="Calibri" w:eastAsia="Times New Roman" w:hAnsi="Calibri" w:cs="Times New Roman"/>
            <w:color w:val="1155CC"/>
            <w:u w:val="single"/>
            <w:lang w:eastAsia="lv-LV"/>
          </w:rPr>
          <w:t>https://eur-lex.europa.eu/legal-content/EN/TXT/?uri=CELEX%3A02011L0036-20240714</w:t>
        </w:r>
      </w:hyperlink>
      <w:r w:rsidRPr="0062223B">
        <w:rPr>
          <w:rFonts w:ascii="Calibri" w:eastAsia="Times New Roman" w:hAnsi="Calibri" w:cs="Times New Roman"/>
          <w:color w:val="000000"/>
          <w:lang w:eastAsia="lv-LV"/>
        </w:rPr>
        <w:t> </w:t>
      </w:r>
    </w:p>
    <w:p w:rsidR="0062223B" w:rsidRPr="0082052C" w:rsidRDefault="0062223B" w:rsidP="0082052C">
      <w:pPr>
        <w:pStyle w:val="NormalWeb"/>
        <w:numPr>
          <w:ilvl w:val="0"/>
          <w:numId w:val="7"/>
        </w:numPr>
        <w:spacing w:before="120" w:beforeAutospacing="0"/>
        <w:jc w:val="both"/>
        <w:rPr>
          <w:rFonts w:asciiTheme="minorHAnsi" w:hAnsiTheme="minorHAnsi"/>
          <w:sz w:val="22"/>
          <w:szCs w:val="22"/>
        </w:rPr>
      </w:pPr>
      <w:r w:rsidRPr="0082052C">
        <w:rPr>
          <w:rFonts w:asciiTheme="minorHAnsi" w:hAnsiTheme="minorHAnsi"/>
          <w:sz w:val="22"/>
          <w:szCs w:val="22"/>
        </w:rPr>
        <w:t xml:space="preserve">Nepieciešams papildināt </w:t>
      </w:r>
      <w:r w:rsidRPr="0082052C">
        <w:rPr>
          <w:rStyle w:val="Strong"/>
          <w:rFonts w:asciiTheme="minorHAnsi" w:hAnsiTheme="minorHAnsi"/>
          <w:sz w:val="22"/>
          <w:szCs w:val="22"/>
        </w:rPr>
        <w:t>Krimināllikuma 154.² pantā</w:t>
      </w:r>
      <w:r w:rsidRPr="0082052C">
        <w:rPr>
          <w:rFonts w:asciiTheme="minorHAnsi" w:hAnsiTheme="minorHAnsi"/>
          <w:sz w:val="22"/>
          <w:szCs w:val="22"/>
        </w:rPr>
        <w:t xml:space="preserve"> definēto </w:t>
      </w:r>
      <w:r w:rsidRPr="0082052C">
        <w:rPr>
          <w:rStyle w:val="Strong"/>
          <w:rFonts w:asciiTheme="minorHAnsi" w:hAnsiTheme="minorHAnsi"/>
          <w:sz w:val="22"/>
          <w:szCs w:val="22"/>
        </w:rPr>
        <w:t>cilvēku tirdzniecības jēdzienu</w:t>
      </w:r>
      <w:r w:rsidRPr="0082052C">
        <w:rPr>
          <w:rFonts w:asciiTheme="minorHAnsi" w:hAnsiTheme="minorHAnsi"/>
          <w:sz w:val="22"/>
          <w:szCs w:val="22"/>
        </w:rPr>
        <w:t xml:space="preserve">, iekļaujot </w:t>
      </w:r>
      <w:r w:rsidRPr="0082052C">
        <w:rPr>
          <w:rStyle w:val="Strong"/>
          <w:rFonts w:asciiTheme="minorHAnsi" w:hAnsiTheme="minorHAnsi"/>
          <w:sz w:val="22"/>
          <w:szCs w:val="22"/>
        </w:rPr>
        <w:t>jaunas cilvēku tirdzniecības formas</w:t>
      </w:r>
      <w:r w:rsidRPr="0082052C">
        <w:rPr>
          <w:rFonts w:asciiTheme="minorHAnsi" w:hAnsiTheme="minorHAnsi"/>
          <w:sz w:val="22"/>
          <w:szCs w:val="22"/>
        </w:rPr>
        <w:t xml:space="preserve"> – </w:t>
      </w:r>
      <w:proofErr w:type="spellStart"/>
      <w:r w:rsidRPr="0082052C">
        <w:rPr>
          <w:rStyle w:val="Strong"/>
          <w:rFonts w:asciiTheme="minorHAnsi" w:hAnsiTheme="minorHAnsi"/>
          <w:sz w:val="22"/>
          <w:szCs w:val="22"/>
        </w:rPr>
        <w:t>surogāciju</w:t>
      </w:r>
      <w:proofErr w:type="spellEnd"/>
      <w:r w:rsidRPr="0082052C">
        <w:rPr>
          <w:rStyle w:val="Strong"/>
          <w:rFonts w:asciiTheme="minorHAnsi" w:hAnsiTheme="minorHAnsi"/>
          <w:sz w:val="22"/>
          <w:szCs w:val="22"/>
        </w:rPr>
        <w:t>, piespiedu laulību un nelikumīgas adopcijas ekspluatāciju</w:t>
      </w:r>
      <w:r w:rsidRPr="0082052C">
        <w:rPr>
          <w:rFonts w:asciiTheme="minorHAnsi" w:hAnsiTheme="minorHAnsi"/>
          <w:sz w:val="22"/>
          <w:szCs w:val="22"/>
        </w:rPr>
        <w:t xml:space="preserve"> (2. panta 3. punkts).</w:t>
      </w:r>
    </w:p>
    <w:p w:rsidR="0062223B" w:rsidRPr="0082052C" w:rsidRDefault="0062223B" w:rsidP="0082052C">
      <w:pPr>
        <w:pStyle w:val="NormalWeb"/>
        <w:numPr>
          <w:ilvl w:val="0"/>
          <w:numId w:val="7"/>
        </w:numPr>
        <w:spacing w:before="120" w:beforeAutospacing="0"/>
        <w:jc w:val="both"/>
        <w:rPr>
          <w:rFonts w:asciiTheme="minorHAnsi" w:hAnsiTheme="minorHAnsi"/>
          <w:sz w:val="22"/>
          <w:szCs w:val="22"/>
        </w:rPr>
      </w:pPr>
      <w:r w:rsidRPr="0082052C">
        <w:rPr>
          <w:rFonts w:asciiTheme="minorHAnsi" w:hAnsiTheme="minorHAnsi"/>
          <w:sz w:val="22"/>
          <w:szCs w:val="22"/>
        </w:rPr>
        <w:t xml:space="preserve">Nepieciešams papildināt </w:t>
      </w:r>
      <w:r w:rsidRPr="0082052C">
        <w:rPr>
          <w:rStyle w:val="Strong"/>
          <w:rFonts w:asciiTheme="minorHAnsi" w:hAnsiTheme="minorHAnsi"/>
          <w:sz w:val="22"/>
          <w:szCs w:val="22"/>
        </w:rPr>
        <w:t>Krimināllikumu</w:t>
      </w:r>
      <w:r w:rsidRPr="0082052C">
        <w:rPr>
          <w:rFonts w:asciiTheme="minorHAnsi" w:hAnsiTheme="minorHAnsi"/>
          <w:sz w:val="22"/>
          <w:szCs w:val="22"/>
        </w:rPr>
        <w:t xml:space="preserve">, nosakot </w:t>
      </w:r>
      <w:r w:rsidRPr="0082052C">
        <w:rPr>
          <w:rStyle w:val="Strong"/>
          <w:rFonts w:asciiTheme="minorHAnsi" w:hAnsiTheme="minorHAnsi"/>
          <w:sz w:val="22"/>
          <w:szCs w:val="22"/>
        </w:rPr>
        <w:t>atbildību pastiprinošu apstākli</w:t>
      </w:r>
      <w:r w:rsidRPr="0082052C">
        <w:rPr>
          <w:rFonts w:asciiTheme="minorHAnsi" w:hAnsiTheme="minorHAnsi"/>
          <w:sz w:val="22"/>
          <w:szCs w:val="22"/>
        </w:rPr>
        <w:t>, ja cilvēku tirdzniecību ir vei</w:t>
      </w:r>
      <w:r w:rsidR="00C16130">
        <w:rPr>
          <w:rFonts w:asciiTheme="minorHAnsi" w:hAnsiTheme="minorHAnsi"/>
          <w:sz w:val="22"/>
          <w:szCs w:val="22"/>
        </w:rPr>
        <w:t>k</w:t>
      </w:r>
      <w:r w:rsidRPr="0082052C">
        <w:rPr>
          <w:rFonts w:asciiTheme="minorHAnsi" w:hAnsiTheme="minorHAnsi"/>
          <w:sz w:val="22"/>
          <w:szCs w:val="22"/>
        </w:rPr>
        <w:t xml:space="preserve">usi </w:t>
      </w:r>
      <w:r w:rsidRPr="0082052C">
        <w:rPr>
          <w:rStyle w:val="Strong"/>
          <w:rFonts w:asciiTheme="minorHAnsi" w:hAnsiTheme="minorHAnsi"/>
          <w:sz w:val="22"/>
          <w:szCs w:val="22"/>
        </w:rPr>
        <w:t>valsts amatpersona, pildot amata pienākumus</w:t>
      </w:r>
      <w:r w:rsidRPr="0082052C">
        <w:rPr>
          <w:rFonts w:asciiTheme="minorHAnsi" w:hAnsiTheme="minorHAnsi"/>
          <w:sz w:val="22"/>
          <w:szCs w:val="22"/>
        </w:rPr>
        <w:t xml:space="preserve">, kā arī, ja </w:t>
      </w:r>
      <w:r w:rsidRPr="0082052C">
        <w:rPr>
          <w:rStyle w:val="Strong"/>
          <w:rFonts w:asciiTheme="minorHAnsi" w:hAnsiTheme="minorHAnsi"/>
          <w:sz w:val="22"/>
          <w:szCs w:val="22"/>
        </w:rPr>
        <w:t>nodarījuma izdarītājs ir veicinājis vai veicis attēlu, video vai citu līdzīgu seksuāla rakstura materiālu, kuros iesaistīts cietušais, izplatīšanu</w:t>
      </w:r>
      <w:r w:rsidRPr="0082052C">
        <w:rPr>
          <w:rFonts w:asciiTheme="minorHAnsi" w:hAnsiTheme="minorHAnsi"/>
          <w:sz w:val="22"/>
          <w:szCs w:val="22"/>
        </w:rPr>
        <w:t xml:space="preserve"> (4. panta 3. punkts).</w:t>
      </w:r>
    </w:p>
    <w:p w:rsidR="0062223B" w:rsidRPr="0082052C" w:rsidRDefault="0062223B" w:rsidP="0082052C">
      <w:pPr>
        <w:pStyle w:val="NormalWeb"/>
        <w:numPr>
          <w:ilvl w:val="0"/>
          <w:numId w:val="7"/>
        </w:numPr>
        <w:spacing w:before="120" w:beforeAutospacing="0"/>
        <w:jc w:val="both"/>
        <w:rPr>
          <w:rFonts w:asciiTheme="minorHAnsi" w:hAnsiTheme="minorHAnsi"/>
          <w:sz w:val="22"/>
          <w:szCs w:val="22"/>
        </w:rPr>
      </w:pPr>
      <w:r w:rsidRPr="0082052C">
        <w:rPr>
          <w:rFonts w:asciiTheme="minorHAnsi" w:hAnsiTheme="minorHAnsi"/>
          <w:sz w:val="22"/>
          <w:szCs w:val="22"/>
        </w:rPr>
        <w:t xml:space="preserve">Dalībvalstīm ir jānodrošina, ka personas, kuras ir atbildīgas par </w:t>
      </w:r>
      <w:r w:rsidRPr="0082052C">
        <w:rPr>
          <w:rStyle w:val="Strong"/>
          <w:rFonts w:asciiTheme="minorHAnsi" w:hAnsiTheme="minorHAnsi"/>
          <w:sz w:val="22"/>
          <w:szCs w:val="22"/>
        </w:rPr>
        <w:t>cilvēku tirdzniecības nozieguma izmeklēšanu un kriminālvajāšanu</w:t>
      </w:r>
      <w:r w:rsidRPr="0082052C">
        <w:rPr>
          <w:rFonts w:asciiTheme="minorHAnsi" w:hAnsiTheme="minorHAnsi"/>
          <w:sz w:val="22"/>
          <w:szCs w:val="22"/>
        </w:rPr>
        <w:t xml:space="preserve">, ir atbilstoši </w:t>
      </w:r>
      <w:r w:rsidRPr="0082052C">
        <w:rPr>
          <w:rStyle w:val="Strong"/>
          <w:rFonts w:asciiTheme="minorHAnsi" w:hAnsiTheme="minorHAnsi"/>
          <w:sz w:val="22"/>
          <w:szCs w:val="22"/>
        </w:rPr>
        <w:t>apmācītas</w:t>
      </w:r>
      <w:r w:rsidRPr="0082052C">
        <w:rPr>
          <w:rFonts w:asciiTheme="minorHAnsi" w:hAnsiTheme="minorHAnsi"/>
          <w:sz w:val="22"/>
          <w:szCs w:val="22"/>
        </w:rPr>
        <w:t xml:space="preserve">. Dalībvalstis tiek mudinātas attiecīgā gadījumā un saskaņā ar savām </w:t>
      </w:r>
      <w:r w:rsidRPr="0082052C">
        <w:rPr>
          <w:rStyle w:val="Strong"/>
          <w:rFonts w:asciiTheme="minorHAnsi" w:hAnsiTheme="minorHAnsi"/>
          <w:sz w:val="22"/>
          <w:szCs w:val="22"/>
        </w:rPr>
        <w:t>nacionālajām tiesību sistēmām</w:t>
      </w:r>
      <w:r w:rsidRPr="0082052C">
        <w:rPr>
          <w:rFonts w:asciiTheme="minorHAnsi" w:hAnsiTheme="minorHAnsi"/>
          <w:sz w:val="22"/>
          <w:szCs w:val="22"/>
        </w:rPr>
        <w:t xml:space="preserve"> tiesībaizsardzības iestādēs un prokuratūrās </w:t>
      </w:r>
      <w:r w:rsidRPr="0082052C">
        <w:rPr>
          <w:rStyle w:val="Strong"/>
          <w:rFonts w:asciiTheme="minorHAnsi" w:hAnsiTheme="minorHAnsi"/>
          <w:sz w:val="22"/>
          <w:szCs w:val="22"/>
        </w:rPr>
        <w:t>izveidot specializētas vienības</w:t>
      </w:r>
      <w:r w:rsidRPr="0082052C">
        <w:rPr>
          <w:rFonts w:asciiTheme="minorHAnsi" w:hAnsiTheme="minorHAnsi"/>
          <w:sz w:val="22"/>
          <w:szCs w:val="22"/>
        </w:rPr>
        <w:t xml:space="preserve"> (9. panta 3. punkts).</w:t>
      </w:r>
    </w:p>
    <w:p w:rsidR="0062223B" w:rsidRPr="0082052C" w:rsidRDefault="0062223B" w:rsidP="0082052C">
      <w:pPr>
        <w:pStyle w:val="NormalWeb"/>
        <w:numPr>
          <w:ilvl w:val="0"/>
          <w:numId w:val="7"/>
        </w:numPr>
        <w:spacing w:before="120" w:beforeAutospacing="0"/>
        <w:jc w:val="both"/>
        <w:rPr>
          <w:rFonts w:asciiTheme="minorHAnsi" w:hAnsiTheme="minorHAnsi"/>
          <w:sz w:val="22"/>
          <w:szCs w:val="22"/>
        </w:rPr>
      </w:pPr>
      <w:r w:rsidRPr="0082052C">
        <w:rPr>
          <w:rFonts w:asciiTheme="minorHAnsi" w:hAnsiTheme="minorHAnsi"/>
          <w:sz w:val="22"/>
          <w:szCs w:val="22"/>
        </w:rPr>
        <w:t xml:space="preserve">Ar </w:t>
      </w:r>
      <w:r w:rsidRPr="0082052C">
        <w:rPr>
          <w:rStyle w:val="Strong"/>
          <w:rFonts w:asciiTheme="minorHAnsi" w:hAnsiTheme="minorHAnsi"/>
          <w:sz w:val="22"/>
          <w:szCs w:val="22"/>
        </w:rPr>
        <w:t>normatīvajiem un administratīvajiem aktiem</w:t>
      </w:r>
      <w:r w:rsidRPr="0082052C">
        <w:rPr>
          <w:rFonts w:asciiTheme="minorHAnsi" w:hAnsiTheme="minorHAnsi"/>
          <w:sz w:val="22"/>
          <w:szCs w:val="22"/>
        </w:rPr>
        <w:t xml:space="preserve"> jāizveido </w:t>
      </w:r>
      <w:r w:rsidRPr="0082052C">
        <w:rPr>
          <w:rStyle w:val="Strong"/>
          <w:rFonts w:asciiTheme="minorHAnsi" w:hAnsiTheme="minorHAnsi"/>
          <w:sz w:val="22"/>
          <w:szCs w:val="22"/>
        </w:rPr>
        <w:t>viens vai vairāki mehānismi</w:t>
      </w:r>
      <w:r w:rsidRPr="0082052C">
        <w:rPr>
          <w:rFonts w:asciiTheme="minorHAnsi" w:hAnsiTheme="minorHAnsi"/>
          <w:sz w:val="22"/>
          <w:szCs w:val="22"/>
        </w:rPr>
        <w:t xml:space="preserve">, kuru mērķis ir </w:t>
      </w:r>
      <w:r w:rsidRPr="0082052C">
        <w:rPr>
          <w:rStyle w:val="Strong"/>
          <w:rFonts w:asciiTheme="minorHAnsi" w:hAnsiTheme="minorHAnsi"/>
          <w:sz w:val="22"/>
          <w:szCs w:val="22"/>
        </w:rPr>
        <w:t>agrīni atklāt un identificēt cietušos</w:t>
      </w:r>
      <w:r w:rsidRPr="0082052C">
        <w:rPr>
          <w:rFonts w:asciiTheme="minorHAnsi" w:hAnsiTheme="minorHAnsi"/>
          <w:sz w:val="22"/>
          <w:szCs w:val="22"/>
        </w:rPr>
        <w:t xml:space="preserve">, kā arī </w:t>
      </w:r>
      <w:r w:rsidRPr="0082052C">
        <w:rPr>
          <w:rStyle w:val="Strong"/>
          <w:rFonts w:asciiTheme="minorHAnsi" w:hAnsiTheme="minorHAnsi"/>
          <w:sz w:val="22"/>
          <w:szCs w:val="22"/>
        </w:rPr>
        <w:t>sniegt palīdzību un atbalstu</w:t>
      </w:r>
      <w:r w:rsidRPr="0082052C">
        <w:rPr>
          <w:rFonts w:asciiTheme="minorHAnsi" w:hAnsiTheme="minorHAnsi"/>
          <w:sz w:val="22"/>
          <w:szCs w:val="22"/>
        </w:rPr>
        <w:t xml:space="preserve"> identificētajiem cietušajiem un personām, kuras tiek uzskatītas par cietušajiem. Šis process jānodrošina </w:t>
      </w:r>
      <w:r w:rsidRPr="0082052C">
        <w:rPr>
          <w:rStyle w:val="Strong"/>
          <w:rFonts w:asciiTheme="minorHAnsi" w:hAnsiTheme="minorHAnsi"/>
          <w:sz w:val="22"/>
          <w:szCs w:val="22"/>
        </w:rPr>
        <w:t>sadarbībā ar atbilstošām atbalsta organizācijām</w:t>
      </w:r>
      <w:r w:rsidRPr="0082052C">
        <w:rPr>
          <w:rFonts w:asciiTheme="minorHAnsi" w:hAnsiTheme="minorHAnsi"/>
          <w:sz w:val="22"/>
          <w:szCs w:val="22"/>
        </w:rPr>
        <w:t xml:space="preserve">, kā arī jāieceļ </w:t>
      </w:r>
      <w:r w:rsidRPr="0082052C">
        <w:rPr>
          <w:rStyle w:val="Strong"/>
          <w:rFonts w:asciiTheme="minorHAnsi" w:hAnsiTheme="minorHAnsi"/>
          <w:sz w:val="22"/>
          <w:szCs w:val="22"/>
        </w:rPr>
        <w:t>kontaktpunkts cietušo pārrobežu nosūtīšanai</w:t>
      </w:r>
      <w:r w:rsidRPr="0082052C">
        <w:rPr>
          <w:rFonts w:asciiTheme="minorHAnsi" w:hAnsiTheme="minorHAnsi"/>
          <w:sz w:val="22"/>
          <w:szCs w:val="22"/>
        </w:rPr>
        <w:t xml:space="preserve"> (11. panta 4. punkts).</w:t>
      </w:r>
    </w:p>
    <w:p w:rsidR="0062223B" w:rsidRPr="0082052C" w:rsidRDefault="0062223B" w:rsidP="0082052C">
      <w:pPr>
        <w:pStyle w:val="NormalWeb"/>
        <w:numPr>
          <w:ilvl w:val="0"/>
          <w:numId w:val="7"/>
        </w:numPr>
        <w:spacing w:before="120" w:beforeAutospacing="0"/>
        <w:jc w:val="both"/>
        <w:rPr>
          <w:rFonts w:asciiTheme="minorHAnsi" w:hAnsiTheme="minorHAnsi"/>
          <w:sz w:val="22"/>
          <w:szCs w:val="22"/>
        </w:rPr>
      </w:pPr>
      <w:r w:rsidRPr="0082052C">
        <w:rPr>
          <w:rFonts w:asciiTheme="minorHAnsi" w:hAnsiTheme="minorHAnsi"/>
          <w:sz w:val="22"/>
          <w:szCs w:val="22"/>
        </w:rPr>
        <w:t xml:space="preserve">Lai atbilstu </w:t>
      </w:r>
      <w:r w:rsidRPr="0082052C">
        <w:rPr>
          <w:rStyle w:val="Strong"/>
          <w:rFonts w:asciiTheme="minorHAnsi" w:hAnsiTheme="minorHAnsi"/>
          <w:sz w:val="22"/>
          <w:szCs w:val="22"/>
        </w:rPr>
        <w:t>Direktīvas prasībām</w:t>
      </w:r>
      <w:r w:rsidRPr="0082052C">
        <w:rPr>
          <w:rFonts w:asciiTheme="minorHAnsi" w:hAnsiTheme="minorHAnsi"/>
          <w:sz w:val="22"/>
          <w:szCs w:val="22"/>
        </w:rPr>
        <w:t xml:space="preserve">, nepieciešams </w:t>
      </w:r>
      <w:r w:rsidRPr="0082052C">
        <w:rPr>
          <w:rStyle w:val="Strong"/>
          <w:rFonts w:asciiTheme="minorHAnsi" w:hAnsiTheme="minorHAnsi"/>
          <w:sz w:val="22"/>
          <w:szCs w:val="22"/>
        </w:rPr>
        <w:t>izveidot normu</w:t>
      </w:r>
      <w:r w:rsidRPr="0082052C">
        <w:rPr>
          <w:rFonts w:asciiTheme="minorHAnsi" w:hAnsiTheme="minorHAnsi"/>
          <w:sz w:val="22"/>
          <w:szCs w:val="22"/>
        </w:rPr>
        <w:t xml:space="preserve">, kas paredz </w:t>
      </w:r>
      <w:r w:rsidRPr="0082052C">
        <w:rPr>
          <w:rStyle w:val="Strong"/>
          <w:rFonts w:asciiTheme="minorHAnsi" w:hAnsiTheme="minorHAnsi"/>
          <w:sz w:val="22"/>
          <w:szCs w:val="22"/>
        </w:rPr>
        <w:t>kriminālatbildību par visu cilvēku tirdzniecības cietušo pakalpojumu izmantošanu</w:t>
      </w:r>
      <w:r w:rsidRPr="0082052C">
        <w:rPr>
          <w:rFonts w:asciiTheme="minorHAnsi" w:hAnsiTheme="minorHAnsi"/>
          <w:sz w:val="22"/>
          <w:szCs w:val="22"/>
        </w:rPr>
        <w:t xml:space="preserve"> (18.a pants).</w:t>
      </w:r>
    </w:p>
    <w:p w:rsidR="0062223B" w:rsidRPr="0082052C" w:rsidRDefault="0062223B" w:rsidP="0082052C">
      <w:pPr>
        <w:pStyle w:val="NormalWeb"/>
        <w:numPr>
          <w:ilvl w:val="0"/>
          <w:numId w:val="7"/>
        </w:numPr>
        <w:spacing w:before="120" w:beforeAutospacing="0"/>
        <w:jc w:val="both"/>
        <w:rPr>
          <w:rFonts w:asciiTheme="minorHAnsi" w:hAnsiTheme="minorHAnsi"/>
          <w:sz w:val="22"/>
          <w:szCs w:val="22"/>
        </w:rPr>
      </w:pPr>
      <w:r w:rsidRPr="0082052C">
        <w:rPr>
          <w:rFonts w:asciiTheme="minorHAnsi" w:hAnsiTheme="minorHAnsi"/>
          <w:sz w:val="22"/>
          <w:szCs w:val="22"/>
        </w:rPr>
        <w:t xml:space="preserve">Dalībvalstis veicina vai piedāvā </w:t>
      </w:r>
      <w:r w:rsidRPr="0082052C">
        <w:rPr>
          <w:rStyle w:val="Strong"/>
          <w:rFonts w:asciiTheme="minorHAnsi" w:hAnsiTheme="minorHAnsi"/>
          <w:sz w:val="22"/>
          <w:szCs w:val="22"/>
        </w:rPr>
        <w:t>regulāru un specializētu apmācību</w:t>
      </w:r>
      <w:r w:rsidRPr="0082052C">
        <w:rPr>
          <w:rFonts w:asciiTheme="minorHAnsi" w:hAnsiTheme="minorHAnsi"/>
          <w:sz w:val="22"/>
          <w:szCs w:val="22"/>
        </w:rPr>
        <w:t xml:space="preserve"> speciālistiem, kuri varētu nonākt saskarē ar cilvēku tirdzniecības cietušajiem vai potenciālajiem cietušajiem, tostarp: </w:t>
      </w:r>
      <w:r w:rsidRPr="0082052C">
        <w:rPr>
          <w:rStyle w:val="Strong"/>
          <w:rFonts w:asciiTheme="minorHAnsi" w:hAnsiTheme="minorHAnsi"/>
          <w:sz w:val="22"/>
          <w:szCs w:val="22"/>
        </w:rPr>
        <w:t>policijas darbiniekiem, tiesu darbiniekiem, palīdzības un atbalsta dienestiem, darba inspektoriem, sociālajiem dienestiem un veselības aprūpes darbiniekiem</w:t>
      </w:r>
      <w:r w:rsidRPr="0082052C">
        <w:rPr>
          <w:rFonts w:asciiTheme="minorHAnsi" w:hAnsiTheme="minorHAnsi"/>
          <w:sz w:val="22"/>
          <w:szCs w:val="22"/>
        </w:rPr>
        <w:t xml:space="preserve"> (18.b panta 1. punkts).</w:t>
      </w:r>
    </w:p>
    <w:p w:rsidR="0062223B" w:rsidRPr="0082052C" w:rsidRDefault="0062223B" w:rsidP="0082052C">
      <w:pPr>
        <w:pStyle w:val="NormalWeb"/>
        <w:numPr>
          <w:ilvl w:val="0"/>
          <w:numId w:val="7"/>
        </w:numPr>
        <w:spacing w:before="120" w:beforeAutospacing="0"/>
        <w:jc w:val="both"/>
        <w:rPr>
          <w:rFonts w:asciiTheme="minorHAnsi" w:hAnsiTheme="minorHAnsi"/>
          <w:sz w:val="22"/>
          <w:szCs w:val="22"/>
        </w:rPr>
      </w:pPr>
      <w:r w:rsidRPr="0082052C">
        <w:rPr>
          <w:rFonts w:asciiTheme="minorHAnsi" w:hAnsiTheme="minorHAnsi"/>
          <w:sz w:val="22"/>
          <w:szCs w:val="22"/>
        </w:rPr>
        <w:t xml:space="preserve">Neskarot tiesu neatkarību un atšķirības tiesu iestāžu organizācijā </w:t>
      </w:r>
      <w:r w:rsidRPr="0082052C">
        <w:rPr>
          <w:rStyle w:val="Strong"/>
          <w:rFonts w:asciiTheme="minorHAnsi" w:hAnsiTheme="minorHAnsi"/>
          <w:sz w:val="22"/>
          <w:szCs w:val="22"/>
        </w:rPr>
        <w:t>Eiropas Savienībā</w:t>
      </w:r>
      <w:r w:rsidRPr="0082052C">
        <w:rPr>
          <w:rFonts w:asciiTheme="minorHAnsi" w:hAnsiTheme="minorHAnsi"/>
          <w:sz w:val="22"/>
          <w:szCs w:val="22"/>
        </w:rPr>
        <w:t xml:space="preserve">, dalībvalstis veicina </w:t>
      </w:r>
      <w:r w:rsidRPr="0082052C">
        <w:rPr>
          <w:rStyle w:val="Strong"/>
          <w:rFonts w:asciiTheme="minorHAnsi" w:hAnsiTheme="minorHAnsi"/>
          <w:sz w:val="22"/>
          <w:szCs w:val="22"/>
        </w:rPr>
        <w:t>gan vispārēju, gan specializētu apmācību</w:t>
      </w:r>
      <w:r w:rsidRPr="0082052C">
        <w:rPr>
          <w:rFonts w:asciiTheme="minorHAnsi" w:hAnsiTheme="minorHAnsi"/>
          <w:sz w:val="22"/>
          <w:szCs w:val="22"/>
        </w:rPr>
        <w:t xml:space="preserve"> tiesnešiem un prokuroriem, kuri iesaistīti kriminālprocesā (18.b panta 2. punkts).</w:t>
      </w:r>
    </w:p>
    <w:p w:rsidR="0062223B" w:rsidRPr="0082052C" w:rsidRDefault="0062223B" w:rsidP="0082052C">
      <w:pPr>
        <w:pStyle w:val="NormalWeb"/>
        <w:numPr>
          <w:ilvl w:val="0"/>
          <w:numId w:val="7"/>
        </w:numPr>
        <w:spacing w:before="120" w:beforeAutospacing="0"/>
        <w:jc w:val="both"/>
        <w:rPr>
          <w:rFonts w:asciiTheme="minorHAnsi" w:hAnsiTheme="minorHAnsi"/>
          <w:sz w:val="22"/>
          <w:szCs w:val="22"/>
        </w:rPr>
      </w:pPr>
      <w:r w:rsidRPr="0082052C">
        <w:rPr>
          <w:rFonts w:asciiTheme="minorHAnsi" w:hAnsiTheme="minorHAnsi"/>
          <w:sz w:val="22"/>
          <w:szCs w:val="22"/>
        </w:rPr>
        <w:t xml:space="preserve">Dalībvalstis veic nepieciešamos pasākumus, lai </w:t>
      </w:r>
      <w:r w:rsidRPr="0082052C">
        <w:rPr>
          <w:rStyle w:val="Strong"/>
          <w:rFonts w:asciiTheme="minorHAnsi" w:hAnsiTheme="minorHAnsi"/>
          <w:sz w:val="22"/>
          <w:szCs w:val="22"/>
        </w:rPr>
        <w:t>izveidotu valsts cilvēku tirdzniecības apkarošanas koordinatorus un līdzvērtīgus mehānismus</w:t>
      </w:r>
      <w:r w:rsidRPr="0082052C">
        <w:rPr>
          <w:rFonts w:asciiTheme="minorHAnsi" w:hAnsiTheme="minorHAnsi"/>
          <w:sz w:val="22"/>
          <w:szCs w:val="22"/>
        </w:rPr>
        <w:t xml:space="preserve">, nodrošinot tiem </w:t>
      </w:r>
      <w:r w:rsidRPr="0082052C">
        <w:rPr>
          <w:rStyle w:val="Strong"/>
          <w:rFonts w:asciiTheme="minorHAnsi" w:hAnsiTheme="minorHAnsi"/>
          <w:sz w:val="22"/>
          <w:szCs w:val="22"/>
        </w:rPr>
        <w:t>pietiekamus resursus</w:t>
      </w:r>
      <w:r w:rsidRPr="0082052C">
        <w:rPr>
          <w:rFonts w:asciiTheme="minorHAnsi" w:hAnsiTheme="minorHAnsi"/>
          <w:sz w:val="22"/>
          <w:szCs w:val="22"/>
        </w:rPr>
        <w:t xml:space="preserve"> efektīvai pienākumu izpildei (19. panta 1. punkts).</w:t>
      </w:r>
    </w:p>
    <w:p w:rsidR="0062223B" w:rsidRPr="0082052C" w:rsidRDefault="0062223B" w:rsidP="0082052C">
      <w:pPr>
        <w:pStyle w:val="NormalWeb"/>
        <w:numPr>
          <w:ilvl w:val="0"/>
          <w:numId w:val="7"/>
        </w:numPr>
        <w:spacing w:before="120" w:beforeAutospacing="0"/>
        <w:jc w:val="both"/>
        <w:rPr>
          <w:rFonts w:asciiTheme="minorHAnsi" w:hAnsiTheme="minorHAnsi"/>
          <w:sz w:val="22"/>
          <w:szCs w:val="22"/>
        </w:rPr>
      </w:pPr>
      <w:r w:rsidRPr="0082052C">
        <w:rPr>
          <w:rFonts w:asciiTheme="minorHAnsi" w:hAnsiTheme="minorHAnsi"/>
          <w:sz w:val="22"/>
          <w:szCs w:val="22"/>
        </w:rPr>
        <w:t xml:space="preserve">Dalībvalstis var arī </w:t>
      </w:r>
      <w:r w:rsidRPr="0082052C">
        <w:rPr>
          <w:rStyle w:val="Strong"/>
          <w:rFonts w:asciiTheme="minorHAnsi" w:hAnsiTheme="minorHAnsi"/>
          <w:sz w:val="22"/>
          <w:szCs w:val="22"/>
        </w:rPr>
        <w:t>izveidot neatkarīgas struktūras</w:t>
      </w:r>
      <w:r w:rsidRPr="0082052C">
        <w:rPr>
          <w:rFonts w:asciiTheme="minorHAnsi" w:hAnsiTheme="minorHAnsi"/>
          <w:sz w:val="22"/>
          <w:szCs w:val="22"/>
        </w:rPr>
        <w:t xml:space="preserve">, kuru uzdevums ir </w:t>
      </w:r>
      <w:r w:rsidRPr="0082052C">
        <w:rPr>
          <w:rStyle w:val="Strong"/>
          <w:rFonts w:asciiTheme="minorHAnsi" w:hAnsiTheme="minorHAnsi"/>
          <w:sz w:val="22"/>
          <w:szCs w:val="22"/>
        </w:rPr>
        <w:t>uzraudzīt cilvēku tirdzniecības apkarošanas pasākumu īstenošanu un ietekmi</w:t>
      </w:r>
      <w:r w:rsidRPr="0082052C">
        <w:rPr>
          <w:rFonts w:asciiTheme="minorHAnsi" w:hAnsiTheme="minorHAnsi"/>
          <w:sz w:val="22"/>
          <w:szCs w:val="22"/>
        </w:rPr>
        <w:t xml:space="preserve">, sniegt </w:t>
      </w:r>
      <w:r w:rsidRPr="0082052C">
        <w:rPr>
          <w:rStyle w:val="Strong"/>
          <w:rFonts w:asciiTheme="minorHAnsi" w:hAnsiTheme="minorHAnsi"/>
          <w:sz w:val="22"/>
          <w:szCs w:val="22"/>
        </w:rPr>
        <w:t xml:space="preserve">ziņojumus par </w:t>
      </w:r>
      <w:proofErr w:type="spellStart"/>
      <w:r w:rsidRPr="0082052C">
        <w:rPr>
          <w:rStyle w:val="Strong"/>
          <w:rFonts w:asciiTheme="minorHAnsi" w:hAnsiTheme="minorHAnsi"/>
          <w:sz w:val="22"/>
          <w:szCs w:val="22"/>
        </w:rPr>
        <w:t>problēmjautājumiem</w:t>
      </w:r>
      <w:proofErr w:type="spellEnd"/>
      <w:r w:rsidRPr="0082052C">
        <w:rPr>
          <w:rStyle w:val="Strong"/>
          <w:rFonts w:asciiTheme="minorHAnsi" w:hAnsiTheme="minorHAnsi"/>
          <w:sz w:val="22"/>
          <w:szCs w:val="22"/>
        </w:rPr>
        <w:t>, kam kompetentajām valsts iestādēm jāpievērš īpaša uzmanība</w:t>
      </w:r>
      <w:r w:rsidRPr="0082052C">
        <w:rPr>
          <w:rFonts w:asciiTheme="minorHAnsi" w:hAnsiTheme="minorHAnsi"/>
          <w:sz w:val="22"/>
          <w:szCs w:val="22"/>
        </w:rPr>
        <w:t xml:space="preserve">, kā arī veikt </w:t>
      </w:r>
      <w:r w:rsidRPr="0082052C">
        <w:rPr>
          <w:rStyle w:val="Strong"/>
          <w:rFonts w:asciiTheme="minorHAnsi" w:hAnsiTheme="minorHAnsi"/>
          <w:sz w:val="22"/>
          <w:szCs w:val="22"/>
        </w:rPr>
        <w:t>cilvēku tirdzniecības pamatcēloņu un tendenču analīzi</w:t>
      </w:r>
      <w:r w:rsidRPr="0082052C">
        <w:rPr>
          <w:rFonts w:asciiTheme="minorHAnsi" w:hAnsiTheme="minorHAnsi"/>
          <w:sz w:val="22"/>
          <w:szCs w:val="22"/>
        </w:rPr>
        <w:t xml:space="preserve"> (19. panta 3. punkts).</w:t>
      </w:r>
    </w:p>
    <w:p w:rsidR="0062223B" w:rsidRPr="0082052C" w:rsidRDefault="0062223B" w:rsidP="0082052C">
      <w:pPr>
        <w:pStyle w:val="NormalWeb"/>
        <w:numPr>
          <w:ilvl w:val="0"/>
          <w:numId w:val="7"/>
        </w:numPr>
        <w:spacing w:before="120" w:beforeAutospacing="0"/>
        <w:jc w:val="both"/>
        <w:rPr>
          <w:rFonts w:asciiTheme="minorHAnsi" w:hAnsiTheme="minorHAnsi"/>
          <w:sz w:val="22"/>
          <w:szCs w:val="22"/>
        </w:rPr>
      </w:pPr>
      <w:r w:rsidRPr="0082052C">
        <w:rPr>
          <w:rFonts w:asciiTheme="minorHAnsi" w:hAnsiTheme="minorHAnsi"/>
          <w:color w:val="000000"/>
          <w:sz w:val="22"/>
          <w:szCs w:val="22"/>
        </w:rPr>
        <w:t>Visām dalībvalstīm ir jāpieņem cilvēku tirdzniecības apkarošanas rīcības plāni (19.b punkts).</w:t>
      </w:r>
    </w:p>
    <w:p w:rsidR="0062223B" w:rsidRPr="0062223B" w:rsidRDefault="0062223B" w:rsidP="0082052C">
      <w:pPr>
        <w:spacing w:before="120" w:after="0" w:line="240" w:lineRule="auto"/>
        <w:jc w:val="both"/>
        <w:rPr>
          <w:rFonts w:ascii="Calibri" w:eastAsia="Times New Roman" w:hAnsi="Calibri" w:cs="Times New Roman"/>
          <w:lang w:eastAsia="lv-LV"/>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036"/>
      </w:tblGrid>
      <w:tr w:rsidR="0062223B" w:rsidRPr="0062223B" w:rsidTr="0062223B">
        <w:trPr>
          <w:trHeight w:val="1408"/>
        </w:trPr>
        <w:tc>
          <w:tcPr>
            <w:tcW w:w="2122" w:type="dxa"/>
          </w:tcPr>
          <w:p w:rsidR="0062223B" w:rsidRPr="0062223B" w:rsidRDefault="0062223B" w:rsidP="0062223B">
            <w:pPr>
              <w:jc w:val="both"/>
              <w:rPr>
                <w:rFonts w:ascii="Calibri" w:eastAsia="Times New Roman" w:hAnsi="Calibri" w:cs="Times New Roman"/>
                <w:b/>
                <w:bCs/>
                <w:color w:val="000000"/>
                <w:sz w:val="24"/>
                <w:szCs w:val="24"/>
                <w:lang w:eastAsia="lv-LV"/>
              </w:rPr>
            </w:pPr>
            <w:r w:rsidRPr="0062223B">
              <w:rPr>
                <w:rFonts w:ascii="Calibri" w:eastAsia="Times New Roman" w:hAnsi="Calibri" w:cs="Times New Roman"/>
                <w:b/>
                <w:bCs/>
                <w:noProof/>
                <w:color w:val="000000"/>
                <w:sz w:val="24"/>
                <w:szCs w:val="24"/>
                <w:lang w:eastAsia="lv-LV"/>
              </w:rPr>
              <w:drawing>
                <wp:anchor distT="0" distB="0" distL="114300" distR="114300" simplePos="0" relativeHeight="251658240" behindDoc="0" locked="0" layoutInCell="1" allowOverlap="1" wp14:anchorId="02A3B9E9">
                  <wp:simplePos x="0" y="0"/>
                  <wp:positionH relativeFrom="column">
                    <wp:posOffset>71120</wp:posOffset>
                  </wp:positionH>
                  <wp:positionV relativeFrom="paragraph">
                    <wp:posOffset>31750</wp:posOffset>
                  </wp:positionV>
                  <wp:extent cx="990600" cy="7620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762000"/>
                          </a:xfrm>
                          <a:prstGeom prst="rect">
                            <a:avLst/>
                          </a:prstGeom>
                          <a:noFill/>
                        </pic:spPr>
                      </pic:pic>
                    </a:graphicData>
                  </a:graphic>
                </wp:anchor>
              </w:drawing>
            </w:r>
          </w:p>
        </w:tc>
        <w:tc>
          <w:tcPr>
            <w:tcW w:w="7036" w:type="dxa"/>
          </w:tcPr>
          <w:p w:rsidR="0062223B" w:rsidRDefault="0062223B" w:rsidP="0062223B">
            <w:pPr>
              <w:jc w:val="both"/>
              <w:rPr>
                <w:rFonts w:ascii="Calibri" w:eastAsia="Times New Roman" w:hAnsi="Calibri" w:cs="Times New Roman"/>
                <w:b/>
                <w:bCs/>
                <w:color w:val="000000"/>
                <w:sz w:val="24"/>
                <w:szCs w:val="24"/>
                <w:lang w:eastAsia="lv-LV"/>
              </w:rPr>
            </w:pPr>
          </w:p>
          <w:p w:rsidR="0062223B" w:rsidRPr="0062223B" w:rsidRDefault="0062223B" w:rsidP="0062223B">
            <w:pPr>
              <w:jc w:val="both"/>
              <w:rPr>
                <w:rFonts w:ascii="Calibri" w:eastAsia="Times New Roman" w:hAnsi="Calibri" w:cs="Times New Roman"/>
                <w:sz w:val="24"/>
                <w:szCs w:val="24"/>
                <w:lang w:eastAsia="lv-LV"/>
              </w:rPr>
            </w:pPr>
            <w:r w:rsidRPr="0062223B">
              <w:rPr>
                <w:rFonts w:ascii="Calibri" w:eastAsia="Times New Roman" w:hAnsi="Calibri" w:cs="Times New Roman"/>
                <w:b/>
                <w:bCs/>
                <w:color w:val="000000"/>
                <w:sz w:val="24"/>
                <w:szCs w:val="24"/>
                <w:lang w:eastAsia="lv-LV"/>
              </w:rPr>
              <w:t>Eiropas Padomes GRETA trešajā novērtējuma kārtā izvirzītās rekomendācijas</w:t>
            </w:r>
          </w:p>
        </w:tc>
      </w:tr>
    </w:tbl>
    <w:p w:rsidR="0062223B" w:rsidRPr="0062223B" w:rsidRDefault="0062223B" w:rsidP="0062223B">
      <w:pPr>
        <w:spacing w:before="240" w:after="240" w:line="240" w:lineRule="auto"/>
        <w:jc w:val="both"/>
        <w:rPr>
          <w:rFonts w:ascii="Calibri" w:eastAsia="Times New Roman" w:hAnsi="Calibri" w:cs="Times New Roman"/>
          <w:lang w:eastAsia="lv-LV"/>
        </w:rPr>
      </w:pPr>
      <w:r w:rsidRPr="0062223B">
        <w:rPr>
          <w:rFonts w:ascii="Calibri" w:eastAsia="Times New Roman" w:hAnsi="Calibri" w:cs="Times New Roman"/>
          <w:b/>
          <w:bCs/>
          <w:color w:val="000000"/>
          <w:lang w:eastAsia="lv-LV"/>
        </w:rPr>
        <w:t xml:space="preserve">Saite: </w:t>
      </w:r>
      <w:hyperlink r:id="rId10" w:history="1">
        <w:r w:rsidRPr="0062223B">
          <w:rPr>
            <w:rFonts w:ascii="Calibri" w:eastAsia="Times New Roman" w:hAnsi="Calibri" w:cs="Times New Roman"/>
            <w:b/>
            <w:bCs/>
            <w:color w:val="1155CC"/>
            <w:u w:val="single"/>
            <w:lang w:eastAsia="lv-LV"/>
          </w:rPr>
          <w:t>https://www.iem.gov.lv/lv/greta-tresas-kartas-novertejuma-zinojums-par-eiropas-padomes-konvencijas-par-cinu-pret-cilveku-tirdzniecibu-ieviesanu-latvija</w:t>
        </w:r>
      </w:hyperlink>
      <w:r w:rsidRPr="0062223B">
        <w:rPr>
          <w:rFonts w:ascii="Calibri" w:eastAsia="Times New Roman" w:hAnsi="Calibri" w:cs="Times New Roman"/>
          <w:b/>
          <w:bCs/>
          <w:color w:val="000000"/>
          <w:lang w:eastAsia="lv-LV"/>
        </w:rPr>
        <w:t> </w:t>
      </w:r>
    </w:p>
    <w:p w:rsidR="0062223B" w:rsidRPr="0062223B" w:rsidRDefault="0062223B" w:rsidP="0062223B">
      <w:pPr>
        <w:spacing w:before="240" w:after="240" w:line="240" w:lineRule="auto"/>
        <w:jc w:val="both"/>
        <w:rPr>
          <w:rFonts w:ascii="Calibri" w:eastAsia="Times New Roman" w:hAnsi="Calibri" w:cs="Times New Roman"/>
          <w:b/>
          <w:bCs/>
          <w:lang w:eastAsia="lv-LV"/>
        </w:rPr>
      </w:pPr>
      <w:r w:rsidRPr="0062223B">
        <w:rPr>
          <w:rFonts w:ascii="Calibri" w:eastAsia="Times New Roman" w:hAnsi="Calibri" w:cs="Times New Roman"/>
          <w:b/>
          <w:bCs/>
          <w:color w:val="000000"/>
          <w:lang w:eastAsia="lv-LV"/>
        </w:rPr>
        <w:t>Tiesības uz informāciju</w:t>
      </w:r>
    </w:p>
    <w:p w:rsidR="0062223B" w:rsidRPr="0062223B" w:rsidRDefault="0062223B" w:rsidP="0062223B">
      <w:pPr>
        <w:spacing w:before="240" w:after="240" w:line="240" w:lineRule="auto"/>
        <w:ind w:left="84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GRETA aicina Latviju pastāvīgi popularizēt palīdzības un konsultācijas tālruņus, izmantojot sociālos plašsaziņas vai citus līdzekļus.</w:t>
      </w:r>
    </w:p>
    <w:p w:rsidR="0062223B" w:rsidRPr="0062223B" w:rsidRDefault="0062223B" w:rsidP="0062223B">
      <w:pPr>
        <w:spacing w:before="240" w:after="240" w:line="240" w:lineRule="auto"/>
        <w:ind w:left="84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xml:space="preserve">&gt;  GRETA uzskata, ka Latvijai ir jāstiprina sistemātiska informācijas sniegšana iespējamiem un identificētiem cilvēku tirdzniecības upuriem par viņu tiesībām, pieejamajiem pakalpojumiem un piekļuves iespējām. Ir jānodrošina rakstisku materiālu izstrāde dažādās valodās, kuros izskaidrotas upuru tiesības. Tāpat ir jānodrošina, ka policijas un imigrācijas darbinieki materiālus nodod upuriem. Policijas amatpersonām, darba inspektoriem un personālam, kuri sniedz konsultācijas un palīdzību, ir jābūt apmācītiem un instruētiem par to, kā pienācīgi izskaidrot cilvēku tirdzniecības upuriem viņu tiesības, ņemot vērā viņu kognitīvās prasmes un psiholoģisko stāvokli. Tāpat darbiniekiem, kas strādā patvēruma uzņemšanas un aizturēšanas centros, arī turpmāk jābūt apmācītiem un instruētiem par to, kā </w:t>
      </w:r>
      <w:proofErr w:type="spellStart"/>
      <w:r w:rsidRPr="0062223B">
        <w:rPr>
          <w:rFonts w:ascii="Calibri" w:eastAsia="Times New Roman" w:hAnsi="Calibri" w:cs="Times New Roman"/>
          <w:color w:val="000000"/>
          <w:lang w:eastAsia="lv-LV"/>
        </w:rPr>
        <w:t>proaktīvi</w:t>
      </w:r>
      <w:proofErr w:type="spellEnd"/>
      <w:r w:rsidRPr="0062223B">
        <w:rPr>
          <w:rFonts w:ascii="Calibri" w:eastAsia="Times New Roman" w:hAnsi="Calibri" w:cs="Times New Roman"/>
          <w:color w:val="000000"/>
          <w:lang w:eastAsia="lv-LV"/>
        </w:rPr>
        <w:t xml:space="preserve"> sniegt informāciju personām un grupām, kas pakļautas cilvēku tirdzniecības riskam.</w:t>
      </w:r>
    </w:p>
    <w:p w:rsidR="0062223B" w:rsidRPr="0062223B" w:rsidRDefault="0062223B" w:rsidP="0062223B">
      <w:pPr>
        <w:spacing w:before="240" w:after="240" w:line="240" w:lineRule="auto"/>
        <w:jc w:val="both"/>
        <w:rPr>
          <w:rFonts w:ascii="Calibri" w:eastAsia="Times New Roman" w:hAnsi="Calibri" w:cs="Times New Roman"/>
          <w:b/>
          <w:bCs/>
          <w:lang w:eastAsia="lv-LV"/>
        </w:rPr>
      </w:pPr>
      <w:r w:rsidRPr="0062223B">
        <w:rPr>
          <w:rFonts w:ascii="Calibri" w:eastAsia="Times New Roman" w:hAnsi="Calibri" w:cs="Times New Roman"/>
          <w:b/>
          <w:bCs/>
          <w:color w:val="000000"/>
          <w:lang w:eastAsia="lv-LV"/>
        </w:rPr>
        <w:t>Juridiskais atbalsts un bezmaksas juridiskā palīdzība</w:t>
      </w:r>
    </w:p>
    <w:p w:rsidR="0062223B" w:rsidRPr="0062223B" w:rsidRDefault="0062223B" w:rsidP="0062223B">
      <w:pPr>
        <w:spacing w:before="240" w:after="240" w:line="240" w:lineRule="auto"/>
        <w:ind w:left="84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GRETA uzskata, ka Latvijai ir jāīsteno pasākumi, lai atvieglotu un garantētu tiesu pieejamību cilvēku tirdzniecības upuriem, jo īpaši nodrošinot, ka:</w:t>
      </w:r>
    </w:p>
    <w:p w:rsidR="0062223B" w:rsidRPr="0062223B" w:rsidRDefault="0062223B" w:rsidP="0062223B">
      <w:pPr>
        <w:spacing w:before="240" w:after="240" w:line="240" w:lineRule="auto"/>
        <w:ind w:left="120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tiklīdz ir pamatots iemesls uzskatīt, ka persona ir cilvēku tirdzniecības upuris, tiek iecelts specializēts jurists, tai skaitā pirms persona ir izlēmusi, vai sadarbosies ar iestādēm un/vai sniegs oficiālu liecību;</w:t>
      </w:r>
    </w:p>
    <w:p w:rsidR="0062223B" w:rsidRPr="0062223B" w:rsidRDefault="0062223B" w:rsidP="0062223B">
      <w:pPr>
        <w:spacing w:before="240" w:after="240" w:line="240" w:lineRule="auto"/>
        <w:ind w:left="120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jāveicina juristu apmācību un specializāciju, lai varētu sniegt juridisko palīdzību cilvēku tirdzniecības upuriem. Tāpat ir jānodrošina, ka specializēta advokāta iecelšana ir sistemātiska.</w:t>
      </w:r>
    </w:p>
    <w:p w:rsidR="0062223B" w:rsidRPr="0062223B" w:rsidRDefault="0062223B" w:rsidP="0062223B">
      <w:pPr>
        <w:spacing w:before="240" w:after="240" w:line="240" w:lineRule="auto"/>
        <w:jc w:val="both"/>
        <w:rPr>
          <w:rFonts w:ascii="Calibri" w:eastAsia="Times New Roman" w:hAnsi="Calibri" w:cs="Times New Roman"/>
          <w:b/>
          <w:bCs/>
          <w:lang w:eastAsia="lv-LV"/>
        </w:rPr>
      </w:pPr>
      <w:r w:rsidRPr="0062223B">
        <w:rPr>
          <w:rFonts w:ascii="Calibri" w:eastAsia="Times New Roman" w:hAnsi="Calibri" w:cs="Times New Roman"/>
          <w:b/>
          <w:bCs/>
          <w:color w:val="000000"/>
          <w:lang w:eastAsia="lv-LV"/>
        </w:rPr>
        <w:t>Psiholoģiskā palīdzība</w:t>
      </w:r>
    </w:p>
    <w:p w:rsidR="0062223B" w:rsidRPr="0062223B" w:rsidRDefault="0062223B" w:rsidP="0062223B">
      <w:pPr>
        <w:spacing w:before="240" w:after="240" w:line="240" w:lineRule="auto"/>
        <w:ind w:left="84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GRETA uzskata, ka Latvijai ir jāīsteno pasākumi, lai nodrošinātu, ka cilvēku tirdzniecības upuriem vajadzības gadījumā pēc sešu mēnešu rehabilitācijas programmas tiek sniegta ilgtermiņa psiholoģiskā palīdzība, tādējādi palīdzot pārvarēt piedzīvoto traumu un panāktu ilgstošu atveseļošanos un sociālo integrāciju.</w:t>
      </w:r>
    </w:p>
    <w:p w:rsidR="0062223B" w:rsidRPr="0062223B" w:rsidRDefault="0062223B" w:rsidP="0062223B">
      <w:pPr>
        <w:spacing w:before="240" w:after="240" w:line="240" w:lineRule="auto"/>
        <w:jc w:val="both"/>
        <w:rPr>
          <w:rFonts w:ascii="Calibri" w:eastAsia="Times New Roman" w:hAnsi="Calibri" w:cs="Times New Roman"/>
          <w:b/>
          <w:bCs/>
          <w:lang w:eastAsia="lv-LV"/>
        </w:rPr>
      </w:pPr>
      <w:r w:rsidRPr="0062223B">
        <w:rPr>
          <w:rFonts w:ascii="Calibri" w:eastAsia="Times New Roman" w:hAnsi="Calibri" w:cs="Times New Roman"/>
          <w:b/>
          <w:bCs/>
          <w:color w:val="000000"/>
          <w:lang w:eastAsia="lv-LV"/>
        </w:rPr>
        <w:t>Darba, profesionālās apmācības un izglītības pieejamība</w:t>
      </w:r>
    </w:p>
    <w:p w:rsidR="0062223B" w:rsidRPr="0062223B" w:rsidRDefault="0062223B" w:rsidP="0062223B">
      <w:pPr>
        <w:spacing w:before="240" w:after="240" w:line="240" w:lineRule="auto"/>
        <w:ind w:left="84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xml:space="preserve">&gt;  GRETA uzskata, ka Latvijai cilvēku tirdzniecības upuru ekonomiskajai un sociālajai iekļaušanai ir jāveicina efektīva piekļuve darba tirgum, nodrošinot profesionālo apmācību un iekārtošanu darbā, palielinot dažādu darba devēju informētību un veicinot mazo uzņēmumu, sociālo </w:t>
      </w:r>
      <w:r w:rsidRPr="0062223B">
        <w:rPr>
          <w:rFonts w:ascii="Calibri" w:eastAsia="Times New Roman" w:hAnsi="Calibri" w:cs="Times New Roman"/>
          <w:color w:val="000000"/>
          <w:lang w:eastAsia="lv-LV"/>
        </w:rPr>
        <w:softHyphen/>
        <w:t xml:space="preserve">uzņēmumu un publiskā un privātā sektora partnerības, tostarp izmantojot valsts atbalstītas </w:t>
      </w:r>
      <w:r w:rsidRPr="0062223B">
        <w:rPr>
          <w:rFonts w:ascii="Calibri" w:eastAsia="Times New Roman" w:hAnsi="Calibri" w:cs="Times New Roman"/>
          <w:color w:val="000000"/>
          <w:lang w:eastAsia="lv-LV"/>
        </w:rPr>
        <w:lastRenderedPageBreak/>
        <w:t>nodarbinātības programmas, lai radītu atbilstošas darba iespējas cilvēku tirdzniecības upuriem.</w:t>
      </w:r>
    </w:p>
    <w:p w:rsidR="0062223B" w:rsidRPr="0062223B" w:rsidRDefault="0062223B" w:rsidP="0062223B">
      <w:pPr>
        <w:spacing w:before="240" w:after="240" w:line="240" w:lineRule="auto"/>
        <w:jc w:val="both"/>
        <w:rPr>
          <w:rFonts w:ascii="Calibri" w:eastAsia="Times New Roman" w:hAnsi="Calibri" w:cs="Times New Roman"/>
          <w:b/>
          <w:bCs/>
          <w:lang w:eastAsia="lv-LV"/>
        </w:rPr>
      </w:pPr>
      <w:r w:rsidRPr="0062223B">
        <w:rPr>
          <w:rFonts w:ascii="Calibri" w:eastAsia="Times New Roman" w:hAnsi="Calibri" w:cs="Times New Roman"/>
          <w:b/>
          <w:bCs/>
          <w:color w:val="000000"/>
          <w:lang w:eastAsia="lv-LV"/>
        </w:rPr>
        <w:t>Kompensācija</w:t>
      </w:r>
    </w:p>
    <w:p w:rsidR="0062223B" w:rsidRPr="0062223B" w:rsidRDefault="0062223B" w:rsidP="0062223B">
      <w:pPr>
        <w:spacing w:before="240" w:after="240" w:line="240" w:lineRule="auto"/>
        <w:ind w:left="72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GRETA mudina Latviju pielikt papildu pūles, lai garantētu cilvēku tirdzniecības upuriem efektīvu piekļuvi kompensācijai, jo īpaši:</w:t>
      </w:r>
    </w:p>
    <w:p w:rsidR="0062223B" w:rsidRPr="0062223B" w:rsidRDefault="0062223B" w:rsidP="0062223B">
      <w:pPr>
        <w:spacing w:before="240" w:after="240" w:line="240" w:lineRule="auto"/>
        <w:ind w:left="108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pilnībā izmantot normatīvajā regulējumā paredzētās tiesības par līdzekļu iesaldēšanu un atsavināšanu, kā arī starptautisko sadarbību, lai nodrošinātu kompensāciju cilvēku tirdzniecības upuriem un nodrošinātu, ka atgūstamā manta, kas konfiscēta kriminālprocesā, pēc iespējas ātrāk tiek atdota cietušajam vai izmantota, lai cietušajam izmaksātu kompensāciju;</w:t>
      </w:r>
    </w:p>
    <w:p w:rsidR="0062223B" w:rsidRPr="0062223B" w:rsidRDefault="0062223B" w:rsidP="0062223B">
      <w:pPr>
        <w:spacing w:before="240" w:after="240" w:line="240" w:lineRule="auto"/>
        <w:ind w:left="108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iekļaut jautājumu par kompensāciju advokātu, prokuroru un tiesnešu apmācību programmās un mudināt viņus izmantot visas iespējas, ko piedāvā normatīvais regulējums ar mērķi apmierināt cilvēku tirdzniecības upuru prasības pēc kompensācijas.</w:t>
      </w:r>
    </w:p>
    <w:p w:rsidR="0062223B" w:rsidRPr="0062223B" w:rsidRDefault="0062223B" w:rsidP="0062223B">
      <w:pPr>
        <w:spacing w:before="240" w:after="240" w:line="240" w:lineRule="auto"/>
        <w:jc w:val="both"/>
        <w:rPr>
          <w:rFonts w:ascii="Calibri" w:eastAsia="Times New Roman" w:hAnsi="Calibri" w:cs="Times New Roman"/>
          <w:b/>
          <w:bCs/>
          <w:lang w:eastAsia="lv-LV"/>
        </w:rPr>
      </w:pPr>
      <w:r w:rsidRPr="0062223B">
        <w:rPr>
          <w:rFonts w:ascii="Calibri" w:eastAsia="Times New Roman" w:hAnsi="Calibri" w:cs="Times New Roman"/>
          <w:b/>
          <w:bCs/>
          <w:color w:val="000000"/>
          <w:lang w:eastAsia="lv-LV"/>
        </w:rPr>
        <w:t>Izmeklēšana, kriminālvajāšana, sankcijas un pasākumi</w:t>
      </w:r>
    </w:p>
    <w:p w:rsidR="0062223B" w:rsidRPr="0062223B" w:rsidRDefault="0062223B" w:rsidP="0062223B">
      <w:pPr>
        <w:spacing w:before="240" w:after="240" w:line="240" w:lineRule="auto"/>
        <w:ind w:left="72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GRETA atzinīgi vērtē to, ka ir pieņemts likums par noziedzīgi iegūtu līdzekļu konfiskāciju, un aicina Latvijas iestādes turpināt stiprināt spēju atklāt, arestēt un konfiscēt nelegāli iegūtu līdzekļus, tostarp nodrošinot izmeklētāju specializāciju un šādu speciālistu klātbūtni visās struktūrvienības, kas izmeklē ar cilvēku tirdzniecību saistītus noziedzīgus nodarījumus.</w:t>
      </w:r>
    </w:p>
    <w:p w:rsidR="0062223B" w:rsidRPr="0062223B" w:rsidRDefault="0062223B" w:rsidP="0062223B">
      <w:pPr>
        <w:spacing w:before="240" w:after="240" w:line="240" w:lineRule="auto"/>
        <w:ind w:left="72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xml:space="preserve">&gt;  GRETA mudina Latvijas iestādes veikt pasākumus, lai stiprinātu </w:t>
      </w:r>
      <w:proofErr w:type="spellStart"/>
      <w:r w:rsidRPr="0062223B">
        <w:rPr>
          <w:rFonts w:ascii="Calibri" w:eastAsia="Times New Roman" w:hAnsi="Calibri" w:cs="Times New Roman"/>
          <w:color w:val="000000"/>
          <w:lang w:eastAsia="lv-LV"/>
        </w:rPr>
        <w:t>krimināljustīciju</w:t>
      </w:r>
      <w:proofErr w:type="spellEnd"/>
      <w:r w:rsidRPr="0062223B">
        <w:rPr>
          <w:rFonts w:ascii="Calibri" w:eastAsia="Times New Roman" w:hAnsi="Calibri" w:cs="Times New Roman"/>
          <w:color w:val="000000"/>
          <w:lang w:eastAsia="lv-LV"/>
        </w:rPr>
        <w:t xml:space="preserve"> cilvēku tirdzniecības gadījumos, tostarp:</w:t>
      </w:r>
    </w:p>
    <w:p w:rsidR="0062223B" w:rsidRPr="0062223B" w:rsidRDefault="0062223B" w:rsidP="0062223B">
      <w:pPr>
        <w:spacing w:before="240" w:after="240" w:line="240" w:lineRule="auto"/>
        <w:ind w:left="108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xml:space="preserve">-       nodrošināt, ka cilvēku tirdzniecības nodarījumi ir </w:t>
      </w:r>
      <w:proofErr w:type="spellStart"/>
      <w:r w:rsidRPr="0062223B">
        <w:rPr>
          <w:rFonts w:ascii="Calibri" w:eastAsia="Times New Roman" w:hAnsi="Calibri" w:cs="Times New Roman"/>
          <w:color w:val="000000"/>
          <w:lang w:eastAsia="lv-LV"/>
        </w:rPr>
        <w:t>proaktīvi</w:t>
      </w:r>
      <w:proofErr w:type="spellEnd"/>
      <w:r w:rsidRPr="0062223B">
        <w:rPr>
          <w:rFonts w:ascii="Calibri" w:eastAsia="Times New Roman" w:hAnsi="Calibri" w:cs="Times New Roman"/>
          <w:color w:val="000000"/>
          <w:lang w:eastAsia="lv-LV"/>
        </w:rPr>
        <w:t xml:space="preserve"> un ātri izmeklēti, izmantojot īpašās izmeklēšanas metodes, lai savāktu materiālus, dokumentārus, finanšu un digitālos pierādījumus, nepaļaujoties tikai uz cietušo vai liecinieku liecībām;</w:t>
      </w:r>
    </w:p>
    <w:p w:rsidR="0062223B" w:rsidRPr="0062223B" w:rsidRDefault="0062223B" w:rsidP="0062223B">
      <w:pPr>
        <w:spacing w:before="240" w:after="240" w:line="240" w:lineRule="auto"/>
        <w:ind w:left="108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informēt prokurorus un tiesnešus par cilvēku tirdzniecības upuru tiesībām, nodrošinot apmācību saskaņā ar Eiropas Cilvēktiesību tiesas judikatūru, un veicinot specializācijas attīstību par cilvēku tirdzniecības lietām;</w:t>
      </w:r>
    </w:p>
    <w:p w:rsidR="0062223B" w:rsidRPr="0062223B" w:rsidRDefault="0062223B" w:rsidP="0062223B">
      <w:pPr>
        <w:spacing w:before="240" w:after="240" w:line="240" w:lineRule="auto"/>
        <w:ind w:left="108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nodrošināt, ka par cilvēku tirdzniecības noziegumu notiesātajiem tiek piemērotas efektīvas, samērīgas un preventīvas sankcijas.</w:t>
      </w:r>
    </w:p>
    <w:p w:rsidR="0062223B" w:rsidRPr="0062223B" w:rsidRDefault="0062223B" w:rsidP="0062223B">
      <w:pPr>
        <w:spacing w:before="240" w:after="240" w:line="240" w:lineRule="auto"/>
        <w:ind w:left="72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GRETA arī uzskata, ka Latvijā ir jāīsteno pasākumi, lai nodrošinātu, ka tiesvedības ilgums cilvēku tirdzniecības lietās ir saprātīgs saskaņā ar Eiropas Cilvēktiesību tiesas (saistībā ar ECTK 6. panta 1. punktu) un Eiropas Komisijas par tiesiskuma efektivitāti (CEPEJ) noteiktajiem standartiem.</w:t>
      </w:r>
    </w:p>
    <w:p w:rsidR="0062223B" w:rsidRPr="0062223B" w:rsidRDefault="0062223B" w:rsidP="0062223B">
      <w:pPr>
        <w:spacing w:before="240" w:after="240" w:line="240" w:lineRule="auto"/>
        <w:jc w:val="both"/>
        <w:rPr>
          <w:rFonts w:ascii="Calibri" w:eastAsia="Times New Roman" w:hAnsi="Calibri" w:cs="Times New Roman"/>
          <w:b/>
          <w:bCs/>
          <w:lang w:eastAsia="lv-LV"/>
        </w:rPr>
      </w:pPr>
      <w:r w:rsidRPr="0062223B">
        <w:rPr>
          <w:rFonts w:ascii="Calibri" w:eastAsia="Times New Roman" w:hAnsi="Calibri" w:cs="Times New Roman"/>
          <w:b/>
          <w:bCs/>
          <w:color w:val="000000"/>
          <w:lang w:eastAsia="lv-LV"/>
        </w:rPr>
        <w:t>Noteikums par nesodāmību</w:t>
      </w:r>
    </w:p>
    <w:p w:rsidR="0062223B" w:rsidRPr="0062223B" w:rsidRDefault="0062223B" w:rsidP="0062223B">
      <w:pPr>
        <w:spacing w:before="240" w:after="240" w:line="240" w:lineRule="auto"/>
        <w:ind w:left="72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Atzinīgi vērtējot Administratīvo pārkāpumu kodeksā ieviestās izmaiņas tiesību aktos un iepriekš minēto Latvijas Republikas Tiesībsarga atzinumu, GRETA uzskata, ka Latvijas iestādēm jāīsteno pasākumi, lai nodrošinātu cilvēku tirdzniecības upuru nesodīšanas principa efektīvu konsekventu piemērošanu par iesaistīšanos nelikumīgās darbībās, tiktāl, cik personas bija piespiestas ek</w:t>
      </w:r>
      <w:r w:rsidR="00E60630">
        <w:rPr>
          <w:rFonts w:ascii="Calibri" w:eastAsia="Times New Roman" w:hAnsi="Calibri" w:cs="Times New Roman"/>
          <w:color w:val="000000"/>
          <w:lang w:eastAsia="lv-LV"/>
        </w:rPr>
        <w:t>s</w:t>
      </w:r>
      <w:bookmarkStart w:id="0" w:name="_GoBack"/>
      <w:bookmarkEnd w:id="0"/>
      <w:r w:rsidRPr="0062223B">
        <w:rPr>
          <w:rFonts w:ascii="Calibri" w:eastAsia="Times New Roman" w:hAnsi="Calibri" w:cs="Times New Roman"/>
          <w:color w:val="000000"/>
          <w:lang w:eastAsia="lv-LV"/>
        </w:rPr>
        <w:t>pluatācijas rezultātā. Ir jāizstrādā norādījumi policijas darbiniekiem un prokuroriem par nesodāmības noteikuma darbības jomu un piemērošanu, tostarp attiecībā uz Kriminālprocesa likuma 379. panta 5. punkta piemērošanu.</w:t>
      </w:r>
    </w:p>
    <w:p w:rsidR="0062223B" w:rsidRPr="0062223B" w:rsidRDefault="0062223B" w:rsidP="0062223B">
      <w:pPr>
        <w:spacing w:before="240" w:after="240" w:line="240" w:lineRule="auto"/>
        <w:jc w:val="both"/>
        <w:rPr>
          <w:rFonts w:ascii="Calibri" w:eastAsia="Times New Roman" w:hAnsi="Calibri" w:cs="Times New Roman"/>
          <w:b/>
          <w:bCs/>
          <w:lang w:eastAsia="lv-LV"/>
        </w:rPr>
      </w:pPr>
      <w:r w:rsidRPr="0062223B">
        <w:rPr>
          <w:rFonts w:ascii="Calibri" w:eastAsia="Times New Roman" w:hAnsi="Calibri" w:cs="Times New Roman"/>
          <w:b/>
          <w:bCs/>
          <w:color w:val="000000"/>
          <w:lang w:eastAsia="lv-LV"/>
        </w:rPr>
        <w:lastRenderedPageBreak/>
        <w:t>Cietušo un liecinieku aizsardzība</w:t>
      </w:r>
    </w:p>
    <w:p w:rsidR="0062223B" w:rsidRPr="0062223B" w:rsidRDefault="0062223B" w:rsidP="0062223B">
      <w:pPr>
        <w:spacing w:before="240" w:after="240" w:line="240" w:lineRule="auto"/>
        <w:ind w:left="72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GRETA mudina Latviju pilnībā izmantot pieejamos pasākumus, lai aizsargātu cietušos un lieciniekus un novērstu iebiedēšanu izmeklēšanas laikā, kā arī tiesvedības laikā un pēc tās.</w:t>
      </w:r>
    </w:p>
    <w:p w:rsidR="0062223B" w:rsidRPr="0062223B" w:rsidRDefault="0062223B" w:rsidP="0062223B">
      <w:pPr>
        <w:spacing w:before="240" w:after="240" w:line="240" w:lineRule="auto"/>
        <w:jc w:val="both"/>
        <w:rPr>
          <w:rFonts w:ascii="Calibri" w:eastAsia="Times New Roman" w:hAnsi="Calibri" w:cs="Times New Roman"/>
          <w:b/>
          <w:bCs/>
          <w:lang w:eastAsia="lv-LV"/>
        </w:rPr>
      </w:pPr>
      <w:r w:rsidRPr="0062223B">
        <w:rPr>
          <w:rFonts w:ascii="Calibri" w:eastAsia="Times New Roman" w:hAnsi="Calibri" w:cs="Times New Roman"/>
          <w:b/>
          <w:bCs/>
          <w:color w:val="000000"/>
          <w:lang w:eastAsia="lv-LV"/>
        </w:rPr>
        <w:t>Specializētās iestādes un koordinējošās struktūras</w:t>
      </w:r>
    </w:p>
    <w:p w:rsidR="0062223B" w:rsidRPr="0062223B" w:rsidRDefault="0062223B" w:rsidP="0062223B">
      <w:pPr>
        <w:spacing w:before="240" w:after="240" w:line="240" w:lineRule="auto"/>
        <w:ind w:left="72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GRETA atzinīgi vērtē to, ka tiek īstenota policijas darbinieku un prokuroru specializācija cilvēku tirdzniecības lietās. Uzskata, ka Latvijas iestādēm jāveicina arī darba inspektoru un tiesnešu specializācija un apmācība cīņai pret cilvēku tirdzniecību. GRETA arī uzskata, ka Latvijas ir jānodrošina, lai prokuratūras reorganizācijai nebūtu negatīvas ietekmes uz prokuroru specializāciju cilvēku tirdzniecības lietu izskatīšanā.</w:t>
      </w:r>
    </w:p>
    <w:p w:rsidR="0062223B" w:rsidRPr="0062223B" w:rsidRDefault="0062223B" w:rsidP="0062223B">
      <w:pPr>
        <w:spacing w:before="240" w:after="240" w:line="240" w:lineRule="auto"/>
        <w:ind w:left="72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Turklāt GRETA uzskata, ka Latvijai ir jānodrošina atbilstoši cilvēkresursi un tehniskie resursi specializētās policijas nodaļas cīņai pret cilvēku tirdzniecību darbībai.</w:t>
      </w:r>
    </w:p>
    <w:p w:rsidR="0062223B" w:rsidRPr="0062223B" w:rsidRDefault="0062223B" w:rsidP="0062223B">
      <w:pPr>
        <w:spacing w:before="240" w:after="240" w:line="240" w:lineRule="auto"/>
        <w:jc w:val="both"/>
        <w:rPr>
          <w:rFonts w:ascii="Calibri" w:eastAsia="Times New Roman" w:hAnsi="Calibri" w:cs="Times New Roman"/>
          <w:b/>
          <w:bCs/>
          <w:lang w:eastAsia="lv-LV"/>
        </w:rPr>
      </w:pPr>
      <w:r w:rsidRPr="0062223B">
        <w:rPr>
          <w:rFonts w:ascii="Calibri" w:eastAsia="Times New Roman" w:hAnsi="Calibri" w:cs="Times New Roman"/>
          <w:b/>
          <w:bCs/>
          <w:color w:val="000000"/>
          <w:lang w:eastAsia="lv-LV"/>
        </w:rPr>
        <w:t>Starptautiskā sadarbība</w:t>
      </w:r>
    </w:p>
    <w:p w:rsidR="0062223B" w:rsidRPr="0062223B" w:rsidRDefault="0062223B" w:rsidP="0062223B">
      <w:pPr>
        <w:spacing w:before="240" w:after="240" w:line="240" w:lineRule="auto"/>
        <w:ind w:left="72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GRETA atzinīgi vērtē Latvijas uzsāktos sadarbības pasākumus gan krimināltiesību jomā, gan Baltijas Jūras valstu padomes ietvaros, un aicina turpināt sadarbības tīklu izveidi ārpus Baltijas Jūras valstu reģiona, jo īpaši attiecībā uz finanšu izmeklēšanu un kompensācijas rīkojumu izpildi.</w:t>
      </w:r>
    </w:p>
    <w:p w:rsidR="0062223B" w:rsidRPr="0062223B" w:rsidRDefault="0062223B" w:rsidP="0062223B">
      <w:pPr>
        <w:spacing w:before="240" w:after="240" w:line="240" w:lineRule="auto"/>
        <w:jc w:val="both"/>
        <w:rPr>
          <w:rFonts w:ascii="Calibri" w:eastAsia="Times New Roman" w:hAnsi="Calibri" w:cs="Times New Roman"/>
          <w:b/>
          <w:bCs/>
          <w:lang w:eastAsia="lv-LV"/>
        </w:rPr>
      </w:pPr>
      <w:r w:rsidRPr="0062223B">
        <w:rPr>
          <w:rFonts w:ascii="Calibri" w:eastAsia="Times New Roman" w:hAnsi="Calibri" w:cs="Times New Roman"/>
          <w:b/>
          <w:bCs/>
          <w:color w:val="000000"/>
          <w:lang w:eastAsia="lv-LV"/>
        </w:rPr>
        <w:t>Horizontālie jautājumi</w:t>
      </w:r>
    </w:p>
    <w:p w:rsidR="0062223B" w:rsidRPr="0062223B" w:rsidRDefault="0062223B" w:rsidP="0062223B">
      <w:pPr>
        <w:spacing w:before="240" w:after="240" w:line="240" w:lineRule="auto"/>
        <w:ind w:left="72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GRETA uzskata, ka Latvijas iestādēm jāveicina sieviešu informētība par tiesiskās aizsardzības līdzekļiem viņu tiesību pārkāpumu gadījumos, tostarp ar Latvijas Republikas Tiesībsarga biroja starpniecību.</w:t>
      </w:r>
    </w:p>
    <w:p w:rsidR="0062223B" w:rsidRPr="0062223B" w:rsidRDefault="0062223B" w:rsidP="0062223B">
      <w:pPr>
        <w:spacing w:before="240" w:after="240" w:line="240" w:lineRule="auto"/>
        <w:ind w:left="72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GRETA uzskata, ka Latvijas iestādēm jāveic pasākumi, lai nodrošinātu bērniem piemērotas procedūras cilvēku tirdzniecības lietu izmeklēšanā, kriminālvajāšanā un iztiesāšanā saskaņā ar Eiropas Padomes Ministru komitejas pamatnostādnēm par bērniem draudzīgu tiesu sistēmu, tostarp pasākumus, lai nodrošinātu, ka visā valstī ir pietiekams skaits bērniem draudzīgu interviju/pratināšanas telpu.</w:t>
      </w:r>
    </w:p>
    <w:p w:rsidR="0062223B" w:rsidRPr="0062223B" w:rsidRDefault="0062223B" w:rsidP="0062223B">
      <w:pPr>
        <w:spacing w:before="240" w:after="240" w:line="240" w:lineRule="auto"/>
        <w:ind w:left="72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GRETA atzinīgi vērtē iepriekš minētās iniciatīvas un uzskata, ka Latvijas iestādēm jāstiprina sadarbība ar privāto sektoru saskaņā ar ANO Vadošajiem principiem uzņēmējdarbībā un cilvēktiesībās un Eiropas Padomes Ministru komitejas Ieteikumu CM/Rec(2016)3 par cilvēktiesībām un uzņēmējdarbību, lai palielinātu informētību par uzņēmumu svarīgo lomu un atbildību cietušo rehabilitācijas un atveseļošanās atbalstā, kā arī, lai nodrošinātu piekļuvi efektīviem tiesiskās aizsardzības līdzekļiem.</w:t>
      </w:r>
    </w:p>
    <w:p w:rsidR="0062223B" w:rsidRPr="0062223B" w:rsidRDefault="0062223B" w:rsidP="0062223B">
      <w:pPr>
        <w:spacing w:before="240" w:after="240" w:line="240" w:lineRule="auto"/>
        <w:ind w:left="72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GRETA uzskata, ka Latvijai vispārējā korupcijas apkarošanas politikā jāiekļauj pasākumi pret korupciju cilvēku tirdzniecības kontekstā, kā arī jānodrošina šādu pasākumu efektīva ieviešana.</w:t>
      </w:r>
    </w:p>
    <w:p w:rsidR="0062223B" w:rsidRPr="0062223B" w:rsidRDefault="0062223B" w:rsidP="0062223B">
      <w:pPr>
        <w:spacing w:after="260" w:line="240" w:lineRule="auto"/>
        <w:jc w:val="both"/>
        <w:rPr>
          <w:rFonts w:ascii="Calibri" w:eastAsia="Times New Roman" w:hAnsi="Calibri" w:cs="Times New Roman"/>
          <w:b/>
          <w:bCs/>
          <w:lang w:eastAsia="lv-LV"/>
        </w:rPr>
      </w:pPr>
      <w:r w:rsidRPr="0062223B">
        <w:rPr>
          <w:rFonts w:ascii="Calibri" w:eastAsia="Times New Roman" w:hAnsi="Calibri" w:cs="Times New Roman"/>
          <w:b/>
          <w:bCs/>
          <w:color w:val="000000"/>
          <w:lang w:eastAsia="lv-LV"/>
        </w:rPr>
        <w:t>Latvijai raksturīgās turpmākās tēmas</w:t>
      </w:r>
    </w:p>
    <w:p w:rsidR="0062223B" w:rsidRPr="0062223B" w:rsidRDefault="0062223B" w:rsidP="0062223B">
      <w:pPr>
        <w:spacing w:before="240" w:after="240" w:line="240" w:lineRule="auto"/>
        <w:jc w:val="both"/>
        <w:rPr>
          <w:rFonts w:ascii="Calibri" w:eastAsia="Times New Roman" w:hAnsi="Calibri" w:cs="Times New Roman"/>
          <w:lang w:eastAsia="lv-LV"/>
        </w:rPr>
      </w:pPr>
      <w:r w:rsidRPr="0062223B">
        <w:rPr>
          <w:rFonts w:ascii="Calibri" w:eastAsia="Times New Roman" w:hAnsi="Calibri" w:cs="Times New Roman"/>
          <w:color w:val="000000"/>
          <w:lang w:eastAsia="lv-LV"/>
        </w:rPr>
        <w:t>Attīstība tiesiskajā, institucionālajā un politiskajā satvarā cīņai pret cilvēku tirdzniecību</w:t>
      </w:r>
    </w:p>
    <w:p w:rsidR="0062223B" w:rsidRPr="0062223B" w:rsidRDefault="0062223B" w:rsidP="0062223B">
      <w:pPr>
        <w:spacing w:before="240" w:after="240" w:line="240" w:lineRule="auto"/>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xml:space="preserve">&gt;    </w:t>
      </w:r>
      <w:r w:rsidRPr="0062223B">
        <w:rPr>
          <w:rFonts w:ascii="Calibri" w:eastAsia="Times New Roman" w:hAnsi="Calibri" w:cs="Arial"/>
          <w:color w:val="000000"/>
          <w:lang w:eastAsia="lv-LV"/>
        </w:rPr>
        <w:t>GRETA uzskata, ka ir jāturpina regulārs starpinstitūciju darbs, lai uzraudzītu Cilvēku tirdzniecības novēršanas plāna 2021. – 2023. gadam ieviešana. Turklāt GRETA aicina paredzēt atbilstošu finansējumu politikas ieviešanai;</w:t>
      </w:r>
    </w:p>
    <w:p w:rsidR="0062223B" w:rsidRPr="0062223B" w:rsidRDefault="0062223B" w:rsidP="0062223B">
      <w:pPr>
        <w:spacing w:before="240" w:after="240" w:line="240" w:lineRule="auto"/>
        <w:ind w:left="720" w:hanging="360"/>
        <w:jc w:val="both"/>
        <w:rPr>
          <w:rFonts w:ascii="Calibri" w:eastAsia="Times New Roman" w:hAnsi="Calibri" w:cs="Times New Roman"/>
          <w:lang w:eastAsia="lv-LV"/>
        </w:rPr>
      </w:pPr>
      <w:r w:rsidRPr="0062223B">
        <w:rPr>
          <w:rFonts w:ascii="Calibri" w:eastAsia="Times New Roman" w:hAnsi="Calibri" w:cs="Arial"/>
          <w:color w:val="000000"/>
          <w:lang w:eastAsia="lv-LV"/>
        </w:rPr>
        <w:lastRenderedPageBreak/>
        <w:t>&gt;</w:t>
      </w:r>
      <w:r w:rsidRPr="0062223B">
        <w:rPr>
          <w:rFonts w:ascii="Calibri" w:eastAsia="Times New Roman" w:hAnsi="Calibri" w:cs="Times New Roman"/>
          <w:color w:val="000000"/>
          <w:lang w:eastAsia="lv-LV"/>
        </w:rPr>
        <w:t>  GRETA aicina Latvijas iestādes noslēgt neatkarīgā ziņotāja izveidošanas procesu vai deleģēt citu jau pastāvošu neatkarīgu mehānismu, lai nodrošinātu efektīvu valsts institūciju cilvēku tirdzniecības apkarošanas darbību uzraudzību un priekšlikumu sniegšanu attiecīgām personām un iestādēm (sk. Konvencijas 29. panta 4. punktu un paskaidrojuma ziņojuma 298. punktu).</w:t>
      </w:r>
    </w:p>
    <w:p w:rsidR="0062223B" w:rsidRPr="0062223B" w:rsidRDefault="0062223B" w:rsidP="0062223B">
      <w:pPr>
        <w:spacing w:before="240" w:after="240" w:line="240" w:lineRule="auto"/>
        <w:ind w:left="72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Tā kā pašreiz vēl nav iecelts neatkarīgais ziņotājs, GRETA uzskata, ka Latvijai ir jānodrošina ārējs un neatkarīgs Cilvēku tirdzniecības novēršanas plāna 2021. – 2023. gadam novērtējums.</w:t>
      </w:r>
    </w:p>
    <w:p w:rsidR="0062223B" w:rsidRPr="0062223B" w:rsidRDefault="0062223B" w:rsidP="0062223B">
      <w:pPr>
        <w:spacing w:before="240" w:after="240" w:line="240" w:lineRule="auto"/>
        <w:ind w:left="72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GRETA uzskata, ka Latvijai ir jānodrošina, ka Cilvēku tirdzniecības novēršanas plāna 2021. – 2023. gadam īstenošana tiek atbalstīta ar atbilstošu un šim mērķim paredzētu finansējumu.</w:t>
      </w:r>
    </w:p>
    <w:p w:rsidR="0062223B" w:rsidRPr="0062223B" w:rsidRDefault="0062223B" w:rsidP="0062223B">
      <w:pPr>
        <w:spacing w:before="240" w:after="240" w:line="240" w:lineRule="auto"/>
        <w:jc w:val="both"/>
        <w:rPr>
          <w:rFonts w:ascii="Calibri" w:eastAsia="Times New Roman" w:hAnsi="Calibri" w:cs="Times New Roman"/>
          <w:b/>
          <w:bCs/>
          <w:lang w:eastAsia="lv-LV"/>
        </w:rPr>
      </w:pPr>
      <w:r w:rsidRPr="0062223B">
        <w:rPr>
          <w:rFonts w:ascii="Calibri" w:eastAsia="Times New Roman" w:hAnsi="Calibri" w:cs="Times New Roman"/>
          <w:b/>
          <w:bCs/>
          <w:color w:val="000000"/>
          <w:lang w:eastAsia="lv-LV"/>
        </w:rPr>
        <w:t>Pasākumi, lai novērstu un apkarotu cilvēku tirdzniecību darbaspēka ekspluatācijas nolūkā</w:t>
      </w:r>
    </w:p>
    <w:p w:rsidR="0062223B" w:rsidRPr="0062223B" w:rsidRDefault="0062223B" w:rsidP="0062223B">
      <w:pPr>
        <w:spacing w:before="240" w:after="240" w:line="240" w:lineRule="auto"/>
        <w:ind w:left="72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Atzinīgi vērtējot pasākumus, kas Latvijā veikti kopš otrās kārtas novērtējuma, lai novērstu un atklātu cilvēku tirdzniecību darbaspēka ekspluatācijas nolūkā, GRETA uzskata, ka Latvijas iestādēm šis darbs ir jāturpina, tostarp:</w:t>
      </w:r>
    </w:p>
    <w:p w:rsidR="0062223B" w:rsidRPr="0062223B" w:rsidRDefault="0062223B" w:rsidP="0062223B">
      <w:pPr>
        <w:spacing w:before="240" w:after="240" w:line="240" w:lineRule="auto"/>
        <w:ind w:left="108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jāstiprina Valsts darba inspekcijas cilvēkresursus, lai pilnveidotu cilvēku tirdzniecības novēršanu un atklāšanu. Tostarp ir jāstrādā ar faktoriem, kas izraisa lielu personāla mainību Valsts darba inspekcijā;</w:t>
      </w:r>
    </w:p>
    <w:p w:rsidR="0062223B" w:rsidRPr="0062223B" w:rsidRDefault="0062223B" w:rsidP="0062223B">
      <w:pPr>
        <w:spacing w:before="240" w:after="240" w:line="240" w:lineRule="auto"/>
        <w:ind w:left="108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veicināt drošas ziņošanas procedūras ārvalstu darba ņēmējiem;</w:t>
      </w:r>
    </w:p>
    <w:p w:rsidR="0062223B" w:rsidRPr="0062223B" w:rsidRDefault="0062223B" w:rsidP="0062223B">
      <w:pPr>
        <w:spacing w:before="240" w:after="240" w:line="240" w:lineRule="auto"/>
        <w:ind w:firstLine="72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stiprināt darbā pieņemšanas un pagaidu darba komersantu uzraudzību;</w:t>
      </w:r>
    </w:p>
    <w:p w:rsidR="0062223B" w:rsidRPr="0062223B" w:rsidRDefault="0062223B" w:rsidP="0062223B">
      <w:pPr>
        <w:spacing w:before="240" w:after="240" w:line="240" w:lineRule="auto"/>
        <w:ind w:left="108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pārskatīt tiesisko regulējumu, lai novērstu to, ka ārvalstu darbā pieņemšanas komersanti veicina migrējošo darba ņēmēju ekspluatāciju;</w:t>
      </w:r>
    </w:p>
    <w:p w:rsidR="0062223B" w:rsidRPr="0062223B" w:rsidRDefault="0062223B" w:rsidP="0062223B">
      <w:pPr>
        <w:spacing w:before="240" w:after="240" w:line="240" w:lineRule="auto"/>
        <w:ind w:left="108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izstrādāt vadlīnijas profesionāļiem, lai stiprinātu cilvēku tirdzniecības atklāšanu un izmeklēšanu;</w:t>
      </w:r>
    </w:p>
    <w:p w:rsidR="0062223B" w:rsidRPr="0062223B" w:rsidRDefault="0062223B" w:rsidP="0062223B">
      <w:pPr>
        <w:spacing w:before="240" w:after="240" w:line="240" w:lineRule="auto"/>
        <w:ind w:left="108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turpināt attīstīt sadarbību ar arodbiedrībām cilvēku tirdzniecības darbaspēka ekspluatācijas nolūkā novēršanai;</w:t>
      </w:r>
    </w:p>
    <w:p w:rsidR="0062223B" w:rsidRPr="0062223B" w:rsidRDefault="0062223B" w:rsidP="0062223B">
      <w:pPr>
        <w:spacing w:before="240" w:after="240" w:line="240" w:lineRule="auto"/>
        <w:ind w:left="108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veicināt regulāras un koordinētas vairāku iestāžu kontroles pasākumus un ciešāku sadarbību starp attiecīgajām iestādēm, lai stiprinātu cilvēku tirdzniecības upuru identificēšanu darbavietās un šo nodarījumu izmeklēšanu.</w:t>
      </w:r>
    </w:p>
    <w:p w:rsidR="0062223B" w:rsidRPr="0062223B" w:rsidRDefault="0062223B" w:rsidP="0062223B">
      <w:pPr>
        <w:spacing w:before="240" w:after="280" w:line="240" w:lineRule="auto"/>
        <w:jc w:val="both"/>
        <w:rPr>
          <w:rFonts w:ascii="Calibri" w:eastAsia="Times New Roman" w:hAnsi="Calibri" w:cs="Times New Roman"/>
          <w:b/>
          <w:bCs/>
          <w:lang w:eastAsia="lv-LV"/>
        </w:rPr>
      </w:pPr>
      <w:r w:rsidRPr="0062223B">
        <w:rPr>
          <w:rFonts w:ascii="Calibri" w:eastAsia="Times New Roman" w:hAnsi="Calibri" w:cs="Times New Roman"/>
          <w:b/>
          <w:bCs/>
          <w:color w:val="000000"/>
          <w:lang w:eastAsia="lv-LV"/>
        </w:rPr>
        <w:t>Pasākumi pieprasījuma mazināšanai</w:t>
      </w:r>
    </w:p>
    <w:p w:rsidR="0062223B" w:rsidRPr="0062223B" w:rsidRDefault="0062223B" w:rsidP="0062223B">
      <w:pPr>
        <w:spacing w:after="280" w:line="240" w:lineRule="auto"/>
        <w:ind w:left="74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Atzīmējot pasākumus, kas veikti kopš otrās novērtējuma kārtas, lai mazinātu pieprasījumu pēc cilvēku tirdzniecībā cietušo personu pakalpojumiem, GRETA uzskata, ka Latvijas iestādēm sadarbībā ar pilsonisko sabiedrību, arodbiedrībām un privāto sektoru jāturpina centieni mazināt pieprasījumu pēc cilvēku tirdzniecībā cietušo personu pakalpojumiem. To var īstenot  ar dažādiem normatīva regulējuma, administrācijas, izglītības, sociālos un kultūras pasākumiem, tādā veidā mazinātu pieprasījumu, kas veicina visu veidu ekspluatāciju, kuras rezultātā notiek cilvēku tirdzniecība.</w:t>
      </w:r>
    </w:p>
    <w:p w:rsidR="0062223B" w:rsidRPr="0062223B" w:rsidRDefault="0062223B" w:rsidP="0062223B">
      <w:pPr>
        <w:spacing w:before="240" w:after="280" w:line="240" w:lineRule="auto"/>
        <w:jc w:val="both"/>
        <w:rPr>
          <w:rFonts w:ascii="Calibri" w:eastAsia="Times New Roman" w:hAnsi="Calibri" w:cs="Times New Roman"/>
          <w:b/>
          <w:bCs/>
          <w:lang w:eastAsia="lv-LV"/>
        </w:rPr>
      </w:pPr>
      <w:r w:rsidRPr="0062223B">
        <w:rPr>
          <w:rFonts w:ascii="Calibri" w:eastAsia="Times New Roman" w:hAnsi="Calibri" w:cs="Times New Roman"/>
          <w:b/>
          <w:bCs/>
          <w:color w:val="000000"/>
          <w:lang w:eastAsia="lv-LV"/>
        </w:rPr>
        <w:t>Sociālās un ekonomiskās iniciatīvas pret cilvēku tirdzniecību neaizsargātām grupām</w:t>
      </w:r>
    </w:p>
    <w:p w:rsidR="0062223B" w:rsidRPr="0062223B" w:rsidRDefault="0062223B" w:rsidP="0062223B">
      <w:pPr>
        <w:spacing w:after="280" w:line="240" w:lineRule="auto"/>
        <w:ind w:left="74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xml:space="preserve">&gt;  GRETA uzskata, ka Latvijai ir jāturpina ieguldīt sociālajos, ekonomiskajos un citos pasākumos, </w:t>
      </w:r>
      <w:proofErr w:type="spellStart"/>
      <w:r w:rsidRPr="0062223B">
        <w:rPr>
          <w:rFonts w:ascii="Calibri" w:eastAsia="Times New Roman" w:hAnsi="Calibri" w:cs="Times New Roman"/>
          <w:color w:val="000000"/>
          <w:lang w:eastAsia="lv-LV"/>
        </w:rPr>
        <w:t>mazaizsargātām</w:t>
      </w:r>
      <w:proofErr w:type="spellEnd"/>
      <w:r w:rsidRPr="0062223B">
        <w:rPr>
          <w:rFonts w:ascii="Calibri" w:eastAsia="Times New Roman" w:hAnsi="Calibri" w:cs="Times New Roman"/>
          <w:color w:val="000000"/>
          <w:lang w:eastAsia="lv-LV"/>
        </w:rPr>
        <w:t xml:space="preserve"> grupām, kas ir pakļautas riskam iekļūtu cilvēku tirdzniecībā. Jāturpina </w:t>
      </w:r>
      <w:r w:rsidRPr="0062223B">
        <w:rPr>
          <w:rFonts w:ascii="Calibri" w:eastAsia="Times New Roman" w:hAnsi="Calibri" w:cs="Times New Roman"/>
          <w:color w:val="000000"/>
          <w:lang w:eastAsia="lv-LV"/>
        </w:rPr>
        <w:lastRenderedPageBreak/>
        <w:t>centieni veicināt dzimumu līdztiesību, apkarojot dzimumu stereotipus un ar dzimumu saistītu vardarbību. Jāatbalsta īpaša politika sieviešu un meiteņu iespēju paplašināšanai, kas vienlaikus ir līdzeklis cilvēku tirdzniecības pamatcēloņu apkarošanai.</w:t>
      </w:r>
    </w:p>
    <w:p w:rsidR="0062223B" w:rsidRPr="0062223B" w:rsidRDefault="0062223B" w:rsidP="0062223B">
      <w:pPr>
        <w:spacing w:before="240" w:after="280" w:line="240" w:lineRule="auto"/>
        <w:jc w:val="both"/>
        <w:rPr>
          <w:rFonts w:ascii="Calibri" w:eastAsia="Times New Roman" w:hAnsi="Calibri" w:cs="Times New Roman"/>
          <w:b/>
          <w:bCs/>
          <w:lang w:eastAsia="lv-LV"/>
        </w:rPr>
      </w:pPr>
      <w:r w:rsidRPr="0062223B">
        <w:rPr>
          <w:rFonts w:ascii="Calibri" w:eastAsia="Times New Roman" w:hAnsi="Calibri" w:cs="Times New Roman"/>
          <w:b/>
          <w:bCs/>
          <w:color w:val="000000"/>
          <w:lang w:eastAsia="lv-LV"/>
        </w:rPr>
        <w:t>Cilvēku tirdzniecības upuru identifikācija</w:t>
      </w:r>
    </w:p>
    <w:p w:rsidR="0062223B" w:rsidRPr="0062223B" w:rsidRDefault="0062223B" w:rsidP="0062223B">
      <w:pPr>
        <w:spacing w:after="280" w:line="240" w:lineRule="auto"/>
        <w:ind w:left="74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xml:space="preserve">&gt;  GRETA atzinīgi vērtē starpdisciplināras komisijas izveidi cilvēku tirdzniecības gadījumu identifikācijai. Šajā komisijā tiek identificēti neaizsargāti patvēruma meklētāji un cilvēku tirdzniecības upuri, kā arī tiek īstenota uz vajadzībām balstītu palīdzība. Tomēr GRETA uzskata, ka Latvijai jāpieņem noteikumi vai norādījumi par procedūrām patvēruma meklētāju, nelikumīgo migrantu </w:t>
      </w:r>
      <w:proofErr w:type="spellStart"/>
      <w:r w:rsidRPr="0062223B">
        <w:rPr>
          <w:rFonts w:ascii="Calibri" w:eastAsia="Times New Roman" w:hAnsi="Calibri" w:cs="Times New Roman"/>
          <w:color w:val="000000"/>
          <w:lang w:eastAsia="lv-LV"/>
        </w:rPr>
        <w:t>skrīningu</w:t>
      </w:r>
      <w:proofErr w:type="spellEnd"/>
      <w:r w:rsidRPr="0062223B">
        <w:rPr>
          <w:rFonts w:ascii="Calibri" w:eastAsia="Times New Roman" w:hAnsi="Calibri" w:cs="Times New Roman"/>
          <w:color w:val="000000"/>
          <w:lang w:eastAsia="lv-LV"/>
        </w:rPr>
        <w:t xml:space="preserve"> attiecībā uz cilvēku tirdzniecības gadījumu konstatāciju. Šajās vadlīnijās vai norādēs jābūt skaidri noteiktai cilvēku tirdzniecības upuru novirzīšanas rīcībai, tai skaitā ātrai izņemšanai no ārzemnieku aizturēšanas vietām. Tāpat ir jānodrošina pakalpojums, kas atbilst upuru vajadzībām;</w:t>
      </w:r>
    </w:p>
    <w:p w:rsidR="0062223B" w:rsidRPr="0062223B" w:rsidRDefault="0062223B" w:rsidP="0062223B">
      <w:pPr>
        <w:spacing w:after="280" w:line="240" w:lineRule="auto"/>
        <w:ind w:left="74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Turklāt GRETA uzskata, ka ir jāturpina regulāras apmācības par cilvēku tirdzniecības upuru konstatāciju nelikumīgās migrācijas un patvēruma procedūras laikā. Praktiskās apmācības ir jānodrošina Valsts robežsardzes, Valsts policijas un Pilsonības un migrācijas lietu pārvaldes amatpersonām.</w:t>
      </w:r>
    </w:p>
    <w:p w:rsidR="0062223B" w:rsidRPr="0062223B" w:rsidRDefault="0062223B" w:rsidP="0062223B">
      <w:pPr>
        <w:spacing w:before="240" w:after="280" w:line="240" w:lineRule="auto"/>
        <w:jc w:val="both"/>
        <w:rPr>
          <w:rFonts w:ascii="Calibri" w:eastAsia="Times New Roman" w:hAnsi="Calibri" w:cs="Times New Roman"/>
          <w:b/>
          <w:bCs/>
          <w:lang w:eastAsia="lv-LV"/>
        </w:rPr>
      </w:pPr>
      <w:r w:rsidRPr="0062223B">
        <w:rPr>
          <w:rFonts w:ascii="Calibri" w:eastAsia="Times New Roman" w:hAnsi="Calibri" w:cs="Times New Roman"/>
          <w:b/>
          <w:bCs/>
          <w:color w:val="000000"/>
          <w:lang w:eastAsia="lv-LV"/>
        </w:rPr>
        <w:t>Atbalsts upuriem</w:t>
      </w:r>
    </w:p>
    <w:p w:rsidR="0062223B" w:rsidRPr="0062223B" w:rsidRDefault="0062223B" w:rsidP="0062223B">
      <w:pPr>
        <w:spacing w:after="280" w:line="240" w:lineRule="auto"/>
        <w:ind w:left="74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GRETA uzsver Latvijas pienākumu izveidot palīdzības sistēmu, pamatojoties uz cilvēku tirdzniecības upuru faktisko vajadzību novērtējumu. Lai to panāktu, GRETA aicina Latviju:</w:t>
      </w:r>
    </w:p>
    <w:p w:rsidR="0062223B" w:rsidRPr="0062223B" w:rsidRDefault="0062223B" w:rsidP="0062223B">
      <w:pPr>
        <w:spacing w:after="280" w:line="240" w:lineRule="auto"/>
        <w:ind w:left="110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nodrošināt, ka finansējums, kas paredzēts valsts finansētai palīdzībai cilvēku tirdzniecības upuriem, ir pietiekams, lai apmierinātu visu identificēto cietušo vajadzības, tostarp piemērotu un drošu izmitināšanu, un ļautu sniegt palīdzību tik ilgi, cik nepieciešams, lai panāktu viņu atveseļošanos;</w:t>
      </w:r>
    </w:p>
    <w:p w:rsidR="0062223B" w:rsidRPr="0062223B" w:rsidRDefault="0062223B" w:rsidP="0062223B">
      <w:pPr>
        <w:spacing w:after="280" w:line="240" w:lineRule="auto"/>
        <w:ind w:left="110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       izstrādāt grozījumus tiesību aktos un noteikumus, kas nodrošinātu cilvēku tirdzniecības upuru reintegrācijas pakalpojumu/programmu finansēšanai, pamatojoties uz viņu vajadzībām;</w:t>
      </w:r>
    </w:p>
    <w:p w:rsidR="0062223B" w:rsidRPr="0062223B" w:rsidRDefault="0062223B" w:rsidP="0062223B">
      <w:pPr>
        <w:spacing w:before="240" w:after="280" w:line="240" w:lineRule="auto"/>
        <w:jc w:val="both"/>
        <w:rPr>
          <w:rFonts w:ascii="Calibri" w:eastAsia="Times New Roman" w:hAnsi="Calibri" w:cs="Times New Roman"/>
          <w:b/>
          <w:bCs/>
          <w:lang w:eastAsia="lv-LV"/>
        </w:rPr>
      </w:pPr>
      <w:r w:rsidRPr="0062223B">
        <w:rPr>
          <w:rFonts w:ascii="Calibri" w:eastAsia="Times New Roman" w:hAnsi="Calibri" w:cs="Times New Roman"/>
          <w:b/>
          <w:bCs/>
          <w:color w:val="000000"/>
          <w:lang w:eastAsia="lv-LV"/>
        </w:rPr>
        <w:t>Bērnu tirdzniecības novēršana un no cilvēku tirdzniecības cietušo bērnu identificēšana un palīdzība</w:t>
      </w:r>
    </w:p>
    <w:p w:rsidR="0062223B" w:rsidRPr="0062223B" w:rsidRDefault="0062223B" w:rsidP="0062223B">
      <w:pPr>
        <w:spacing w:after="280" w:line="240" w:lineRule="auto"/>
        <w:ind w:left="74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GRETA vēlreiz aicina Latviju atcelt imigrācijas aizturēšanu nepavadītiem un nošķirtiem nepilngadīgajiem un pieņemt saistošus protokolus cilvēku tirdzniecībā cietušo identificēšanai;</w:t>
      </w:r>
    </w:p>
    <w:p w:rsidR="0062223B" w:rsidRPr="0062223B" w:rsidRDefault="0062223B" w:rsidP="0062223B">
      <w:pPr>
        <w:spacing w:after="300" w:line="240" w:lineRule="auto"/>
        <w:ind w:left="72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Turklāt GRETA uzskata, ka Latvijai jāievieš stabila bērnu aizsardzības sistēma, kas ļautu identificēt cilvēku tirdzniecības pazīmes to bērnu vidū, kuriem ir uzvedības problēmas, un bērniem, kuri atrodas aprūpes iestādē;</w:t>
      </w:r>
    </w:p>
    <w:p w:rsidR="0062223B" w:rsidRPr="0062223B" w:rsidRDefault="0062223B" w:rsidP="0062223B">
      <w:pPr>
        <w:spacing w:before="240" w:after="300" w:line="240" w:lineRule="auto"/>
        <w:jc w:val="both"/>
        <w:rPr>
          <w:rFonts w:ascii="Calibri" w:eastAsia="Times New Roman" w:hAnsi="Calibri" w:cs="Times New Roman"/>
          <w:b/>
          <w:bCs/>
          <w:lang w:eastAsia="lv-LV"/>
        </w:rPr>
      </w:pPr>
      <w:r w:rsidRPr="0062223B">
        <w:rPr>
          <w:rFonts w:ascii="Calibri" w:eastAsia="Times New Roman" w:hAnsi="Calibri" w:cs="Times New Roman"/>
          <w:b/>
          <w:bCs/>
          <w:color w:val="000000"/>
          <w:lang w:eastAsia="lv-LV"/>
        </w:rPr>
        <w:t>Atveseļošanās un pārdomu periods</w:t>
      </w:r>
    </w:p>
    <w:p w:rsidR="0062223B" w:rsidRPr="0062223B" w:rsidRDefault="0062223B" w:rsidP="0062223B">
      <w:pPr>
        <w:spacing w:after="300" w:line="240" w:lineRule="auto"/>
        <w:ind w:left="720" w:hanging="360"/>
        <w:jc w:val="both"/>
        <w:rPr>
          <w:rFonts w:ascii="Calibri" w:eastAsia="Times New Roman" w:hAnsi="Calibri" w:cs="Times New Roman"/>
          <w:lang w:eastAsia="lv-LV"/>
        </w:rPr>
      </w:pPr>
      <w:r w:rsidRPr="0062223B">
        <w:rPr>
          <w:rFonts w:ascii="Calibri" w:eastAsia="Times New Roman" w:hAnsi="Calibri" w:cs="Times New Roman"/>
          <w:color w:val="000000"/>
          <w:lang w:eastAsia="lv-LV"/>
        </w:rPr>
        <w:t>&gt;  GRETA mudina Latviju pārskatīt tiesību normas par nogaidīšanas periodu, lai ievērotu Konvencijas 13. pantu, nodrošinot, ka visiem iespējamiem cilvēku tirdzniecības upuriem, tostarp ES un EEZ pilsoņiem, šajā laikposmā tiek efektīvi piedāvāti visi aizsardzības un palīdzības pasākumi, kas paredzēti Konvencijas 12. panta 1. un 2. punktā.</w:t>
      </w:r>
    </w:p>
    <w:p w:rsidR="0062223B" w:rsidRDefault="0062223B" w:rsidP="0062223B">
      <w:pPr>
        <w:spacing w:before="240" w:after="240" w:line="240" w:lineRule="auto"/>
        <w:jc w:val="both"/>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lastRenderedPageBreak/>
        <w:t>Palielināt valsts mēroga centienus izmeklēt cilvēku tirdzniecības noziegumus, kā arī saukt pie atbildības un notiesāt cilvēku tirgotājus saskaņā ar cilvēku tirdzniecības pantu (Krimināllikuma 154.1 pants), nevis par noziegumiem ar mazāk bargiem sodiem.</w:t>
      </w:r>
    </w:p>
    <w:p w:rsidR="0062223B" w:rsidRPr="0062223B" w:rsidRDefault="0062223B" w:rsidP="0062223B">
      <w:pPr>
        <w:spacing w:before="240" w:after="240" w:line="240" w:lineRule="auto"/>
        <w:jc w:val="both"/>
        <w:rPr>
          <w:rFonts w:ascii="Calibri" w:eastAsia="Times New Roman" w:hAnsi="Calibri" w:cs="Times New Roman"/>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0"/>
        <w:gridCol w:w="5976"/>
      </w:tblGrid>
      <w:tr w:rsidR="0062223B" w:rsidTr="00B703D7">
        <w:tc>
          <w:tcPr>
            <w:tcW w:w="1980" w:type="dxa"/>
          </w:tcPr>
          <w:p w:rsidR="0062223B" w:rsidRDefault="00B703D7" w:rsidP="0062223B">
            <w:pPr>
              <w:spacing w:before="240" w:after="240"/>
              <w:jc w:val="both"/>
              <w:rPr>
                <w:rFonts w:ascii="Calibri" w:eastAsia="Times New Roman" w:hAnsi="Calibri" w:cs="Times New Roman"/>
                <w:b/>
                <w:bCs/>
                <w:color w:val="000000"/>
                <w:lang w:eastAsia="lv-LV"/>
              </w:rPr>
            </w:pPr>
            <w:r>
              <w:rPr>
                <w:rFonts w:ascii="Calibri" w:eastAsia="Times New Roman" w:hAnsi="Calibri" w:cs="Times New Roman"/>
                <w:b/>
                <w:bCs/>
                <w:noProof/>
                <w:color w:val="000000"/>
                <w:lang w:eastAsia="lv-LV"/>
              </w:rPr>
              <w:drawing>
                <wp:inline distT="0" distB="0" distL="0" distR="0" wp14:anchorId="7C4EF8EA">
                  <wp:extent cx="1800000" cy="1080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000" cy="1080000"/>
                          </a:xfrm>
                          <a:prstGeom prst="rect">
                            <a:avLst/>
                          </a:prstGeom>
                          <a:noFill/>
                        </pic:spPr>
                      </pic:pic>
                    </a:graphicData>
                  </a:graphic>
                </wp:inline>
              </w:drawing>
            </w:r>
          </w:p>
        </w:tc>
        <w:tc>
          <w:tcPr>
            <w:tcW w:w="7036" w:type="dxa"/>
          </w:tcPr>
          <w:p w:rsidR="0062223B" w:rsidRPr="00B703D7" w:rsidRDefault="0062223B" w:rsidP="0062223B">
            <w:pPr>
              <w:spacing w:before="240" w:after="240"/>
              <w:jc w:val="both"/>
              <w:rPr>
                <w:rFonts w:ascii="Calibri" w:eastAsia="Times New Roman" w:hAnsi="Calibri" w:cs="Times New Roman"/>
                <w:sz w:val="24"/>
                <w:szCs w:val="24"/>
                <w:lang w:eastAsia="lv-LV"/>
              </w:rPr>
            </w:pPr>
            <w:r w:rsidRPr="0062223B">
              <w:rPr>
                <w:rFonts w:ascii="Calibri" w:eastAsia="Times New Roman" w:hAnsi="Calibri" w:cs="Times New Roman"/>
                <w:b/>
                <w:bCs/>
                <w:color w:val="000000"/>
                <w:sz w:val="24"/>
                <w:szCs w:val="24"/>
                <w:lang w:eastAsia="lv-LV"/>
              </w:rPr>
              <w:t>ASV Valsts departamenta 2024. gada ziņojumā par cilvēku tirdzniecību Latvijā izteiktās rekomendācijas</w:t>
            </w:r>
          </w:p>
        </w:tc>
      </w:tr>
    </w:tbl>
    <w:p w:rsidR="0062223B" w:rsidRPr="0062223B" w:rsidRDefault="0062223B" w:rsidP="0062223B">
      <w:pPr>
        <w:spacing w:before="240" w:after="240" w:line="240" w:lineRule="auto"/>
        <w:jc w:val="both"/>
        <w:rPr>
          <w:rFonts w:ascii="Calibri" w:eastAsia="Times New Roman" w:hAnsi="Calibri" w:cs="Times New Roman"/>
          <w:lang w:eastAsia="lv-LV"/>
        </w:rPr>
      </w:pPr>
      <w:r w:rsidRPr="0062223B">
        <w:rPr>
          <w:rFonts w:ascii="Calibri" w:eastAsia="Times New Roman" w:hAnsi="Calibri" w:cs="Times New Roman"/>
          <w:b/>
          <w:bCs/>
          <w:color w:val="000000"/>
          <w:lang w:eastAsia="lv-LV"/>
        </w:rPr>
        <w:t xml:space="preserve">Saite: </w:t>
      </w:r>
      <w:hyperlink r:id="rId12" w:history="1">
        <w:r w:rsidRPr="0062223B">
          <w:rPr>
            <w:rFonts w:ascii="Calibri" w:eastAsia="Times New Roman" w:hAnsi="Calibri" w:cs="Times New Roman"/>
            <w:b/>
            <w:bCs/>
            <w:color w:val="1155CC"/>
            <w:u w:val="single"/>
            <w:lang w:eastAsia="lv-LV"/>
          </w:rPr>
          <w:t>https://www.state.gov/reports/2024-trafficking-in-persons-report/latvia/</w:t>
        </w:r>
      </w:hyperlink>
      <w:r w:rsidRPr="0062223B">
        <w:rPr>
          <w:rFonts w:ascii="Calibri" w:eastAsia="Times New Roman" w:hAnsi="Calibri" w:cs="Times New Roman"/>
          <w:b/>
          <w:bCs/>
          <w:color w:val="000000"/>
          <w:lang w:eastAsia="lv-LV"/>
        </w:rPr>
        <w:t> </w:t>
      </w:r>
    </w:p>
    <w:p w:rsidR="0062223B" w:rsidRPr="0062223B" w:rsidRDefault="0062223B" w:rsidP="0062223B">
      <w:pPr>
        <w:numPr>
          <w:ilvl w:val="0"/>
          <w:numId w:val="2"/>
        </w:numPr>
        <w:spacing w:before="240" w:after="0" w:line="240" w:lineRule="auto"/>
        <w:jc w:val="both"/>
        <w:textAlignment w:val="baseline"/>
        <w:rPr>
          <w:rFonts w:ascii="Calibri" w:eastAsia="Times New Roman" w:hAnsi="Calibri" w:cs="Times New Roman"/>
          <w:color w:val="000000"/>
          <w:lang w:eastAsia="lv-LV"/>
        </w:rPr>
      </w:pPr>
      <w:proofErr w:type="spellStart"/>
      <w:r w:rsidRPr="0062223B">
        <w:rPr>
          <w:rFonts w:ascii="Calibri" w:eastAsia="Times New Roman" w:hAnsi="Calibri" w:cs="Times New Roman"/>
          <w:color w:val="000000"/>
          <w:lang w:eastAsia="lv-LV"/>
        </w:rPr>
        <w:t>Proaktīvi</w:t>
      </w:r>
      <w:proofErr w:type="spellEnd"/>
      <w:r w:rsidRPr="0062223B">
        <w:rPr>
          <w:rFonts w:ascii="Calibri" w:eastAsia="Times New Roman" w:hAnsi="Calibri" w:cs="Times New Roman"/>
          <w:color w:val="000000"/>
          <w:lang w:eastAsia="lv-LV"/>
        </w:rPr>
        <w:t xml:space="preserve"> identificēt cilvēku tirdzniecības upurus, īpaši bērnus institūcijās, kuri ir piespiesti iesaistīties komerciālajā seksā, un piespiedu darba upurus no neaizsargātām grupām un trešo valstu </w:t>
      </w:r>
      <w:proofErr w:type="spellStart"/>
      <w:r w:rsidRPr="0062223B">
        <w:rPr>
          <w:rFonts w:ascii="Calibri" w:eastAsia="Times New Roman" w:hAnsi="Calibri" w:cs="Times New Roman"/>
          <w:color w:val="000000"/>
          <w:lang w:eastAsia="lv-LV"/>
        </w:rPr>
        <w:t>valstspiederīgo</w:t>
      </w:r>
      <w:proofErr w:type="spellEnd"/>
      <w:r w:rsidRPr="0062223B">
        <w:rPr>
          <w:rFonts w:ascii="Calibri" w:eastAsia="Times New Roman" w:hAnsi="Calibri" w:cs="Times New Roman"/>
          <w:color w:val="000000"/>
          <w:lang w:eastAsia="lv-LV"/>
        </w:rPr>
        <w:t xml:space="preserve"> vidū visā valstī.</w:t>
      </w:r>
    </w:p>
    <w:p w:rsidR="0062223B" w:rsidRPr="0062223B" w:rsidRDefault="0062223B" w:rsidP="0062223B">
      <w:pPr>
        <w:numPr>
          <w:ilvl w:val="0"/>
          <w:numId w:val="2"/>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Izstrādāt un ieviest nacionālo novirzīšanas mehānismu, kas ietvertu vadlīnijas identificēšanai, novirzīšanai un informācijas apmaiņai starp iesaistītajām pusēm.</w:t>
      </w:r>
    </w:p>
    <w:p w:rsidR="0062223B" w:rsidRPr="0062223B" w:rsidRDefault="0062223B" w:rsidP="0062223B">
      <w:pPr>
        <w:numPr>
          <w:ilvl w:val="0"/>
          <w:numId w:val="2"/>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Nodrošināt, ka visi upuri ir informēti par savām tiesībām, pieejamajiem pakalpojumiem, formālas identificēšanas par cilvēku tirdzniecības upuriem sekām un iespējām saņemt valsts aizsardzību.</w:t>
      </w:r>
    </w:p>
    <w:p w:rsidR="0062223B" w:rsidRPr="0062223B" w:rsidRDefault="0062223B" w:rsidP="0062223B">
      <w:pPr>
        <w:numPr>
          <w:ilvl w:val="0"/>
          <w:numId w:val="2"/>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Palielināt pret</w:t>
      </w:r>
      <w:r>
        <w:rPr>
          <w:rFonts w:ascii="Calibri" w:eastAsia="Times New Roman" w:hAnsi="Calibri" w:cs="Times New Roman"/>
          <w:color w:val="000000"/>
          <w:lang w:eastAsia="lv-LV"/>
        </w:rPr>
        <w:t xml:space="preserve"> </w:t>
      </w:r>
      <w:r w:rsidRPr="0062223B">
        <w:rPr>
          <w:rFonts w:ascii="Calibri" w:eastAsia="Times New Roman" w:hAnsi="Calibri" w:cs="Times New Roman"/>
          <w:color w:val="000000"/>
          <w:lang w:eastAsia="lv-LV"/>
        </w:rPr>
        <w:t>cilvēk</w:t>
      </w:r>
      <w:r>
        <w:rPr>
          <w:rFonts w:ascii="Calibri" w:eastAsia="Times New Roman" w:hAnsi="Calibri" w:cs="Times New Roman"/>
          <w:color w:val="000000"/>
          <w:lang w:eastAsia="lv-LV"/>
        </w:rPr>
        <w:t xml:space="preserve">u </w:t>
      </w:r>
      <w:r w:rsidRPr="0062223B">
        <w:rPr>
          <w:rFonts w:ascii="Calibri" w:eastAsia="Times New Roman" w:hAnsi="Calibri" w:cs="Times New Roman"/>
          <w:color w:val="000000"/>
          <w:lang w:eastAsia="lv-LV"/>
        </w:rPr>
        <w:t xml:space="preserve">tirdzniecības apmācību </w:t>
      </w:r>
      <w:proofErr w:type="spellStart"/>
      <w:r w:rsidRPr="0062223B">
        <w:rPr>
          <w:rFonts w:ascii="Calibri" w:eastAsia="Times New Roman" w:hAnsi="Calibri" w:cs="Times New Roman"/>
          <w:color w:val="000000"/>
          <w:lang w:eastAsia="lv-LV"/>
        </w:rPr>
        <w:t>tiesībsargājošajām</w:t>
      </w:r>
      <w:proofErr w:type="spellEnd"/>
      <w:r w:rsidRPr="0062223B">
        <w:rPr>
          <w:rFonts w:ascii="Calibri" w:eastAsia="Times New Roman" w:hAnsi="Calibri" w:cs="Times New Roman"/>
          <w:color w:val="000000"/>
          <w:lang w:eastAsia="lv-LV"/>
        </w:rPr>
        <w:t xml:space="preserve"> iestādēm, īpaši reģionālajiem policijas darbiniekiem, par darbu ar upuriem, pierādījumu vākšanu un visu cilvēku tirdzniecības veidu un psiholoģiskās piespiešanas izpratni.</w:t>
      </w:r>
    </w:p>
    <w:p w:rsidR="0062223B" w:rsidRPr="0062223B" w:rsidRDefault="0062223B" w:rsidP="0062223B">
      <w:pPr>
        <w:numPr>
          <w:ilvl w:val="0"/>
          <w:numId w:val="2"/>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Paplašināt normatīvo regulējumu, lai visi potenciālie ārvalstu upuri, neatkarīgi no tā, vai iestādes tos klasificē kā formāli identificētus cilvēku tirdzniecības upurus, varētu pietiekami ilgi uzturēties valstī, lai apsvērtu iespēju palīdzēt iestādēm kriminālprocesos.</w:t>
      </w:r>
    </w:p>
    <w:p w:rsidR="0062223B" w:rsidRPr="0062223B" w:rsidRDefault="0062223B" w:rsidP="0062223B">
      <w:pPr>
        <w:numPr>
          <w:ilvl w:val="0"/>
          <w:numId w:val="2"/>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Paplašināt centienus izglītot tiesvedībā iesaistītās amatpersonas, īpaši prokurorus un tiesnešus, par visiem cilvēku tirdzniecības veidiem un pret</w:t>
      </w:r>
      <w:r>
        <w:rPr>
          <w:rFonts w:ascii="Calibri" w:eastAsia="Times New Roman" w:hAnsi="Calibri" w:cs="Times New Roman"/>
          <w:color w:val="000000"/>
          <w:lang w:eastAsia="lv-LV"/>
        </w:rPr>
        <w:t xml:space="preserve"> </w:t>
      </w:r>
      <w:r w:rsidRPr="0062223B">
        <w:rPr>
          <w:rFonts w:ascii="Calibri" w:eastAsia="Times New Roman" w:hAnsi="Calibri" w:cs="Times New Roman"/>
          <w:color w:val="000000"/>
          <w:lang w:eastAsia="lv-LV"/>
        </w:rPr>
        <w:t>cilvēk</w:t>
      </w:r>
      <w:r>
        <w:rPr>
          <w:rFonts w:ascii="Calibri" w:eastAsia="Times New Roman" w:hAnsi="Calibri" w:cs="Times New Roman"/>
          <w:color w:val="000000"/>
          <w:lang w:eastAsia="lv-LV"/>
        </w:rPr>
        <w:t xml:space="preserve">u </w:t>
      </w:r>
      <w:r w:rsidRPr="0062223B">
        <w:rPr>
          <w:rFonts w:ascii="Calibri" w:eastAsia="Times New Roman" w:hAnsi="Calibri" w:cs="Times New Roman"/>
          <w:color w:val="000000"/>
          <w:lang w:eastAsia="lv-LV"/>
        </w:rPr>
        <w:t>tirdzniecības likumu piemērošanu.</w:t>
      </w:r>
    </w:p>
    <w:p w:rsidR="0062223B" w:rsidRPr="0062223B" w:rsidRDefault="0062223B" w:rsidP="0062223B">
      <w:pPr>
        <w:numPr>
          <w:ilvl w:val="0"/>
          <w:numId w:val="2"/>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Palielināt tiesībaizsardzības personāla skaitu, kas ir apmācīts efektīvi izmeklēt cilvēku tirdzniecības lietas.</w:t>
      </w:r>
    </w:p>
    <w:p w:rsidR="0062223B" w:rsidRPr="0062223B" w:rsidRDefault="0062223B" w:rsidP="0062223B">
      <w:pPr>
        <w:numPr>
          <w:ilvl w:val="0"/>
          <w:numId w:val="2"/>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Nodrošināt vai atbalstīt NVO, kas sniedz ilgtermiņa palīdzību, piemēram, mājokli, upuriem pēc valsts finansētās palīdzības programmas beigām.</w:t>
      </w:r>
    </w:p>
    <w:p w:rsidR="0062223B" w:rsidRPr="0062223B" w:rsidRDefault="0062223B" w:rsidP="0062223B">
      <w:pPr>
        <w:numPr>
          <w:ilvl w:val="0"/>
          <w:numId w:val="2"/>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Izveidot pieejamu un efektīvu mehānismu kompensācijas pieprasīšanai un saņemšanai upuriem, kā arī apmācīt juridiskos speciālistus par tā izmantošanu.</w:t>
      </w:r>
    </w:p>
    <w:p w:rsidR="0062223B" w:rsidRDefault="0062223B" w:rsidP="0062223B">
      <w:pPr>
        <w:numPr>
          <w:ilvl w:val="0"/>
          <w:numId w:val="2"/>
        </w:numPr>
        <w:spacing w:after="24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Iecelt neatkarīgu nacionālo referentu, lai uzraudzītu un novērtētu pret</w:t>
      </w:r>
      <w:r>
        <w:rPr>
          <w:rFonts w:ascii="Calibri" w:eastAsia="Times New Roman" w:hAnsi="Calibri" w:cs="Times New Roman"/>
          <w:color w:val="000000"/>
          <w:lang w:eastAsia="lv-LV"/>
        </w:rPr>
        <w:t xml:space="preserve"> </w:t>
      </w:r>
      <w:r w:rsidRPr="0062223B">
        <w:rPr>
          <w:rFonts w:ascii="Calibri" w:eastAsia="Times New Roman" w:hAnsi="Calibri" w:cs="Times New Roman"/>
          <w:color w:val="000000"/>
          <w:lang w:eastAsia="lv-LV"/>
        </w:rPr>
        <w:t>cilvēk</w:t>
      </w:r>
      <w:r>
        <w:rPr>
          <w:rFonts w:ascii="Calibri" w:eastAsia="Times New Roman" w:hAnsi="Calibri" w:cs="Times New Roman"/>
          <w:color w:val="000000"/>
          <w:lang w:eastAsia="lv-LV"/>
        </w:rPr>
        <w:t xml:space="preserve">u </w:t>
      </w:r>
      <w:r w:rsidRPr="0062223B">
        <w:rPr>
          <w:rFonts w:ascii="Calibri" w:eastAsia="Times New Roman" w:hAnsi="Calibri" w:cs="Times New Roman"/>
          <w:color w:val="000000"/>
          <w:lang w:eastAsia="lv-LV"/>
        </w:rPr>
        <w:t>tirdzniecības darbības un politikas</w:t>
      </w:r>
      <w:r w:rsidR="00B703D7">
        <w:rPr>
          <w:rFonts w:ascii="Calibri" w:eastAsia="Times New Roman" w:hAnsi="Calibri" w:cs="Times New Roman"/>
          <w:color w:val="000000"/>
          <w:lang w:eastAsia="lv-LV"/>
        </w:rPr>
        <w:t>.</w:t>
      </w:r>
    </w:p>
    <w:p w:rsidR="00B703D7" w:rsidRDefault="00B703D7" w:rsidP="00B703D7">
      <w:pPr>
        <w:spacing w:after="240" w:line="240" w:lineRule="auto"/>
        <w:jc w:val="both"/>
        <w:textAlignment w:val="baseline"/>
        <w:rPr>
          <w:rFonts w:ascii="Calibri" w:eastAsia="Times New Roman" w:hAnsi="Calibri" w:cs="Times New Roman"/>
          <w:color w:val="000000"/>
          <w:lang w:eastAsia="lv-LV"/>
        </w:rPr>
      </w:pPr>
    </w:p>
    <w:p w:rsidR="00B703D7" w:rsidRDefault="00B703D7" w:rsidP="00B703D7">
      <w:pPr>
        <w:spacing w:after="240" w:line="240" w:lineRule="auto"/>
        <w:jc w:val="both"/>
        <w:textAlignment w:val="baseline"/>
        <w:rPr>
          <w:rFonts w:ascii="Calibri" w:eastAsia="Times New Roman" w:hAnsi="Calibri" w:cs="Times New Roman"/>
          <w:color w:val="000000"/>
          <w:lang w:eastAsia="lv-LV"/>
        </w:rPr>
      </w:pPr>
    </w:p>
    <w:p w:rsidR="00B703D7" w:rsidRPr="0062223B" w:rsidRDefault="00B703D7" w:rsidP="00B703D7">
      <w:pPr>
        <w:spacing w:after="240" w:line="240" w:lineRule="auto"/>
        <w:jc w:val="both"/>
        <w:textAlignment w:val="baseline"/>
        <w:rPr>
          <w:rFonts w:ascii="Calibri" w:eastAsia="Times New Roman" w:hAnsi="Calibri" w:cs="Times New Roman"/>
          <w:color w:val="000000"/>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B703D7" w:rsidTr="00B703D7">
        <w:tc>
          <w:tcPr>
            <w:tcW w:w="2405" w:type="dxa"/>
          </w:tcPr>
          <w:p w:rsidR="00B703D7" w:rsidRDefault="00B703D7" w:rsidP="0062223B">
            <w:pPr>
              <w:jc w:val="both"/>
              <w:rPr>
                <w:rFonts w:ascii="Calibri" w:eastAsia="Times New Roman" w:hAnsi="Calibri" w:cs="Times New Roman"/>
                <w:lang w:eastAsia="lv-LV"/>
              </w:rPr>
            </w:pPr>
            <w:r>
              <w:rPr>
                <w:rFonts w:ascii="Calibri" w:eastAsia="Times New Roman" w:hAnsi="Calibri" w:cs="Times New Roman"/>
                <w:noProof/>
                <w:lang w:eastAsia="lv-LV"/>
              </w:rPr>
              <w:lastRenderedPageBreak/>
              <w:drawing>
                <wp:inline distT="0" distB="0" distL="0" distR="0" wp14:anchorId="6167AC97">
                  <wp:extent cx="1295400" cy="7254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1123" cy="734229"/>
                          </a:xfrm>
                          <a:prstGeom prst="rect">
                            <a:avLst/>
                          </a:prstGeom>
                          <a:noFill/>
                        </pic:spPr>
                      </pic:pic>
                    </a:graphicData>
                  </a:graphic>
                </wp:inline>
              </w:drawing>
            </w:r>
          </w:p>
          <w:p w:rsidR="00B703D7" w:rsidRDefault="00B703D7" w:rsidP="0062223B">
            <w:pPr>
              <w:jc w:val="both"/>
              <w:rPr>
                <w:rFonts w:ascii="Calibri" w:eastAsia="Times New Roman" w:hAnsi="Calibri" w:cs="Times New Roman"/>
                <w:lang w:eastAsia="lv-LV"/>
              </w:rPr>
            </w:pPr>
          </w:p>
        </w:tc>
        <w:tc>
          <w:tcPr>
            <w:tcW w:w="6611" w:type="dxa"/>
          </w:tcPr>
          <w:p w:rsidR="00B703D7" w:rsidRPr="0062223B" w:rsidRDefault="00B703D7" w:rsidP="00B703D7">
            <w:pPr>
              <w:spacing w:before="240" w:after="240"/>
              <w:jc w:val="both"/>
              <w:rPr>
                <w:rFonts w:ascii="Calibri" w:eastAsia="Times New Roman" w:hAnsi="Calibri" w:cs="Times New Roman"/>
                <w:sz w:val="24"/>
                <w:szCs w:val="24"/>
                <w:lang w:eastAsia="lv-LV"/>
              </w:rPr>
            </w:pPr>
            <w:r w:rsidRPr="0062223B">
              <w:rPr>
                <w:rFonts w:ascii="Calibri" w:eastAsia="Times New Roman" w:hAnsi="Calibri" w:cs="Times New Roman"/>
                <w:b/>
                <w:bCs/>
                <w:color w:val="000000"/>
                <w:sz w:val="24"/>
                <w:szCs w:val="24"/>
                <w:lang w:eastAsia="lv-LV"/>
              </w:rPr>
              <w:t>EDSO Cilvēku tirdzniecības novēršanas speciālā pārstāvja koordinācijas biroja izteiktās rekomendācijas Latvijai</w:t>
            </w:r>
          </w:p>
          <w:p w:rsidR="00B703D7" w:rsidRDefault="00B703D7" w:rsidP="0062223B">
            <w:pPr>
              <w:jc w:val="both"/>
              <w:rPr>
                <w:rFonts w:ascii="Calibri" w:eastAsia="Times New Roman" w:hAnsi="Calibri" w:cs="Times New Roman"/>
                <w:lang w:eastAsia="lv-LV"/>
              </w:rPr>
            </w:pPr>
          </w:p>
        </w:tc>
      </w:tr>
    </w:tbl>
    <w:p w:rsidR="0062223B" w:rsidRPr="0062223B" w:rsidRDefault="0062223B" w:rsidP="0062223B">
      <w:pPr>
        <w:spacing w:before="240" w:after="240" w:line="240" w:lineRule="auto"/>
        <w:jc w:val="both"/>
        <w:rPr>
          <w:rFonts w:ascii="Calibri" w:eastAsia="Times New Roman" w:hAnsi="Calibri" w:cs="Times New Roman"/>
          <w:lang w:eastAsia="lv-LV"/>
        </w:rPr>
      </w:pPr>
      <w:r w:rsidRPr="0062223B">
        <w:rPr>
          <w:rFonts w:ascii="Calibri" w:eastAsia="Times New Roman" w:hAnsi="Calibri" w:cs="Times New Roman"/>
          <w:b/>
          <w:bCs/>
          <w:color w:val="000000"/>
          <w:lang w:eastAsia="lv-LV"/>
        </w:rPr>
        <w:t>EDSO Cilvēku tirdzniecības novēršanas speciālā pārstāvja koordinācijas biroja izteiktās rekomendācijas Latvijai</w:t>
      </w:r>
    </w:p>
    <w:p w:rsidR="0062223B" w:rsidRPr="0062223B" w:rsidRDefault="0062223B" w:rsidP="0062223B">
      <w:pPr>
        <w:spacing w:before="240" w:after="240" w:line="240" w:lineRule="auto"/>
        <w:jc w:val="both"/>
        <w:rPr>
          <w:rFonts w:ascii="Calibri" w:eastAsia="Times New Roman" w:hAnsi="Calibri" w:cs="Times New Roman"/>
          <w:lang w:eastAsia="lv-LV"/>
        </w:rPr>
      </w:pPr>
      <w:r w:rsidRPr="0062223B">
        <w:rPr>
          <w:rFonts w:ascii="Calibri" w:eastAsia="Times New Roman" w:hAnsi="Calibri" w:cs="Times New Roman"/>
          <w:b/>
          <w:bCs/>
          <w:color w:val="000000"/>
          <w:lang w:eastAsia="lv-LV"/>
        </w:rPr>
        <w:t xml:space="preserve">Saite: </w:t>
      </w:r>
      <w:hyperlink r:id="rId14" w:history="1">
        <w:r w:rsidRPr="0062223B">
          <w:rPr>
            <w:rFonts w:ascii="Calibri" w:eastAsia="Times New Roman" w:hAnsi="Calibri" w:cs="Times New Roman"/>
            <w:b/>
            <w:bCs/>
            <w:color w:val="1155CC"/>
            <w:u w:val="single"/>
            <w:lang w:eastAsia="lv-LV"/>
          </w:rPr>
          <w:t>https://www.osce.org/cthb/537401</w:t>
        </w:r>
      </w:hyperlink>
      <w:r w:rsidRPr="0062223B">
        <w:rPr>
          <w:rFonts w:ascii="Calibri" w:eastAsia="Times New Roman" w:hAnsi="Calibri" w:cs="Times New Roman"/>
          <w:b/>
          <w:bCs/>
          <w:color w:val="000000"/>
          <w:lang w:eastAsia="lv-LV"/>
        </w:rPr>
        <w:t> </w:t>
      </w:r>
    </w:p>
    <w:p w:rsidR="0062223B" w:rsidRPr="0062223B" w:rsidRDefault="0062223B" w:rsidP="0062223B">
      <w:pPr>
        <w:spacing w:before="240" w:after="240" w:line="240" w:lineRule="auto"/>
        <w:jc w:val="both"/>
        <w:rPr>
          <w:rFonts w:ascii="Calibri" w:eastAsia="Times New Roman" w:hAnsi="Calibri" w:cs="Times New Roman"/>
          <w:lang w:eastAsia="lv-LV"/>
        </w:rPr>
      </w:pPr>
      <w:r w:rsidRPr="0062223B">
        <w:rPr>
          <w:rFonts w:ascii="Calibri" w:eastAsia="Times New Roman" w:hAnsi="Calibri" w:cs="Times New Roman"/>
          <w:b/>
          <w:bCs/>
          <w:color w:val="000000"/>
          <w:lang w:eastAsia="lv-LV"/>
        </w:rPr>
        <w:t>1. Uzlabot juridisko, politikas un institucionālo ietvaru, veicot šādus pasākumus:</w:t>
      </w:r>
    </w:p>
    <w:p w:rsidR="0062223B" w:rsidRPr="0062223B" w:rsidRDefault="0062223B" w:rsidP="0062223B">
      <w:pPr>
        <w:numPr>
          <w:ilvl w:val="0"/>
          <w:numId w:val="3"/>
        </w:numPr>
        <w:spacing w:before="240"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Ratificēt SDO Konvenciju Nr. 189 par cienīgu darbu mājsaimniecības darbiniekiem.</w:t>
      </w:r>
    </w:p>
    <w:p w:rsidR="0062223B" w:rsidRPr="0062223B" w:rsidRDefault="0062223B" w:rsidP="0062223B">
      <w:pPr>
        <w:numPr>
          <w:ilvl w:val="0"/>
          <w:numId w:val="3"/>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Ratificēt 2003. gada Starptautisko konvenciju par visu migrējošo strādnieku un viņu ģimenes locekļu tiesību aizsardzību.</w:t>
      </w:r>
    </w:p>
    <w:p w:rsidR="0062223B" w:rsidRPr="0062223B" w:rsidRDefault="0062223B" w:rsidP="0062223B">
      <w:pPr>
        <w:numPr>
          <w:ilvl w:val="0"/>
          <w:numId w:val="3"/>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Grozīt tiesību aktus un politikas vadlīnijas, lai iekļautu skaidras atsauces uz “upura piekrišanas neatbilstību” paredzētajai ekspluatācijai, saskaņā ar starptautiskajiem instrumentiem.</w:t>
      </w:r>
    </w:p>
    <w:p w:rsidR="0062223B" w:rsidRPr="0062223B" w:rsidRDefault="0062223B" w:rsidP="0062223B">
      <w:pPr>
        <w:numPr>
          <w:ilvl w:val="0"/>
          <w:numId w:val="3"/>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Pabeigt Krimināllikuma sadaļu par cilvēku tirdzniecību un citiem noziedzīgiem nodarījumiem (piemēram, 162.¹–165.¹ pantu) analīzi, lai nodrošinātu to pareizu piemērošanu tiesu praksē.</w:t>
      </w:r>
    </w:p>
    <w:p w:rsidR="0062223B" w:rsidRPr="0062223B" w:rsidRDefault="0062223B" w:rsidP="0062223B">
      <w:pPr>
        <w:numPr>
          <w:ilvl w:val="0"/>
          <w:numId w:val="3"/>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Paaugstināt Nacionālā cilvēku tirdzniecības apkarošanas koordinatora pozīciju, lai nodrošinātu efektīvāku stratēģisko koordināciju visā valdībā un cilvēku tirdzniecības apkarošanas prioritāšu saglabāšanu valdības politiskajā darba kārtībā.</w:t>
      </w:r>
    </w:p>
    <w:p w:rsidR="0062223B" w:rsidRPr="0062223B" w:rsidRDefault="0062223B" w:rsidP="0062223B">
      <w:pPr>
        <w:numPr>
          <w:ilvl w:val="0"/>
          <w:numId w:val="3"/>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 xml:space="preserve">Nodrošināt, ka </w:t>
      </w:r>
      <w:proofErr w:type="spellStart"/>
      <w:r w:rsidR="00B703D7">
        <w:rPr>
          <w:rFonts w:ascii="Calibri" w:eastAsia="Times New Roman" w:hAnsi="Calibri" w:cs="Times New Roman"/>
          <w:color w:val="000000"/>
          <w:lang w:eastAsia="lv-LV"/>
        </w:rPr>
        <w:t>s</w:t>
      </w:r>
      <w:r w:rsidRPr="0062223B">
        <w:rPr>
          <w:rFonts w:ascii="Calibri" w:eastAsia="Times New Roman" w:hAnsi="Calibri" w:cs="Times New Roman"/>
          <w:color w:val="000000"/>
          <w:lang w:eastAsia="lv-LV"/>
        </w:rPr>
        <w:t>tarpinstitucionālās</w:t>
      </w:r>
      <w:proofErr w:type="spellEnd"/>
      <w:r w:rsidRPr="0062223B">
        <w:rPr>
          <w:rFonts w:ascii="Calibri" w:eastAsia="Times New Roman" w:hAnsi="Calibri" w:cs="Times New Roman"/>
          <w:color w:val="000000"/>
          <w:lang w:eastAsia="lv-LV"/>
        </w:rPr>
        <w:t xml:space="preserve"> darba grupas atjaunotais mandāts un uzdevumi ietver efektīvu koordināciju un stratēģisku lēmumu pieņemšanas procesu, tostarp pilnvaras piešķirt uzdevumus un aktivitātes visām valsts iestādēm un organizācijām, kas piedalās Nacionālā rīcības plāna īstenošanā.</w:t>
      </w:r>
    </w:p>
    <w:p w:rsidR="0062223B" w:rsidRPr="0062223B" w:rsidRDefault="0062223B" w:rsidP="0062223B">
      <w:pPr>
        <w:numPr>
          <w:ilvl w:val="0"/>
          <w:numId w:val="3"/>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Piešķirt pietiekamus finanšu resursus Nacionālā rīcības plāna (NAP) īstenošanai, lai izstrādātu un īstenotu stingrus pasākumus, kas veicinātu izpratni par nacionālajiem un starptautiskajiem cilvēku tirdzniecības apkarošanas tiesību aktiem un to piemērošanu.</w:t>
      </w:r>
    </w:p>
    <w:p w:rsidR="0062223B" w:rsidRPr="0062223B" w:rsidRDefault="0062223B" w:rsidP="0062223B">
      <w:pPr>
        <w:numPr>
          <w:ilvl w:val="0"/>
          <w:numId w:val="3"/>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Paredzēt īpašus pasākumus, lai risinātu pieaugošo tiešsaistes bērnu un pieaugušo ekspluatācijas izplatību, tostarp izveidojot partnerattiecības ar privātām aģentūrām, piemēram, tehnoloģiju uzņēmumiem, lai izstrādātu īpašus rīkus; regulāri organizējot apmācības un konsultācijas starp dažādām aģentūrām (piemēram, kibernoziegumu, organizētās noziedzības un cilvēku tirdzniecības apkarošanas iestādēm).</w:t>
      </w:r>
    </w:p>
    <w:p w:rsidR="0062223B" w:rsidRPr="0062223B" w:rsidRDefault="0062223B" w:rsidP="0062223B">
      <w:pPr>
        <w:numPr>
          <w:ilvl w:val="0"/>
          <w:numId w:val="3"/>
        </w:numPr>
        <w:spacing w:after="24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Pabeigt neatkarīga Nacionālā ziņotāja cilvēku tirdzniecības jautājumos iecelšanas procesu saskaņā ar NAP.</w:t>
      </w:r>
    </w:p>
    <w:p w:rsidR="0062223B" w:rsidRPr="0062223B" w:rsidRDefault="0062223B" w:rsidP="0062223B">
      <w:pPr>
        <w:spacing w:before="240" w:after="240" w:line="240" w:lineRule="auto"/>
        <w:jc w:val="both"/>
        <w:rPr>
          <w:rFonts w:ascii="Calibri" w:eastAsia="Times New Roman" w:hAnsi="Calibri" w:cs="Times New Roman"/>
          <w:lang w:eastAsia="lv-LV"/>
        </w:rPr>
      </w:pPr>
      <w:r w:rsidRPr="0062223B">
        <w:rPr>
          <w:rFonts w:ascii="Calibri" w:eastAsia="Times New Roman" w:hAnsi="Calibri" w:cs="Times New Roman"/>
          <w:b/>
          <w:bCs/>
          <w:color w:val="000000"/>
          <w:lang w:eastAsia="lv-LV"/>
        </w:rPr>
        <w:t>2. Uzlabot upuru identificēšanu, palīdzību un aizsardzību, veicot šādus pasākumus:</w:t>
      </w:r>
    </w:p>
    <w:p w:rsidR="0062223B" w:rsidRPr="0062223B" w:rsidRDefault="0062223B" w:rsidP="0062223B">
      <w:pPr>
        <w:numPr>
          <w:ilvl w:val="0"/>
          <w:numId w:val="4"/>
        </w:numPr>
        <w:spacing w:before="240"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 xml:space="preserve">Izstrādāt stratēģijas, lai uzlabotu </w:t>
      </w:r>
      <w:proofErr w:type="spellStart"/>
      <w:r w:rsidRPr="0062223B">
        <w:rPr>
          <w:rFonts w:ascii="Calibri" w:eastAsia="Times New Roman" w:hAnsi="Calibri" w:cs="Times New Roman"/>
          <w:color w:val="000000"/>
          <w:lang w:eastAsia="lv-LV"/>
        </w:rPr>
        <w:t>proaktīvu</w:t>
      </w:r>
      <w:proofErr w:type="spellEnd"/>
      <w:r w:rsidRPr="0062223B">
        <w:rPr>
          <w:rFonts w:ascii="Calibri" w:eastAsia="Times New Roman" w:hAnsi="Calibri" w:cs="Times New Roman"/>
          <w:color w:val="000000"/>
          <w:lang w:eastAsia="lv-LV"/>
        </w:rPr>
        <w:t xml:space="preserve"> pieeju un identificētu visu veidu cilvēku tirdzniecības upurus Latvijā, piemēram, izveidojot riska zonas un sektoru kartēšanu, kas ir pakļauti ekspluatācijai.</w:t>
      </w:r>
    </w:p>
    <w:p w:rsidR="0062223B" w:rsidRPr="0062223B" w:rsidRDefault="0062223B" w:rsidP="0062223B">
      <w:pPr>
        <w:numPr>
          <w:ilvl w:val="0"/>
          <w:numId w:val="4"/>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Riski, kas saistīti ar tiešsaistes platformām, kuras ignorē vai veicina ekspluatāciju, jārisina, izstrādājot politikas, kas paredz drošības pasākumu īstenošanu.</w:t>
      </w:r>
    </w:p>
    <w:p w:rsidR="0062223B" w:rsidRPr="0062223B" w:rsidRDefault="0062223B" w:rsidP="0062223B">
      <w:pPr>
        <w:numPr>
          <w:ilvl w:val="0"/>
          <w:numId w:val="4"/>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Izstrādāt un īstenot regulāras un mērķtiecīgas apmācības attiecīgo iestāžu darbiniekiem (piemēram, policistiem, darba inspektoriem, sociālajiem darbiniekiem un bērnu labklājības iestāžu darbiniekiem).</w:t>
      </w:r>
    </w:p>
    <w:p w:rsidR="0062223B" w:rsidRPr="0062223B" w:rsidRDefault="0062223B" w:rsidP="0062223B">
      <w:pPr>
        <w:numPr>
          <w:ilvl w:val="0"/>
          <w:numId w:val="4"/>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Uzlabot pasākumus, lai identificētu cilvēku tirdzniecības upurus patvēruma procesos un aizturēšanas iestādēs, izstrādājot pārbaudes instrumentus.</w:t>
      </w:r>
    </w:p>
    <w:p w:rsidR="0062223B" w:rsidRPr="0062223B" w:rsidRDefault="0062223B" w:rsidP="0062223B">
      <w:pPr>
        <w:numPr>
          <w:ilvl w:val="0"/>
          <w:numId w:val="4"/>
        </w:numPr>
        <w:spacing w:after="24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Nodrošināt, ka uzturēšanās atļauju piešķiršana cilvēku tirdzniecības upuriem nav atkarīga no viņu sadarbības ar izmeklēšanas procesiem.</w:t>
      </w:r>
    </w:p>
    <w:p w:rsidR="0062223B" w:rsidRPr="0062223B" w:rsidRDefault="0062223B" w:rsidP="0062223B">
      <w:pPr>
        <w:spacing w:before="240" w:after="240" w:line="240" w:lineRule="auto"/>
        <w:jc w:val="both"/>
        <w:rPr>
          <w:rFonts w:ascii="Calibri" w:eastAsia="Times New Roman" w:hAnsi="Calibri" w:cs="Times New Roman"/>
          <w:lang w:eastAsia="lv-LV"/>
        </w:rPr>
      </w:pPr>
      <w:r w:rsidRPr="0062223B">
        <w:rPr>
          <w:rFonts w:ascii="Calibri" w:eastAsia="Times New Roman" w:hAnsi="Calibri" w:cs="Times New Roman"/>
          <w:b/>
          <w:bCs/>
          <w:color w:val="000000"/>
          <w:lang w:eastAsia="lv-LV"/>
        </w:rPr>
        <w:lastRenderedPageBreak/>
        <w:t>3. Uzlabot kriminālās justīcijas reakciju uz visām cilvēku tirdzniecības formām, veicot šādus pasākumus:</w:t>
      </w:r>
    </w:p>
    <w:p w:rsidR="0062223B" w:rsidRPr="0062223B" w:rsidRDefault="0062223B" w:rsidP="0062223B">
      <w:pPr>
        <w:numPr>
          <w:ilvl w:val="0"/>
          <w:numId w:val="5"/>
        </w:numPr>
        <w:spacing w:before="240"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Izstrādāt un, ja nepieciešams, atjaunināt iekšējos norādījumus par rīcību cilvēku tirdzniecības apkarošanā.</w:t>
      </w:r>
    </w:p>
    <w:p w:rsidR="0062223B" w:rsidRPr="0062223B" w:rsidRDefault="0062223B" w:rsidP="0062223B">
      <w:pPr>
        <w:numPr>
          <w:ilvl w:val="0"/>
          <w:numId w:val="5"/>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 xml:space="preserve">Pastiprināt centienus </w:t>
      </w:r>
      <w:proofErr w:type="spellStart"/>
      <w:r w:rsidRPr="0062223B">
        <w:rPr>
          <w:rFonts w:ascii="Calibri" w:eastAsia="Times New Roman" w:hAnsi="Calibri" w:cs="Times New Roman"/>
          <w:color w:val="000000"/>
          <w:lang w:eastAsia="lv-LV"/>
        </w:rPr>
        <w:t>kriminalizēt</w:t>
      </w:r>
      <w:proofErr w:type="spellEnd"/>
      <w:r w:rsidRPr="0062223B">
        <w:rPr>
          <w:rFonts w:ascii="Calibri" w:eastAsia="Times New Roman" w:hAnsi="Calibri" w:cs="Times New Roman"/>
          <w:color w:val="000000"/>
          <w:lang w:eastAsia="lv-LV"/>
        </w:rPr>
        <w:t xml:space="preserve"> un saukt pie atbildības cilvēku tirdzniecības upuru pakalpojumu izmantotājus saskaņā ar Krimināllikuma 164. pantu.</w:t>
      </w:r>
    </w:p>
    <w:p w:rsidR="0062223B" w:rsidRPr="0062223B" w:rsidRDefault="0062223B" w:rsidP="0062223B">
      <w:pPr>
        <w:numPr>
          <w:ilvl w:val="0"/>
          <w:numId w:val="5"/>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Nodrošināt agrīnu policijas un prokuratūras sadarbību visu cilvēku tirdzniecības lietu izmeklēšanas sākumposmā.</w:t>
      </w:r>
    </w:p>
    <w:p w:rsidR="0062223B" w:rsidRPr="0062223B" w:rsidRDefault="0062223B" w:rsidP="0062223B">
      <w:pPr>
        <w:numPr>
          <w:ilvl w:val="0"/>
          <w:numId w:val="5"/>
        </w:numPr>
        <w:spacing w:after="24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Piešķirt specializētus cilvēkresursus un finanšu resursus tiesībaizsardzības iestādēm un prokuroriem, lai izmeklētu cilvēku tirdzniecību internetā.</w:t>
      </w:r>
    </w:p>
    <w:p w:rsidR="0062223B" w:rsidRPr="0062223B" w:rsidRDefault="0062223B" w:rsidP="0062223B">
      <w:pPr>
        <w:spacing w:before="240" w:after="240" w:line="240" w:lineRule="auto"/>
        <w:jc w:val="both"/>
        <w:rPr>
          <w:rFonts w:ascii="Calibri" w:eastAsia="Times New Roman" w:hAnsi="Calibri" w:cs="Times New Roman"/>
          <w:lang w:eastAsia="lv-LV"/>
        </w:rPr>
      </w:pPr>
      <w:r w:rsidRPr="0062223B">
        <w:rPr>
          <w:rFonts w:ascii="Calibri" w:eastAsia="Times New Roman" w:hAnsi="Calibri" w:cs="Times New Roman"/>
          <w:b/>
          <w:bCs/>
          <w:color w:val="000000"/>
          <w:lang w:eastAsia="lv-LV"/>
        </w:rPr>
        <w:t>4. Uzlabot cilvēku tirdzniecības novēršanu, veicot šādus pasākumus:</w:t>
      </w:r>
    </w:p>
    <w:p w:rsidR="0062223B" w:rsidRPr="0062223B" w:rsidRDefault="0062223B" w:rsidP="0062223B">
      <w:pPr>
        <w:numPr>
          <w:ilvl w:val="0"/>
          <w:numId w:val="6"/>
        </w:numPr>
        <w:spacing w:before="240"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Veicināt izpratni par pieprasījuma mazināšanu, kas veicina visas cilvēku tirdzniecības formas, izmantojot mērķtiecīgus pasākumus izglītības iestādēs.</w:t>
      </w:r>
    </w:p>
    <w:p w:rsidR="0062223B" w:rsidRPr="0062223B" w:rsidRDefault="0062223B" w:rsidP="0062223B">
      <w:pPr>
        <w:numPr>
          <w:ilvl w:val="0"/>
          <w:numId w:val="6"/>
        </w:numPr>
        <w:spacing w:after="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Pastiprināt pasākumus, lai identificētu darba ekspluatācijas upurus, veicot uzraudzību nozarēs, kurās bieži notiek ekspluatācija, piemēram, lauksaimniecībā, tekstilrūpniecībā, tūrisma un viesmīlības nozarē, kā arī mājsaimniecības darbā.</w:t>
      </w:r>
    </w:p>
    <w:p w:rsidR="0062223B" w:rsidRPr="0062223B" w:rsidRDefault="0062223B" w:rsidP="0062223B">
      <w:pPr>
        <w:numPr>
          <w:ilvl w:val="0"/>
          <w:numId w:val="6"/>
        </w:numPr>
        <w:spacing w:after="240" w:line="240" w:lineRule="auto"/>
        <w:jc w:val="both"/>
        <w:textAlignment w:val="baseline"/>
        <w:rPr>
          <w:rFonts w:ascii="Calibri" w:eastAsia="Times New Roman" w:hAnsi="Calibri" w:cs="Times New Roman"/>
          <w:color w:val="000000"/>
          <w:lang w:eastAsia="lv-LV"/>
        </w:rPr>
      </w:pPr>
      <w:r w:rsidRPr="0062223B">
        <w:rPr>
          <w:rFonts w:ascii="Calibri" w:eastAsia="Times New Roman" w:hAnsi="Calibri" w:cs="Times New Roman"/>
          <w:color w:val="000000"/>
          <w:lang w:eastAsia="lv-LV"/>
        </w:rPr>
        <w:t>Nodrošināt cilvēku tirdzniecības novēršanu starp personām, kuras bēg no kara Ukrainā, izstrādājot un īstenojot ilgtermiņa palīdzības pasākumus.</w:t>
      </w:r>
    </w:p>
    <w:p w:rsidR="003561BA" w:rsidRPr="0062223B" w:rsidRDefault="003561BA" w:rsidP="0062223B">
      <w:pPr>
        <w:jc w:val="both"/>
        <w:rPr>
          <w:rFonts w:ascii="Calibri" w:hAnsi="Calibri"/>
        </w:rPr>
      </w:pPr>
    </w:p>
    <w:sectPr w:rsidR="003561BA" w:rsidRPr="0062223B">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07A6" w:rsidRDefault="002307A6" w:rsidP="00B703D7">
      <w:pPr>
        <w:spacing w:after="0" w:line="240" w:lineRule="auto"/>
      </w:pPr>
      <w:r>
        <w:separator/>
      </w:r>
    </w:p>
  </w:endnote>
  <w:endnote w:type="continuationSeparator" w:id="0">
    <w:p w:rsidR="002307A6" w:rsidRDefault="002307A6" w:rsidP="00B70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5189633"/>
      <w:docPartObj>
        <w:docPartGallery w:val="Page Numbers (Bottom of Page)"/>
        <w:docPartUnique/>
      </w:docPartObj>
    </w:sdtPr>
    <w:sdtEndPr>
      <w:rPr>
        <w:noProof/>
      </w:rPr>
    </w:sdtEndPr>
    <w:sdtContent>
      <w:p w:rsidR="00B703D7" w:rsidRDefault="00B703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703D7" w:rsidRDefault="00B703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07A6" w:rsidRDefault="002307A6" w:rsidP="00B703D7">
      <w:pPr>
        <w:spacing w:after="0" w:line="240" w:lineRule="auto"/>
      </w:pPr>
      <w:r>
        <w:separator/>
      </w:r>
    </w:p>
  </w:footnote>
  <w:footnote w:type="continuationSeparator" w:id="0">
    <w:p w:rsidR="002307A6" w:rsidRDefault="002307A6" w:rsidP="00B703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F3B78"/>
    <w:multiLevelType w:val="hybridMultilevel"/>
    <w:tmpl w:val="523AE5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B8514F"/>
    <w:multiLevelType w:val="multilevel"/>
    <w:tmpl w:val="4FD6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A415E6"/>
    <w:multiLevelType w:val="multilevel"/>
    <w:tmpl w:val="4FD6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E64234"/>
    <w:multiLevelType w:val="multilevel"/>
    <w:tmpl w:val="4FD6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8A022E"/>
    <w:multiLevelType w:val="multilevel"/>
    <w:tmpl w:val="8BD87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9A04F6C"/>
    <w:multiLevelType w:val="multilevel"/>
    <w:tmpl w:val="4FD6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E525D6"/>
    <w:multiLevelType w:val="multilevel"/>
    <w:tmpl w:val="4FD6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6"/>
  </w:num>
  <w:num w:numId="4">
    <w:abstractNumId w:val="3"/>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23B"/>
    <w:rsid w:val="000806EF"/>
    <w:rsid w:val="002307A6"/>
    <w:rsid w:val="003561BA"/>
    <w:rsid w:val="0062223B"/>
    <w:rsid w:val="0082052C"/>
    <w:rsid w:val="00B703D7"/>
    <w:rsid w:val="00C16130"/>
    <w:rsid w:val="00E60630"/>
    <w:rsid w:val="00EA0E30"/>
    <w:rsid w:val="00F1692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ADBF0"/>
  <w15:chartTrackingRefBased/>
  <w15:docId w15:val="{9BB243DB-C51F-45E7-8DD2-B78AC6D7F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2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223B"/>
    <w:pPr>
      <w:ind w:left="720"/>
      <w:contextualSpacing/>
    </w:pPr>
  </w:style>
  <w:style w:type="paragraph" w:styleId="NormalWeb">
    <w:name w:val="Normal (Web)"/>
    <w:basedOn w:val="Normal"/>
    <w:uiPriority w:val="99"/>
    <w:unhideWhenUsed/>
    <w:rsid w:val="0062223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62223B"/>
    <w:rPr>
      <w:b/>
      <w:bCs/>
    </w:rPr>
  </w:style>
  <w:style w:type="paragraph" w:styleId="Header">
    <w:name w:val="header"/>
    <w:basedOn w:val="Normal"/>
    <w:link w:val="HeaderChar"/>
    <w:uiPriority w:val="99"/>
    <w:unhideWhenUsed/>
    <w:rsid w:val="00B703D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03D7"/>
  </w:style>
  <w:style w:type="paragraph" w:styleId="Footer">
    <w:name w:val="footer"/>
    <w:basedOn w:val="Normal"/>
    <w:link w:val="FooterChar"/>
    <w:uiPriority w:val="99"/>
    <w:unhideWhenUsed/>
    <w:rsid w:val="00B703D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03D7"/>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352566">
      <w:bodyDiv w:val="1"/>
      <w:marLeft w:val="0"/>
      <w:marRight w:val="0"/>
      <w:marTop w:val="0"/>
      <w:marBottom w:val="0"/>
      <w:divBdr>
        <w:top w:val="none" w:sz="0" w:space="0" w:color="auto"/>
        <w:left w:val="none" w:sz="0" w:space="0" w:color="auto"/>
        <w:bottom w:val="none" w:sz="0" w:space="0" w:color="auto"/>
        <w:right w:val="none" w:sz="0" w:space="0" w:color="auto"/>
      </w:divBdr>
    </w:div>
    <w:div w:id="142148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02011L0036-20240714"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state.gov/reports/2024-trafficking-in-persons-report/latvi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iem.gov.lv/lv/greta-tresas-kartas-novertejuma-zinojums-par-eiropas-padomes-konvencijas-par-cinu-pret-cilveku-tirdzniecibu-ieviesanu-latvija"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osce.org/cthb/5374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15490</Words>
  <Characters>8830</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24272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Zīle</dc:creator>
  <cp:keywords/>
  <dc:description/>
  <cp:lastModifiedBy>Agnese Zīle</cp:lastModifiedBy>
  <cp:revision>2</cp:revision>
  <dcterms:created xsi:type="dcterms:W3CDTF">2025-07-09T08:41:00Z</dcterms:created>
  <dcterms:modified xsi:type="dcterms:W3CDTF">2025-07-09T08:41:00Z</dcterms:modified>
</cp:coreProperties>
</file>