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4BA45" w14:textId="204CB017" w:rsidR="00E75174" w:rsidRDefault="1412D799" w:rsidP="0343EF15">
      <w:pPr>
        <w:pStyle w:val="Heading1"/>
        <w:jc w:val="center"/>
        <w:rPr>
          <w:rFonts w:ascii="Times New Roman" w:eastAsia="Times New Roman" w:hAnsi="Times New Roman" w:cs="Times New Roman"/>
          <w:b/>
          <w:bCs/>
          <w:sz w:val="32"/>
          <w:szCs w:val="32"/>
        </w:rPr>
      </w:pPr>
      <w:r w:rsidRPr="0343EF15">
        <w:rPr>
          <w:rFonts w:ascii="Times New Roman" w:eastAsia="Times New Roman" w:hAnsi="Times New Roman" w:cs="Times New Roman"/>
          <w:b/>
          <w:bCs/>
          <w:sz w:val="32"/>
          <w:szCs w:val="32"/>
        </w:rPr>
        <w:t xml:space="preserve">Par </w:t>
      </w:r>
      <w:r w:rsidR="16AC3CA6" w:rsidRPr="0343EF15">
        <w:rPr>
          <w:rFonts w:ascii="Times New Roman" w:eastAsia="Times New Roman" w:hAnsi="Times New Roman" w:cs="Times New Roman"/>
          <w:b/>
          <w:bCs/>
          <w:sz w:val="32"/>
          <w:szCs w:val="32"/>
        </w:rPr>
        <w:t xml:space="preserve">VAS </w:t>
      </w:r>
      <w:r w:rsidR="6D1BFD8D" w:rsidRPr="0343EF15">
        <w:rPr>
          <w:rFonts w:ascii="Times New Roman" w:eastAsia="Times New Roman" w:hAnsi="Times New Roman" w:cs="Times New Roman"/>
          <w:b/>
          <w:bCs/>
          <w:sz w:val="32"/>
          <w:szCs w:val="32"/>
        </w:rPr>
        <w:t>“</w:t>
      </w:r>
      <w:r w:rsidRPr="0343EF15">
        <w:rPr>
          <w:rFonts w:ascii="Times New Roman" w:eastAsia="Times New Roman" w:hAnsi="Times New Roman" w:cs="Times New Roman"/>
          <w:b/>
          <w:bCs/>
          <w:sz w:val="32"/>
          <w:szCs w:val="32"/>
        </w:rPr>
        <w:t>Latvijas valsts meži</w:t>
      </w:r>
      <w:r w:rsidR="511A1881" w:rsidRPr="0343EF15">
        <w:rPr>
          <w:rFonts w:ascii="Times New Roman" w:eastAsia="Times New Roman" w:hAnsi="Times New Roman" w:cs="Times New Roman"/>
          <w:b/>
          <w:bCs/>
          <w:sz w:val="32"/>
          <w:szCs w:val="32"/>
        </w:rPr>
        <w:t>”</w:t>
      </w:r>
      <w:r w:rsidRPr="0343EF15">
        <w:rPr>
          <w:rFonts w:ascii="Times New Roman" w:eastAsia="Times New Roman" w:hAnsi="Times New Roman" w:cs="Times New Roman"/>
          <w:b/>
          <w:bCs/>
          <w:sz w:val="32"/>
          <w:szCs w:val="32"/>
        </w:rPr>
        <w:t xml:space="preserve"> dividendēm</w:t>
      </w:r>
    </w:p>
    <w:p w14:paraId="5C06BA24" w14:textId="305AECC2" w:rsidR="0099432F" w:rsidRDefault="7C475E5F"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L</w:t>
      </w:r>
      <w:r w:rsidR="138202E9" w:rsidRPr="0343EF15">
        <w:rPr>
          <w:rFonts w:ascii="Times New Roman" w:eastAsia="Times New Roman" w:hAnsi="Times New Roman" w:cs="Times New Roman"/>
        </w:rPr>
        <w:t>atvijas valsts meži (turpmāk – L</w:t>
      </w:r>
      <w:r w:rsidRPr="0343EF15">
        <w:rPr>
          <w:rFonts w:ascii="Times New Roman" w:eastAsia="Times New Roman" w:hAnsi="Times New Roman" w:cs="Times New Roman"/>
        </w:rPr>
        <w:t>VM</w:t>
      </w:r>
      <w:r w:rsidR="138202E9" w:rsidRPr="0343EF15">
        <w:rPr>
          <w:rFonts w:ascii="Times New Roman" w:eastAsia="Times New Roman" w:hAnsi="Times New Roman" w:cs="Times New Roman"/>
        </w:rPr>
        <w:t>)</w:t>
      </w:r>
      <w:r w:rsidRPr="0343EF15">
        <w:rPr>
          <w:rFonts w:ascii="Times New Roman" w:eastAsia="Times New Roman" w:hAnsi="Times New Roman" w:cs="Times New Roman"/>
        </w:rPr>
        <w:t xml:space="preserve"> </w:t>
      </w:r>
      <w:r w:rsidR="138202E9" w:rsidRPr="0343EF15">
        <w:rPr>
          <w:rFonts w:ascii="Times New Roman" w:eastAsia="Times New Roman" w:hAnsi="Times New Roman" w:cs="Times New Roman"/>
        </w:rPr>
        <w:t xml:space="preserve">ikgadējā </w:t>
      </w:r>
      <w:r w:rsidR="3941ED34" w:rsidRPr="0343EF15">
        <w:rPr>
          <w:rFonts w:ascii="Times New Roman" w:eastAsia="Times New Roman" w:hAnsi="Times New Roman" w:cs="Times New Roman"/>
        </w:rPr>
        <w:t xml:space="preserve">peļņas daļa, kas izmaksājama dividendēs, tiek noteikta vidēja termiņa budžeta ietvara likumā, paredzot gan procentuālo apmēru, gan minimālo dividenžu apmēru naudas izteiksmē. Tas nodrošina, ka gadījumos, kad faktiskā peļņa ir mazāka par iepriekš prognozēto, valstij izmaksājamās dividendes nav zemākas par likumā noteikto minimumu. Vienlaikus ir paredzēta iespēja izmaksāt lielākas dividendes, ja kapitālsabiedrības faktiskā peļņa pārsniedz prognozēto, piemērojot likumā noteikto procentu no faktiskās peļņas. 2022.–2024. gadā tie bija 64 % no peļņas, bet 2025. gadā 70 %. </w:t>
      </w:r>
    </w:p>
    <w:p w14:paraId="11AE857E" w14:textId="47C94BF4" w:rsidR="00FE41D9" w:rsidRDefault="7C475E5F"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 xml:space="preserve">Zemāk esošais grafiks parāda plānotos (vidēja termiņa budžeta ietvara likumā noteiktos) un faktiskos </w:t>
      </w:r>
      <w:r w:rsidR="075AF5D9" w:rsidRPr="0343EF15">
        <w:rPr>
          <w:rFonts w:ascii="Times New Roman" w:eastAsia="Times New Roman" w:hAnsi="Times New Roman" w:cs="Times New Roman"/>
        </w:rPr>
        <w:t xml:space="preserve">LVM </w:t>
      </w:r>
      <w:r w:rsidRPr="0343EF15">
        <w:rPr>
          <w:rFonts w:ascii="Times New Roman" w:eastAsia="Times New Roman" w:hAnsi="Times New Roman" w:cs="Times New Roman"/>
        </w:rPr>
        <w:t>dividenžu maksājumus, kā arī procentuālo attiecību pret peļņu.</w:t>
      </w:r>
    </w:p>
    <w:p w14:paraId="0B219A47" w14:textId="29C6BD60" w:rsidR="00FE41D9" w:rsidRDefault="5E4E6230" w:rsidP="0343EF15">
      <w:pPr>
        <w:jc w:val="center"/>
      </w:pPr>
      <w:r>
        <w:rPr>
          <w:noProof/>
        </w:rPr>
        <w:drawing>
          <wp:inline distT="0" distB="0" distL="0" distR="0" wp14:anchorId="5C45889C" wp14:editId="19DE6807">
            <wp:extent cx="5467985" cy="3465395"/>
            <wp:effectExtent l="0" t="0" r="0" b="1905"/>
            <wp:docPr id="1573213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0222" cy="3473150"/>
                    </a:xfrm>
                    <a:prstGeom prst="rect">
                      <a:avLst/>
                    </a:prstGeom>
                    <a:noFill/>
                  </pic:spPr>
                </pic:pic>
              </a:graphicData>
            </a:graphic>
          </wp:inline>
        </w:drawing>
      </w:r>
    </w:p>
    <w:p w14:paraId="32B422D8" w14:textId="00F74441" w:rsidR="000B1880" w:rsidRDefault="138202E9"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Secināms</w:t>
      </w:r>
      <w:r w:rsidR="7C475E5F" w:rsidRPr="0343EF15">
        <w:rPr>
          <w:rFonts w:ascii="Times New Roman" w:eastAsia="Times New Roman" w:hAnsi="Times New Roman" w:cs="Times New Roman"/>
        </w:rPr>
        <w:t xml:space="preserve">, ka 2022. un 2024.gadā </w:t>
      </w:r>
      <w:r w:rsidR="28EEB438" w:rsidRPr="0343EF15">
        <w:rPr>
          <w:rFonts w:ascii="Times New Roman" w:eastAsia="Times New Roman" w:hAnsi="Times New Roman" w:cs="Times New Roman"/>
        </w:rPr>
        <w:t>(par 2021. un 20</w:t>
      </w:r>
      <w:r w:rsidR="1412D799" w:rsidRPr="0343EF15">
        <w:rPr>
          <w:rFonts w:ascii="Times New Roman" w:eastAsia="Times New Roman" w:hAnsi="Times New Roman" w:cs="Times New Roman"/>
        </w:rPr>
        <w:t>2</w:t>
      </w:r>
      <w:r w:rsidR="28EEB438" w:rsidRPr="0343EF15">
        <w:rPr>
          <w:rFonts w:ascii="Times New Roman" w:eastAsia="Times New Roman" w:hAnsi="Times New Roman" w:cs="Times New Roman"/>
        </w:rPr>
        <w:t xml:space="preserve">3.gadu) </w:t>
      </w:r>
      <w:r w:rsidR="1ACFA6DF" w:rsidRPr="0343EF15">
        <w:rPr>
          <w:rFonts w:ascii="Times New Roman" w:eastAsia="Times New Roman" w:hAnsi="Times New Roman" w:cs="Times New Roman"/>
        </w:rPr>
        <w:t>kapitālsabiedrības faktiskā peļņa ir bijusi lielāka nekā prognozēts un dividendēs izmaksāt</w:t>
      </w:r>
      <w:r w:rsidR="28EEB438" w:rsidRPr="0343EF15">
        <w:rPr>
          <w:rFonts w:ascii="Times New Roman" w:eastAsia="Times New Roman" w:hAnsi="Times New Roman" w:cs="Times New Roman"/>
        </w:rPr>
        <w:t>a</w:t>
      </w:r>
      <w:r w:rsidR="1ACFA6DF" w:rsidRPr="0343EF15">
        <w:rPr>
          <w:rFonts w:ascii="Times New Roman" w:eastAsia="Times New Roman" w:hAnsi="Times New Roman" w:cs="Times New Roman"/>
        </w:rPr>
        <w:t xml:space="preserve"> vispārējā kārtībā maksājamā peļņas daļa 64%, kas ir lielāka par plānoto</w:t>
      </w:r>
      <w:r w:rsidR="28EEB438" w:rsidRPr="0343EF15">
        <w:rPr>
          <w:rFonts w:ascii="Times New Roman" w:eastAsia="Times New Roman" w:hAnsi="Times New Roman" w:cs="Times New Roman"/>
        </w:rPr>
        <w:t xml:space="preserve"> minimālo dividenžu apmēru naudas izteiksmē.</w:t>
      </w:r>
    </w:p>
    <w:p w14:paraId="102FB492" w14:textId="5486BAD1" w:rsidR="00FE41D9" w:rsidRDefault="28EEB438"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S</w:t>
      </w:r>
      <w:r w:rsidR="6561D5DB" w:rsidRPr="0343EF15">
        <w:rPr>
          <w:rFonts w:ascii="Times New Roman" w:eastAsia="Times New Roman" w:hAnsi="Times New Roman" w:cs="Times New Roman"/>
        </w:rPr>
        <w:t xml:space="preserve">avukārt 2023. un 2025.gadā </w:t>
      </w:r>
      <w:r w:rsidRPr="0343EF15">
        <w:rPr>
          <w:rFonts w:ascii="Times New Roman" w:eastAsia="Times New Roman" w:hAnsi="Times New Roman" w:cs="Times New Roman"/>
        </w:rPr>
        <w:t xml:space="preserve">(par 2022. un  2024.gadu) </w:t>
      </w:r>
      <w:r w:rsidR="6561D5DB" w:rsidRPr="0343EF15">
        <w:rPr>
          <w:rFonts w:ascii="Times New Roman" w:eastAsia="Times New Roman" w:hAnsi="Times New Roman" w:cs="Times New Roman"/>
        </w:rPr>
        <w:t xml:space="preserve">faktiskā </w:t>
      </w:r>
      <w:r w:rsidR="075AF5D9" w:rsidRPr="0343EF15">
        <w:rPr>
          <w:rFonts w:ascii="Times New Roman" w:eastAsia="Times New Roman" w:hAnsi="Times New Roman" w:cs="Times New Roman"/>
        </w:rPr>
        <w:t xml:space="preserve">peļņa </w:t>
      </w:r>
      <w:r w:rsidR="6561D5DB" w:rsidRPr="0343EF15">
        <w:rPr>
          <w:rFonts w:ascii="Times New Roman" w:eastAsia="Times New Roman" w:hAnsi="Times New Roman" w:cs="Times New Roman"/>
        </w:rPr>
        <w:t>izrādījusies mazāka par prognozēto</w:t>
      </w:r>
      <w:r w:rsidRPr="0343EF15">
        <w:rPr>
          <w:rFonts w:ascii="Times New Roman" w:eastAsia="Times New Roman" w:hAnsi="Times New Roman" w:cs="Times New Roman"/>
        </w:rPr>
        <w:t xml:space="preserve"> un dividenžu maksājumi veikti plānotajā minimālajā apmērā</w:t>
      </w:r>
      <w:r w:rsidR="6561D5DB" w:rsidRPr="0343EF15">
        <w:rPr>
          <w:rFonts w:ascii="Times New Roman" w:eastAsia="Times New Roman" w:hAnsi="Times New Roman" w:cs="Times New Roman"/>
        </w:rPr>
        <w:t>.</w:t>
      </w:r>
      <w:r w:rsidRPr="0343EF15">
        <w:rPr>
          <w:rFonts w:ascii="Times New Roman" w:eastAsia="Times New Roman" w:hAnsi="Times New Roman" w:cs="Times New Roman"/>
        </w:rPr>
        <w:t xml:space="preserve"> Attiecīgi dividendēs izmaksājamā peļņas daļa ir bijusi lielāka nekā vispārējā kārtībā noteiktie 64% un 70%. 2023.gadā 64% vietā izmaksāti 67,1% un 2025.gadā 70% vietā – 74%.</w:t>
      </w:r>
    </w:p>
    <w:p w14:paraId="4025F516" w14:textId="435E0144" w:rsidR="00046DE3" w:rsidRDefault="51368488"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 xml:space="preserve">Jāatzīmē, ka </w:t>
      </w:r>
      <w:r w:rsidR="5D3F1B49" w:rsidRPr="0343EF15">
        <w:rPr>
          <w:rFonts w:ascii="Times New Roman" w:eastAsia="Times New Roman" w:hAnsi="Times New Roman" w:cs="Times New Roman"/>
        </w:rPr>
        <w:t xml:space="preserve">2023.gadā, gatavojot vidēja termiņa ietvaru, </w:t>
      </w:r>
      <w:r w:rsidRPr="0343EF15">
        <w:rPr>
          <w:rFonts w:ascii="Times New Roman" w:eastAsia="Times New Roman" w:hAnsi="Times New Roman" w:cs="Times New Roman"/>
        </w:rPr>
        <w:t xml:space="preserve">likumā </w:t>
      </w:r>
      <w:r w:rsidRPr="0343EF15">
        <w:rPr>
          <w:rFonts w:ascii="Times New Roman" w:eastAsia="Times New Roman" w:hAnsi="Times New Roman" w:cs="Times New Roman"/>
          <w:i/>
          <w:iCs/>
        </w:rPr>
        <w:t>Par valsts budžetu 2024. gadam un budžeta ietvaru 2024., 2025. un 2026. gadam</w:t>
      </w:r>
      <w:r w:rsidR="5D3F1B49" w:rsidRPr="0343EF15">
        <w:rPr>
          <w:rFonts w:ascii="Times New Roman" w:eastAsia="Times New Roman" w:hAnsi="Times New Roman" w:cs="Times New Roman"/>
          <w:i/>
          <w:iCs/>
        </w:rPr>
        <w:t xml:space="preserve"> </w:t>
      </w:r>
      <w:r w:rsidR="5D3F1B49" w:rsidRPr="0343EF15">
        <w:rPr>
          <w:rFonts w:ascii="Times New Roman" w:eastAsia="Times New Roman" w:hAnsi="Times New Roman" w:cs="Times New Roman"/>
        </w:rPr>
        <w:t xml:space="preserve">LVM dividendēs izmaksājamā daļa </w:t>
      </w:r>
      <w:r w:rsidRPr="0343EF15">
        <w:rPr>
          <w:rFonts w:ascii="Times New Roman" w:eastAsia="Times New Roman" w:hAnsi="Times New Roman" w:cs="Times New Roman"/>
        </w:rPr>
        <w:t>tika noteikt</w:t>
      </w:r>
      <w:r w:rsidR="5D3F1B49" w:rsidRPr="0343EF15">
        <w:rPr>
          <w:rFonts w:ascii="Times New Roman" w:eastAsia="Times New Roman" w:hAnsi="Times New Roman" w:cs="Times New Roman"/>
        </w:rPr>
        <w:t>a</w:t>
      </w:r>
      <w:r w:rsidRPr="0343EF15">
        <w:rPr>
          <w:rFonts w:ascii="Times New Roman" w:eastAsia="Times New Roman" w:hAnsi="Times New Roman" w:cs="Times New Roman"/>
        </w:rPr>
        <w:t xml:space="preserve"> 58,6 milj.euro, savukārt likumā P</w:t>
      </w:r>
      <w:r w:rsidRPr="0343EF15">
        <w:rPr>
          <w:rFonts w:ascii="Times New Roman" w:eastAsia="Times New Roman" w:hAnsi="Times New Roman" w:cs="Times New Roman"/>
          <w:i/>
          <w:iCs/>
        </w:rPr>
        <w:t>ar valsts budžetu 2025. gadam un budžeta ietvaru 2025., 2026. un 2027. gadam</w:t>
      </w:r>
      <w:r w:rsidRPr="0343EF15">
        <w:rPr>
          <w:rFonts w:ascii="Times New Roman" w:eastAsia="Times New Roman" w:hAnsi="Times New Roman" w:cs="Times New Roman"/>
        </w:rPr>
        <w:t xml:space="preserve"> tas tika noteikts jau 111,0 milj.</w:t>
      </w:r>
      <w:r w:rsidRPr="0343EF15">
        <w:rPr>
          <w:rFonts w:ascii="Times New Roman" w:eastAsia="Times New Roman" w:hAnsi="Times New Roman" w:cs="Times New Roman"/>
          <w:i/>
          <w:iCs/>
        </w:rPr>
        <w:t>euro</w:t>
      </w:r>
      <w:r w:rsidRPr="0343EF15">
        <w:rPr>
          <w:rFonts w:ascii="Times New Roman" w:eastAsia="Times New Roman" w:hAnsi="Times New Roman" w:cs="Times New Roman"/>
        </w:rPr>
        <w:t xml:space="preserve"> apmērā (jau pēc Ministru kabineta 2023. gada 19. decembra sēdē tika izskatītā un pieņemtā informatīvā </w:t>
      </w:r>
      <w:r w:rsidRPr="0343EF15">
        <w:rPr>
          <w:rFonts w:ascii="Times New Roman" w:eastAsia="Times New Roman" w:hAnsi="Times New Roman" w:cs="Times New Roman"/>
        </w:rPr>
        <w:lastRenderedPageBreak/>
        <w:t>ziņojuma “Par Latvijas kokrūpniecības nozares konkurētspēju negatīvi ietekmējošo faktoru mazināšanu”).</w:t>
      </w:r>
    </w:p>
    <w:p w14:paraId="6BD3925B" w14:textId="5D4AAE0E" w:rsidR="00EF5282" w:rsidRDefault="272C6191"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Informatīvā ziņojum</w:t>
      </w:r>
      <w:r w:rsidR="0BE42514" w:rsidRPr="0343EF15">
        <w:rPr>
          <w:rFonts w:ascii="Times New Roman" w:eastAsia="Times New Roman" w:hAnsi="Times New Roman" w:cs="Times New Roman"/>
        </w:rPr>
        <w:t>a</w:t>
      </w:r>
      <w:r w:rsidRPr="0343EF15">
        <w:rPr>
          <w:rFonts w:ascii="Times New Roman" w:eastAsia="Times New Roman" w:hAnsi="Times New Roman" w:cs="Times New Roman"/>
        </w:rPr>
        <w:t xml:space="preserve"> “Par Latvijas kokrūpniecības nozares konkurētspēju negatīvi ietekmējošo faktoru mazināšanu” (23-TA-3114) virzības gaitā</w:t>
      </w:r>
      <w:r w:rsidR="0BE42514" w:rsidRPr="0343EF15">
        <w:rPr>
          <w:rFonts w:ascii="Times New Roman" w:eastAsia="Times New Roman" w:hAnsi="Times New Roman" w:cs="Times New Roman"/>
        </w:rPr>
        <w:t>,</w:t>
      </w:r>
      <w:r w:rsidRPr="0343EF15">
        <w:rPr>
          <w:rFonts w:ascii="Times New Roman" w:eastAsia="Times New Roman" w:hAnsi="Times New Roman" w:cs="Times New Roman"/>
        </w:rPr>
        <w:t xml:space="preserve"> </w:t>
      </w:r>
      <w:r w:rsidR="0BE42514" w:rsidRPr="0343EF15">
        <w:rPr>
          <w:rFonts w:ascii="Times New Roman" w:eastAsia="Times New Roman" w:hAnsi="Times New Roman" w:cs="Times New Roman"/>
        </w:rPr>
        <w:t>lai garantētu, ka ziņojumā ietvertie risinājumi nemazinātu tā brīža plānotos LVM dividenžu maksājumus valsts budžetā</w:t>
      </w:r>
      <w:r w:rsidR="5B2C82A4" w:rsidRPr="0343EF15">
        <w:rPr>
          <w:rFonts w:ascii="Times New Roman" w:eastAsia="Times New Roman" w:hAnsi="Times New Roman" w:cs="Times New Roman"/>
        </w:rPr>
        <w:t>,</w:t>
      </w:r>
      <w:r w:rsidR="0BE42514" w:rsidRPr="0343EF15">
        <w:rPr>
          <w:rFonts w:ascii="Times New Roman" w:eastAsia="Times New Roman" w:hAnsi="Times New Roman" w:cs="Times New Roman"/>
        </w:rPr>
        <w:t xml:space="preserve"> </w:t>
      </w:r>
      <w:r w:rsidRPr="0343EF15">
        <w:rPr>
          <w:rFonts w:ascii="Times New Roman" w:eastAsia="Times New Roman" w:hAnsi="Times New Roman" w:cs="Times New Roman"/>
        </w:rPr>
        <w:t>FM ir sniegusi sekojošus iebildumus:</w:t>
      </w:r>
    </w:p>
    <w:p w14:paraId="7A72FFE9" w14:textId="7519AE08" w:rsidR="00EF5282" w:rsidRDefault="272C6191" w:rsidP="0343EF15">
      <w:pPr>
        <w:pStyle w:val="ListParagraph"/>
        <w:numPr>
          <w:ilvl w:val="0"/>
          <w:numId w:val="1"/>
        </w:numPr>
        <w:jc w:val="both"/>
        <w:rPr>
          <w:rFonts w:ascii="Times New Roman" w:eastAsia="Times New Roman" w:hAnsi="Times New Roman" w:cs="Times New Roman"/>
        </w:rPr>
      </w:pPr>
      <w:r w:rsidRPr="0343EF15">
        <w:rPr>
          <w:rFonts w:ascii="Times New Roman" w:eastAsia="Times New Roman" w:hAnsi="Times New Roman" w:cs="Times New Roman"/>
        </w:rPr>
        <w:t>Lūdzam informatīvā ziņojuma 2.sadaļā "Turpmākā rīcība un priekšlikumi" sniegt vērtējumu, vai un kādā apmērā virzītais lēmums ietekmēs vidēja termiņa budžeta likumprojektā 2024.-2026.gadam iekļauto LVM peļņas/dividenžu apmēru. Iespēju robežās lūdzam izdalīt pa gadiem, kāds būs LVM ieņēmumu/peļņas samazinājums, pārskatot līgumos fiksētās cenas (atbalsts kokapstrādes nozarei), un ieņēmumu/peļņas palielinājums, kāpinot mežizstrādes apjomus</w:t>
      </w:r>
      <w:r w:rsidR="295D119B" w:rsidRPr="0343EF15">
        <w:rPr>
          <w:rFonts w:ascii="Times New Roman" w:eastAsia="Times New Roman" w:hAnsi="Times New Roman" w:cs="Times New Roman"/>
        </w:rPr>
        <w:t xml:space="preserve"> (</w:t>
      </w:r>
      <w:r w:rsidR="295D119B" w:rsidRPr="0343EF15">
        <w:rPr>
          <w:rFonts w:ascii="Times New Roman" w:eastAsia="Times New Roman" w:hAnsi="Times New Roman" w:cs="Times New Roman"/>
          <w:i/>
          <w:iCs/>
        </w:rPr>
        <w:t>07.12.2023. FM atzinums</w:t>
      </w:r>
      <w:r w:rsidR="295D119B" w:rsidRPr="0343EF15">
        <w:rPr>
          <w:rFonts w:ascii="Times New Roman" w:eastAsia="Times New Roman" w:hAnsi="Times New Roman" w:cs="Times New Roman"/>
        </w:rPr>
        <w:t>)</w:t>
      </w:r>
      <w:r w:rsidRPr="0343EF15">
        <w:rPr>
          <w:rFonts w:ascii="Times New Roman" w:eastAsia="Times New Roman" w:hAnsi="Times New Roman" w:cs="Times New Roman"/>
        </w:rPr>
        <w:t>.</w:t>
      </w:r>
    </w:p>
    <w:p w14:paraId="46D9F90F" w14:textId="3FED3110" w:rsidR="00EF5282" w:rsidRDefault="272C6191" w:rsidP="0343EF15">
      <w:pPr>
        <w:pStyle w:val="ListParagraph"/>
        <w:numPr>
          <w:ilvl w:val="0"/>
          <w:numId w:val="1"/>
        </w:numPr>
        <w:jc w:val="both"/>
        <w:rPr>
          <w:rFonts w:ascii="Times New Roman" w:eastAsia="Times New Roman" w:hAnsi="Times New Roman" w:cs="Times New Roman"/>
        </w:rPr>
      </w:pPr>
      <w:r w:rsidRPr="0343EF15">
        <w:rPr>
          <w:rFonts w:ascii="Times New Roman" w:eastAsia="Times New Roman" w:hAnsi="Times New Roman" w:cs="Times New Roman"/>
        </w:rPr>
        <w:t>Informatīvā ziņojuma 2.sadaļā Turpmākā rīcība un priekšlikumi norādīts, ka  AS "LVM" paredz 2025. gadā veikt dividenžu maksājumu 33 milj.</w:t>
      </w:r>
      <w:r w:rsidRPr="0343EF15">
        <w:rPr>
          <w:rFonts w:ascii="Times New Roman" w:eastAsia="Times New Roman" w:hAnsi="Times New Roman" w:cs="Times New Roman"/>
          <w:i/>
          <w:iCs/>
        </w:rPr>
        <w:t>eiro</w:t>
      </w:r>
      <w:r w:rsidRPr="0343EF15">
        <w:rPr>
          <w:rFonts w:ascii="Times New Roman" w:eastAsia="Times New Roman" w:hAnsi="Times New Roman" w:cs="Times New Roman"/>
        </w:rPr>
        <w:t xml:space="preserve"> apmērā. Norādām, ka minētais dividenžu maksājums nevar būt mazāks par likumprojekta "Par valsts budžetu 2024. gadam un budžeta ietvaru 2024., 2025. un 2026. gadam" 24.pantā noteikto - 58,6 milj.</w:t>
      </w:r>
      <w:r w:rsidRPr="0343EF15">
        <w:rPr>
          <w:rFonts w:ascii="Times New Roman" w:eastAsia="Times New Roman" w:hAnsi="Times New Roman" w:cs="Times New Roman"/>
          <w:i/>
          <w:iCs/>
        </w:rPr>
        <w:t>eiro</w:t>
      </w:r>
      <w:r w:rsidRPr="0343EF15">
        <w:rPr>
          <w:rFonts w:ascii="Times New Roman" w:eastAsia="Times New Roman" w:hAnsi="Times New Roman" w:cs="Times New Roman"/>
        </w:rPr>
        <w:t xml:space="preserve"> apmērā</w:t>
      </w:r>
      <w:r w:rsidR="295D119B" w:rsidRPr="0343EF15">
        <w:rPr>
          <w:rFonts w:ascii="Times New Roman" w:eastAsia="Times New Roman" w:hAnsi="Times New Roman" w:cs="Times New Roman"/>
        </w:rPr>
        <w:t xml:space="preserve"> (</w:t>
      </w:r>
      <w:r w:rsidR="295D119B" w:rsidRPr="0343EF15">
        <w:rPr>
          <w:rFonts w:ascii="Times New Roman" w:eastAsia="Times New Roman" w:hAnsi="Times New Roman" w:cs="Times New Roman"/>
          <w:i/>
          <w:iCs/>
        </w:rPr>
        <w:t>14.12.2023. FM atzinums</w:t>
      </w:r>
      <w:r w:rsidR="295D119B" w:rsidRPr="0343EF15">
        <w:rPr>
          <w:rFonts w:ascii="Times New Roman" w:eastAsia="Times New Roman" w:hAnsi="Times New Roman" w:cs="Times New Roman"/>
        </w:rPr>
        <w:t>).</w:t>
      </w:r>
    </w:p>
    <w:p w14:paraId="2443B178" w14:textId="24DA0499" w:rsidR="000B2567" w:rsidRDefault="1412D799" w:rsidP="0343EF15">
      <w:pPr>
        <w:pStyle w:val="Subtitle"/>
        <w:rPr>
          <w:rFonts w:ascii="Times New Roman" w:eastAsia="Times New Roman" w:hAnsi="Times New Roman" w:cs="Times New Roman"/>
          <w:color w:val="auto"/>
          <w:sz w:val="24"/>
          <w:szCs w:val="24"/>
        </w:rPr>
      </w:pPr>
      <w:r w:rsidRPr="0343EF15">
        <w:rPr>
          <w:rFonts w:ascii="Times New Roman" w:eastAsia="Times New Roman" w:hAnsi="Times New Roman" w:cs="Times New Roman"/>
          <w:color w:val="auto"/>
          <w:sz w:val="24"/>
          <w:szCs w:val="24"/>
        </w:rPr>
        <w:t>Secinājums</w:t>
      </w:r>
    </w:p>
    <w:p w14:paraId="215C7E4F" w14:textId="0FFBC6BD" w:rsidR="000B2567" w:rsidRDefault="1412D799" w:rsidP="0343EF15">
      <w:pPr>
        <w:pStyle w:val="ListParagraph"/>
        <w:numPr>
          <w:ilvl w:val="0"/>
          <w:numId w:val="2"/>
        </w:numPr>
        <w:jc w:val="both"/>
        <w:rPr>
          <w:rFonts w:ascii="Times New Roman" w:eastAsia="Times New Roman" w:hAnsi="Times New Roman" w:cs="Times New Roman"/>
        </w:rPr>
      </w:pPr>
      <w:r w:rsidRPr="0343EF15">
        <w:rPr>
          <w:rFonts w:ascii="Times New Roman" w:eastAsia="Times New Roman" w:hAnsi="Times New Roman" w:cs="Times New Roman"/>
        </w:rPr>
        <w:t xml:space="preserve">LVM dividendēs izmaksātā peļņas daļa pēdējos gados (par 2021.-2024.pārskata gadiem) ir bijusi vienāda vai lielāka par vispārējā kārtībā noteikto daļu un salīdzinājumā ar citām valsts kapitālsabiedrībām tā nav </w:t>
      </w:r>
      <w:r w:rsidR="0B20E066" w:rsidRPr="0343EF15">
        <w:rPr>
          <w:rFonts w:ascii="Times New Roman" w:eastAsia="Times New Roman" w:hAnsi="Times New Roman" w:cs="Times New Roman"/>
        </w:rPr>
        <w:t>bijusi</w:t>
      </w:r>
      <w:r w:rsidRPr="0343EF15">
        <w:rPr>
          <w:rFonts w:ascii="Times New Roman" w:eastAsia="Times New Roman" w:hAnsi="Times New Roman" w:cs="Times New Roman"/>
        </w:rPr>
        <w:t xml:space="preserve"> mazāk</w:t>
      </w:r>
      <w:r w:rsidR="0B20E066" w:rsidRPr="0343EF15">
        <w:rPr>
          <w:rFonts w:ascii="Times New Roman" w:eastAsia="Times New Roman" w:hAnsi="Times New Roman" w:cs="Times New Roman"/>
        </w:rPr>
        <w:t>a</w:t>
      </w:r>
      <w:r w:rsidRPr="0343EF15">
        <w:rPr>
          <w:rFonts w:ascii="Times New Roman" w:eastAsia="Times New Roman" w:hAnsi="Times New Roman" w:cs="Times New Roman"/>
        </w:rPr>
        <w:t xml:space="preserve"> kā likumā ir bijis noteikts.</w:t>
      </w:r>
    </w:p>
    <w:p w14:paraId="1C5D5FB9" w14:textId="0F1DC20D" w:rsidR="00CA66F5" w:rsidRDefault="31D95F5F" w:rsidP="0343EF15">
      <w:pPr>
        <w:pStyle w:val="ListParagraph"/>
        <w:numPr>
          <w:ilvl w:val="0"/>
          <w:numId w:val="2"/>
        </w:numPr>
        <w:jc w:val="both"/>
        <w:rPr>
          <w:rFonts w:ascii="Times New Roman" w:eastAsia="Times New Roman" w:hAnsi="Times New Roman" w:cs="Times New Roman"/>
        </w:rPr>
      </w:pPr>
      <w:r w:rsidRPr="0343EF15">
        <w:rPr>
          <w:rFonts w:ascii="Times New Roman" w:eastAsia="Times New Roman" w:hAnsi="Times New Roman" w:cs="Times New Roman"/>
        </w:rPr>
        <w:t xml:space="preserve">Nav </w:t>
      </w:r>
      <w:r w:rsidR="3A07D661" w:rsidRPr="0343EF15">
        <w:rPr>
          <w:rFonts w:ascii="Times New Roman" w:eastAsia="Times New Roman" w:hAnsi="Times New Roman" w:cs="Times New Roman"/>
        </w:rPr>
        <w:t xml:space="preserve">gūti </w:t>
      </w:r>
      <w:r w:rsidRPr="0343EF15">
        <w:rPr>
          <w:rFonts w:ascii="Times New Roman" w:eastAsia="Times New Roman" w:hAnsi="Times New Roman" w:cs="Times New Roman"/>
        </w:rPr>
        <w:t>pierādījum</w:t>
      </w:r>
      <w:r w:rsidR="3A07D661" w:rsidRPr="0343EF15">
        <w:rPr>
          <w:rFonts w:ascii="Times New Roman" w:eastAsia="Times New Roman" w:hAnsi="Times New Roman" w:cs="Times New Roman"/>
        </w:rPr>
        <w:t>i</w:t>
      </w:r>
      <w:r w:rsidRPr="0343EF15">
        <w:rPr>
          <w:rFonts w:ascii="Times New Roman" w:eastAsia="Times New Roman" w:hAnsi="Times New Roman" w:cs="Times New Roman"/>
        </w:rPr>
        <w:t xml:space="preserve">, ka gadījumā, ja Ministru kabinetā netiktu pieņemts lēmums par </w:t>
      </w:r>
      <w:r w:rsidR="3A07D661" w:rsidRPr="0343EF15">
        <w:rPr>
          <w:rFonts w:ascii="Times New Roman" w:eastAsia="Times New Roman" w:hAnsi="Times New Roman" w:cs="Times New Roman"/>
        </w:rPr>
        <w:t>izmaiņām</w:t>
      </w:r>
      <w:r w:rsidRPr="0343EF15">
        <w:rPr>
          <w:rFonts w:ascii="Times New Roman" w:eastAsia="Times New Roman" w:hAnsi="Times New Roman" w:cs="Times New Roman"/>
        </w:rPr>
        <w:t xml:space="preserve">, LVM ieņēmumi un/vai peļņa būtu pieauguši. </w:t>
      </w:r>
      <w:r w:rsidR="3A07D661" w:rsidRPr="0343EF15">
        <w:rPr>
          <w:rFonts w:ascii="Times New Roman" w:eastAsia="Times New Roman" w:hAnsi="Times New Roman" w:cs="Times New Roman"/>
        </w:rPr>
        <w:t>Labas saimnieciskās pārvaldības rezultātā tiek nodrošināta efektīva resursu izmantošana un ieņēmumu pieaugums, kas rada iespēju šos ieņēmumus mērķtiecīgi novirzīt ieguldījumiem un investīcijām, kā arī citu stratēģisku mērķu īstenošanai. Vienlaikus jāņem vērā, ka īstermiņā šādi ieguldījumi un investīcijas var samazināt peļņas rādītājus, tomēr ilgtermiņā tie veicina uzņēmuma ilgtspējīgu attīstību, darbības efektivitātes pieaugumu un konkurētspējas nostiprināšanu.</w:t>
      </w:r>
    </w:p>
    <w:p w14:paraId="2597AC57" w14:textId="38383F47" w:rsidR="00597D0A" w:rsidRDefault="21048652" w:rsidP="0343EF15">
      <w:pPr>
        <w:pStyle w:val="Subtitle"/>
        <w:rPr>
          <w:rFonts w:ascii="Times New Roman" w:eastAsia="Times New Roman" w:hAnsi="Times New Roman" w:cs="Times New Roman"/>
          <w:b/>
          <w:bCs/>
          <w:color w:val="auto"/>
        </w:rPr>
      </w:pPr>
      <w:r w:rsidRPr="0343EF15">
        <w:rPr>
          <w:rFonts w:ascii="Times New Roman" w:eastAsia="Times New Roman" w:hAnsi="Times New Roman" w:cs="Times New Roman"/>
          <w:b/>
          <w:bCs/>
          <w:color w:val="auto"/>
        </w:rPr>
        <w:t>Papildu informācija par ZM scenārijiem</w:t>
      </w:r>
      <w:r w:rsidR="6C955FC6" w:rsidRPr="0343EF15">
        <w:rPr>
          <w:rFonts w:ascii="Times New Roman" w:eastAsia="Times New Roman" w:hAnsi="Times New Roman" w:cs="Times New Roman"/>
          <w:b/>
          <w:bCs/>
          <w:color w:val="auto"/>
        </w:rPr>
        <w:t xml:space="preserve"> </w:t>
      </w:r>
    </w:p>
    <w:p w14:paraId="1DD3B30D" w14:textId="4A0C2AD6" w:rsidR="00597D0A" w:rsidRDefault="21048652"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Zemkopības ministrija savā 23.12.2025. vēstulē Nr.3.3-2e/2217/2025, kas adresēta Ministru prezidentei, analizē 3 scenārijus samazinoties nodarbināto skaitam ar mežsaimniecību saistītajos uzņēmumos. Samazinājums tiek vērtēts  iedzīvotāju ienākumu nodokļa (turpmāk – IIN) un valsts sociālās apdrošināšanas obligāto iemaksu (turpmāk – VSAOI) ieņēmumos, kā arī vērtējot lielāku slogu uz valsts sociālo budžetu, jo uzņēmumi būtu spiesti samazināt darbinieku skaitu.</w:t>
      </w:r>
    </w:p>
    <w:p w14:paraId="1308DC17" w14:textId="71393E6E" w:rsidR="00604C98" w:rsidRPr="002E6805" w:rsidRDefault="21048652"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Finanšu ministrijas ieskatā ZM vērtējums ir pārvērtēts</w:t>
      </w:r>
      <w:r w:rsidR="43E26F00" w:rsidRPr="0343EF15">
        <w:rPr>
          <w:rFonts w:ascii="Times New Roman" w:eastAsia="Times New Roman" w:hAnsi="Times New Roman" w:cs="Times New Roman"/>
        </w:rPr>
        <w:t xml:space="preserve">, jo nodarbinātības riski </w:t>
      </w:r>
      <w:r w:rsidR="1B1DB2D0" w:rsidRPr="0343EF15">
        <w:rPr>
          <w:rFonts w:ascii="Times New Roman" w:eastAsia="Times New Roman" w:hAnsi="Times New Roman" w:cs="Times New Roman"/>
        </w:rPr>
        <w:t>šajā gadījumā</w:t>
      </w:r>
      <w:r w:rsidR="43E26F00" w:rsidRPr="0343EF15">
        <w:rPr>
          <w:rFonts w:ascii="Times New Roman" w:eastAsia="Times New Roman" w:hAnsi="Times New Roman" w:cs="Times New Roman"/>
        </w:rPr>
        <w:t xml:space="preserve"> ir salīdzinoši zemi</w:t>
      </w:r>
      <w:r w:rsidR="1B1DB2D0" w:rsidRPr="0343EF15">
        <w:rPr>
          <w:rFonts w:ascii="Times New Roman" w:eastAsia="Times New Roman" w:hAnsi="Times New Roman" w:cs="Times New Roman"/>
        </w:rPr>
        <w:t>.</w:t>
      </w:r>
    </w:p>
    <w:p w14:paraId="283260B3" w14:textId="6CA50DA1" w:rsidR="00FF3B96" w:rsidRPr="002E6805" w:rsidRDefault="43E26F00"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lastRenderedPageBreak/>
        <w:t>Vērtējot situāciju darba tirgū, secināms, ka darbaspēka pieprasījums valstī ir augsts, savukārt pieejamo darbavietu skaits pārsniedz pieejamā darbaspēka apjomu. Ierobežotais darbaspēka resurss veicina konkurenci starp darba devējiem par darbinieku piesaisti, tādējādi palielinot nodarbinātības elastību un samazinot risku, ka darba zaudēšanas gadījumā nodarbinātajiem varētu rasties būtiskas grūtības atrast jaunu darbu.</w:t>
      </w:r>
    </w:p>
    <w:p w14:paraId="183445FE" w14:textId="2173BBEE" w:rsidR="00FF3B96" w:rsidRDefault="43E26F00"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Šādos apstākļos uzņēmumu darbības izmaiņas, tostarp atsevišķu uzņēmumu slēgšanās vai darbības samazināšana, neizraisa ilgstošu bezdarbu, jo darba tirgū pastāv pietiekams alternatīvu darbavietu piedāvājums. Praksē tas nozīmē, ka, pārtraucot darbību vienam uzņēmumam, darbaspēks relatīvi īsā laikā tiek absorbēts citos uzņēmumos vai nozarēs, kurās vērojams darbaspēka trūkums</w:t>
      </w:r>
      <w:r w:rsidR="1B1DB2D0" w:rsidRPr="0343EF15">
        <w:rPr>
          <w:rFonts w:ascii="Times New Roman" w:eastAsia="Times New Roman" w:hAnsi="Times New Roman" w:cs="Times New Roman"/>
        </w:rPr>
        <w:t>.</w:t>
      </w:r>
    </w:p>
    <w:p w14:paraId="3C14A32E" w14:textId="02F5F3A3" w:rsidR="00604C98" w:rsidRDefault="1B1DB2D0"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Līdz ar to ZM vērtējums par darbaspēka nodokļu iespējamo samazinājumu ir vērtējams piesardzīgi.</w:t>
      </w:r>
    </w:p>
    <w:p w14:paraId="2C296288" w14:textId="725CEBCE" w:rsidR="00604C98" w:rsidRDefault="1B1DB2D0" w:rsidP="0343EF15">
      <w:pPr>
        <w:ind w:firstLine="720"/>
        <w:jc w:val="both"/>
        <w:rPr>
          <w:rFonts w:ascii="Times New Roman" w:eastAsia="Times New Roman" w:hAnsi="Times New Roman" w:cs="Times New Roman"/>
        </w:rPr>
      </w:pPr>
      <w:r w:rsidRPr="0343EF15">
        <w:rPr>
          <w:rFonts w:ascii="Times New Roman" w:eastAsia="Times New Roman" w:hAnsi="Times New Roman" w:cs="Times New Roman"/>
        </w:rPr>
        <w:t xml:space="preserve">FM vērtējumā fiskālā ietekme </w:t>
      </w:r>
      <w:r w:rsidR="21DFA987" w:rsidRPr="0343EF15">
        <w:rPr>
          <w:rFonts w:ascii="Times New Roman" w:eastAsia="Times New Roman" w:hAnsi="Times New Roman" w:cs="Times New Roman"/>
        </w:rPr>
        <w:t xml:space="preserve">paredzama īstermiņā, </w:t>
      </w:r>
      <w:r w:rsidR="61637425" w:rsidRPr="0343EF15">
        <w:rPr>
          <w:rFonts w:ascii="Times New Roman" w:eastAsia="Times New Roman" w:hAnsi="Times New Roman" w:cs="Times New Roman"/>
        </w:rPr>
        <w:t xml:space="preserve">un aplēstā ietekme ir tieša un ierobežota — tā attiecas tikai uz informatīvajā ziņojumā minētajiem 11 uzņēmumiem, kas </w:t>
      </w:r>
      <w:r w:rsidR="21DFA987" w:rsidRPr="0343EF15">
        <w:rPr>
          <w:rFonts w:ascii="Times New Roman" w:eastAsia="Times New Roman" w:hAnsi="Times New Roman" w:cs="Times New Roman"/>
        </w:rPr>
        <w:t>1. scenārijā (nodarbinātības samazinājums par 7 %) varētu veidot negatīvu fiskālo efektu –1,6 milj. euro apmērā gadā jeb 3,3 milj. euro divu gadu periodā, savukārt 3. scenārijā (nodarbinātības samazinājums par 39 %) – līdz –9,0 milj. euro gadā jeb 18,5 milj. euro divu gadu periodā.</w:t>
      </w:r>
    </w:p>
    <w:p w14:paraId="667B3B16" w14:textId="7B365BFC" w:rsidR="00A1356C" w:rsidRDefault="1A66BF30" w:rsidP="0343EF15">
      <w:pPr>
        <w:spacing w:after="0" w:line="240" w:lineRule="auto"/>
        <w:jc w:val="center"/>
        <w:rPr>
          <w:rFonts w:ascii="Times New Roman" w:eastAsia="Times New Roman" w:hAnsi="Times New Roman" w:cs="Times New Roman"/>
          <w:b/>
          <w:bCs/>
        </w:rPr>
      </w:pPr>
      <w:r w:rsidRPr="0343EF15">
        <w:rPr>
          <w:rFonts w:ascii="Times New Roman" w:eastAsia="Times New Roman" w:hAnsi="Times New Roman" w:cs="Times New Roman"/>
          <w:b/>
          <w:bCs/>
        </w:rPr>
        <w:t>Fiskālo ietekmju salīdzinājums (ietekme tikai uz IIN un SOC</w:t>
      </w:r>
      <w:r w:rsidR="122B0EB3" w:rsidRPr="0343EF15">
        <w:rPr>
          <w:rFonts w:ascii="Times New Roman" w:eastAsia="Times New Roman" w:hAnsi="Times New Roman" w:cs="Times New Roman"/>
          <w:b/>
          <w:bCs/>
        </w:rPr>
        <w:t xml:space="preserve"> 2 gados</w:t>
      </w:r>
      <w:r w:rsidRPr="0343EF15">
        <w:rPr>
          <w:rFonts w:ascii="Times New Roman" w:eastAsia="Times New Roman" w:hAnsi="Times New Roman" w:cs="Times New Roman"/>
          <w:b/>
          <w:bCs/>
        </w:rPr>
        <w:t>)</w:t>
      </w:r>
    </w:p>
    <w:p w14:paraId="46218743" w14:textId="1176FDC4" w:rsidR="004A2C77" w:rsidRPr="004A2C77" w:rsidRDefault="122B0EB3" w:rsidP="0343EF15">
      <w:pPr>
        <w:spacing w:after="0" w:line="240" w:lineRule="auto"/>
        <w:jc w:val="right"/>
        <w:rPr>
          <w:rFonts w:ascii="Times New Roman" w:eastAsia="Times New Roman" w:hAnsi="Times New Roman" w:cs="Times New Roman"/>
          <w:i/>
          <w:iCs/>
        </w:rPr>
      </w:pPr>
      <w:r w:rsidRPr="0343EF15">
        <w:rPr>
          <w:rFonts w:ascii="Times New Roman" w:eastAsia="Times New Roman" w:hAnsi="Times New Roman" w:cs="Times New Roman"/>
          <w:i/>
          <w:iCs/>
        </w:rPr>
        <w:t>Milj.euro</w:t>
      </w:r>
    </w:p>
    <w:tbl>
      <w:tblPr>
        <w:tblW w:w="7650" w:type="dxa"/>
        <w:tblInd w:w="650" w:type="dxa"/>
        <w:tblLook w:val="04A0" w:firstRow="1" w:lastRow="0" w:firstColumn="1" w:lastColumn="0" w:noHBand="0" w:noVBand="1"/>
      </w:tblPr>
      <w:tblGrid>
        <w:gridCol w:w="4700"/>
        <w:gridCol w:w="1532"/>
        <w:gridCol w:w="1418"/>
      </w:tblGrid>
      <w:tr w:rsidR="00A1356C" w:rsidRPr="00A1356C" w14:paraId="796B6006" w14:textId="77777777" w:rsidTr="0343EF15">
        <w:trPr>
          <w:trHeight w:val="700"/>
        </w:trPr>
        <w:tc>
          <w:tcPr>
            <w:tcW w:w="4700" w:type="dxa"/>
            <w:tcBorders>
              <w:top w:val="single" w:sz="4" w:space="0" w:color="62A39F"/>
              <w:left w:val="single" w:sz="4" w:space="0" w:color="62A39F"/>
              <w:bottom w:val="single" w:sz="8" w:space="0" w:color="62A39F"/>
              <w:right w:val="single" w:sz="4" w:space="0" w:color="62A39F"/>
            </w:tcBorders>
            <w:noWrap/>
            <w:vAlign w:val="center"/>
            <w:hideMark/>
          </w:tcPr>
          <w:p w14:paraId="4778CB6E" w14:textId="5D8688A2" w:rsidR="00A1356C" w:rsidRPr="00A1356C" w:rsidRDefault="1A66BF30" w:rsidP="0343EF15">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343EF15">
              <w:rPr>
                <w:rFonts w:ascii="Times New Roman" w:eastAsia="Times New Roman" w:hAnsi="Times New Roman" w:cs="Times New Roman"/>
                <w:b/>
                <w:bCs/>
                <w:color w:val="000000"/>
                <w:kern w:val="0"/>
                <w:sz w:val="22"/>
                <w:szCs w:val="22"/>
                <w:lang w:eastAsia="lv-LV"/>
                <w14:ligatures w14:val="none"/>
              </w:rPr>
              <w:t>Scenārijs</w:t>
            </w:r>
          </w:p>
        </w:tc>
        <w:tc>
          <w:tcPr>
            <w:tcW w:w="1532" w:type="dxa"/>
            <w:tcBorders>
              <w:top w:val="single" w:sz="4" w:space="0" w:color="62A39F"/>
              <w:left w:val="single" w:sz="4" w:space="0" w:color="62A39F"/>
              <w:bottom w:val="single" w:sz="8" w:space="0" w:color="62A39F"/>
              <w:right w:val="single" w:sz="4" w:space="0" w:color="62A39F"/>
            </w:tcBorders>
            <w:vAlign w:val="center"/>
            <w:hideMark/>
          </w:tcPr>
          <w:p w14:paraId="16B9062B" w14:textId="77777777" w:rsidR="00A1356C" w:rsidRDefault="1A66BF30" w:rsidP="0343EF15">
            <w:pPr>
              <w:spacing w:after="0" w:line="240" w:lineRule="auto"/>
              <w:jc w:val="center"/>
              <w:rPr>
                <w:rFonts w:ascii="Times New Roman" w:eastAsia="Times New Roman" w:hAnsi="Times New Roman" w:cs="Times New Roman"/>
                <w:b/>
                <w:bCs/>
                <w:kern w:val="0"/>
                <w:sz w:val="18"/>
                <w:szCs w:val="18"/>
                <w:lang w:eastAsia="lv-LV"/>
                <w14:ligatures w14:val="none"/>
              </w:rPr>
            </w:pPr>
            <w:r w:rsidRPr="0343EF15">
              <w:rPr>
                <w:rFonts w:ascii="Times New Roman" w:eastAsia="Times New Roman" w:hAnsi="Times New Roman" w:cs="Times New Roman"/>
                <w:b/>
                <w:bCs/>
                <w:kern w:val="0"/>
                <w:sz w:val="18"/>
                <w:szCs w:val="18"/>
                <w:lang w:eastAsia="lv-LV"/>
                <w14:ligatures w14:val="none"/>
              </w:rPr>
              <w:t>FM</w:t>
            </w:r>
          </w:p>
          <w:p w14:paraId="002121B1" w14:textId="0E9C2160" w:rsidR="00A1356C" w:rsidRPr="00A1356C" w:rsidRDefault="1A66BF30" w:rsidP="0343EF15">
            <w:pPr>
              <w:spacing w:after="0" w:line="240" w:lineRule="auto"/>
              <w:jc w:val="center"/>
              <w:rPr>
                <w:rFonts w:ascii="Times New Roman" w:eastAsia="Times New Roman" w:hAnsi="Times New Roman" w:cs="Times New Roman"/>
                <w:kern w:val="0"/>
                <w:sz w:val="18"/>
                <w:szCs w:val="18"/>
                <w:lang w:eastAsia="lv-LV"/>
                <w14:ligatures w14:val="none"/>
              </w:rPr>
            </w:pPr>
            <w:r w:rsidRPr="0343EF15">
              <w:rPr>
                <w:rFonts w:ascii="Times New Roman" w:eastAsia="Times New Roman" w:hAnsi="Times New Roman" w:cs="Times New Roman"/>
                <w:kern w:val="0"/>
                <w:sz w:val="18"/>
                <w:szCs w:val="18"/>
                <w:lang w:eastAsia="lv-LV"/>
                <w14:ligatures w14:val="none"/>
              </w:rPr>
              <w:t>fiskālā ietekme</w:t>
            </w:r>
          </w:p>
        </w:tc>
        <w:tc>
          <w:tcPr>
            <w:tcW w:w="1418" w:type="dxa"/>
            <w:tcBorders>
              <w:top w:val="single" w:sz="4" w:space="0" w:color="62A39F"/>
              <w:left w:val="single" w:sz="4" w:space="0" w:color="62A39F"/>
              <w:bottom w:val="single" w:sz="8" w:space="0" w:color="62A39F"/>
              <w:right w:val="single" w:sz="4" w:space="0" w:color="62A39F"/>
            </w:tcBorders>
            <w:vAlign w:val="center"/>
            <w:hideMark/>
          </w:tcPr>
          <w:p w14:paraId="459FC8AC" w14:textId="77777777" w:rsidR="00A1356C" w:rsidRDefault="1A66BF30" w:rsidP="0343EF15">
            <w:pPr>
              <w:spacing w:after="0" w:line="240" w:lineRule="auto"/>
              <w:jc w:val="center"/>
              <w:rPr>
                <w:rFonts w:ascii="Times New Roman" w:eastAsia="Times New Roman" w:hAnsi="Times New Roman" w:cs="Times New Roman"/>
                <w:b/>
                <w:bCs/>
                <w:kern w:val="0"/>
                <w:sz w:val="18"/>
                <w:szCs w:val="18"/>
                <w:lang w:eastAsia="lv-LV"/>
                <w14:ligatures w14:val="none"/>
              </w:rPr>
            </w:pPr>
            <w:r w:rsidRPr="0343EF15">
              <w:rPr>
                <w:rFonts w:ascii="Times New Roman" w:eastAsia="Times New Roman" w:hAnsi="Times New Roman" w:cs="Times New Roman"/>
                <w:b/>
                <w:bCs/>
                <w:kern w:val="0"/>
                <w:sz w:val="18"/>
                <w:szCs w:val="18"/>
                <w:lang w:eastAsia="lv-LV"/>
                <w14:ligatures w14:val="none"/>
              </w:rPr>
              <w:t>ZM</w:t>
            </w:r>
          </w:p>
          <w:p w14:paraId="121637E7" w14:textId="322B63C8" w:rsidR="00A1356C" w:rsidRPr="00A1356C" w:rsidRDefault="1A66BF30" w:rsidP="0343EF15">
            <w:pPr>
              <w:spacing w:after="0" w:line="240" w:lineRule="auto"/>
              <w:jc w:val="center"/>
              <w:rPr>
                <w:rFonts w:ascii="Times New Roman" w:eastAsia="Times New Roman" w:hAnsi="Times New Roman" w:cs="Times New Roman"/>
                <w:kern w:val="0"/>
                <w:sz w:val="18"/>
                <w:szCs w:val="18"/>
                <w:lang w:eastAsia="lv-LV"/>
                <w14:ligatures w14:val="none"/>
              </w:rPr>
            </w:pPr>
            <w:r w:rsidRPr="0343EF15">
              <w:rPr>
                <w:rFonts w:ascii="Times New Roman" w:eastAsia="Times New Roman" w:hAnsi="Times New Roman" w:cs="Times New Roman"/>
                <w:kern w:val="0"/>
                <w:sz w:val="18"/>
                <w:szCs w:val="18"/>
                <w:lang w:eastAsia="lv-LV"/>
                <w14:ligatures w14:val="none"/>
              </w:rPr>
              <w:t>fiskālā ietekme</w:t>
            </w:r>
          </w:p>
        </w:tc>
      </w:tr>
      <w:tr w:rsidR="00A1356C" w:rsidRPr="00A1356C" w14:paraId="4EA7D213" w14:textId="77777777" w:rsidTr="0343EF15">
        <w:trPr>
          <w:trHeight w:val="290"/>
        </w:trPr>
        <w:tc>
          <w:tcPr>
            <w:tcW w:w="4700" w:type="dxa"/>
            <w:tcBorders>
              <w:top w:val="single" w:sz="4" w:space="0" w:color="62A39F"/>
              <w:left w:val="single" w:sz="4" w:space="0" w:color="62A39F"/>
              <w:bottom w:val="single" w:sz="4" w:space="0" w:color="62A39F"/>
              <w:right w:val="single" w:sz="4" w:space="0" w:color="62A39F"/>
            </w:tcBorders>
            <w:shd w:val="clear" w:color="auto" w:fill="DFECEB"/>
            <w:noWrap/>
            <w:vAlign w:val="bottom"/>
            <w:hideMark/>
          </w:tcPr>
          <w:p w14:paraId="274FBCD9" w14:textId="77777777" w:rsidR="00A1356C" w:rsidRPr="00A1356C" w:rsidRDefault="1A66BF30" w:rsidP="0343EF15">
            <w:pPr>
              <w:spacing w:after="0" w:line="240" w:lineRule="auto"/>
              <w:rPr>
                <w:rFonts w:ascii="Times New Roman" w:eastAsia="Times New Roman" w:hAnsi="Times New Roman" w:cs="Times New Roman"/>
                <w:color w:val="000000"/>
                <w:kern w:val="0"/>
                <w:sz w:val="22"/>
                <w:szCs w:val="22"/>
                <w:lang w:eastAsia="lv-LV"/>
                <w14:ligatures w14:val="none"/>
              </w:rPr>
            </w:pPr>
            <w:r w:rsidRPr="0343EF15">
              <w:rPr>
                <w:rFonts w:ascii="Times New Roman" w:eastAsia="Times New Roman" w:hAnsi="Times New Roman" w:cs="Times New Roman"/>
                <w:color w:val="000000"/>
                <w:kern w:val="0"/>
                <w:sz w:val="22"/>
                <w:szCs w:val="22"/>
                <w:lang w:eastAsia="lv-LV"/>
                <w14:ligatures w14:val="none"/>
              </w:rPr>
              <w:t xml:space="preserve">1. scen. Nodarbinātības samazinājums </w:t>
            </w:r>
            <w:r w:rsidRPr="0343EF15">
              <w:rPr>
                <w:rFonts w:ascii="Times New Roman" w:eastAsia="Times New Roman" w:hAnsi="Times New Roman" w:cs="Times New Roman"/>
                <w:b/>
                <w:bCs/>
                <w:color w:val="FF0000"/>
                <w:kern w:val="0"/>
                <w:sz w:val="22"/>
                <w:szCs w:val="22"/>
                <w:lang w:eastAsia="lv-LV"/>
                <w14:ligatures w14:val="none"/>
              </w:rPr>
              <w:t>-7%</w:t>
            </w:r>
          </w:p>
        </w:tc>
        <w:tc>
          <w:tcPr>
            <w:tcW w:w="1532" w:type="dxa"/>
            <w:tcBorders>
              <w:top w:val="single" w:sz="4" w:space="0" w:color="62A39F"/>
              <w:left w:val="single" w:sz="4" w:space="0" w:color="62A39F"/>
              <w:bottom w:val="single" w:sz="4" w:space="0" w:color="62A39F"/>
              <w:right w:val="single" w:sz="4" w:space="0" w:color="62A39F"/>
            </w:tcBorders>
            <w:shd w:val="clear" w:color="auto" w:fill="DFECEB"/>
            <w:noWrap/>
            <w:vAlign w:val="center"/>
            <w:hideMark/>
          </w:tcPr>
          <w:p w14:paraId="390CA7D3" w14:textId="77777777" w:rsidR="00A1356C" w:rsidRPr="00A1356C" w:rsidRDefault="1A66BF30" w:rsidP="0343EF15">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343EF15">
              <w:rPr>
                <w:rFonts w:ascii="Times New Roman" w:eastAsia="Times New Roman" w:hAnsi="Times New Roman" w:cs="Times New Roman"/>
                <w:color w:val="000000"/>
                <w:kern w:val="0"/>
                <w:sz w:val="22"/>
                <w:szCs w:val="22"/>
                <w:lang w:eastAsia="lv-LV"/>
                <w14:ligatures w14:val="none"/>
              </w:rPr>
              <w:t>-3,3</w:t>
            </w:r>
          </w:p>
        </w:tc>
        <w:tc>
          <w:tcPr>
            <w:tcW w:w="1418" w:type="dxa"/>
            <w:tcBorders>
              <w:top w:val="single" w:sz="4" w:space="0" w:color="62A39F"/>
              <w:left w:val="single" w:sz="4" w:space="0" w:color="62A39F"/>
              <w:bottom w:val="single" w:sz="4" w:space="0" w:color="62A39F"/>
              <w:right w:val="single" w:sz="4" w:space="0" w:color="62A39F"/>
            </w:tcBorders>
            <w:shd w:val="clear" w:color="auto" w:fill="DFECEB"/>
            <w:noWrap/>
            <w:vAlign w:val="center"/>
            <w:hideMark/>
          </w:tcPr>
          <w:p w14:paraId="358F1F12" w14:textId="0BC6F7CB" w:rsidR="00A1356C" w:rsidRPr="00A1356C" w:rsidRDefault="1A66BF30" w:rsidP="0343EF15">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343EF15">
              <w:rPr>
                <w:rFonts w:ascii="Times New Roman" w:eastAsia="Times New Roman" w:hAnsi="Times New Roman" w:cs="Times New Roman"/>
                <w:color w:val="000000"/>
                <w:kern w:val="0"/>
                <w:sz w:val="22"/>
                <w:szCs w:val="22"/>
                <w:lang w:eastAsia="lv-LV"/>
                <w14:ligatures w14:val="none"/>
              </w:rPr>
              <w:t>-12,0</w:t>
            </w:r>
          </w:p>
        </w:tc>
      </w:tr>
      <w:tr w:rsidR="00A1356C" w:rsidRPr="00A1356C" w14:paraId="7F02ED2B" w14:textId="77777777" w:rsidTr="0343EF15">
        <w:trPr>
          <w:trHeight w:val="290"/>
        </w:trPr>
        <w:tc>
          <w:tcPr>
            <w:tcW w:w="4700" w:type="dxa"/>
            <w:tcBorders>
              <w:top w:val="single" w:sz="4" w:space="0" w:color="62A39F"/>
              <w:left w:val="single" w:sz="4" w:space="0" w:color="62A39F"/>
              <w:bottom w:val="single" w:sz="4" w:space="0" w:color="62A39F"/>
              <w:right w:val="single" w:sz="4" w:space="0" w:color="62A39F"/>
            </w:tcBorders>
            <w:noWrap/>
            <w:vAlign w:val="bottom"/>
            <w:hideMark/>
          </w:tcPr>
          <w:p w14:paraId="17330942" w14:textId="77777777" w:rsidR="00A1356C" w:rsidRPr="00A1356C" w:rsidRDefault="1A66BF30" w:rsidP="0343EF15">
            <w:pPr>
              <w:spacing w:after="0" w:line="240" w:lineRule="auto"/>
              <w:rPr>
                <w:rFonts w:ascii="Times New Roman" w:eastAsia="Times New Roman" w:hAnsi="Times New Roman" w:cs="Times New Roman"/>
                <w:color w:val="000000"/>
                <w:kern w:val="0"/>
                <w:sz w:val="22"/>
                <w:szCs w:val="22"/>
                <w:lang w:eastAsia="lv-LV"/>
                <w14:ligatures w14:val="none"/>
              </w:rPr>
            </w:pPr>
            <w:r w:rsidRPr="0343EF15">
              <w:rPr>
                <w:rFonts w:ascii="Times New Roman" w:eastAsia="Times New Roman" w:hAnsi="Times New Roman" w:cs="Times New Roman"/>
                <w:color w:val="000000"/>
                <w:kern w:val="0"/>
                <w:sz w:val="22"/>
                <w:szCs w:val="22"/>
                <w:lang w:eastAsia="lv-LV"/>
                <w14:ligatures w14:val="none"/>
              </w:rPr>
              <w:t xml:space="preserve">2. scen. Nodarbinātības samazinājums </w:t>
            </w:r>
            <w:r w:rsidRPr="0343EF15">
              <w:rPr>
                <w:rFonts w:ascii="Times New Roman" w:eastAsia="Times New Roman" w:hAnsi="Times New Roman" w:cs="Times New Roman"/>
                <w:b/>
                <w:bCs/>
                <w:color w:val="FF0000"/>
                <w:kern w:val="0"/>
                <w:sz w:val="22"/>
                <w:szCs w:val="22"/>
                <w:lang w:eastAsia="lv-LV"/>
                <w14:ligatures w14:val="none"/>
              </w:rPr>
              <w:t>-21%</w:t>
            </w:r>
          </w:p>
        </w:tc>
        <w:tc>
          <w:tcPr>
            <w:tcW w:w="1532" w:type="dxa"/>
            <w:tcBorders>
              <w:top w:val="single" w:sz="4" w:space="0" w:color="62A39F"/>
              <w:left w:val="single" w:sz="4" w:space="0" w:color="62A39F"/>
              <w:bottom w:val="single" w:sz="4" w:space="0" w:color="62A39F"/>
              <w:right w:val="single" w:sz="4" w:space="0" w:color="62A39F"/>
            </w:tcBorders>
            <w:noWrap/>
            <w:vAlign w:val="center"/>
            <w:hideMark/>
          </w:tcPr>
          <w:p w14:paraId="1BF6E11A" w14:textId="77777777" w:rsidR="00A1356C" w:rsidRPr="00A1356C" w:rsidRDefault="1A66BF30" w:rsidP="0343EF15">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343EF15">
              <w:rPr>
                <w:rFonts w:ascii="Times New Roman" w:eastAsia="Times New Roman" w:hAnsi="Times New Roman" w:cs="Times New Roman"/>
                <w:color w:val="000000"/>
                <w:kern w:val="0"/>
                <w:sz w:val="22"/>
                <w:szCs w:val="22"/>
                <w:lang w:eastAsia="lv-LV"/>
                <w14:ligatures w14:val="none"/>
              </w:rPr>
              <w:t>-9,9</w:t>
            </w:r>
          </w:p>
        </w:tc>
        <w:tc>
          <w:tcPr>
            <w:tcW w:w="1418" w:type="dxa"/>
            <w:tcBorders>
              <w:top w:val="single" w:sz="4" w:space="0" w:color="62A39F"/>
              <w:left w:val="single" w:sz="4" w:space="0" w:color="62A39F"/>
              <w:bottom w:val="single" w:sz="4" w:space="0" w:color="62A39F"/>
              <w:right w:val="single" w:sz="4" w:space="0" w:color="62A39F"/>
            </w:tcBorders>
            <w:noWrap/>
            <w:vAlign w:val="center"/>
            <w:hideMark/>
          </w:tcPr>
          <w:p w14:paraId="692657CB" w14:textId="77777777" w:rsidR="00A1356C" w:rsidRPr="00A1356C" w:rsidRDefault="1A66BF30" w:rsidP="0343EF15">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343EF15">
              <w:rPr>
                <w:rFonts w:ascii="Times New Roman" w:eastAsia="Times New Roman" w:hAnsi="Times New Roman" w:cs="Times New Roman"/>
                <w:color w:val="000000"/>
                <w:kern w:val="0"/>
                <w:sz w:val="22"/>
                <w:szCs w:val="22"/>
                <w:lang w:eastAsia="lv-LV"/>
                <w14:ligatures w14:val="none"/>
              </w:rPr>
              <w:t>-24,7</w:t>
            </w:r>
          </w:p>
        </w:tc>
      </w:tr>
      <w:tr w:rsidR="00A1356C" w:rsidRPr="00A1356C" w14:paraId="1DE42CEF" w14:textId="77777777" w:rsidTr="0343EF15">
        <w:trPr>
          <w:trHeight w:val="290"/>
        </w:trPr>
        <w:tc>
          <w:tcPr>
            <w:tcW w:w="4700" w:type="dxa"/>
            <w:tcBorders>
              <w:top w:val="single" w:sz="4" w:space="0" w:color="62A39F"/>
              <w:left w:val="single" w:sz="4" w:space="0" w:color="62A39F"/>
              <w:bottom w:val="single" w:sz="4" w:space="0" w:color="62A39F"/>
              <w:right w:val="single" w:sz="4" w:space="0" w:color="62A39F"/>
            </w:tcBorders>
            <w:shd w:val="clear" w:color="auto" w:fill="DFECEB"/>
            <w:noWrap/>
            <w:vAlign w:val="bottom"/>
            <w:hideMark/>
          </w:tcPr>
          <w:p w14:paraId="2E519670" w14:textId="77777777" w:rsidR="00A1356C" w:rsidRPr="00A1356C" w:rsidRDefault="1A66BF30" w:rsidP="0343EF15">
            <w:pPr>
              <w:spacing w:after="0" w:line="240" w:lineRule="auto"/>
              <w:rPr>
                <w:rFonts w:ascii="Times New Roman" w:eastAsia="Times New Roman" w:hAnsi="Times New Roman" w:cs="Times New Roman"/>
                <w:color w:val="000000"/>
                <w:kern w:val="0"/>
                <w:sz w:val="22"/>
                <w:szCs w:val="22"/>
                <w:lang w:eastAsia="lv-LV"/>
                <w14:ligatures w14:val="none"/>
              </w:rPr>
            </w:pPr>
            <w:r w:rsidRPr="0343EF15">
              <w:rPr>
                <w:rFonts w:ascii="Times New Roman" w:eastAsia="Times New Roman" w:hAnsi="Times New Roman" w:cs="Times New Roman"/>
                <w:color w:val="000000"/>
                <w:kern w:val="0"/>
                <w:sz w:val="22"/>
                <w:szCs w:val="22"/>
                <w:lang w:eastAsia="lv-LV"/>
                <w14:ligatures w14:val="none"/>
              </w:rPr>
              <w:t xml:space="preserve">3. scen. Nodarbinātības samazinājums </w:t>
            </w:r>
            <w:r w:rsidRPr="0343EF15">
              <w:rPr>
                <w:rFonts w:ascii="Times New Roman" w:eastAsia="Times New Roman" w:hAnsi="Times New Roman" w:cs="Times New Roman"/>
                <w:b/>
                <w:bCs/>
                <w:color w:val="FF0000"/>
                <w:kern w:val="0"/>
                <w:sz w:val="22"/>
                <w:szCs w:val="22"/>
                <w:lang w:eastAsia="lv-LV"/>
                <w14:ligatures w14:val="none"/>
              </w:rPr>
              <w:t>-39%</w:t>
            </w:r>
          </w:p>
        </w:tc>
        <w:tc>
          <w:tcPr>
            <w:tcW w:w="1532" w:type="dxa"/>
            <w:tcBorders>
              <w:top w:val="single" w:sz="4" w:space="0" w:color="62A39F"/>
              <w:left w:val="single" w:sz="4" w:space="0" w:color="62A39F"/>
              <w:bottom w:val="single" w:sz="4" w:space="0" w:color="62A39F"/>
              <w:right w:val="single" w:sz="4" w:space="0" w:color="62A39F"/>
            </w:tcBorders>
            <w:shd w:val="clear" w:color="auto" w:fill="DFECEB"/>
            <w:noWrap/>
            <w:vAlign w:val="center"/>
            <w:hideMark/>
          </w:tcPr>
          <w:p w14:paraId="0B051E6F" w14:textId="77777777" w:rsidR="00A1356C" w:rsidRPr="00A1356C" w:rsidRDefault="1A66BF30" w:rsidP="0343EF15">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343EF15">
              <w:rPr>
                <w:rFonts w:ascii="Times New Roman" w:eastAsia="Times New Roman" w:hAnsi="Times New Roman" w:cs="Times New Roman"/>
                <w:color w:val="000000"/>
                <w:kern w:val="0"/>
                <w:sz w:val="22"/>
                <w:szCs w:val="22"/>
                <w:lang w:eastAsia="lv-LV"/>
                <w14:ligatures w14:val="none"/>
              </w:rPr>
              <w:t>-18,5</w:t>
            </w:r>
          </w:p>
        </w:tc>
        <w:tc>
          <w:tcPr>
            <w:tcW w:w="1418" w:type="dxa"/>
            <w:tcBorders>
              <w:top w:val="single" w:sz="4" w:space="0" w:color="62A39F"/>
              <w:left w:val="single" w:sz="4" w:space="0" w:color="62A39F"/>
              <w:bottom w:val="single" w:sz="4" w:space="0" w:color="62A39F"/>
              <w:right w:val="single" w:sz="4" w:space="0" w:color="62A39F"/>
            </w:tcBorders>
            <w:shd w:val="clear" w:color="auto" w:fill="DFECEB"/>
            <w:noWrap/>
            <w:vAlign w:val="center"/>
            <w:hideMark/>
          </w:tcPr>
          <w:p w14:paraId="5E6D3056" w14:textId="5050A752" w:rsidR="00A1356C" w:rsidRPr="00A1356C" w:rsidRDefault="1A66BF30" w:rsidP="0343EF15">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343EF15">
              <w:rPr>
                <w:rFonts w:ascii="Times New Roman" w:eastAsia="Times New Roman" w:hAnsi="Times New Roman" w:cs="Times New Roman"/>
                <w:color w:val="000000"/>
                <w:kern w:val="0"/>
                <w:sz w:val="22"/>
                <w:szCs w:val="22"/>
                <w:lang w:eastAsia="lv-LV"/>
                <w14:ligatures w14:val="none"/>
              </w:rPr>
              <w:t>-39,0</w:t>
            </w:r>
          </w:p>
        </w:tc>
      </w:tr>
    </w:tbl>
    <w:p w14:paraId="093143B7" w14:textId="77777777" w:rsidR="007429CD" w:rsidRDefault="007429CD" w:rsidP="007429CD">
      <w:pPr>
        <w:spacing w:after="0" w:line="240" w:lineRule="auto"/>
        <w:jc w:val="both"/>
      </w:pPr>
    </w:p>
    <w:p w14:paraId="357B3F7A" w14:textId="1CF14E76" w:rsidR="00054475" w:rsidRPr="005F32FE" w:rsidRDefault="1E8A9165" w:rsidP="0343EF15">
      <w:pPr>
        <w:spacing w:after="0" w:line="240" w:lineRule="auto"/>
        <w:jc w:val="both"/>
        <w:rPr>
          <w:rFonts w:ascii="Times New Roman" w:eastAsia="Times New Roman" w:hAnsi="Times New Roman" w:cs="Times New Roman"/>
        </w:rPr>
      </w:pPr>
      <w:r w:rsidRPr="0343EF15">
        <w:rPr>
          <w:rFonts w:ascii="Times New Roman" w:eastAsia="Times New Roman" w:hAnsi="Times New Roman" w:cs="Times New Roman"/>
        </w:rPr>
        <w:t>!!!</w:t>
      </w:r>
      <w:r w:rsidR="4798FDEC" w:rsidRPr="0343EF15">
        <w:rPr>
          <w:rFonts w:ascii="Times New Roman" w:eastAsia="Times New Roman" w:hAnsi="Times New Roman" w:cs="Times New Roman"/>
        </w:rPr>
        <w:t>Jāņem vērā, ka ZM vērtē saistītās nozares, savukārt FM aprēķinā ņemta vērā ietekme tikai no ziņojumā minētajiem 11 uzņēmumiem.</w:t>
      </w:r>
    </w:p>
    <w:sectPr w:rsidR="00054475" w:rsidRPr="005F32FE" w:rsidSect="005F32FE">
      <w:headerReference w:type="default" r:id="rId8"/>
      <w:footerReference w:type="default" r:id="rId9"/>
      <w:headerReference w:type="first" r:id="rId10"/>
      <w:footerReference w:type="first" r:id="rId11"/>
      <w:pgSz w:w="11906" w:h="16838"/>
      <w:pgMar w:top="1440" w:right="10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81637" w14:textId="77777777" w:rsidR="00C25F32" w:rsidRDefault="00C25F32">
      <w:pPr>
        <w:spacing w:after="0" w:line="240" w:lineRule="auto"/>
      </w:pPr>
      <w:r>
        <w:separator/>
      </w:r>
    </w:p>
  </w:endnote>
  <w:endnote w:type="continuationSeparator" w:id="0">
    <w:p w14:paraId="739A49B6" w14:textId="77777777" w:rsidR="00C25F32" w:rsidRDefault="00C25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28"/>
      <w:gridCol w:w="2728"/>
      <w:gridCol w:w="3634"/>
    </w:tblGrid>
    <w:tr w:rsidR="0343EF15" w14:paraId="461F038B" w14:textId="77777777" w:rsidTr="0343EF15">
      <w:trPr>
        <w:trHeight w:val="300"/>
      </w:trPr>
      <w:tc>
        <w:tcPr>
          <w:tcW w:w="2765" w:type="dxa"/>
        </w:tcPr>
        <w:p w14:paraId="0DF81476" w14:textId="288CA33F" w:rsidR="0343EF15" w:rsidRDefault="0343EF15" w:rsidP="0343EF15">
          <w:pPr>
            <w:pStyle w:val="Header"/>
            <w:ind w:left="-115"/>
          </w:pPr>
        </w:p>
      </w:tc>
      <w:tc>
        <w:tcPr>
          <w:tcW w:w="2765" w:type="dxa"/>
        </w:tcPr>
        <w:p w14:paraId="07C3FC2E" w14:textId="5B4B1BC8" w:rsidR="0343EF15" w:rsidRDefault="0343EF15" w:rsidP="0343EF15">
          <w:pPr>
            <w:pStyle w:val="Header"/>
            <w:jc w:val="center"/>
          </w:pPr>
        </w:p>
      </w:tc>
      <w:tc>
        <w:tcPr>
          <w:tcW w:w="3682" w:type="dxa"/>
        </w:tcPr>
        <w:p w14:paraId="0D6727E1" w14:textId="4C9FFB66" w:rsidR="0343EF15" w:rsidRDefault="0343EF15" w:rsidP="0343EF15">
          <w:pPr>
            <w:pStyle w:val="Header"/>
            <w:ind w:right="-115"/>
            <w:jc w:val="right"/>
            <w:rPr>
              <w:rFonts w:ascii="Times New Roman" w:eastAsia="Times New Roman" w:hAnsi="Times New Roman" w:cs="Times New Roman"/>
            </w:rPr>
          </w:pPr>
          <w:r w:rsidRPr="0343EF15">
            <w:rPr>
              <w:rFonts w:ascii="Times New Roman" w:eastAsia="Times New Roman" w:hAnsi="Times New Roman" w:cs="Times New Roman"/>
              <w:sz w:val="20"/>
              <w:szCs w:val="20"/>
            </w:rPr>
            <w:fldChar w:fldCharType="begin"/>
          </w:r>
          <w:r>
            <w:instrText>PAGE</w:instrText>
          </w:r>
          <w:r w:rsidRPr="0343EF15">
            <w:fldChar w:fldCharType="separate"/>
          </w:r>
          <w:r w:rsidR="00C25F32">
            <w:rPr>
              <w:noProof/>
            </w:rPr>
            <w:t>2</w:t>
          </w:r>
          <w:r w:rsidRPr="0343EF15">
            <w:rPr>
              <w:rFonts w:ascii="Times New Roman" w:eastAsia="Times New Roman" w:hAnsi="Times New Roman" w:cs="Times New Roman"/>
              <w:sz w:val="20"/>
              <w:szCs w:val="20"/>
            </w:rPr>
            <w:fldChar w:fldCharType="end"/>
          </w:r>
        </w:p>
      </w:tc>
    </w:tr>
  </w:tbl>
  <w:p w14:paraId="172DE6B1" w14:textId="2D1593FD" w:rsidR="0343EF15" w:rsidRDefault="0343EF15" w:rsidP="0343EF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65"/>
      <w:gridCol w:w="2765"/>
      <w:gridCol w:w="2765"/>
    </w:tblGrid>
    <w:tr w:rsidR="0343EF15" w14:paraId="7E1AAC53" w14:textId="77777777" w:rsidTr="0343EF15">
      <w:trPr>
        <w:trHeight w:val="300"/>
      </w:trPr>
      <w:tc>
        <w:tcPr>
          <w:tcW w:w="2765" w:type="dxa"/>
        </w:tcPr>
        <w:p w14:paraId="0B7B5C47" w14:textId="37C42E75" w:rsidR="0343EF15" w:rsidRDefault="0343EF15" w:rsidP="0343EF15">
          <w:pPr>
            <w:pStyle w:val="Header"/>
            <w:ind w:left="-115"/>
          </w:pPr>
        </w:p>
      </w:tc>
      <w:tc>
        <w:tcPr>
          <w:tcW w:w="2765" w:type="dxa"/>
        </w:tcPr>
        <w:p w14:paraId="6F98F652" w14:textId="63B838FA" w:rsidR="0343EF15" w:rsidRDefault="0343EF15" w:rsidP="0343EF15">
          <w:pPr>
            <w:pStyle w:val="Header"/>
            <w:jc w:val="center"/>
          </w:pPr>
        </w:p>
      </w:tc>
      <w:tc>
        <w:tcPr>
          <w:tcW w:w="2765" w:type="dxa"/>
        </w:tcPr>
        <w:p w14:paraId="2D2DAE55" w14:textId="3C0CCE04" w:rsidR="0343EF15" w:rsidRDefault="0343EF15" w:rsidP="0343EF15">
          <w:pPr>
            <w:pStyle w:val="Header"/>
            <w:ind w:right="-115"/>
            <w:jc w:val="right"/>
          </w:pPr>
        </w:p>
      </w:tc>
    </w:tr>
  </w:tbl>
  <w:p w14:paraId="3BD2DC68" w14:textId="1ED73313" w:rsidR="0343EF15" w:rsidRDefault="0343EF15" w:rsidP="0343E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06E08" w14:textId="77777777" w:rsidR="00C25F32" w:rsidRDefault="00C25F32">
      <w:pPr>
        <w:spacing w:after="0" w:line="240" w:lineRule="auto"/>
      </w:pPr>
      <w:r>
        <w:separator/>
      </w:r>
    </w:p>
  </w:footnote>
  <w:footnote w:type="continuationSeparator" w:id="0">
    <w:p w14:paraId="42D62F65" w14:textId="77777777" w:rsidR="00C25F32" w:rsidRDefault="00C25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65"/>
      <w:gridCol w:w="2765"/>
      <w:gridCol w:w="2765"/>
    </w:tblGrid>
    <w:tr w:rsidR="0343EF15" w14:paraId="4F7AB0EA" w14:textId="77777777" w:rsidTr="0343EF15">
      <w:trPr>
        <w:trHeight w:val="300"/>
      </w:trPr>
      <w:tc>
        <w:tcPr>
          <w:tcW w:w="2765" w:type="dxa"/>
        </w:tcPr>
        <w:p w14:paraId="7E11AB4C" w14:textId="002B2E65" w:rsidR="0343EF15" w:rsidRDefault="0343EF15" w:rsidP="0343EF15">
          <w:pPr>
            <w:pStyle w:val="Header"/>
            <w:ind w:left="-115"/>
          </w:pPr>
        </w:p>
      </w:tc>
      <w:tc>
        <w:tcPr>
          <w:tcW w:w="2765" w:type="dxa"/>
        </w:tcPr>
        <w:p w14:paraId="321FAD1D" w14:textId="4286B19C" w:rsidR="0343EF15" w:rsidRDefault="0343EF15" w:rsidP="0343EF15">
          <w:pPr>
            <w:pStyle w:val="Header"/>
            <w:jc w:val="center"/>
          </w:pPr>
        </w:p>
      </w:tc>
      <w:tc>
        <w:tcPr>
          <w:tcW w:w="2765" w:type="dxa"/>
        </w:tcPr>
        <w:p w14:paraId="50904BAF" w14:textId="5CA636B5" w:rsidR="0343EF15" w:rsidRDefault="0343EF15" w:rsidP="0343EF15">
          <w:pPr>
            <w:pStyle w:val="Header"/>
            <w:ind w:right="-115"/>
            <w:jc w:val="right"/>
          </w:pPr>
        </w:p>
      </w:tc>
    </w:tr>
  </w:tbl>
  <w:p w14:paraId="6E5C6AF2" w14:textId="79165E6D" w:rsidR="0343EF15" w:rsidRDefault="0343EF15" w:rsidP="0343EF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65"/>
      <w:gridCol w:w="2765"/>
      <w:gridCol w:w="3401"/>
    </w:tblGrid>
    <w:tr w:rsidR="0343EF15" w14:paraId="2E77D714" w14:textId="77777777" w:rsidTr="00C25F32">
      <w:trPr>
        <w:trHeight w:val="300"/>
      </w:trPr>
      <w:tc>
        <w:tcPr>
          <w:tcW w:w="2765" w:type="dxa"/>
        </w:tcPr>
        <w:p w14:paraId="336CB468" w14:textId="5C686227" w:rsidR="0343EF15" w:rsidRDefault="0343EF15" w:rsidP="0343EF15">
          <w:pPr>
            <w:pStyle w:val="Header"/>
            <w:ind w:left="-115"/>
          </w:pPr>
        </w:p>
      </w:tc>
      <w:tc>
        <w:tcPr>
          <w:tcW w:w="2765" w:type="dxa"/>
        </w:tcPr>
        <w:p w14:paraId="0317C56E" w14:textId="51FF8372" w:rsidR="0343EF15" w:rsidRDefault="0343EF15" w:rsidP="0343EF15">
          <w:pPr>
            <w:pStyle w:val="Header"/>
            <w:jc w:val="center"/>
          </w:pPr>
        </w:p>
      </w:tc>
      <w:tc>
        <w:tcPr>
          <w:tcW w:w="3401" w:type="dxa"/>
        </w:tcPr>
        <w:p w14:paraId="2524FF91" w14:textId="60D9560D" w:rsidR="0343EF15" w:rsidRDefault="0343EF15" w:rsidP="00C25F32">
          <w:pPr>
            <w:pStyle w:val="Header"/>
            <w:ind w:right="-810"/>
          </w:pPr>
          <w:r w:rsidRPr="0343EF15">
            <w:rPr>
              <w:rFonts w:ascii="Times New Roman" w:eastAsia="Times New Roman" w:hAnsi="Times New Roman" w:cs="Times New Roman"/>
              <w:color w:val="000000" w:themeColor="text1"/>
              <w:sz w:val="19"/>
              <w:szCs w:val="19"/>
            </w:rPr>
            <w:t>1</w:t>
          </w:r>
          <w:r w:rsidR="00C25F32">
            <w:rPr>
              <w:rFonts w:ascii="Times New Roman" w:eastAsia="Times New Roman" w:hAnsi="Times New Roman" w:cs="Times New Roman"/>
              <w:color w:val="000000" w:themeColor="text1"/>
              <w:sz w:val="19"/>
              <w:szCs w:val="19"/>
            </w:rPr>
            <w:t>2</w:t>
          </w:r>
          <w:r w:rsidRPr="0343EF15">
            <w:rPr>
              <w:rFonts w:ascii="Times New Roman" w:eastAsia="Times New Roman" w:hAnsi="Times New Roman" w:cs="Times New Roman"/>
              <w:color w:val="000000" w:themeColor="text1"/>
              <w:sz w:val="19"/>
              <w:szCs w:val="19"/>
            </w:rPr>
            <w:t>. pielikums Komisijas ziņojumam</w:t>
          </w:r>
        </w:p>
      </w:tc>
    </w:tr>
  </w:tbl>
  <w:p w14:paraId="31AE7FAB" w14:textId="07CD8C49" w:rsidR="0343EF15" w:rsidRDefault="0343EF15" w:rsidP="0343E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04AA7"/>
    <w:multiLevelType w:val="hybridMultilevel"/>
    <w:tmpl w:val="20FEF2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6B3D23"/>
    <w:multiLevelType w:val="hybridMultilevel"/>
    <w:tmpl w:val="2F24B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703567F"/>
    <w:multiLevelType w:val="hybridMultilevel"/>
    <w:tmpl w:val="0762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C7A"/>
    <w:rsid w:val="00012609"/>
    <w:rsid w:val="000409F6"/>
    <w:rsid w:val="00046DE3"/>
    <w:rsid w:val="00054475"/>
    <w:rsid w:val="000B1880"/>
    <w:rsid w:val="000B2567"/>
    <w:rsid w:val="00120A5F"/>
    <w:rsid w:val="001A52EA"/>
    <w:rsid w:val="001C6E5E"/>
    <w:rsid w:val="00252165"/>
    <w:rsid w:val="00266A81"/>
    <w:rsid w:val="002E6805"/>
    <w:rsid w:val="00315C67"/>
    <w:rsid w:val="00354D61"/>
    <w:rsid w:val="003F2615"/>
    <w:rsid w:val="0040266C"/>
    <w:rsid w:val="004241B4"/>
    <w:rsid w:val="0043600D"/>
    <w:rsid w:val="004640CC"/>
    <w:rsid w:val="004A2C77"/>
    <w:rsid w:val="004B37DC"/>
    <w:rsid w:val="004C4632"/>
    <w:rsid w:val="0058441F"/>
    <w:rsid w:val="00594215"/>
    <w:rsid w:val="00597D0A"/>
    <w:rsid w:val="005E2E45"/>
    <w:rsid w:val="005F32FE"/>
    <w:rsid w:val="00604C98"/>
    <w:rsid w:val="006376F8"/>
    <w:rsid w:val="00695610"/>
    <w:rsid w:val="006B5117"/>
    <w:rsid w:val="006E7952"/>
    <w:rsid w:val="007429CD"/>
    <w:rsid w:val="00766F9F"/>
    <w:rsid w:val="008E1C6D"/>
    <w:rsid w:val="00954DC4"/>
    <w:rsid w:val="009620D4"/>
    <w:rsid w:val="0099432F"/>
    <w:rsid w:val="00995C5F"/>
    <w:rsid w:val="009A6B8A"/>
    <w:rsid w:val="009F5D56"/>
    <w:rsid w:val="00A1356C"/>
    <w:rsid w:val="00A35EB6"/>
    <w:rsid w:val="00A80E6B"/>
    <w:rsid w:val="00A85541"/>
    <w:rsid w:val="00BB76E4"/>
    <w:rsid w:val="00BF10AA"/>
    <w:rsid w:val="00C25F32"/>
    <w:rsid w:val="00C44416"/>
    <w:rsid w:val="00C454A9"/>
    <w:rsid w:val="00C811E7"/>
    <w:rsid w:val="00C96C7A"/>
    <w:rsid w:val="00CA66F5"/>
    <w:rsid w:val="00CB21A2"/>
    <w:rsid w:val="00CF3BA5"/>
    <w:rsid w:val="00DC167F"/>
    <w:rsid w:val="00DD0DE5"/>
    <w:rsid w:val="00DE4EE2"/>
    <w:rsid w:val="00E75174"/>
    <w:rsid w:val="00EB5947"/>
    <w:rsid w:val="00EB5A74"/>
    <w:rsid w:val="00EF5282"/>
    <w:rsid w:val="00F213A3"/>
    <w:rsid w:val="00FD45B3"/>
    <w:rsid w:val="00FE41D9"/>
    <w:rsid w:val="00FF3B96"/>
    <w:rsid w:val="0343EF15"/>
    <w:rsid w:val="075AF5D9"/>
    <w:rsid w:val="0B20E066"/>
    <w:rsid w:val="0BE42514"/>
    <w:rsid w:val="122B0EB3"/>
    <w:rsid w:val="138202E9"/>
    <w:rsid w:val="1412D799"/>
    <w:rsid w:val="16AC3CA6"/>
    <w:rsid w:val="198EB1B0"/>
    <w:rsid w:val="1A66BF30"/>
    <w:rsid w:val="1ACFA6DF"/>
    <w:rsid w:val="1B1DB2D0"/>
    <w:rsid w:val="1E8A9165"/>
    <w:rsid w:val="21048652"/>
    <w:rsid w:val="21DFA987"/>
    <w:rsid w:val="272C6191"/>
    <w:rsid w:val="28EEB438"/>
    <w:rsid w:val="295D119B"/>
    <w:rsid w:val="31D95F5F"/>
    <w:rsid w:val="3941ED34"/>
    <w:rsid w:val="3A07D661"/>
    <w:rsid w:val="43E26F00"/>
    <w:rsid w:val="461252E7"/>
    <w:rsid w:val="4798FDEC"/>
    <w:rsid w:val="511A1881"/>
    <w:rsid w:val="51368488"/>
    <w:rsid w:val="56645EE4"/>
    <w:rsid w:val="5B2C82A4"/>
    <w:rsid w:val="5D3F1B49"/>
    <w:rsid w:val="5E3021BA"/>
    <w:rsid w:val="5E4E6230"/>
    <w:rsid w:val="61637425"/>
    <w:rsid w:val="6561D5DB"/>
    <w:rsid w:val="65B69058"/>
    <w:rsid w:val="6C955FC6"/>
    <w:rsid w:val="6D1BFD8D"/>
    <w:rsid w:val="7895755B"/>
    <w:rsid w:val="7C475E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98C33"/>
  <w15:chartTrackingRefBased/>
  <w15:docId w15:val="{ADD9EF87-7A9B-44A7-B3FB-2044881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6C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C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C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C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C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C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C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C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C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C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C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C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C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C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C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C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C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C7A"/>
    <w:rPr>
      <w:rFonts w:eastAsiaTheme="majorEastAsia" w:cstheme="majorBidi"/>
      <w:color w:val="272727" w:themeColor="text1" w:themeTint="D8"/>
    </w:rPr>
  </w:style>
  <w:style w:type="paragraph" w:styleId="Title">
    <w:name w:val="Title"/>
    <w:basedOn w:val="Normal"/>
    <w:next w:val="Normal"/>
    <w:link w:val="TitleChar"/>
    <w:uiPriority w:val="10"/>
    <w:qFormat/>
    <w:rsid w:val="00C96C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C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C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C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C7A"/>
    <w:pPr>
      <w:spacing w:before="160"/>
      <w:jc w:val="center"/>
    </w:pPr>
    <w:rPr>
      <w:i/>
      <w:iCs/>
      <w:color w:val="404040" w:themeColor="text1" w:themeTint="BF"/>
    </w:rPr>
  </w:style>
  <w:style w:type="character" w:customStyle="1" w:styleId="QuoteChar">
    <w:name w:val="Quote Char"/>
    <w:basedOn w:val="DefaultParagraphFont"/>
    <w:link w:val="Quote"/>
    <w:uiPriority w:val="29"/>
    <w:rsid w:val="00C96C7A"/>
    <w:rPr>
      <w:i/>
      <w:iCs/>
      <w:color w:val="404040" w:themeColor="text1" w:themeTint="BF"/>
    </w:rPr>
  </w:style>
  <w:style w:type="paragraph" w:styleId="ListParagraph">
    <w:name w:val="List Paragraph"/>
    <w:basedOn w:val="Normal"/>
    <w:uiPriority w:val="34"/>
    <w:qFormat/>
    <w:rsid w:val="00C96C7A"/>
    <w:pPr>
      <w:ind w:left="720"/>
      <w:contextualSpacing/>
    </w:pPr>
  </w:style>
  <w:style w:type="character" w:styleId="IntenseEmphasis">
    <w:name w:val="Intense Emphasis"/>
    <w:basedOn w:val="DefaultParagraphFont"/>
    <w:uiPriority w:val="21"/>
    <w:qFormat/>
    <w:rsid w:val="00C96C7A"/>
    <w:rPr>
      <w:i/>
      <w:iCs/>
      <w:color w:val="0F4761" w:themeColor="accent1" w:themeShade="BF"/>
    </w:rPr>
  </w:style>
  <w:style w:type="paragraph" w:styleId="IntenseQuote">
    <w:name w:val="Intense Quote"/>
    <w:basedOn w:val="Normal"/>
    <w:next w:val="Normal"/>
    <w:link w:val="IntenseQuoteChar"/>
    <w:uiPriority w:val="30"/>
    <w:qFormat/>
    <w:rsid w:val="00C96C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C7A"/>
    <w:rPr>
      <w:i/>
      <w:iCs/>
      <w:color w:val="0F4761" w:themeColor="accent1" w:themeShade="BF"/>
    </w:rPr>
  </w:style>
  <w:style w:type="character" w:styleId="IntenseReference">
    <w:name w:val="Intense Reference"/>
    <w:basedOn w:val="DefaultParagraphFont"/>
    <w:uiPriority w:val="32"/>
    <w:qFormat/>
    <w:rsid w:val="00C96C7A"/>
    <w:rPr>
      <w:b/>
      <w:bCs/>
      <w:smallCaps/>
      <w:color w:val="0F4761" w:themeColor="accent1" w:themeShade="BF"/>
      <w:spacing w:val="5"/>
    </w:rPr>
  </w:style>
  <w:style w:type="paragraph" w:styleId="Caption">
    <w:name w:val="caption"/>
    <w:basedOn w:val="Normal"/>
    <w:next w:val="Normal"/>
    <w:uiPriority w:val="35"/>
    <w:unhideWhenUsed/>
    <w:qFormat/>
    <w:rsid w:val="008E1C6D"/>
    <w:pPr>
      <w:spacing w:after="200" w:line="240" w:lineRule="auto"/>
    </w:pPr>
    <w:rPr>
      <w:i/>
      <w:iCs/>
      <w:color w:val="0E2841" w:themeColor="text2"/>
      <w:sz w:val="18"/>
      <w:szCs w:val="18"/>
    </w:rPr>
  </w:style>
  <w:style w:type="paragraph" w:styleId="Header">
    <w:name w:val="header"/>
    <w:basedOn w:val="Normal"/>
    <w:uiPriority w:val="99"/>
    <w:unhideWhenUsed/>
    <w:rsid w:val="0343EF15"/>
    <w:pPr>
      <w:tabs>
        <w:tab w:val="center" w:pos="4680"/>
        <w:tab w:val="right" w:pos="9360"/>
      </w:tabs>
      <w:spacing w:after="0" w:line="240" w:lineRule="auto"/>
    </w:pPr>
  </w:style>
  <w:style w:type="paragraph" w:styleId="Footer">
    <w:name w:val="footer"/>
    <w:basedOn w:val="Normal"/>
    <w:uiPriority w:val="99"/>
    <w:unhideWhenUsed/>
    <w:rsid w:val="0343EF1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4050</Words>
  <Characters>2310</Characters>
  <Application>Microsoft Office Word</Application>
  <DocSecurity>4</DocSecurity>
  <Lines>19</Lines>
  <Paragraphs>12</Paragraphs>
  <ScaleCrop>false</ScaleCrop>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Egils Zarakovskis</dc:creator>
  <cp:keywords/>
  <dc:description/>
  <cp:lastModifiedBy>Zane Kirina</cp:lastModifiedBy>
  <cp:revision>2</cp:revision>
  <dcterms:created xsi:type="dcterms:W3CDTF">2026-01-23T09:59:00Z</dcterms:created>
  <dcterms:modified xsi:type="dcterms:W3CDTF">2026-01-23T09:59:00Z</dcterms:modified>
</cp:coreProperties>
</file>