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02290" w:rsidP="00174AD2" w:rsidRDefault="002A27D9" w14:paraId="48972844" w14:textId="4DB267C2">
      <w:pPr>
        <w:jc w:val="center"/>
        <w15:collapsed w:val="false"/>
        <w:rPr>
          <w:b/>
          <w:bCs/>
        </w:rPr>
      </w:pPr>
      <w:r w:rsidRPr="2B3E1191">
        <w:rPr>
          <w:b/>
          <w:bCs/>
        </w:rPr>
        <w:t xml:space="preserve">Informatīvais ziņojums </w:t>
      </w:r>
    </w:p>
    <w:p w:rsidR="00760168" w:rsidP="2B3E1191" w:rsidRDefault="00760168" w14:paraId="6DCAE67F" w14:textId="77777777">
      <w:pPr>
        <w:jc w:val="center"/>
        <w:rPr>
          <w:b/>
          <w:bCs/>
        </w:rPr>
      </w:pPr>
    </w:p>
    <w:p w:rsidRPr="00000F43" w:rsidR="00502290" w:rsidP="00174AD2" w:rsidRDefault="00E920D4" w14:paraId="4CA8B660" w14:textId="565E7550">
      <w:pPr>
        <w:jc w:val="center"/>
        <w:rPr>
          <w:b/>
          <w:bCs/>
        </w:rPr>
      </w:pPr>
      <w:bookmarkStart w:name="_Hlk46742949" w:id="0"/>
      <w:r w:rsidRPr="2B3E1191">
        <w:rPr>
          <w:b/>
          <w:bCs/>
        </w:rPr>
        <w:t>Latvijas Republikas nacionālā pozīcija Nr. 1 “</w:t>
      </w:r>
      <w:r w:rsidRPr="008302F6" w:rsidR="008302F6">
        <w:rPr>
          <w:b/>
          <w:bCs/>
        </w:rPr>
        <w:t>Priekšlikums Eiropas Parlamenta un Padomes Regulai par Savienības vadlīnijām Eiropas transporta tīkla attīstībai ar ko groza Regulu (ES) Nr. 2021/1153 un Regulu (ES) Nr. 913/2010 un atceļ Regulu (ES) Nr. 1315/2013</w:t>
      </w:r>
      <w:r w:rsidR="003E5FCF">
        <w:rPr>
          <w:b/>
          <w:bCs/>
        </w:rPr>
        <w:t>”</w:t>
      </w:r>
    </w:p>
    <w:bookmarkEnd w:id="0"/>
    <w:p w:rsidRPr="00000F43" w:rsidR="00174AD2" w:rsidP="2B3E1191" w:rsidRDefault="00174AD2" w14:paraId="4CBF2B94" w14:textId="77777777">
      <w:pPr>
        <w:rPr>
          <w:sz w:val="22"/>
          <w:szCs w:val="22"/>
          <w:lang w:eastAsia="en-GB"/>
        </w:rPr>
      </w:pPr>
    </w:p>
    <w:p w:rsidR="002A27D9" w:rsidP="00E5314D" w:rsidRDefault="002A27D9" w14:paraId="689A86AA" w14:textId="2E7FD659">
      <w:pPr>
        <w:spacing w:after="240"/>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2B3E1191" w:rsidR="009B039F">
        <w:rPr>
          <w:b/>
          <w:bCs/>
        </w:rPr>
        <w:t>“</w:t>
      </w:r>
      <w:r w:rsidRPr="008302F6" w:rsidR="008302F6">
        <w:rPr>
          <w:b/>
          <w:bCs/>
        </w:rPr>
        <w:t>Priekšlikums Eiropas Parlamenta un Padomes Regulai  par Savienības vadlīnijām Eiropas transporta tīkla attīstībai ar ko groza Regulu (ES) Nr. 2021/1153 un Regulu (ES) Nr. 913/2010 un atceļ Regulu (ES) Nr. 1315/2013</w:t>
      </w:r>
      <w:r w:rsidRPr="2B3E1191" w:rsidR="009B039F">
        <w:rPr>
          <w:b/>
          <w:bCs/>
        </w:rPr>
        <w:t>”</w:t>
      </w:r>
      <w:r w:rsidRPr="2B3E1191" w:rsidR="003B7F13">
        <w:rPr>
          <w:b/>
          <w:bCs/>
        </w:rPr>
        <w:t>.</w:t>
      </w:r>
    </w:p>
    <w:p w:rsidR="00C37347" w:rsidP="00E5314D" w:rsidRDefault="008239AC" w14:paraId="1EE9BE53" w14:textId="70D1D374">
      <w:pPr>
        <w:spacing w:after="240"/>
        <w:ind w:firstLine="720"/>
        <w:jc w:val="both"/>
        <w:rPr>
          <w:color w:val="000000" w:themeColor="text1"/>
        </w:rPr>
      </w:pPr>
      <w:r w:rsidRPr="008239AC">
        <w:rPr>
          <w:color w:val="000000" w:themeColor="text1"/>
        </w:rPr>
        <w:t>Pozīcijas projekts skar vairāku valsts pārvaldes iestāžu kompetenci un būtiskas Latvijas Republikas intereses</w:t>
      </w:r>
      <w:r w:rsidRPr="2B3E1191" w:rsidR="003B7F13">
        <w:rPr>
          <w:color w:val="000000" w:themeColor="text1"/>
        </w:rPr>
        <w:t>,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2B3E1191" w:rsidR="00030A24">
        <w:rPr>
          <w:color w:val="000000" w:themeColor="text1"/>
        </w:rPr>
        <w:t xml:space="preserve"> </w:t>
      </w:r>
      <w:r w:rsidRPr="2B3E1191"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8239AC">
        <w:rPr>
          <w:color w:val="000000" w:themeColor="text1"/>
        </w:rPr>
        <w:t xml:space="preserve">Aizsardzības ministriju, Ārlietu ministriju, Ekonomikas ministriju, Finanšu ministriju, </w:t>
      </w:r>
      <w:proofErr w:type="spellStart"/>
      <w:r w:rsidRPr="008239AC">
        <w:rPr>
          <w:color w:val="000000" w:themeColor="text1"/>
        </w:rPr>
        <w:t>Iekšlietu</w:t>
      </w:r>
      <w:proofErr w:type="spellEnd"/>
      <w:r w:rsidRPr="008239AC">
        <w:rPr>
          <w:color w:val="000000" w:themeColor="text1"/>
        </w:rPr>
        <w:t xml:space="preserve"> ministriju, Vides aizsardzības un reģionālās attīstības ministriju, Tieslietu ministrija, Zemkopības ministriju.</w:t>
      </w:r>
    </w:p>
    <w:p w:rsidR="008239AC" w:rsidP="00E5314D" w:rsidRDefault="00C17CA1" w14:paraId="5E7ADE6A" w14:textId="337FF20F">
      <w:pPr>
        <w:spacing w:after="240"/>
        <w:ind w:firstLine="720"/>
        <w:jc w:val="both"/>
        <w:rPr>
          <w:color w:val="000000" w:themeColor="text1"/>
        </w:rPr>
      </w:pPr>
      <w:r w:rsidRPr="00C17CA1">
        <w:rPr>
          <w:color w:val="000000" w:themeColor="text1"/>
        </w:rPr>
        <w:t>Eiropas Transporta tīkls (turpmāk tekstā – TEN-T) izveidots ar Eiropas Parlamenta un Padomes 1996. gada lēmumu. Patlaban ir spēkā 2013. gadā pieņemtā Regula Nr. 1315/2013 par Savienības vadlīnijām Eiropas Transporta tīkla attīstībai, kas paredz, ka Komisija veic minētās Regulas izvērtēšanu (turpmāk tekstā – TEN-T Regula). Jaunais Regulas priekšlikums ir viens no galvenajiem pasākumiem, ar ko īsteno Eiropas Zaļo kursu un Ilgtspējīgas un viedas mobilitātes stratēģiju. TEN-T Regulas mērķis ir izveidot efektīvu ES mēroga un multimodālu TEN-T tīklu, ko veido dzelzceļa, iekšējo ūdensceļu, autoceļu, jūras un gaisa transporta infrastruktūra, tādējādi nodrošinot vienveidīgu iekšējā tirgus darbību un nostiprinot ekonomisko un sociālo kohēziju.</w:t>
      </w:r>
    </w:p>
    <w:p w:rsidR="008239AC" w:rsidP="00E5314D" w:rsidRDefault="00C17CA1" w14:paraId="3F469CB4" w14:textId="7C6988B6">
      <w:pPr>
        <w:spacing w:after="240"/>
        <w:ind w:firstLine="720"/>
        <w:jc w:val="both"/>
        <w:rPr>
          <w:color w:val="000000" w:themeColor="text1"/>
        </w:rPr>
      </w:pPr>
      <w:r w:rsidRPr="00C17CA1">
        <w:rPr>
          <w:color w:val="000000" w:themeColor="text1"/>
        </w:rPr>
        <w:t>Regulas priekšlikumā risināt</w:t>
      </w:r>
      <w:r>
        <w:rPr>
          <w:color w:val="000000" w:themeColor="text1"/>
        </w:rPr>
        <w:t>i</w:t>
      </w:r>
      <w:r w:rsidRPr="00C17CA1">
        <w:rPr>
          <w:color w:val="000000" w:themeColor="text1"/>
        </w:rPr>
        <w:t xml:space="preserve"> ir, pirmkārt, nepietiekami un/vai nepilnīgi TEN-T infrastruktūras standarti un alternatīvu degvielu infrastruktūras standartu nepilnīga integrācija TEN-T. Otrkārt, TEN-T tīklam ir jaudas vājās vietas un nepietiekama tīkla savienojamība ar visiem reģioniem, kas kavē </w:t>
      </w:r>
      <w:proofErr w:type="spellStart"/>
      <w:r w:rsidRPr="00C17CA1">
        <w:rPr>
          <w:color w:val="000000" w:themeColor="text1"/>
        </w:rPr>
        <w:t>multimodalitāti</w:t>
      </w:r>
      <w:proofErr w:type="spellEnd"/>
      <w:r w:rsidRPr="00C17CA1">
        <w:rPr>
          <w:color w:val="000000" w:themeColor="text1"/>
        </w:rPr>
        <w:t>. Treškārt, ir jānovērš TEN-T infrastruktūras nepietiekamā drošība un uzticamība. Visbeidzot, pārvaldības instrumenti ir nepietiekami salīdzinājumā ar jaunajām vajadzībām, un TEN-T tīkla izstrādei ir nepieciešama pārskatīšana, lai palielinātu saskaņotību ar citām politikas jomām. Ar šo pārskatīto TEN-T politiku ir jācenšas izveidot uzticamu, netraucētu un kvalitatīvu TEN-T, kas nodrošinātu ilgtspējīgu savienojamību visā Eiropas Savienībā (turpmāk tekstā – ES) bez fiziskiem trūkumiem, vājiem punktiem vai trūkstošiem savienojumiem līdz 2050. gadam. Regulas priekšlikums būtu jāattīsta pakāpeniski, ar starptermiņiem 2030. un 2040. gadā.</w:t>
      </w:r>
    </w:p>
    <w:p w:rsidR="00C17CA1" w:rsidP="00E5314D" w:rsidRDefault="00C17CA1" w14:paraId="0ECA14ED" w14:textId="79894B2D">
      <w:pPr>
        <w:spacing w:after="240"/>
        <w:ind w:firstLine="720"/>
        <w:jc w:val="both"/>
        <w:rPr>
          <w:color w:val="000000" w:themeColor="text1"/>
        </w:rPr>
      </w:pPr>
      <w:r w:rsidRPr="00C17CA1">
        <w:rPr>
          <w:color w:val="000000" w:themeColor="text1"/>
        </w:rPr>
        <w:t>Attiecībā uz finansējumu TEN-T Regula ir tieši saistīta ar Regulu (ES) Nr. 1316/2013 par Eiropas infrastruktūras savienošanas instrumentu (turpmāk tekstā – CEF), jo tā definē vispārējas intereses projektus, kas ir atbilstīgi CEF. Turklāt</w:t>
      </w:r>
      <w:r w:rsidR="002873CA">
        <w:rPr>
          <w:color w:val="000000" w:themeColor="text1"/>
        </w:rPr>
        <w:t>,</w:t>
      </w:r>
      <w:r w:rsidRPr="00C17CA1">
        <w:rPr>
          <w:color w:val="000000" w:themeColor="text1"/>
        </w:rPr>
        <w:t xml:space="preserve"> TEN-T infrastruktūru galvenokārt finansē no Eiropas strukturālajiem un investīciju fondiem, kā  arī no Atjaunošanas un noturības fonda. Visbeidzot, TEN-T ir pilnībā saskaņots ar ES vides un klimata politiku, piemēram, Bioloģiskās daudzveidības stratēģijas tiesību aktiem un ES stratēģiju par pielāgošanos klimata pārmaiņām.</w:t>
      </w:r>
    </w:p>
    <w:p w:rsidR="00C17CA1" w:rsidP="00E5314D" w:rsidRDefault="00C17CA1" w14:paraId="211BE37A" w14:textId="77777777">
      <w:pPr>
        <w:spacing w:after="240"/>
        <w:ind w:firstLine="720"/>
        <w:jc w:val="both"/>
        <w:rPr>
          <w:color w:val="000000" w:themeColor="text1"/>
        </w:rPr>
      </w:pPr>
      <w:r w:rsidRPr="00C17CA1">
        <w:rPr>
          <w:color w:val="000000" w:themeColor="text1"/>
        </w:rPr>
        <w:t>Lai pienācīgi īstenotu Regulas priekšlikuma mērķus, ir izvērtēti trīs politikas risinājumi, ņemot vērā to ekonomisko, sociālo un vides ietekmi</w:t>
      </w:r>
      <w:r>
        <w:rPr>
          <w:color w:val="000000" w:themeColor="text1"/>
        </w:rPr>
        <w:t>:</w:t>
      </w:r>
    </w:p>
    <w:p w:rsidR="00C17CA1" w:rsidP="00C17CA1" w:rsidRDefault="00C17CA1" w14:paraId="69E650D7" w14:textId="4685F1D0">
      <w:pPr>
        <w:pStyle w:val="ListParagraph"/>
        <w:numPr>
          <w:ilvl w:val="0"/>
          <w:numId w:val="2"/>
        </w:numPr>
        <w:jc w:val="both"/>
        <w:rPr>
          <w:color w:val="000000" w:themeColor="text1"/>
        </w:rPr>
      </w:pPr>
      <w:r>
        <w:rPr>
          <w:color w:val="000000" w:themeColor="text1"/>
        </w:rPr>
        <w:t>A</w:t>
      </w:r>
      <w:r w:rsidRPr="00C17CA1">
        <w:rPr>
          <w:color w:val="000000" w:themeColor="text1"/>
        </w:rPr>
        <w:t>tjaunināt esošās TEN-T infrastruktūras kvalitātes prasības un standartus un nodrošināt atbilstošu infrastruktūru alternatīvu degvielu un viedo transporta sistēmu ieviešanai</w:t>
      </w:r>
      <w:r>
        <w:rPr>
          <w:color w:val="000000" w:themeColor="text1"/>
        </w:rPr>
        <w:t xml:space="preserve">, </w:t>
      </w:r>
      <w:r>
        <w:rPr>
          <w:color w:val="000000" w:themeColor="text1"/>
        </w:rPr>
        <w:lastRenderedPageBreak/>
        <w:t>ietverot</w:t>
      </w:r>
      <w:r w:rsidRPr="00C17CA1">
        <w:rPr>
          <w:color w:val="000000" w:themeColor="text1"/>
        </w:rPr>
        <w:t xml:space="preserve"> pasākumus, lai saskaņotu un racionalizētu esošos TEN-T uzraudzības un ziņošanas instrumentus</w:t>
      </w:r>
      <w:r>
        <w:rPr>
          <w:color w:val="000000" w:themeColor="text1"/>
        </w:rPr>
        <w:t>;</w:t>
      </w:r>
    </w:p>
    <w:p w:rsidR="00C17CA1" w:rsidP="00C17CA1" w:rsidRDefault="00C17CA1" w14:paraId="56F1DA28" w14:textId="13A48E75">
      <w:pPr>
        <w:pStyle w:val="ListParagraph"/>
        <w:numPr>
          <w:ilvl w:val="0"/>
          <w:numId w:val="2"/>
        </w:numPr>
        <w:jc w:val="both"/>
        <w:rPr>
          <w:color w:val="000000" w:themeColor="text1"/>
        </w:rPr>
      </w:pPr>
      <w:r>
        <w:rPr>
          <w:color w:val="000000" w:themeColor="text1"/>
        </w:rPr>
        <w:t>I</w:t>
      </w:r>
      <w:r w:rsidRPr="00C17CA1">
        <w:rPr>
          <w:color w:val="000000" w:themeColor="text1"/>
        </w:rPr>
        <w:t xml:space="preserve">eviest jaunus, vērienīgākus standartus visiem transporta veidiem, lai veicinātu dekarbonizāciju, piesārņojuma samazināšanu, </w:t>
      </w:r>
      <w:proofErr w:type="spellStart"/>
      <w:r w:rsidRPr="00C17CA1">
        <w:rPr>
          <w:color w:val="000000" w:themeColor="text1"/>
        </w:rPr>
        <w:t>digitalizāciju</w:t>
      </w:r>
      <w:proofErr w:type="spellEnd"/>
      <w:r w:rsidRPr="00C17CA1">
        <w:rPr>
          <w:color w:val="000000" w:themeColor="text1"/>
        </w:rPr>
        <w:t>, noturību un transporta infrastruktūras sistēmas drošību</w:t>
      </w:r>
      <w:r>
        <w:rPr>
          <w:color w:val="000000" w:themeColor="text1"/>
        </w:rPr>
        <w:t>;</w:t>
      </w:r>
    </w:p>
    <w:p w:rsidR="00C17CA1" w:rsidP="00C17CA1" w:rsidRDefault="00C17CA1" w14:paraId="0456C2E6" w14:textId="47573F3E">
      <w:pPr>
        <w:pStyle w:val="ListParagraph"/>
        <w:numPr>
          <w:ilvl w:val="0"/>
          <w:numId w:val="2"/>
        </w:numPr>
        <w:jc w:val="both"/>
        <w:rPr>
          <w:color w:val="000000" w:themeColor="text1"/>
        </w:rPr>
      </w:pPr>
      <w:r>
        <w:rPr>
          <w:color w:val="000000" w:themeColor="text1"/>
        </w:rPr>
        <w:t>P</w:t>
      </w:r>
      <w:r w:rsidRPr="00C17CA1">
        <w:rPr>
          <w:color w:val="000000" w:themeColor="text1"/>
        </w:rPr>
        <w:t>aātrināt TEN-T izveides pabeigšanu, nosakot konkrētu standartu un tīkla sadaļu pabeigšanas termiņu no 2030. līdz 2050. gadam.</w:t>
      </w:r>
    </w:p>
    <w:p w:rsidRPr="00C17CA1" w:rsidR="00397BCB" w:rsidP="00397BCB" w:rsidRDefault="00397BCB" w14:paraId="792204E3" w14:textId="77777777">
      <w:pPr>
        <w:pStyle w:val="ListParagraph"/>
        <w:ind w:left="1080"/>
        <w:jc w:val="both"/>
        <w:rPr>
          <w:color w:val="000000" w:themeColor="text1"/>
        </w:rPr>
      </w:pPr>
    </w:p>
    <w:p w:rsidRPr="00397BCB" w:rsidR="00397BCB" w:rsidP="00E5314D" w:rsidRDefault="00397BCB" w14:paraId="2D133D72" w14:textId="77777777">
      <w:pPr>
        <w:spacing w:after="240"/>
        <w:ind w:firstLine="720"/>
        <w:jc w:val="both"/>
        <w:rPr>
          <w:bCs/>
          <w:iCs/>
        </w:rPr>
      </w:pPr>
      <w:r w:rsidRPr="00397BCB">
        <w:rPr>
          <w:bCs/>
          <w:iCs/>
        </w:rPr>
        <w:t>Regulas priekšlikums papildus paredz līdz 2040. gadam pabeigt Paplašinātā pamattīkla izveidi. Vienlaikus V</w:t>
      </w:r>
      <w:r w:rsidRPr="00397BCB">
        <w:rPr>
          <w:bdr w:val="none" w:color="auto" w:sz="0" w:space="0" w:frame="true"/>
        </w:rPr>
        <w:t xml:space="preserve">isaptverošajam tīklam vajadzētu būt Eiropas mēroga transporta tīklam, kas nodrošina visu ES reģionu, tostarp attālāko reģionu un citu attālo, lauku, salu, </w:t>
      </w:r>
      <w:proofErr w:type="spellStart"/>
      <w:r w:rsidRPr="00397BCB">
        <w:rPr>
          <w:bdr w:val="none" w:color="auto" w:sz="0" w:space="0" w:frame="true"/>
        </w:rPr>
        <w:t>perifēro</w:t>
      </w:r>
      <w:proofErr w:type="spellEnd"/>
      <w:r w:rsidRPr="00397BCB">
        <w:rPr>
          <w:bdr w:val="none" w:color="auto" w:sz="0" w:space="0" w:frame="true"/>
        </w:rPr>
        <w:t xml:space="preserve"> un kalnu reģionu, kā arī mazapdzīvotu teritoriju pieejamību un savienojamību, kā arī stiprina sociālo, ekonomisko un teritoriālo kohēziju starp tiem. Prasības attiecībā uz Visaptverošā tīkla infrastruktūru būtu jānosaka, lai veicinātu augstas kvalitātes tīkla attīstību visā ES.</w:t>
      </w:r>
      <w:r w:rsidRPr="00083553">
        <w:t xml:space="preserve"> </w:t>
      </w:r>
      <w:r w:rsidRPr="00397BCB">
        <w:rPr>
          <w:bdr w:val="none" w:color="auto" w:sz="0" w:space="0" w:frame="true"/>
        </w:rPr>
        <w:t>Visaptverošajam tīklam jābūt pietiekami aprīkotam ar alternatīvu degvielu infrastruktūru, lai nodrošinātu, ka tas efektīvi atbalsta pāreju uz nulles emisiju mobilitāti saskaņā ar Ilgtspējīgas un viedas mobilitātes stratēģijā noteiktajiem atskaites punktiem.</w:t>
      </w:r>
    </w:p>
    <w:p w:rsidR="00C17CA1" w:rsidP="00E5314D" w:rsidRDefault="00397BCB" w14:paraId="5F217259" w14:textId="3C1C1F28">
      <w:pPr>
        <w:spacing w:after="240"/>
        <w:ind w:firstLine="720"/>
        <w:jc w:val="both"/>
        <w:rPr>
          <w:color w:val="000000" w:themeColor="text1"/>
        </w:rPr>
      </w:pPr>
      <w:r w:rsidRPr="00397BCB">
        <w:rPr>
          <w:color w:val="000000" w:themeColor="text1"/>
        </w:rPr>
        <w:t>Papildus Pamattīklam būtu jānosaka Paplašināts pamattīkls, pamatojoties uz Visaptverošā tīkla prioritārajām daļām, kas ir daļa no Eiropas transporta koridoriem. Pamattīkls ir identificēts, pamatojoties uz objektīvu plānošanas metodoloģiju.</w:t>
      </w:r>
      <w:r w:rsidRPr="00397BCB">
        <w:t xml:space="preserve"> </w:t>
      </w:r>
      <w:r w:rsidRPr="00397BCB">
        <w:rPr>
          <w:color w:val="000000" w:themeColor="text1"/>
        </w:rPr>
        <w:t>Pamattīklam, un Paplašinātajam pamattīklam būtu jāveido ilgtspējīga multimodālā transporta tīkla pamats, kas atbilstoši satiksmes vajadzībām pārstāv stratēģiski svarīgākos TEN-T mezglus un savienojumus. Tām būtu jāstimulē visa Visaptverošā tīkla attīstība un jāļauj ES rīcībai koncentrēties uz tiem TEN-T komponentiem, kuriem ir vislielākā Eiropas pievienotā vērtība, jo īpaši pārrobežu posmiem, trūkstošiem savienojumiem, multimodāliem savienojuma punktiem un ievērojamām vājajām vietām.</w:t>
      </w:r>
    </w:p>
    <w:p w:rsidR="00C17CA1" w:rsidP="00E5314D" w:rsidRDefault="00397BCB" w14:paraId="46D2DF47" w14:textId="0D3D9460">
      <w:pPr>
        <w:spacing w:after="240"/>
        <w:ind w:firstLine="720"/>
        <w:jc w:val="both"/>
      </w:pPr>
      <w:r w:rsidRPr="00397BCB">
        <w:rPr>
          <w:color w:val="000000" w:themeColor="text1"/>
        </w:rPr>
        <w:t>Esošo TEN-T tīklu Latvijā nosaka 2013. gada 11. decembra TEN-T Regula. Latviju šķērso TEN-T Pamattīkla Ziemeļjūras – Baltijas koridors, ietverot visu transporta veidu elementus: autoceļus, dzelzceļus, Ventspils un Rīgas ostas, Rīgas lidostu un Rīgas pilsētu, kā galvaspilsētu.</w:t>
      </w:r>
      <w:r w:rsidRPr="00397BCB">
        <w:t xml:space="preserve"> </w:t>
      </w:r>
      <w:r w:rsidRPr="00397BCB">
        <w:rPr>
          <w:color w:val="000000" w:themeColor="text1"/>
        </w:rPr>
        <w:t>Latvijā iekšējās sasniedzamības nodrošināšanā galvenā loma joprojām ir autoceļiem. Latvijas autoceļu tīkls ir pietiekami blīvs, taču autoceļu kvalitāte ik gadu autoceļiem piešķirtā nepietiekamā finansējuma dēļ ir zemāka par vidējo līmeni Eiropā</w:t>
      </w:r>
      <w:r>
        <w:rPr>
          <w:color w:val="000000" w:themeColor="text1"/>
        </w:rPr>
        <w:t xml:space="preserve">, kas </w:t>
      </w:r>
      <w:r w:rsidRPr="00083553">
        <w:t>sadārdzina autotransporta ekspluatācijas izmaksas, palielinot brauciena ilgumu un degvielas patēriņu.</w:t>
      </w:r>
      <w:r>
        <w:t xml:space="preserve"> </w:t>
      </w:r>
      <w:r w:rsidRPr="00397BCB">
        <w:t>Pamattīkls Latvijā ir Ziemeļu-Dienvidu virzienā Ainaži–Rīga–Grenctāle un Rietumu-Austrumu virzienā Ventspils–Rīga–Jēkabpils tālāk ar sazarojumu caur Rēzekni–Terehova un caur Daugavpili–Pāternieki.</w:t>
      </w:r>
    </w:p>
    <w:p w:rsidRPr="00083553" w:rsidR="00397BCB" w:rsidP="00E5314D" w:rsidRDefault="00397BCB" w14:paraId="1F8F756D" w14:textId="77777777">
      <w:pPr>
        <w:spacing w:after="240"/>
        <w:ind w:firstLine="720"/>
        <w:jc w:val="both"/>
        <w:rPr>
          <w:color w:val="000000"/>
        </w:rPr>
      </w:pPr>
      <w:r w:rsidRPr="00083553">
        <w:t xml:space="preserve">Šobrīd notiek darbs pie jaunās Eiropas sliežu platuma (1435 mm) dzelzceļa līnijas </w:t>
      </w:r>
      <w:r w:rsidRPr="00083553">
        <w:rPr>
          <w:i/>
          <w:iCs/>
        </w:rPr>
        <w:t xml:space="preserve">Rail </w:t>
      </w:r>
      <w:proofErr w:type="spellStart"/>
      <w:r w:rsidRPr="00083553">
        <w:rPr>
          <w:i/>
          <w:iCs/>
        </w:rPr>
        <w:t>Baltica</w:t>
      </w:r>
      <w:proofErr w:type="spellEnd"/>
      <w:r w:rsidRPr="00083553">
        <w:t xml:space="preserve"> attīstības. </w:t>
      </w:r>
      <w:r w:rsidRPr="00083553">
        <w:rPr>
          <w:i/>
          <w:iCs/>
        </w:rPr>
        <w:t xml:space="preserve">Rail </w:t>
      </w:r>
      <w:proofErr w:type="spellStart"/>
      <w:r w:rsidRPr="00083553">
        <w:rPr>
          <w:i/>
          <w:iCs/>
        </w:rPr>
        <w:t>Baltica</w:t>
      </w:r>
      <w:proofErr w:type="spellEnd"/>
      <w:r w:rsidRPr="00083553">
        <w:t xml:space="preserve"> ir </w:t>
      </w:r>
      <w:proofErr w:type="spellStart"/>
      <w:r w:rsidRPr="00083553">
        <w:t>Transeiropas</w:t>
      </w:r>
      <w:proofErr w:type="spellEnd"/>
      <w:r w:rsidRPr="00083553">
        <w:t xml:space="preserve"> transporta tīkla Ziemeļjūras – Baltijas koridora transporta sistēmas būtisks elements, jo tas ir pašreiz iztrūkstošais koridora pārrobežu savienojums. TEN-T politikas mērķis ir izveidot transporta infrastruktūru un savienojumus, kas stiprina vienotu tirgu, nodrošinot preču un cilvēku netraucētu plūsmu, veicina izaugsmi, jaunu darbavietu rašanos un ES konkurētspēju. </w:t>
      </w:r>
      <w:r w:rsidRPr="00083553">
        <w:rPr>
          <w:i/>
          <w:iCs/>
        </w:rPr>
        <w:t xml:space="preserve">Rail </w:t>
      </w:r>
      <w:proofErr w:type="spellStart"/>
      <w:r w:rsidRPr="00083553">
        <w:rPr>
          <w:i/>
          <w:iCs/>
        </w:rPr>
        <w:t>Baltica</w:t>
      </w:r>
      <w:proofErr w:type="spellEnd"/>
      <w:r w:rsidRPr="00083553">
        <w:t xml:space="preserve"> nodrošinās ātrus, drošus un videi draudzīgus dzelzceļa pakalpojumus gan pasažieru (līdz 249 km/h), gan kravu (līdz 120km/h) pārvadājumiem.</w:t>
      </w:r>
      <w:r w:rsidRPr="00083553">
        <w:rPr>
          <w:color w:val="000000"/>
          <w:shd w:val="clear" w:color="auto" w:fill="FFFFFF"/>
        </w:rPr>
        <w:t xml:space="preserve"> </w:t>
      </w:r>
    </w:p>
    <w:p w:rsidR="00397BCB" w:rsidP="00E5314D" w:rsidRDefault="00397BCB" w14:paraId="0E71D6AF" w14:textId="16F690FD">
      <w:pPr>
        <w:spacing w:after="240"/>
        <w:ind w:firstLine="720"/>
        <w:jc w:val="both"/>
        <w:rPr>
          <w:color w:val="000000" w:themeColor="text1"/>
        </w:rPr>
      </w:pPr>
      <w:r w:rsidRPr="00397BCB">
        <w:rPr>
          <w:color w:val="000000" w:themeColor="text1"/>
        </w:rPr>
        <w:t xml:space="preserve">VAS “Starptautiskā lidosta “Rīga”” ir lielākais starptautiskās aviācijas uzņēmums Baltijā un ir šī reģiona galvenais gaisa satiksmes centrs, kas apkalpo gandrīz pusi no Baltijas valstu lidostu kopējā apkalpoto pasažieru skaita. Latvijas ilgtspējīgas attīstības stratēģijā ir noteikts, ka Latvijas reģionālās attīstības veicināšanai nepieciešams izmantot Liepājas, Ventspils un Daugavpils lidostu potenciālu. </w:t>
      </w:r>
      <w:r w:rsidRPr="00083553">
        <w:rPr>
          <w:rFonts w:eastAsia="Verdana"/>
        </w:rPr>
        <w:t>Patlaban</w:t>
      </w:r>
      <w:r w:rsidRPr="00083553">
        <w:t xml:space="preserve"> TEN-T Pamattīklā ir iekļauta “Starptautiskā lidosta “Rīga””, bet Liepājas, Daugavpils un Ventspils lidostas ir Visaptverošā tīkla lidostas. Šādu pieeju paredz saglabāt arī jaunais TEN-T Regulas priekšlikums.</w:t>
      </w:r>
    </w:p>
    <w:p w:rsidR="00397BCB" w:rsidP="00E5314D" w:rsidRDefault="00397BCB" w14:paraId="2951F54B" w14:textId="1709E0C0">
      <w:pPr>
        <w:spacing w:after="240"/>
        <w:ind w:firstLine="720"/>
        <w:jc w:val="both"/>
      </w:pPr>
      <w:r w:rsidRPr="00083553">
        <w:lastRenderedPageBreak/>
        <w:t>Latvijā ir labvēlīgi ģeogrāfiskie nosacījumi kuģošanas un ostu attīstībai</w:t>
      </w:r>
      <w:r>
        <w:t xml:space="preserve">, kā ietekmē </w:t>
      </w:r>
      <w:r w:rsidRPr="00083553">
        <w:t>Latvija ir kļuvusi par jūras valsti, un jūrniecības nozare arī mūsdienās dod pienesumu valsts ekonomiskajā izaugsmē. Latvijas ostas ir nozīmīgi loģistikas mezgli Baltijas reģionā</w:t>
      </w:r>
      <w:r>
        <w:t xml:space="preserve">. </w:t>
      </w:r>
      <w:r w:rsidRPr="00083553">
        <w:t>Pašlaik TEN-T Pamattīklā ir iekļautas Rīgas un Ventspils ostas, bet Liepāja ir Visaptverošā tīkla osta. Šādu pieeju paredz saglabāt arī jaunajā Regulas priekšlikumā.</w:t>
      </w:r>
    </w:p>
    <w:p w:rsidR="00397BCB" w:rsidP="00E5314D" w:rsidRDefault="00D61BB6" w14:paraId="70FFE55D" w14:textId="5905A040">
      <w:pPr>
        <w:spacing w:after="240"/>
        <w:ind w:firstLine="720"/>
        <w:jc w:val="both"/>
      </w:pPr>
      <w:r w:rsidRPr="00D61BB6">
        <w:t>2021. gada 21. oktobrī ar Ministru kabineta rīkojumu Nr. 710 “Par Transporta attīstības pamatnostādnēm 2021.-2027. gadam” ir apstiprinātas Transporta attīstības pamatnostādnes 2021. – 2027.gadam (turpmāk tekstā – TAP2027</w:t>
      </w:r>
      <w:r>
        <w:t xml:space="preserve">), kas ir </w:t>
      </w:r>
      <w:r w:rsidRPr="00083553">
        <w:t xml:space="preserve">vidēja termiņa politikas plānošanas dokuments transporta nozares attīstībai, un tajā izvirzītais mērķis ir integrēta transporta sistēma, kas nodrošina drošu, efektīvu, pieejamu, piekļūstamu, viedu un ilgtspējīgu mobilitāti, veicina valsts ekonomisko izaugsmi, reģionālo attīstību un nodrošina virzību uz </w:t>
      </w:r>
      <w:proofErr w:type="spellStart"/>
      <w:r w:rsidRPr="00083553">
        <w:t>klimatneitrālu</w:t>
      </w:r>
      <w:proofErr w:type="spellEnd"/>
      <w:r w:rsidRPr="00083553">
        <w:t xml:space="preserve"> ekonomiku.</w:t>
      </w:r>
    </w:p>
    <w:p w:rsidR="00D61BB6" w:rsidP="00E5314D" w:rsidRDefault="00D61BB6" w14:paraId="401E1F4A" w14:textId="3A1AC47A">
      <w:pPr>
        <w:spacing w:after="240"/>
        <w:ind w:firstLine="720"/>
        <w:jc w:val="both"/>
      </w:pPr>
      <w:r w:rsidRPr="00083553">
        <w:t>Transporta nozares būtiskākie izaicinājumi</w:t>
      </w:r>
      <w:r>
        <w:t xml:space="preserve"> Latvijā</w:t>
      </w:r>
      <w:r w:rsidRPr="00083553">
        <w:t>, raugoties no infrastruktūras viedokļa, ir nodrošināt pilnvērtīgu integrēšanos TEN-T, kā arī Latvijas dzelzceļa telpas nošķirtība no Eiropas dzelzceļa tīkla. Kā risinājumi minami transporta plūsmas "šauro vietu" (</w:t>
      </w:r>
      <w:proofErr w:type="spellStart"/>
      <w:r w:rsidRPr="00083553">
        <w:rPr>
          <w:i/>
          <w:iCs/>
        </w:rPr>
        <w:t>bottleneck</w:t>
      </w:r>
      <w:proofErr w:type="spellEnd"/>
      <w:r w:rsidRPr="00083553">
        <w:t xml:space="preserve">) novēršana un trūkstošo savienojumu izbūve, lai pilnvērtīgi integrētos TEN-T, t.sk. prioritāri īstenojot jauna dzelzceļa koridora </w:t>
      </w:r>
      <w:r w:rsidRPr="00083553">
        <w:rPr>
          <w:i/>
          <w:iCs/>
        </w:rPr>
        <w:t xml:space="preserve">Rail </w:t>
      </w:r>
      <w:proofErr w:type="spellStart"/>
      <w:r w:rsidRPr="00083553">
        <w:rPr>
          <w:i/>
          <w:iCs/>
        </w:rPr>
        <w:t>Baltica</w:t>
      </w:r>
      <w:proofErr w:type="spellEnd"/>
      <w:r w:rsidRPr="00083553">
        <w:t xml:space="preserve"> attīstību. TAP2027 paredz arī  pasākumus, kas vērsti uz TEN-T autoceļu kvalitātes un drošības uzlabošanu, pilsētu infrastruktūras sasaisti ar TEN-T tīklu, Rīgas un Rīgas metropoles areāla teritorijas kā TEN-T tīklā integrēta multimodāla transporta mezgla attīstību, Salaspils </w:t>
      </w:r>
      <w:proofErr w:type="spellStart"/>
      <w:r w:rsidRPr="00083553">
        <w:t>intermodālā</w:t>
      </w:r>
      <w:proofErr w:type="spellEnd"/>
      <w:r w:rsidRPr="00083553">
        <w:t xml:space="preserve"> pārkraušanas termināļa attīstību, starptautiskās lidostas “Rīga” attīstību, TEN-T Pamattīkla ostu infrastruktūras kvalitātes uzlabošanu, 5G mobilo sakaru pārklājuma attīstību gar TEN-T tīkla posmiem (VIA </w:t>
      </w:r>
      <w:proofErr w:type="spellStart"/>
      <w:r w:rsidRPr="00083553">
        <w:t>Baltica</w:t>
      </w:r>
      <w:proofErr w:type="spellEnd"/>
      <w:r w:rsidRPr="00083553">
        <w:t xml:space="preserve"> un </w:t>
      </w:r>
      <w:r w:rsidRPr="00083553">
        <w:rPr>
          <w:i/>
          <w:iCs/>
        </w:rPr>
        <w:t xml:space="preserve">Rail </w:t>
      </w:r>
      <w:proofErr w:type="spellStart"/>
      <w:r w:rsidRPr="00083553">
        <w:rPr>
          <w:i/>
          <w:iCs/>
        </w:rPr>
        <w:t>Baltica</w:t>
      </w:r>
      <w:proofErr w:type="spellEnd"/>
      <w:r w:rsidRPr="00083553">
        <w:t xml:space="preserve">). Īstenojot </w:t>
      </w:r>
      <w:proofErr w:type="spellStart"/>
      <w:r w:rsidRPr="00083553">
        <w:t>klimatneitralitātes</w:t>
      </w:r>
      <w:proofErr w:type="spellEnd"/>
      <w:r w:rsidRPr="00083553">
        <w:t xml:space="preserve"> politiku, reģionālajā satiksmē tiks nostiprināta dzelzceļa kā sabiedriskā transporta mugurkaula loma. Ap dzelzceļu tiks attīstīts multimodālo punktu tīkls, kas nodrošinās dažāda veida transporta veidu savienojumus, piedāvājot pasažieriem ērtu un ātru pārsēšanos no autotransporta vai velo uz dzelzceļu. Vienlaikus transporta politika paredz velosipēdu ceļu izbūvi. Iedzīvotāju ērtībām tiks izstrādāta vienota elektroniskā sistēma sabiedriskā transporta biļešu iegādei  un izveidoti jauni dzelzceļa reģionālie maršruti.</w:t>
      </w:r>
    </w:p>
    <w:p w:rsidRPr="00083553" w:rsidR="00D61BB6" w:rsidP="00E5314D" w:rsidRDefault="00D61BB6" w14:paraId="30040D24" w14:textId="671003C2">
      <w:pPr>
        <w:spacing w:after="240"/>
        <w:ind w:firstLine="720"/>
        <w:jc w:val="both"/>
        <w:rPr>
          <w:bCs/>
          <w:iCs/>
        </w:rPr>
      </w:pPr>
      <w:r w:rsidRPr="00083553">
        <w:rPr>
          <w:bCs/>
          <w:iCs/>
        </w:rPr>
        <w:t xml:space="preserve">TEN-T infrastruktūrā Latvijā tiek ieguldīti CEF, Kohēzijas politikas fondu, kā arī Atveseļošanas un noturības mehānisma līdzekļi. 2014.-2020. gada plānošanas periodā 11 projektiem (t.sk. </w:t>
      </w:r>
      <w:r w:rsidRPr="00083553">
        <w:rPr>
          <w:bCs/>
          <w:i/>
        </w:rPr>
        <w:t xml:space="preserve">Rail </w:t>
      </w:r>
      <w:proofErr w:type="spellStart"/>
      <w:r w:rsidRPr="00083553">
        <w:rPr>
          <w:bCs/>
          <w:i/>
        </w:rPr>
        <w:t>Baltica</w:t>
      </w:r>
      <w:proofErr w:type="spellEnd"/>
      <w:r w:rsidRPr="00083553">
        <w:rPr>
          <w:bCs/>
          <w:iCs/>
        </w:rPr>
        <w:t xml:space="preserve">) piešķirts CEF finansiālais atbalsts 283,6 milj. EUR apmērā. Projektu kopējās izmaksas ir 355,1 milj. EUR. No Kohēzijas politikas fondiem transporta infrastruktūrai 2014.-2020. gada plānošanas periodā pieejami 1,3 </w:t>
      </w:r>
      <w:proofErr w:type="spellStart"/>
      <w:r w:rsidRPr="00083553">
        <w:rPr>
          <w:bCs/>
          <w:iCs/>
        </w:rPr>
        <w:t>miljrd</w:t>
      </w:r>
      <w:proofErr w:type="spellEnd"/>
      <w:r w:rsidRPr="00083553">
        <w:rPr>
          <w:bCs/>
          <w:iCs/>
        </w:rPr>
        <w:t xml:space="preserve">. EUR, kas galvenokārt tiek ieguldīti TEN-T infrastruktūrā. Atveseļošanas un noturības mehānisma ietvaros plānots īstenot Rīgas metropoles areāla transporta sistēmas </w:t>
      </w:r>
      <w:proofErr w:type="spellStart"/>
      <w:r w:rsidRPr="00083553">
        <w:rPr>
          <w:bCs/>
          <w:iCs/>
        </w:rPr>
        <w:t>zaļināšanas</w:t>
      </w:r>
      <w:proofErr w:type="spellEnd"/>
      <w:r w:rsidRPr="00083553">
        <w:rPr>
          <w:bCs/>
          <w:iCs/>
        </w:rPr>
        <w:t xml:space="preserve"> reformu. ANM finansējums reformas īstenošanai ir 295 milj. EUR un tā lielākā daļa tiks investēta Rīgas pilsētas, kas ir TEN-T </w:t>
      </w:r>
      <w:proofErr w:type="spellStart"/>
      <w:r w:rsidRPr="00083553">
        <w:rPr>
          <w:bCs/>
          <w:iCs/>
        </w:rPr>
        <w:t>pilsētmezgls</w:t>
      </w:r>
      <w:proofErr w:type="spellEnd"/>
      <w:r w:rsidRPr="00083553">
        <w:rPr>
          <w:bCs/>
          <w:iCs/>
        </w:rPr>
        <w:t>, transporta infrastruktūrā.</w:t>
      </w:r>
      <w:r w:rsidR="00E5314D">
        <w:rPr>
          <w:bCs/>
          <w:iCs/>
        </w:rPr>
        <w:t xml:space="preserve"> </w:t>
      </w:r>
      <w:r w:rsidRPr="00E5314D" w:rsidR="00E5314D">
        <w:rPr>
          <w:bCs/>
          <w:iCs/>
        </w:rPr>
        <w:t xml:space="preserve">2021.-2027. gada plānošanas periodā plānotais Kohēzijas politikas fondu finansējums transporta infrastruktūrai ir 873 milj. EUR, ko pamatā plānots ieguldīt TEN-T infrastruktūrā. CEF 2021.-2027.gada plānošanas perioda finansējuma saņemšanai </w:t>
      </w:r>
      <w:r w:rsidRPr="00E5314D" w:rsidR="00E5314D">
        <w:rPr>
          <w:bCs/>
          <w:i/>
        </w:rPr>
        <w:t xml:space="preserve">Rail </w:t>
      </w:r>
      <w:proofErr w:type="spellStart"/>
      <w:r w:rsidRPr="00E5314D" w:rsidR="00E5314D">
        <w:rPr>
          <w:bCs/>
          <w:i/>
        </w:rPr>
        <w:t>Baltica</w:t>
      </w:r>
      <w:proofErr w:type="spellEnd"/>
      <w:r w:rsidRPr="00E5314D" w:rsidR="00E5314D">
        <w:rPr>
          <w:bCs/>
          <w:iCs/>
        </w:rPr>
        <w:t xml:space="preserve"> un citu TEN-T infrastruktūras projektu īstenošanai Latvija piedalīsies Komisijas izsludinātajos uzsaukumos.</w:t>
      </w:r>
    </w:p>
    <w:p w:rsidRPr="00D61BB6" w:rsidR="00D61BB6" w:rsidP="2F48F317" w:rsidRDefault="00D61BB6" w14:paraId="2FF047ED" w14:textId="516A9A64">
      <w:pPr>
        <w:pStyle w:val="Normal"/>
        <w:spacing w:after="240"/>
        <w:ind w:firstLine="720"/>
        <w:jc w:val="both"/>
        <w:rPr>
          <w:b w:val="true"/>
          <w:bCs w:val="true"/>
        </w:rPr>
      </w:pPr>
      <w:r w:rsidRPr="2F48F317" w:rsidR="00D61BB6">
        <w:rPr>
          <w:rFonts w:ascii="Times New Roman" w:hAnsi="Times New Roman" w:eastAsia="Times New Roman" w:cs="Times New Roman"/>
          <w:b w:val="true"/>
          <w:bCs w:val="true"/>
          <w:color w:val="auto"/>
          <w:sz w:val="24"/>
          <w:szCs w:val="24"/>
        </w:rPr>
        <w:t xml:space="preserve">Latvija </w:t>
      </w:r>
      <w:r w:rsidRPr="2F48F317" w:rsidR="00D61BB6">
        <w:rPr>
          <w:rFonts w:ascii="Times New Roman" w:hAnsi="Times New Roman" w:eastAsia="Times New Roman" w:cs="Times New Roman"/>
          <w:b w:val="true"/>
          <w:bCs w:val="true"/>
          <w:color w:val="auto"/>
          <w:sz w:val="24"/>
          <w:szCs w:val="24"/>
          <w:bdr w:val="none" w:color="auto" w:sz="0" w:space="0" w:frame="true"/>
        </w:rPr>
        <w:t xml:space="preserve">kopumā atbalsta Komisijas sagatavoto Regulas priekšlikumu par TEN-T attīstību, </w:t>
      </w:r>
      <w:r w:rsidRPr="2F48F317" w:rsidR="00D61BB6">
        <w:rPr>
          <w:rFonts w:ascii="Times New Roman" w:hAnsi="Times New Roman" w:eastAsia="Times New Roman" w:cs="Times New Roman"/>
          <w:b w:val="false"/>
          <w:bCs w:val="false"/>
          <w:color w:val="auto"/>
          <w:sz w:val="24"/>
          <w:szCs w:val="24"/>
          <w:bdr w:val="none" w:color="auto" w:sz="0" w:space="0" w:frame="true"/>
        </w:rPr>
        <w:t xml:space="preserve">t</w:t>
      </w:r>
      <w:proofErr w:type="spellStart"/>
      <w:r w:rsidRPr="2F48F317" w:rsidR="2F48F317">
        <w:rPr>
          <w:rFonts w:ascii="Times New Roman" w:hAnsi="Times New Roman" w:eastAsia="Times New Roman" w:cs="Times New Roman"/>
          <w:b w:val="false"/>
          <w:bCs w:val="false"/>
          <w:noProof w:val="false"/>
          <w:color w:val="auto"/>
          <w:sz w:val="24"/>
          <w:szCs w:val="24"/>
          <w:lang w:val="en-US"/>
        </w:rPr>
        <w:t>omēr</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norāda</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ka </w:t>
      </w:r>
      <w:proofErr w:type="spellStart"/>
      <w:r w:rsidRPr="2F48F317" w:rsidR="2F48F317">
        <w:rPr>
          <w:rFonts w:ascii="Times New Roman" w:hAnsi="Times New Roman" w:eastAsia="Times New Roman" w:cs="Times New Roman"/>
          <w:b w:val="false"/>
          <w:bCs w:val="false"/>
          <w:noProof w:val="false"/>
          <w:color w:val="auto"/>
          <w:sz w:val="24"/>
          <w:szCs w:val="24"/>
          <w:lang w:val="en-US"/>
        </w:rPr>
        <w:t>turpmākajās</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diskusijās</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(ES </w:t>
      </w:r>
      <w:proofErr w:type="spellStart"/>
      <w:r w:rsidRPr="2F48F317" w:rsidR="2F48F317">
        <w:rPr>
          <w:rFonts w:ascii="Times New Roman" w:hAnsi="Times New Roman" w:eastAsia="Times New Roman" w:cs="Times New Roman"/>
          <w:b w:val="false"/>
          <w:bCs w:val="false"/>
          <w:noProof w:val="false"/>
          <w:color w:val="auto"/>
          <w:sz w:val="24"/>
          <w:szCs w:val="24"/>
          <w:lang w:val="en-US"/>
        </w:rPr>
        <w:t>Padomes</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darba</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grupās</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un Eiropas Parlamentā)</w:t>
      </w:r>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ir</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detalizēti</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jāskata</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atsevišķu</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prasību</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piemērošana</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gan</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no </w:t>
      </w:r>
      <w:proofErr w:type="spellStart"/>
      <w:r w:rsidRPr="2F48F317" w:rsidR="2F48F317">
        <w:rPr>
          <w:rFonts w:ascii="Times New Roman" w:hAnsi="Times New Roman" w:eastAsia="Times New Roman" w:cs="Times New Roman"/>
          <w:b w:val="false"/>
          <w:bCs w:val="false"/>
          <w:noProof w:val="false"/>
          <w:color w:val="auto"/>
          <w:sz w:val="24"/>
          <w:szCs w:val="24"/>
          <w:lang w:val="en-US"/>
        </w:rPr>
        <w:t>tehnisko</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parametru</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gan</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laika</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grafika</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gan</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finansējuma</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pieejamības</w:t>
      </w:r>
      <w:proofErr w:type="spellEnd"/>
      <w:r w:rsidRPr="2F48F317" w:rsidR="2F48F317">
        <w:rPr>
          <w:rFonts w:ascii="Times New Roman" w:hAnsi="Times New Roman" w:eastAsia="Times New Roman" w:cs="Times New Roman"/>
          <w:b w:val="false"/>
          <w:bCs w:val="false"/>
          <w:noProof w:val="false"/>
          <w:color w:val="auto"/>
          <w:sz w:val="24"/>
          <w:szCs w:val="24"/>
          <w:lang w:val="en-US"/>
        </w:rPr>
        <w:t xml:space="preserve"> </w:t>
      </w:r>
      <w:proofErr w:type="spellStart"/>
      <w:r w:rsidRPr="2F48F317" w:rsidR="2F48F317">
        <w:rPr>
          <w:rFonts w:ascii="Times New Roman" w:hAnsi="Times New Roman" w:eastAsia="Times New Roman" w:cs="Times New Roman"/>
          <w:b w:val="false"/>
          <w:bCs w:val="false"/>
          <w:noProof w:val="false"/>
          <w:color w:val="auto"/>
          <w:sz w:val="24"/>
          <w:szCs w:val="24"/>
          <w:lang w:val="en-US"/>
        </w:rPr>
        <w:t>viedokļa</w:t>
      </w:r>
      <w:proofErr w:type="spellEnd"/>
      <w:r w:rsidRPr="2F48F317" w:rsidR="00D61BB6">
        <w:rPr>
          <w:rFonts w:ascii="Times New Roman" w:hAnsi="Times New Roman" w:eastAsia="Times New Roman" w:cs="Times New Roman"/>
          <w:b w:val="false"/>
          <w:bCs w:val="false"/>
          <w:color w:val="auto"/>
          <w:sz w:val="24"/>
          <w:szCs w:val="24"/>
          <w:bdr w:val="none" w:color="auto" w:sz="0" w:space="0" w:frame="true"/>
        </w:rPr>
        <w:t xml:space="preserve">.</w:t>
      </w:r>
      <w:r w:rsidRPr="2F48F317" w:rsidR="00D61BB6">
        <w:rPr>
          <w:b w:val="false"/>
          <w:bCs w:val="false"/>
          <w:bdr w:val="none" w:color="auto" w:sz="0" w:space="0" w:frame="true"/>
        </w:rPr>
        <w:t xml:space="preserve"> </w:t>
      </w:r>
      <w:r w:rsidRPr="00083553" w:rsidR="00D61BB6">
        <w:rPr>
          <w:bdr w:val="none" w:color="auto" w:sz="0" w:space="0" w:frame="true"/>
        </w:rPr>
        <w:t xml:space="preserve">Latvija uzskata, ka vienotai TEN-T attīstībai ir jābūt savlaicīgi un precīzi plānotai un esošais regulējums ir pieņemts 2013. gadā un kopš tā brīža mainījušās tendences transporta infrastruktūras un jauno tehnoloģiju attīstībā. Tāpat Komisija ir pieņēmusi Zaļā kursu, kur attiecībā uz transporta sektoru ir nosprausti ambiciozi mērķi </w:t>
      </w:r>
      <w:proofErr w:type="spellStart"/>
      <w:r w:rsidRPr="00083553" w:rsidR="00D61BB6">
        <w:rPr>
          <w:bdr w:val="none" w:color="auto" w:sz="0" w:space="0" w:frame="true"/>
        </w:rPr>
        <w:t>klimatneitralitātes</w:t>
      </w:r>
      <w:proofErr w:type="spellEnd"/>
      <w:r w:rsidRPr="00083553" w:rsidR="00D61BB6">
        <w:rPr>
          <w:bdr w:val="none" w:color="auto" w:sz="0" w:space="0" w:frame="true"/>
        </w:rPr>
        <w:t xml:space="preserve"> sasniegšanai un nozīmīgu lomu transporta jautājumu attīstībā ir ieguvusi </w:t>
      </w:r>
      <w:proofErr w:type="spellStart"/>
      <w:r w:rsidRPr="00083553" w:rsidR="00D61BB6">
        <w:rPr>
          <w:bdr w:val="none" w:color="auto" w:sz="0" w:space="0" w:frame="true"/>
        </w:rPr>
        <w:t>digitalizācija</w:t>
      </w:r>
      <w:proofErr w:type="spellEnd"/>
      <w:r w:rsidRPr="00083553" w:rsidR="00D61BB6">
        <w:rPr>
          <w:bdr w:val="none" w:color="auto" w:sz="0" w:space="0" w:frame="true"/>
        </w:rPr>
        <w:t>, līdz ar to regulējuma pārskatīšana atbilst kopējām politikas attīstības tendencēm.</w:t>
      </w:r>
    </w:p>
    <w:p w:rsidRPr="00083553" w:rsidR="00E5314D" w:rsidP="00E5314D" w:rsidRDefault="00E5314D" w14:paraId="44CBF2EC" w14:textId="02503379">
      <w:pPr>
        <w:spacing w:after="240"/>
        <w:ind w:firstLine="720"/>
        <w:jc w:val="both"/>
        <w:textAlignment w:val="baseline"/>
        <w:rPr>
          <w:bdr w:val="none" w:color="auto" w:sz="0" w:space="0" w:frame="true"/>
        </w:rPr>
      </w:pPr>
      <w:r w:rsidRPr="00083553">
        <w:rPr>
          <w:bdr w:val="none" w:color="auto" w:sz="0" w:space="0" w:frame="true"/>
        </w:rPr>
        <w:lastRenderedPageBreak/>
        <w:t>Latvija pateicas Komisijai par veikto darbu Regulas priekšlikuma izstrādē, t.sk. diskutējot ar dalībvalstīm. Vienlaikus Latvija vērš uzmanību, ka tā kā Regulas priekšlikums satur virkni jaunu pieeju (piemēram, piedāvājot noteikt arī Paplašināto pamattīklu (</w:t>
      </w:r>
      <w:proofErr w:type="spellStart"/>
      <w:r w:rsidRPr="00083553">
        <w:rPr>
          <w:i/>
          <w:iCs/>
          <w:bdr w:val="none" w:color="auto" w:sz="0" w:space="0" w:frame="true"/>
        </w:rPr>
        <w:t>extented</w:t>
      </w:r>
      <w:proofErr w:type="spellEnd"/>
      <w:r w:rsidRPr="00083553">
        <w:rPr>
          <w:i/>
          <w:iCs/>
          <w:bdr w:val="none" w:color="auto" w:sz="0" w:space="0" w:frame="true"/>
        </w:rPr>
        <w:t xml:space="preserve"> </w:t>
      </w:r>
      <w:proofErr w:type="spellStart"/>
      <w:r w:rsidRPr="00083553">
        <w:rPr>
          <w:i/>
          <w:iCs/>
          <w:bdr w:val="none" w:color="auto" w:sz="0" w:space="0" w:frame="true"/>
        </w:rPr>
        <w:t>Core</w:t>
      </w:r>
      <w:proofErr w:type="spellEnd"/>
      <w:r w:rsidRPr="00083553">
        <w:rPr>
          <w:i/>
          <w:iCs/>
          <w:bdr w:val="none" w:color="auto" w:sz="0" w:space="0" w:frame="true"/>
        </w:rPr>
        <w:t xml:space="preserve"> </w:t>
      </w:r>
      <w:proofErr w:type="spellStart"/>
      <w:r w:rsidRPr="00083553">
        <w:rPr>
          <w:i/>
          <w:iCs/>
          <w:bdr w:val="none" w:color="auto" w:sz="0" w:space="0" w:frame="true"/>
        </w:rPr>
        <w:t>network</w:t>
      </w:r>
      <w:proofErr w:type="spellEnd"/>
      <w:r w:rsidRPr="00083553">
        <w:rPr>
          <w:bdr w:val="none" w:color="auto" w:sz="0" w:space="0" w:frame="true"/>
        </w:rPr>
        <w:t xml:space="preserve">) un jaunas prasības tīkla infrastruktūrai (piemēram, Multimodālo kravas termināļu attīstības plānu izstrāde un prasības kravu pieņemšanai un apstrādei; pilsētu mezglu ilgtspējīgas mobilitātes plānu izstrāde un prasības pasažieru un kravu terminālu izveidei u.c.), kas ir solis pretī TEN-T pilnveidei un saskaņošanai ar citām politikām, tad šajā jautājumā būtisks ir jauno pasākumu finansēšanas aspekts, t.sk. ar skatu uz nākamo ES Daudzgadu budžetu, ņemot vērā jauno konceptu par paplašināto tīklu un jaunajām prasībām, kas attiecīgi norāda uz to, ka nākamajā ES Daudzgadu budžetā Komisijai ir jāparedz atbilstošs finansējums transporta projektiem. </w:t>
      </w:r>
    </w:p>
    <w:p w:rsidRPr="00083553" w:rsidR="00E5314D" w:rsidP="00E5314D" w:rsidRDefault="00E5314D" w14:paraId="5F33107D" w14:textId="77777777">
      <w:pPr>
        <w:pStyle w:val="BodyText2"/>
        <w:spacing w:after="240"/>
        <w:ind w:firstLine="720"/>
        <w:jc w:val="both"/>
        <w:rPr>
          <w:sz w:val="24"/>
          <w:bdr w:val="none" w:color="auto" w:sz="0" w:space="0" w:frame="true"/>
        </w:rPr>
      </w:pPr>
      <w:r w:rsidRPr="00083553">
        <w:rPr>
          <w:sz w:val="24"/>
          <w:bdr w:val="none" w:color="auto" w:sz="0" w:space="0" w:frame="true"/>
        </w:rPr>
        <w:t>Latvija uzskata, ka konkrētās tehniskās infrastruktūras parametru ieviešanas prasības (t.sk. samērīgums starp izmaksām un ieguvumiem) ir detalizēti diskutējamas</w:t>
      </w:r>
      <w:r>
        <w:rPr>
          <w:sz w:val="24"/>
          <w:bdr w:val="none" w:color="auto" w:sz="0" w:space="0" w:frame="true"/>
        </w:rPr>
        <w:t>.</w:t>
      </w:r>
      <w:r w:rsidRPr="00083553">
        <w:rPr>
          <w:sz w:val="24"/>
          <w:bdr w:val="none" w:color="auto" w:sz="0" w:space="0" w:frame="true"/>
        </w:rPr>
        <w:t xml:space="preserve"> Viennozīmīgi ir skaidrs, ka Komisijas piedāvātās kopējo TEN-T tīkla prasību ieviešana prasīs ievērojams izmaksas un sekmīgai rezultāta sasniegšanai būtisks būs ES finansiālais atbalsts un ir jādomā par finansiāliem mehānismiem, lai mazinātu šo ietekmi patērētājiem, kas bauda TEN-T priekšrocības. Tāpat uzskatam, ka vidēja termiņa periodā būtiski ir saskaņot nacionālos plānošanas dokumentus ar TEN-T Regulas prasībām, vienlaikus redzam, ka šādā periodā būtiskas jaunu prasību ieviešanas TEN-T Regulā rada sarežģījumus dalībvalstīm, jo ir pārāk mazs laiks, lai īstenotu lielus infrastruktūras projektus, līdz ar to prasības un termiņi ir savstarpēji saistīti jautājumi, kuros ir nepieciešams balanss, jo daļa jaunās prasības ir vērtējamas kā ilgtermiņa. </w:t>
      </w:r>
    </w:p>
    <w:p w:rsidR="00E5314D" w:rsidP="00E5314D" w:rsidRDefault="00E5314D" w14:paraId="6AFF9B5C" w14:textId="4779EDB9">
      <w:pPr>
        <w:pStyle w:val="BodyText2"/>
        <w:spacing w:after="240"/>
        <w:ind w:firstLine="720"/>
        <w:jc w:val="both"/>
        <w:rPr>
          <w:sz w:val="24"/>
          <w:bdr w:val="none" w:color="auto" w:sz="0" w:space="0" w:frame="true"/>
        </w:rPr>
      </w:pPr>
      <w:r w:rsidRPr="00083553">
        <w:rPr>
          <w:sz w:val="24"/>
          <w:bdr w:val="none" w:color="auto" w:sz="0" w:space="0" w:frame="true"/>
        </w:rPr>
        <w:t xml:space="preserve">Tāpat Latvija norāda, ka izstrādājot jaunas infrastruktūras prasības vai precizējot esošās  būtiski ir ņemt vērā reģionālās atšķirības, kā arī transporta plūsmu apjomus. </w:t>
      </w:r>
    </w:p>
    <w:p w:rsidR="00434E09" w:rsidP="00782392" w:rsidRDefault="00434E09" w14:paraId="207D42C5" w14:textId="77777777">
      <w:pPr>
        <w:jc w:val="both"/>
        <w:rPr>
          <w:rStyle w:val="normaltextrun"/>
          <w:color w:val="000000"/>
          <w:shd w:val="clear" w:color="auto" w:fill="FFFFFF"/>
        </w:rPr>
      </w:pPr>
    </w:p>
    <w:p w:rsidR="00434E09" w:rsidP="00001CDE" w:rsidRDefault="00434E09" w14:paraId="7C380D43" w14:textId="77777777">
      <w:pPr>
        <w:ind w:firstLine="720"/>
        <w:jc w:val="both"/>
        <w:rPr>
          <w:rStyle w:val="normaltextrun"/>
          <w:color w:val="000000"/>
          <w:shd w:val="clear" w:color="auto" w:fill="FFFFFF"/>
        </w:rPr>
      </w:pPr>
    </w:p>
    <w:p w:rsidR="00001CDE" w:rsidP="00001CDE" w:rsidRDefault="00001CDE" w14:paraId="52F790C7" w14:textId="00774FAB">
      <w:pPr>
        <w:ind w:firstLine="720"/>
        <w:jc w:val="both"/>
        <w:rPr>
          <w:color w:val="000000" w:themeColor="text1"/>
        </w:rPr>
      </w:pPr>
      <w:r w:rsidRPr="0048165C">
        <w:rPr>
          <w:rStyle w:val="normaltextrun"/>
          <w:color w:val="000000"/>
          <w:shd w:val="clear" w:color="auto" w:fill="FFFFFF"/>
        </w:rPr>
        <w:t xml:space="preserve">Priekšlikums tiek skatīts </w:t>
      </w:r>
      <w:r w:rsidRPr="00F04CBE" w:rsidR="00F04CBE">
        <w:t xml:space="preserve">Padomes Starpnozaru pārvadājumu jautājumu un tīklu darba </w:t>
      </w:r>
      <w:r>
        <w:t>grupā.</w:t>
      </w:r>
    </w:p>
    <w:p w:rsidR="005F6D94" w:rsidP="2B3E1191" w:rsidRDefault="005F6D94" w14:paraId="1AFCF5CB" w14:textId="77777777"/>
    <w:p w:rsidR="00E5314D" w:rsidP="2B3E1191" w:rsidRDefault="00E5314D" w14:paraId="37FD9257" w14:textId="77777777">
      <w:pPr>
        <w:ind w:left="720"/>
      </w:pPr>
    </w:p>
    <w:p w:rsidR="00E5314D" w:rsidP="2B3E1191" w:rsidRDefault="00E5314D" w14:paraId="61D17A56" w14:textId="77777777">
      <w:pPr>
        <w:ind w:left="720"/>
      </w:pPr>
    </w:p>
    <w:p w:rsidR="002A27D9" w:rsidP="2B3E1191" w:rsidRDefault="002A27D9" w14:paraId="3D691D8C" w14:textId="15E3DE3D">
      <w:pPr>
        <w:ind w:left="720"/>
      </w:pPr>
      <w:r w:rsidRPr="2B3E1191">
        <w:t>Satiksmes ministrs</w:t>
      </w:r>
      <w:r>
        <w:tab/>
      </w:r>
      <w:r>
        <w:tab/>
      </w:r>
      <w:r>
        <w:tab/>
      </w:r>
      <w:r>
        <w:tab/>
      </w:r>
      <w:r>
        <w:tab/>
      </w:r>
      <w:r>
        <w:tab/>
      </w:r>
      <w:r>
        <w:tab/>
      </w:r>
      <w:r w:rsidRPr="2B3E1191" w:rsidR="009B039F">
        <w:t>T. Linkaits</w:t>
      </w:r>
      <w:r w:rsidRPr="2B3E1191">
        <w:t xml:space="preserve">  </w:t>
      </w:r>
    </w:p>
    <w:p w:rsidR="003D438D" w:rsidP="2B3E1191" w:rsidRDefault="003D438D" w14:paraId="2439A523" w14:textId="77777777"/>
    <w:p w:rsidRPr="00000F43" w:rsidR="003D438D" w:rsidP="2B3E1191" w:rsidRDefault="003D438D" w14:paraId="19624B60" w14:textId="3FF37FDC">
      <w:pPr>
        <w:ind w:left="720"/>
      </w:pPr>
      <w:r w:rsidRPr="2B3E1191">
        <w:t>V</w:t>
      </w:r>
      <w:r w:rsidR="00B346C8">
        <w:t>i</w:t>
      </w:r>
      <w:r w:rsidRPr="2B3E1191">
        <w:t>z</w:t>
      </w:r>
      <w:r w:rsidR="00374148">
        <w:t>ē</w:t>
      </w:r>
      <w:r w:rsidRPr="2B3E1191">
        <w:t>:</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00F04CBE" w:rsidP="2B3E1191" w:rsidRDefault="00014887" w14:paraId="1569F931" w14:textId="3C4F2D94">
      <w:pPr>
        <w:ind w:firstLine="720"/>
      </w:pPr>
      <w:r w:rsidRPr="00000F43">
        <w:tab/>
      </w:r>
    </w:p>
    <w:p w:rsidR="00E5314D" w:rsidP="2B3E1191" w:rsidRDefault="00E5314D" w14:paraId="449455AA" w14:textId="09A73EDE">
      <w:pPr>
        <w:ind w:firstLine="720"/>
      </w:pPr>
    </w:p>
    <w:p w:rsidR="00E5314D" w:rsidP="2B3E1191" w:rsidRDefault="00E5314D" w14:paraId="70237189" w14:textId="1AC77907">
      <w:pPr>
        <w:ind w:firstLine="720"/>
      </w:pPr>
    </w:p>
    <w:p w:rsidR="00E5314D" w:rsidP="2B3E1191" w:rsidRDefault="00E5314D" w14:paraId="717AB684" w14:textId="0BB8CFE8">
      <w:pPr>
        <w:ind w:firstLine="720"/>
      </w:pPr>
    </w:p>
    <w:p w:rsidR="00E5314D" w:rsidP="2B3E1191" w:rsidRDefault="00E5314D" w14:paraId="4C0CA4C3" w14:textId="77777777">
      <w:pPr>
        <w:ind w:firstLine="720"/>
      </w:pPr>
    </w:p>
    <w:p w:rsidRPr="00000F43" w:rsidR="00014887" w:rsidP="2B3E1191" w:rsidRDefault="00014887" w14:paraId="33F55606" w14:textId="22403CD2">
      <w:pPr>
        <w:ind w:firstLine="720"/>
      </w:pPr>
      <w:r w:rsidRPr="00000F43">
        <w:tab/>
      </w:r>
      <w:r w:rsidRPr="00000F43">
        <w:tab/>
      </w:r>
      <w:r w:rsidRPr="00000F43">
        <w:tab/>
      </w:r>
      <w:r w:rsidRPr="00000F43">
        <w:tab/>
      </w:r>
      <w:r w:rsidRPr="2B3E1191">
        <w:t xml:space="preserve"> </w:t>
      </w:r>
    </w:p>
    <w:p w:rsidR="00F04CBE" w:rsidP="2B3E1191" w:rsidRDefault="00F04CBE" w14:paraId="756E0115" w14:textId="77777777">
      <w:pPr>
        <w:ind w:firstLine="720"/>
        <w:rPr>
          <w:sz w:val="18"/>
          <w:szCs w:val="18"/>
        </w:rPr>
      </w:pPr>
      <w:r>
        <w:rPr>
          <w:sz w:val="18"/>
          <w:szCs w:val="18"/>
        </w:rPr>
        <w:t>Elīna Šimiņa-Neverovska</w:t>
      </w:r>
    </w:p>
    <w:p w:rsidR="00F04CBE" w:rsidP="00F04CBE" w:rsidRDefault="00F04CBE" w14:paraId="46F35BD8" w14:textId="77777777">
      <w:pPr>
        <w:ind w:firstLine="720"/>
        <w:rPr>
          <w:sz w:val="18"/>
          <w:szCs w:val="18"/>
        </w:rPr>
      </w:pPr>
      <w:r>
        <w:rPr>
          <w:sz w:val="18"/>
          <w:szCs w:val="18"/>
        </w:rPr>
        <w:t>67028254</w:t>
      </w:r>
    </w:p>
    <w:p w:rsidRPr="00000F43" w:rsidR="00000F43" w:rsidP="00F04CBE" w:rsidRDefault="00512713" w14:paraId="4ADA16C7" w14:textId="39596899">
      <w:pPr>
        <w:ind w:firstLine="720"/>
        <w:rPr>
          <w:sz w:val="18"/>
          <w:szCs w:val="18"/>
        </w:rPr>
      </w:pPr>
      <w:hyperlink w:history="true" r:id="rId8">
        <w:r w:rsidRPr="00E40259" w:rsidR="00F04CBE">
          <w:rPr>
            <w:rStyle w:val="Hyperlink"/>
            <w:sz w:val="18"/>
            <w:szCs w:val="18"/>
          </w:rPr>
          <w:t>Elina.simina-neverovska@sam.gov.lv</w:t>
        </w:r>
      </w:hyperlink>
      <w:r w:rsidR="00F04CBE">
        <w:rPr>
          <w:sz w:val="18"/>
          <w:szCs w:val="18"/>
        </w:rPr>
        <w:t xml:space="preserve"> </w:t>
      </w:r>
      <w:r w:rsidRPr="2B3E1191" w:rsidR="00000F43">
        <w:rPr>
          <w:sz w:val="18"/>
          <w:szCs w:val="18"/>
        </w:rPr>
        <w:t xml:space="preserve"> </w:t>
      </w:r>
    </w:p>
    <w:sectPr w:rsidRPr="00000F43" w:rsidR="00000F43" w:rsidSect="00383C47">
      <w:footerReference w:type="even" r:id="rId9"/>
      <w:footerReference w:type="default" r:id="rId10"/>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2713" w:rsidP="002A27D9" w:rsidRDefault="00512713" w14:paraId="547E2E27" w14:textId="77777777">
      <w:r>
        <w:separator/>
      </w:r>
    </w:p>
  </w:endnote>
  <w:endnote w:type="continuationSeparator" w:id="0">
    <w:p w:rsidR="00512713" w:rsidP="002A27D9" w:rsidRDefault="00512713" w14:paraId="08B9217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6801" w:rsidP="00383C47" w:rsidRDefault="008B1148" w14:paraId="14E1C74A"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16801" w:rsidP="00383C47" w:rsidRDefault="00512713" w14:paraId="34A72CA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0304"/>
      <w:docPartObj>
        <w:docPartGallery w:val="Page Numbers (Bottom of Page)"/>
        <w:docPartUnique/>
      </w:docPartObj>
    </w:sdtPr>
    <w:sdtEndPr>
      <w:rPr>
        <w:noProof/>
      </w:rPr>
    </w:sdtEndPr>
    <w:sdtContent>
      <w:p w:rsidR="00E5314D" w:rsidP="00434E09" w:rsidRDefault="00E5314D" w14:paraId="020E5243" w14:textId="014B7673">
        <w:pPr>
          <w:pStyle w:val="Footer"/>
          <w:jc w:val="right"/>
          <w:rPr>
            <w:noProof/>
          </w:rPr>
        </w:pPr>
        <w:r>
          <w:fldChar w:fldCharType="begin"/>
        </w:r>
        <w:r>
          <w:instrText xml:space="preserve"> PAGE   \* MERGEFORMAT </w:instrText>
        </w:r>
        <w:r>
          <w:fldChar w:fldCharType="separate"/>
        </w:r>
        <w:r>
          <w:rPr>
            <w:noProof/>
          </w:rPr>
          <w:t>2</w:t>
        </w:r>
        <w:r>
          <w:rPr>
            <w:noProof/>
          </w:rPr>
          <w:fldChar w:fldCharType="end"/>
        </w:r>
        <w:r>
          <w:rPr>
            <w:noProof/>
          </w:rPr>
          <w:t>-</w:t>
        </w:r>
        <w:r w:rsidR="00C82979">
          <w:rPr>
            <w:noProof/>
          </w:rPr>
          <w:t>4</w:t>
        </w:r>
      </w:p>
    </w:sdtContent>
  </w:sdt>
  <w:p w:rsidR="00760168" w:rsidP="00E5314D" w:rsidRDefault="00E5314D" w14:paraId="24A11077" w14:textId="1AB32E22">
    <w:pPr>
      <w:pStyle w:val="Footer"/>
    </w:pPr>
    <w:r>
      <w:t>SAMzino_280322_TEN-T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2713" w:rsidP="002A27D9" w:rsidRDefault="00512713" w14:paraId="39A0DD9B" w14:textId="77777777">
      <w:r>
        <w:separator/>
      </w:r>
    </w:p>
  </w:footnote>
  <w:footnote w:type="continuationSeparator" w:id="0">
    <w:p w:rsidR="00512713" w:rsidP="002A27D9" w:rsidRDefault="00512713" w14:paraId="341E54B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0EE8"/>
    <w:multiLevelType w:val="hybridMultilevel"/>
    <w:tmpl w:val="0D6671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8E44ED9"/>
    <w:multiLevelType w:val="hybridMultilevel"/>
    <w:tmpl w:val="1F7C361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6D7D1EA6"/>
    <w:multiLevelType w:val="hybridMultilevel"/>
    <w:tmpl w:val="195E8612"/>
    <w:lvl w:ilvl="0" w:tplc="F1C6F14E">
      <w:start w:val="1"/>
      <w:numFmt w:val="bullet"/>
      <w:lvlText w:val="·"/>
      <w:lvlJc w:val="left"/>
      <w:pPr>
        <w:ind w:left="720" w:hanging="360"/>
      </w:pPr>
      <w:rPr>
        <w:rFonts w:hint="default" w:ascii="Symbol" w:hAnsi="Symbol"/>
      </w:rPr>
    </w:lvl>
    <w:lvl w:ilvl="1" w:tplc="044C5B06">
      <w:start w:val="1"/>
      <w:numFmt w:val="bullet"/>
      <w:lvlText w:val="o"/>
      <w:lvlJc w:val="left"/>
      <w:pPr>
        <w:ind w:left="1440" w:hanging="360"/>
      </w:pPr>
      <w:rPr>
        <w:rFonts w:hint="default" w:ascii="Courier New" w:hAnsi="Courier New"/>
      </w:rPr>
    </w:lvl>
    <w:lvl w:ilvl="2" w:tplc="759AF0BC">
      <w:start w:val="1"/>
      <w:numFmt w:val="bullet"/>
      <w:lvlText w:val=""/>
      <w:lvlJc w:val="left"/>
      <w:pPr>
        <w:ind w:left="2160" w:hanging="360"/>
      </w:pPr>
      <w:rPr>
        <w:rFonts w:hint="default" w:ascii="Wingdings" w:hAnsi="Wingdings"/>
      </w:rPr>
    </w:lvl>
    <w:lvl w:ilvl="3" w:tplc="E5BE260E">
      <w:start w:val="1"/>
      <w:numFmt w:val="bullet"/>
      <w:lvlText w:val=""/>
      <w:lvlJc w:val="left"/>
      <w:pPr>
        <w:ind w:left="2880" w:hanging="360"/>
      </w:pPr>
      <w:rPr>
        <w:rFonts w:hint="default" w:ascii="Symbol" w:hAnsi="Symbol"/>
      </w:rPr>
    </w:lvl>
    <w:lvl w:ilvl="4" w:tplc="4CE6A250">
      <w:start w:val="1"/>
      <w:numFmt w:val="bullet"/>
      <w:lvlText w:val="o"/>
      <w:lvlJc w:val="left"/>
      <w:pPr>
        <w:ind w:left="3600" w:hanging="360"/>
      </w:pPr>
      <w:rPr>
        <w:rFonts w:hint="default" w:ascii="Courier New" w:hAnsi="Courier New"/>
      </w:rPr>
    </w:lvl>
    <w:lvl w:ilvl="5" w:tplc="7D8E15D8">
      <w:start w:val="1"/>
      <w:numFmt w:val="bullet"/>
      <w:lvlText w:val=""/>
      <w:lvlJc w:val="left"/>
      <w:pPr>
        <w:ind w:left="4320" w:hanging="360"/>
      </w:pPr>
      <w:rPr>
        <w:rFonts w:hint="default" w:ascii="Wingdings" w:hAnsi="Wingdings"/>
      </w:rPr>
    </w:lvl>
    <w:lvl w:ilvl="6" w:tplc="6628A55E">
      <w:start w:val="1"/>
      <w:numFmt w:val="bullet"/>
      <w:lvlText w:val=""/>
      <w:lvlJc w:val="left"/>
      <w:pPr>
        <w:ind w:left="5040" w:hanging="360"/>
      </w:pPr>
      <w:rPr>
        <w:rFonts w:hint="default" w:ascii="Symbol" w:hAnsi="Symbol"/>
      </w:rPr>
    </w:lvl>
    <w:lvl w:ilvl="7" w:tplc="AAB46FD2">
      <w:start w:val="1"/>
      <w:numFmt w:val="bullet"/>
      <w:lvlText w:val="o"/>
      <w:lvlJc w:val="left"/>
      <w:pPr>
        <w:ind w:left="5760" w:hanging="360"/>
      </w:pPr>
      <w:rPr>
        <w:rFonts w:hint="default" w:ascii="Courier New" w:hAnsi="Courier New"/>
      </w:rPr>
    </w:lvl>
    <w:lvl w:ilvl="8" w:tplc="67280786">
      <w:start w:val="1"/>
      <w:numFmt w:val="bullet"/>
      <w:lvlText w:val=""/>
      <w:lvlJc w:val="left"/>
      <w:pPr>
        <w:ind w:left="6480" w:hanging="360"/>
      </w:pPr>
      <w:rPr>
        <w:rFonts w:hint="default" w:ascii="Wingdings" w:hAnsi="Wingdings"/>
      </w:rPr>
    </w:lvl>
  </w:abstractNum>
  <w:abstractNum w:abstractNumId="3" w15:restartNumberingAfterBreak="0">
    <w:nsid w:val="7B326DFC"/>
    <w:multiLevelType w:val="hybridMultilevel"/>
    <w:tmpl w:val="DD06D6DC"/>
    <w:lvl w:ilvl="0" w:tplc="F6A6E5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D9"/>
    <w:rsid w:val="00000F43"/>
    <w:rsid w:val="00001CDE"/>
    <w:rsid w:val="00002488"/>
    <w:rsid w:val="00014887"/>
    <w:rsid w:val="00015C08"/>
    <w:rsid w:val="0002742C"/>
    <w:rsid w:val="00030A24"/>
    <w:rsid w:val="000719D1"/>
    <w:rsid w:val="00090631"/>
    <w:rsid w:val="000C374C"/>
    <w:rsid w:val="000C58D3"/>
    <w:rsid w:val="000D41F4"/>
    <w:rsid w:val="0010296C"/>
    <w:rsid w:val="00105185"/>
    <w:rsid w:val="00135589"/>
    <w:rsid w:val="001436E1"/>
    <w:rsid w:val="001504D7"/>
    <w:rsid w:val="00164AD9"/>
    <w:rsid w:val="00170128"/>
    <w:rsid w:val="00174AD2"/>
    <w:rsid w:val="00183052"/>
    <w:rsid w:val="001834D5"/>
    <w:rsid w:val="00187C12"/>
    <w:rsid w:val="001A0B4C"/>
    <w:rsid w:val="001A2B9D"/>
    <w:rsid w:val="001B3982"/>
    <w:rsid w:val="001B5A08"/>
    <w:rsid w:val="001D5A72"/>
    <w:rsid w:val="001D613F"/>
    <w:rsid w:val="001E736D"/>
    <w:rsid w:val="001F1FAD"/>
    <w:rsid w:val="001F7AEF"/>
    <w:rsid w:val="002248BE"/>
    <w:rsid w:val="00233F8D"/>
    <w:rsid w:val="0023703C"/>
    <w:rsid w:val="00247815"/>
    <w:rsid w:val="00262239"/>
    <w:rsid w:val="0028401A"/>
    <w:rsid w:val="00286F3B"/>
    <w:rsid w:val="002873CA"/>
    <w:rsid w:val="00292A7B"/>
    <w:rsid w:val="00292AAA"/>
    <w:rsid w:val="002A27D9"/>
    <w:rsid w:val="002B034A"/>
    <w:rsid w:val="002B1FE3"/>
    <w:rsid w:val="002B2211"/>
    <w:rsid w:val="002D7226"/>
    <w:rsid w:val="00322DE6"/>
    <w:rsid w:val="0032506E"/>
    <w:rsid w:val="00334B24"/>
    <w:rsid w:val="00334CA8"/>
    <w:rsid w:val="00341A84"/>
    <w:rsid w:val="00345F3C"/>
    <w:rsid w:val="0035318A"/>
    <w:rsid w:val="00374148"/>
    <w:rsid w:val="00387525"/>
    <w:rsid w:val="00395A1D"/>
    <w:rsid w:val="003961BD"/>
    <w:rsid w:val="00396446"/>
    <w:rsid w:val="00397BCB"/>
    <w:rsid w:val="003A39B2"/>
    <w:rsid w:val="003B7F13"/>
    <w:rsid w:val="003D2ABC"/>
    <w:rsid w:val="003D438D"/>
    <w:rsid w:val="003E5FCF"/>
    <w:rsid w:val="003F1AFC"/>
    <w:rsid w:val="003F5614"/>
    <w:rsid w:val="004037B9"/>
    <w:rsid w:val="004158F3"/>
    <w:rsid w:val="00417821"/>
    <w:rsid w:val="00421468"/>
    <w:rsid w:val="004248D7"/>
    <w:rsid w:val="00434E09"/>
    <w:rsid w:val="00437BE4"/>
    <w:rsid w:val="004401C6"/>
    <w:rsid w:val="00471D2E"/>
    <w:rsid w:val="0048165C"/>
    <w:rsid w:val="004833C9"/>
    <w:rsid w:val="004C0971"/>
    <w:rsid w:val="004C47C5"/>
    <w:rsid w:val="004C5BB6"/>
    <w:rsid w:val="004D0957"/>
    <w:rsid w:val="004D26DF"/>
    <w:rsid w:val="00501038"/>
    <w:rsid w:val="00502290"/>
    <w:rsid w:val="00507F2F"/>
    <w:rsid w:val="00510B89"/>
    <w:rsid w:val="00511462"/>
    <w:rsid w:val="00512713"/>
    <w:rsid w:val="00513E2B"/>
    <w:rsid w:val="005168B7"/>
    <w:rsid w:val="00535444"/>
    <w:rsid w:val="0054499E"/>
    <w:rsid w:val="00556FFC"/>
    <w:rsid w:val="00573662"/>
    <w:rsid w:val="00592D43"/>
    <w:rsid w:val="00594F7C"/>
    <w:rsid w:val="005A490E"/>
    <w:rsid w:val="005B3CA6"/>
    <w:rsid w:val="005B5E6D"/>
    <w:rsid w:val="005D5BF5"/>
    <w:rsid w:val="005D6A24"/>
    <w:rsid w:val="005E3B41"/>
    <w:rsid w:val="005F6D94"/>
    <w:rsid w:val="00601879"/>
    <w:rsid w:val="00620577"/>
    <w:rsid w:val="006205FE"/>
    <w:rsid w:val="00641B46"/>
    <w:rsid w:val="00652ED9"/>
    <w:rsid w:val="0065611A"/>
    <w:rsid w:val="006773A2"/>
    <w:rsid w:val="006A60A1"/>
    <w:rsid w:val="006D1B0A"/>
    <w:rsid w:val="006D36BA"/>
    <w:rsid w:val="006D3A84"/>
    <w:rsid w:val="006E447B"/>
    <w:rsid w:val="006F462C"/>
    <w:rsid w:val="006F4F72"/>
    <w:rsid w:val="00710C1B"/>
    <w:rsid w:val="0072192B"/>
    <w:rsid w:val="00743468"/>
    <w:rsid w:val="00750824"/>
    <w:rsid w:val="00752323"/>
    <w:rsid w:val="00760168"/>
    <w:rsid w:val="00765BF1"/>
    <w:rsid w:val="00782392"/>
    <w:rsid w:val="00796F60"/>
    <w:rsid w:val="007A05F5"/>
    <w:rsid w:val="007A2636"/>
    <w:rsid w:val="007A5ECB"/>
    <w:rsid w:val="007C4BB2"/>
    <w:rsid w:val="007C595A"/>
    <w:rsid w:val="007C6CDC"/>
    <w:rsid w:val="007D11C6"/>
    <w:rsid w:val="007D5434"/>
    <w:rsid w:val="007F212B"/>
    <w:rsid w:val="007F4FE5"/>
    <w:rsid w:val="00804EC5"/>
    <w:rsid w:val="008239AC"/>
    <w:rsid w:val="00826B84"/>
    <w:rsid w:val="008302F6"/>
    <w:rsid w:val="00835E29"/>
    <w:rsid w:val="0084049C"/>
    <w:rsid w:val="008463AD"/>
    <w:rsid w:val="00861B81"/>
    <w:rsid w:val="0087061F"/>
    <w:rsid w:val="0087793F"/>
    <w:rsid w:val="00884C33"/>
    <w:rsid w:val="008A3709"/>
    <w:rsid w:val="008B0099"/>
    <w:rsid w:val="008B1148"/>
    <w:rsid w:val="008B7EDD"/>
    <w:rsid w:val="008D6999"/>
    <w:rsid w:val="008E2857"/>
    <w:rsid w:val="008F5CA7"/>
    <w:rsid w:val="009316D3"/>
    <w:rsid w:val="00967722"/>
    <w:rsid w:val="009819A1"/>
    <w:rsid w:val="009854C3"/>
    <w:rsid w:val="009A313A"/>
    <w:rsid w:val="009A76C0"/>
    <w:rsid w:val="009B039F"/>
    <w:rsid w:val="009B2DA1"/>
    <w:rsid w:val="009C1C8F"/>
    <w:rsid w:val="009F00CA"/>
    <w:rsid w:val="00A0190C"/>
    <w:rsid w:val="00A1392C"/>
    <w:rsid w:val="00A34AE6"/>
    <w:rsid w:val="00A425F3"/>
    <w:rsid w:val="00A61779"/>
    <w:rsid w:val="00A62D37"/>
    <w:rsid w:val="00A64237"/>
    <w:rsid w:val="00A74483"/>
    <w:rsid w:val="00A8023A"/>
    <w:rsid w:val="00A93A05"/>
    <w:rsid w:val="00AA5FB9"/>
    <w:rsid w:val="00AB3A16"/>
    <w:rsid w:val="00AD04C0"/>
    <w:rsid w:val="00B039B2"/>
    <w:rsid w:val="00B05E50"/>
    <w:rsid w:val="00B06093"/>
    <w:rsid w:val="00B208F3"/>
    <w:rsid w:val="00B26B14"/>
    <w:rsid w:val="00B346C8"/>
    <w:rsid w:val="00B52C87"/>
    <w:rsid w:val="00B5341E"/>
    <w:rsid w:val="00B55071"/>
    <w:rsid w:val="00B86983"/>
    <w:rsid w:val="00B86A1E"/>
    <w:rsid w:val="00B86F02"/>
    <w:rsid w:val="00B8788E"/>
    <w:rsid w:val="00BA2CC0"/>
    <w:rsid w:val="00BA3EFC"/>
    <w:rsid w:val="00BA7D72"/>
    <w:rsid w:val="00BB3808"/>
    <w:rsid w:val="00BC13F6"/>
    <w:rsid w:val="00BD1A6C"/>
    <w:rsid w:val="00BE1035"/>
    <w:rsid w:val="00BF1AC0"/>
    <w:rsid w:val="00C07752"/>
    <w:rsid w:val="00C15AFC"/>
    <w:rsid w:val="00C17CA1"/>
    <w:rsid w:val="00C2793F"/>
    <w:rsid w:val="00C37347"/>
    <w:rsid w:val="00C432E1"/>
    <w:rsid w:val="00C45116"/>
    <w:rsid w:val="00C46C6E"/>
    <w:rsid w:val="00C53952"/>
    <w:rsid w:val="00C611B1"/>
    <w:rsid w:val="00C63961"/>
    <w:rsid w:val="00C63A29"/>
    <w:rsid w:val="00C706FD"/>
    <w:rsid w:val="00C81CEB"/>
    <w:rsid w:val="00C82979"/>
    <w:rsid w:val="00C83490"/>
    <w:rsid w:val="00CA3170"/>
    <w:rsid w:val="00CA4732"/>
    <w:rsid w:val="00CB0A65"/>
    <w:rsid w:val="00CB68B4"/>
    <w:rsid w:val="00CF1CA1"/>
    <w:rsid w:val="00D1700E"/>
    <w:rsid w:val="00D23316"/>
    <w:rsid w:val="00D2357E"/>
    <w:rsid w:val="00D268E9"/>
    <w:rsid w:val="00D279BD"/>
    <w:rsid w:val="00D43A1B"/>
    <w:rsid w:val="00D5742D"/>
    <w:rsid w:val="00D61BB6"/>
    <w:rsid w:val="00D74646"/>
    <w:rsid w:val="00D754FF"/>
    <w:rsid w:val="00D874E5"/>
    <w:rsid w:val="00DC3B65"/>
    <w:rsid w:val="00DC655A"/>
    <w:rsid w:val="00DD77FB"/>
    <w:rsid w:val="00DE1D02"/>
    <w:rsid w:val="00E27FD6"/>
    <w:rsid w:val="00E32AEC"/>
    <w:rsid w:val="00E32DB4"/>
    <w:rsid w:val="00E35D35"/>
    <w:rsid w:val="00E40535"/>
    <w:rsid w:val="00E5314D"/>
    <w:rsid w:val="00E920D4"/>
    <w:rsid w:val="00E92A91"/>
    <w:rsid w:val="00EB27ED"/>
    <w:rsid w:val="00EC660A"/>
    <w:rsid w:val="00ED1B50"/>
    <w:rsid w:val="00ED4083"/>
    <w:rsid w:val="00EE7E1B"/>
    <w:rsid w:val="00EF4DD2"/>
    <w:rsid w:val="00EF6BA1"/>
    <w:rsid w:val="00F04303"/>
    <w:rsid w:val="00F04AF8"/>
    <w:rsid w:val="00F04CBE"/>
    <w:rsid w:val="00F06ED1"/>
    <w:rsid w:val="00F07E81"/>
    <w:rsid w:val="00F169D6"/>
    <w:rsid w:val="00F20469"/>
    <w:rsid w:val="00F30F22"/>
    <w:rsid w:val="00F34613"/>
    <w:rsid w:val="00F3725B"/>
    <w:rsid w:val="00F42C3A"/>
    <w:rsid w:val="00F43B76"/>
    <w:rsid w:val="00F76A94"/>
    <w:rsid w:val="00F82F7C"/>
    <w:rsid w:val="00F90958"/>
    <w:rsid w:val="00F90DD6"/>
    <w:rsid w:val="00F92E0C"/>
    <w:rsid w:val="00F93EC2"/>
    <w:rsid w:val="00FA3CD5"/>
    <w:rsid w:val="00FB424F"/>
    <w:rsid w:val="00FB5AB8"/>
    <w:rsid w:val="00FF2B8D"/>
    <w:rsid w:val="069F870E"/>
    <w:rsid w:val="0D846643"/>
    <w:rsid w:val="1BE1AB23"/>
    <w:rsid w:val="24BEF5FC"/>
    <w:rsid w:val="2574702C"/>
    <w:rsid w:val="2B3E1191"/>
    <w:rsid w:val="2F48F317"/>
    <w:rsid w:val="327B19B1"/>
    <w:rsid w:val="39D902ED"/>
    <w:rsid w:val="3C247B4D"/>
    <w:rsid w:val="3C53CDBE"/>
    <w:rsid w:val="3D136AAC"/>
    <w:rsid w:val="41A261F7"/>
    <w:rsid w:val="4231DABC"/>
    <w:rsid w:val="4675D31A"/>
    <w:rsid w:val="4C0461D5"/>
    <w:rsid w:val="4E67BCA2"/>
    <w:rsid w:val="543D62CD"/>
    <w:rsid w:val="60B11718"/>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27D9"/>
    <w:pPr>
      <w:spacing w:after="0" w:line="240" w:lineRule="auto"/>
    </w:pPr>
    <w:rPr>
      <w:rFonts w:ascii="Times New Roman" w:hAnsi="Times New Roman" w:eastAsia="Times New Roman" w:cs="Times New Roman"/>
      <w:sz w:val="24"/>
      <w:szCs w:val="24"/>
      <w:lang w:eastAsia="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styleId="HeaderChar" w:customStyle="1">
    <w:name w:val="Header Char"/>
    <w:basedOn w:val="DefaultParagraphFont"/>
    <w:link w:val="Header"/>
    <w:rsid w:val="002A27D9"/>
    <w:rPr>
      <w:rFonts w:ascii="Times New Roman" w:hAnsi="Times New Roman" w:eastAsia="Times New Roman" w:cs="Times New Roman"/>
      <w:sz w:val="24"/>
      <w:szCs w:val="24"/>
      <w:lang w:eastAsia="lv-LV"/>
    </w:rPr>
  </w:style>
  <w:style w:type="paragraph" w:styleId="Footer">
    <w:name w:val="footer"/>
    <w:basedOn w:val="Normal"/>
    <w:link w:val="FooterChar"/>
    <w:uiPriority w:val="99"/>
    <w:rsid w:val="002A27D9"/>
    <w:pPr>
      <w:tabs>
        <w:tab w:val="center" w:pos="4153"/>
        <w:tab w:val="right" w:pos="8306"/>
      </w:tabs>
    </w:pPr>
  </w:style>
  <w:style w:type="character" w:styleId="FooterChar" w:customStyle="1">
    <w:name w:val="Footer Char"/>
    <w:basedOn w:val="DefaultParagraphFont"/>
    <w:link w:val="Footer"/>
    <w:uiPriority w:val="99"/>
    <w:rsid w:val="002A27D9"/>
    <w:rPr>
      <w:rFonts w:ascii="Times New Roman" w:hAnsi="Times New Roman" w:eastAsia="Times New Roman" w:cs="Times New Roman"/>
      <w:sz w:val="24"/>
      <w:szCs w:val="24"/>
      <w:lang w:eastAsia="lv-LV"/>
    </w:rPr>
  </w:style>
  <w:style w:type="character" w:styleId="PageNumber">
    <w:name w:val="page number"/>
    <w:basedOn w:val="DefaultParagraphFont"/>
    <w:rsid w:val="002A27D9"/>
  </w:style>
  <w:style w:type="paragraph" w:styleId="Prliminairetitre" w:customStyle="1">
    <w:name w:val="Préliminaire titre"/>
    <w:basedOn w:val="Normal"/>
    <w:next w:val="Normal"/>
    <w:rsid w:val="002A27D9"/>
    <w:pPr>
      <w:spacing w:before="360" w:after="360"/>
      <w:jc w:val="center"/>
    </w:pPr>
    <w:rPr>
      <w:b/>
      <w:snapToGrid w:val="0"/>
      <w:lang w:eastAsia="en-GB"/>
    </w:rPr>
  </w:style>
  <w:style w:type="paragraph" w:styleId="naiskr" w:customStyle="1">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styleId="FootnoteTextChar" w:customStyle="1">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hAnsi="Times New Roman" w:eastAsia="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styleId="FootnotesymbolCarZchn" w:customStyle="1">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hAnsiTheme="minorHAnsi" w:eastAsia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styleId="CommentTextChar" w:customStyle="1">
    <w:name w:val="Comment Text Char"/>
    <w:basedOn w:val="DefaultParagraphFont"/>
    <w:link w:val="CommentText"/>
    <w:uiPriority w:val="99"/>
    <w:rsid w:val="00556FFC"/>
    <w:rPr>
      <w:rFonts w:ascii="Times New Roman" w:hAnsi="Times New Roman"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styleId="CommentSubjectChar" w:customStyle="1">
    <w:name w:val="Comment Subject Char"/>
    <w:basedOn w:val="CommentTextChar"/>
    <w:link w:val="CommentSubject"/>
    <w:uiPriority w:val="99"/>
    <w:semiHidden/>
    <w:rsid w:val="00556FFC"/>
    <w:rPr>
      <w:rFonts w:ascii="Times New Roman" w:hAnsi="Times New Roman" w:eastAsia="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styleId="BalloonTextChar" w:customStyle="1">
    <w:name w:val="Balloon Text Char"/>
    <w:basedOn w:val="DefaultParagraphFont"/>
    <w:link w:val="BalloonText"/>
    <w:uiPriority w:val="99"/>
    <w:semiHidden/>
    <w:rsid w:val="00556FFC"/>
    <w:rPr>
      <w:rFonts w:ascii="Tahoma" w:hAnsi="Tahoma" w:eastAsia="Times New Roman" w:cs="Tahoma"/>
      <w:sz w:val="16"/>
      <w:szCs w:val="16"/>
      <w:lang w:eastAsia="lv-LV"/>
    </w:rPr>
  </w:style>
  <w:style w:type="character" w:styleId="UnresolvedMention1" w:customStyle="1">
    <w:name w:val="Unresolved Mention1"/>
    <w:basedOn w:val="DefaultParagraphFont"/>
    <w:uiPriority w:val="99"/>
    <w:semiHidden/>
    <w:unhideWhenUsed/>
    <w:rsid w:val="00000F43"/>
    <w:rPr>
      <w:color w:val="605E5C"/>
      <w:shd w:val="clear" w:color="auto" w:fill="E1DFDD"/>
    </w:rPr>
  </w:style>
  <w:style w:type="paragraph" w:styleId="Text1" w:customStyle="1">
    <w:name w:val="Text 1"/>
    <w:basedOn w:val="Normal"/>
    <w:rsid w:val="002B034A"/>
    <w:pPr>
      <w:spacing w:before="120" w:after="120"/>
      <w:ind w:left="850"/>
      <w:jc w:val="both"/>
    </w:pPr>
    <w:rPr>
      <w:rFonts w:eastAsiaTheme="minorHAnsi"/>
      <w:szCs w:val="22"/>
      <w:lang w:eastAsia="en-US"/>
    </w:rPr>
  </w:style>
  <w:style w:type="character" w:styleId="normaltextrun" w:customStyle="1">
    <w:name w:val="normaltextrun"/>
    <w:basedOn w:val="DefaultParagraphFont"/>
    <w:rsid w:val="00ED4083"/>
  </w:style>
  <w:style w:type="paragraph" w:styleId="NoSpacing">
    <w:name w:val="No Spacing"/>
    <w:uiPriority w:val="99"/>
    <w:qFormat/>
    <w:rsid w:val="00ED4083"/>
    <w:pPr>
      <w:spacing w:after="0" w:line="240" w:lineRule="auto"/>
    </w:pPr>
    <w:rPr>
      <w:rFonts w:ascii="Times New Roman" w:hAnsi="Times New Roman" w:eastAsia="Calibri" w:cs="Times New Roman"/>
      <w:sz w:val="28"/>
    </w:rPr>
  </w:style>
  <w:style w:type="paragraph" w:styleId="ListParagraph">
    <w:name w:val="List Paragraph"/>
    <w:basedOn w:val="Normal"/>
    <w:uiPriority w:val="99"/>
    <w:qFormat/>
    <w:pPr>
      <w:ind w:left="720"/>
      <w:contextualSpacing/>
    </w:pPr>
  </w:style>
  <w:style w:type="paragraph" w:styleId="Revision">
    <w:name w:val="Revision"/>
    <w:hidden/>
    <w:uiPriority w:val="99"/>
    <w:semiHidden/>
    <w:rsid w:val="0087061F"/>
    <w:pPr>
      <w:spacing w:after="0" w:line="240" w:lineRule="auto"/>
    </w:pPr>
    <w:rPr>
      <w:rFonts w:ascii="Times New Roman" w:hAnsi="Times New Roman" w:eastAsia="Times New Roman" w:cs="Times New Roman"/>
      <w:sz w:val="24"/>
      <w:szCs w:val="24"/>
      <w:lang w:eastAsia="lv-LV"/>
    </w:rPr>
  </w:style>
  <w:style w:type="character" w:styleId="UnresolvedMention">
    <w:name w:val="Unresolved Mention"/>
    <w:basedOn w:val="DefaultParagraphFont"/>
    <w:uiPriority w:val="99"/>
    <w:semiHidden/>
    <w:unhideWhenUsed/>
    <w:rsid w:val="00F04CBE"/>
    <w:rPr>
      <w:color w:val="605E5C"/>
      <w:shd w:val="clear" w:color="auto" w:fill="E1DFDD"/>
    </w:rPr>
  </w:style>
  <w:style w:type="paragraph" w:styleId="BodyText2">
    <w:name w:val="Body Text 2"/>
    <w:basedOn w:val="Normal"/>
    <w:link w:val="BodyText2Char"/>
    <w:uiPriority w:val="99"/>
    <w:rsid w:val="00E5314D"/>
    <w:rPr>
      <w:sz w:val="22"/>
      <w:lang w:eastAsia="en-US"/>
    </w:rPr>
  </w:style>
  <w:style w:type="character" w:styleId="BodyText2Char" w:customStyle="1">
    <w:name w:val="Body Text 2 Char"/>
    <w:basedOn w:val="DefaultParagraphFont"/>
    <w:link w:val="BodyText2"/>
    <w:uiPriority w:val="99"/>
    <w:rsid w:val="00E5314D"/>
    <w:rPr>
      <w:rFonts w:ascii="Times New Roman" w:hAnsi="Times New Roman"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lina.simina-neverovska@sa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 Target="glossary/document.xml" Type="http://schemas.openxmlformats.org/officeDocument/2006/relationships/glossaryDocument" Id="Ra8b6ecc1aba2427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95580076-2baa-4cbc-926c-3e95d0d8a3a0}"/>
      </w:docPartPr>
      <w:docPartBody>
        <w:p w14:paraId="2F48F317">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1F6270D-3235-46F8-9E51-351D1ED391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Normal</Template>
  <Application>Microsoft Word for the web</Application>
  <DocSecurity>0</DocSecurity>
  <ScaleCrop>false</ScaleCrop>
  <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Informatīvais ziņojums Latvijas Republikas nacionālā pozīcija Nr. 1 “Priekšlikums Eiropas Parlamenta un Padomes Regulai  par Savienības vadlīnijām Eiropas transporta tīkla attīstībai ar ko groza Regulu (ES) Nr. 2021/1153 un Regulu (ES) Nr. 913/2010 un atceļ Regulu (ES) Nr. 1315/2013”</dc:title>
  <dc:subject>Informatīvais ziņojums</dc:subject>
  <dc:creator>Satiksmes ministrija</dc:creator>
  <keywords>Satiksmes ministrija</keywords>
  <dc:description>Elīna Šimiņa-Neverovska_x000d_
67028254_x000d_
elina.simina-neverovska@sam.gov.lv</dc:description>
  <lastModifiedBy>Evita Nagle</lastModifiedBy>
  <revision>20</revision>
  <lastPrinted>2017-05-18T08:16:00.0000000Z</lastPrinted>
  <dcterms:created xsi:type="dcterms:W3CDTF">2022-03-16T13:19:00.0000000Z</dcterms:created>
  <dcterms:modified xsi:type="dcterms:W3CDTF">2022-03-23T11:35:02.7532835Z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L303111</vt:lpwstr>
  </property>
  <property fmtid="{D5CDD505-2E9C-101B-9397-08002B2CF9AE}" pid="6" name="DISCesvisSigner">
    <vt:lpwstr>Ministrs Tālis Linkaits</vt:lpwstr>
  </property>
  <property fmtid="{D5CDD505-2E9C-101B-9397-08002B2CF9AE}" pid="7" name="DISTaskPaneUrl">
    <vt:lpwstr>https://lim.esvis.gov.lv/cs/idcplg?ClientControlled=DocMan&amp;coreContentOnly=1&amp;WebdavRequest=1&amp;IdcService=DOC_INFO&amp;dID=393259</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“Priekšlikums Eiropas Parlamenta un Padomes Regulai par Savienības vadlīnijām Eiropas transporta tīkla attīstībai ar ko groza Regulu (ES) Nr. 2021/1153 un Regulu (ES) Nr. 913/2010 un atceļ Regulu (ES) Nr. 1315/2013”"</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393259</vt:lpwstr>
  </property>
  <property fmtid="{D5CDD505-2E9C-101B-9397-08002B2CF9AE}" pid="19" name="DISCesvisMainMakerOrgUnitTitle">
    <vt:lpwstr>Eiropas Savienības lietu koordinācijas departaments</vt:lpwstr>
  </property>
  <property fmtid="{D5CDD505-2E9C-101B-9397-08002B2CF9AE}" pid="20" name="DISCesvisAdditionalTutors">
    <vt:lpwstr> Sindija Armanoviča, sm_madamsons Mārtiņš Adamsons, Vecākā referente Evita Nagle,  Direktore Elīna Šimiņa-Neverovska</vt:lpwstr>
  </property>
  <property fmtid="{D5CDD505-2E9C-101B-9397-08002B2CF9AE}" pid="21" name="DISCesvisAdditionalTutorsMail">
    <vt:lpwstr>sindija.armanovica@sam.gov.lv, martins.adamsons@sam.gov.lv, evita.nagle@sam.gov.lv, Elina.Simina-Neverovska@sam.gov.lv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ies>
</file>