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F507C" w:rsidR="00DF47F0" w:rsidP="00C011CE" w:rsidRDefault="006D60E9" w14:paraId="62A9C89A" w14:textId="7953AAF5">
      <w:pPr>
        <w:spacing w:line="240" w:lineRule="auto"/>
        <w:jc w:val="center"/>
        <w15:collapsed w:val="false"/>
        <w:rPr>
          <w:b/>
          <w:sz w:val="26"/>
          <w:szCs w:val="26"/>
        </w:rPr>
      </w:pPr>
      <w:r w:rsidRPr="00514C4E">
        <w:rPr>
          <w:b/>
          <w:sz w:val="26"/>
          <w:szCs w:val="26"/>
        </w:rPr>
        <w:t xml:space="preserve"> </w:t>
      </w:r>
      <w:r w:rsidRPr="001F507C" w:rsidR="00DF47F0">
        <w:rPr>
          <w:b/>
          <w:sz w:val="26"/>
          <w:szCs w:val="26"/>
        </w:rPr>
        <w:t>Informatīvais ziņojums</w:t>
      </w:r>
      <w:r w:rsidRPr="001F507C" w:rsidR="001F507C">
        <w:rPr>
          <w:b/>
          <w:sz w:val="26"/>
          <w:szCs w:val="26"/>
        </w:rPr>
        <w:t xml:space="preserve"> par Latvijas Republikas nacionālo pozīciju Nr.1. par  </w:t>
      </w:r>
      <w:r w:rsidRPr="00F2296D" w:rsidR="001F507C">
        <w:rPr>
          <w:b/>
          <w:sz w:val="26"/>
          <w:szCs w:val="26"/>
          <w:lang w:eastAsia="lv-LV"/>
        </w:rPr>
        <w:t>“</w:t>
      </w:r>
      <w:r w:rsidRPr="001F507C" w:rsidR="001F507C">
        <w:rPr>
          <w:b/>
          <w:sz w:val="26"/>
          <w:szCs w:val="26"/>
        </w:rPr>
        <w:t>Priekšlikumu Padomes lēmumam par pagaidu ārkārtas pasākumiem Latvijas, Lietuvas un Polijas labā”</w:t>
      </w:r>
    </w:p>
    <w:p w:rsidRPr="00E3781B" w:rsidR="00A35EB7" w:rsidP="004C0897" w:rsidRDefault="00A35EB7" w14:paraId="5096BFA6" w14:textId="006BAAE3">
      <w:pPr>
        <w:spacing w:line="240" w:lineRule="auto"/>
        <w:jc w:val="both"/>
        <w:rPr>
          <w:sz w:val="26"/>
          <w:szCs w:val="26"/>
        </w:rPr>
      </w:pPr>
    </w:p>
    <w:p w:rsidRPr="00FB1660" w:rsidR="00E3781B" w:rsidP="00FB1660" w:rsidRDefault="00E3781B" w14:paraId="6A8DCAEA" w14:textId="3056F085">
      <w:pPr>
        <w:spacing w:line="240" w:lineRule="auto"/>
        <w:ind w:firstLine="720"/>
        <w:jc w:val="both"/>
        <w:rPr>
          <w:sz w:val="26"/>
          <w:szCs w:val="26"/>
        </w:rPr>
      </w:pPr>
      <w:r w:rsidRPr="00E3781B">
        <w:rPr>
          <w:sz w:val="26"/>
          <w:szCs w:val="26"/>
        </w:rPr>
        <w:t>Iekšlietu ministrija ir sagatavojusi Latvijas Republikas nacionālās pozīcijas projektu Nr.1 par</w:t>
      </w:r>
      <w:r w:rsidRPr="00E3781B">
        <w:rPr>
          <w:b/>
          <w:sz w:val="26"/>
          <w:szCs w:val="26"/>
        </w:rPr>
        <w:t xml:space="preserve"> “</w:t>
      </w:r>
      <w:r>
        <w:rPr>
          <w:sz w:val="26"/>
          <w:szCs w:val="26"/>
        </w:rPr>
        <w:t>Priekšlikumu Padomes lēmumam par pagaidu ārkārtas pasākumiem Latvijas, Lietuvas un Polijas labā”</w:t>
      </w:r>
      <w:r w:rsidR="00FB1660">
        <w:rPr>
          <w:sz w:val="26"/>
          <w:szCs w:val="26"/>
        </w:rPr>
        <w:t xml:space="preserve"> (turpmāk – Pozīcijas projekts).</w:t>
      </w:r>
    </w:p>
    <w:p w:rsidR="00FB1660" w:rsidP="00E3781B" w:rsidRDefault="00E3781B" w14:paraId="0696CE49" w14:textId="77777777">
      <w:pPr>
        <w:spacing w:line="240" w:lineRule="auto"/>
        <w:ind w:firstLine="720"/>
        <w:jc w:val="both"/>
        <w:rPr>
          <w:color w:val="000000" w:themeColor="text1"/>
          <w:sz w:val="26"/>
          <w:szCs w:val="26"/>
        </w:rPr>
      </w:pPr>
      <w:r w:rsidRPr="00E3781B">
        <w:rPr>
          <w:color w:val="000000" w:themeColor="text1"/>
          <w:sz w:val="26"/>
          <w:szCs w:val="26"/>
        </w:rPr>
        <w:t>Pozīcijas projekts skar vairāku valsts pārvaldes iestāžu kompetenci un būtiskas Latvijas Republikas intereses, tādēļ, atbilstoši Ministru kabineta 2009. gada 6. februāra noteikumu Nr. 96 „</w:t>
      </w:r>
      <w:r w:rsidRPr="00FB1660">
        <w:rPr>
          <w:i/>
          <w:color w:val="000000" w:themeColor="text1"/>
          <w:sz w:val="26"/>
          <w:szCs w:val="26"/>
        </w:rPr>
        <w:t>Kārtība, kādā izstrādā, saskaņo, apstiprina un aktualizē Latvijas Republikas nacionālās pozīcijas Eiropas Savienības jautājumos</w:t>
      </w:r>
      <w:r w:rsidRPr="00E3781B">
        <w:rPr>
          <w:color w:val="000000" w:themeColor="text1"/>
          <w:sz w:val="26"/>
          <w:szCs w:val="26"/>
        </w:rPr>
        <w:t xml:space="preserve">” prasībām, nacionālā pozīcija tiek virzīta apstiprināšanai Ministru kabinetā. </w:t>
      </w:r>
    </w:p>
    <w:p w:rsidR="00FB1660" w:rsidP="00FB1660" w:rsidRDefault="00E3781B" w14:paraId="1DD01A91" w14:textId="7BB8DE3E">
      <w:pPr>
        <w:spacing w:line="240" w:lineRule="auto"/>
        <w:ind w:firstLine="720"/>
        <w:jc w:val="both"/>
        <w:rPr>
          <w:rFonts w:eastAsia="Calibri"/>
          <w:sz w:val="26"/>
          <w:szCs w:val="26"/>
          <w:lang w:eastAsia="en-US"/>
        </w:rPr>
      </w:pPr>
      <w:r w:rsidRPr="00E3781B">
        <w:rPr>
          <w:color w:val="000000" w:themeColor="text1"/>
          <w:sz w:val="26"/>
          <w:szCs w:val="26"/>
        </w:rPr>
        <w:t>Pozīcijas projekts, atbilstoši Ministru kabineta 2009. gada 6. februāra instrukcijā Nr. 4 „</w:t>
      </w:r>
      <w:r w:rsidRPr="00FB1660">
        <w:rPr>
          <w:i/>
          <w:color w:val="000000" w:themeColor="text1"/>
          <w:sz w:val="26"/>
          <w:szCs w:val="26"/>
        </w:rPr>
        <w:t>Latvijas Republikas nacionālo pozīciju Eiropas Savienības jautājumos un ar tām saistīto instrukciju izstrādes un informācijas aprites kārtība</w:t>
      </w:r>
      <w:r w:rsidRPr="00E3781B">
        <w:rPr>
          <w:color w:val="000000" w:themeColor="text1"/>
          <w:sz w:val="26"/>
          <w:szCs w:val="26"/>
        </w:rPr>
        <w:t xml:space="preserve">” noteiktajai kārtībai, ir elektroniski saskaņots ar </w:t>
      </w:r>
      <w:r w:rsidRPr="00FB1660" w:rsidR="00FB1660">
        <w:rPr>
          <w:rFonts w:eastAsia="Calibri"/>
          <w:iCs/>
          <w:sz w:val="26"/>
          <w:szCs w:val="26"/>
          <w:lang w:eastAsia="en-US"/>
        </w:rPr>
        <w:t xml:space="preserve">Aizsardzības ministriju, </w:t>
      </w:r>
      <w:r w:rsidR="00FB1660">
        <w:rPr>
          <w:rFonts w:eastAsia="Calibri"/>
          <w:iCs/>
          <w:sz w:val="26"/>
          <w:szCs w:val="26"/>
          <w:lang w:eastAsia="en-US"/>
        </w:rPr>
        <w:t xml:space="preserve">Ārlietu ministriju, </w:t>
      </w:r>
      <w:r w:rsidRPr="00FB1660" w:rsidR="00FB1660">
        <w:rPr>
          <w:rFonts w:eastAsia="Calibri"/>
          <w:sz w:val="26"/>
          <w:szCs w:val="26"/>
          <w:lang w:eastAsia="en-US"/>
        </w:rPr>
        <w:t>Finanšu ministriju; Labklājības ministriju; Kultūras ministriju; Veselības ministriju; Satiksmes ministriju; Tieslietu ministriju.</w:t>
      </w:r>
    </w:p>
    <w:p w:rsidR="00052DE9" w:rsidP="00052DE9" w:rsidRDefault="00052DE9" w14:paraId="3B4EEE25" w14:textId="69DEDA87">
      <w:pPr>
        <w:spacing w:line="240" w:lineRule="auto"/>
        <w:ind w:firstLine="720"/>
        <w:jc w:val="both"/>
        <w:rPr>
          <w:rFonts w:eastAsia="Calibri"/>
          <w:sz w:val="26"/>
          <w:szCs w:val="26"/>
          <w:lang w:eastAsia="en-US"/>
        </w:rPr>
      </w:pPr>
      <w:r>
        <w:rPr>
          <w:rFonts w:eastAsia="Calibri"/>
          <w:sz w:val="26"/>
          <w:szCs w:val="26"/>
          <w:lang w:eastAsia="en-US"/>
        </w:rPr>
        <w:t xml:space="preserve">Lai rastu risinājumu sarežģītajai situācijai ar migrantu </w:t>
      </w:r>
      <w:proofErr w:type="spellStart"/>
      <w:r>
        <w:rPr>
          <w:rFonts w:eastAsia="Calibri"/>
          <w:sz w:val="26"/>
          <w:szCs w:val="26"/>
          <w:lang w:eastAsia="en-US"/>
        </w:rPr>
        <w:t>instrumentalizāciju</w:t>
      </w:r>
      <w:proofErr w:type="spellEnd"/>
      <w:r>
        <w:rPr>
          <w:rFonts w:eastAsia="Calibri"/>
          <w:sz w:val="26"/>
          <w:szCs w:val="26"/>
          <w:lang w:eastAsia="en-US"/>
        </w:rPr>
        <w:t>, ko īsteno pašreizējais Lukašenko režīms, kā arī sniegtu atbalstu Latvijai, Lietuvai un Polijai, kuras vistiešāk ir skārusi Baltkrievijas īstenotā politika, Eiropas Komisija š.g. 1.decembrī nāca klajā ar priekšlikumu Padomes lēmumam par pagaidu ārkārtas pasākumiem Latvijas, Lietuvas un Polijas labā (turpmāk – Lēmum</w:t>
      </w:r>
      <w:r w:rsidR="00011202">
        <w:rPr>
          <w:rFonts w:eastAsia="Calibri"/>
          <w:sz w:val="26"/>
          <w:szCs w:val="26"/>
          <w:lang w:eastAsia="en-US"/>
        </w:rPr>
        <w:t>a priekšlikums</w:t>
      </w:r>
      <w:r>
        <w:rPr>
          <w:rFonts w:eastAsia="Calibri"/>
          <w:sz w:val="26"/>
          <w:szCs w:val="26"/>
          <w:lang w:eastAsia="en-US"/>
        </w:rPr>
        <w:t xml:space="preserve">). </w:t>
      </w:r>
    </w:p>
    <w:p w:rsidR="00052DE9" w:rsidP="00052DE9" w:rsidRDefault="00052DE9" w14:paraId="1B976DB2" w14:textId="77464459">
      <w:pPr>
        <w:spacing w:line="240" w:lineRule="auto"/>
        <w:ind w:firstLine="720"/>
        <w:jc w:val="both"/>
        <w:rPr>
          <w:rFonts w:eastAsia="Calibri"/>
          <w:sz w:val="26"/>
          <w:szCs w:val="26"/>
          <w:lang w:eastAsia="en-US"/>
        </w:rPr>
      </w:pPr>
      <w:r>
        <w:rPr>
          <w:iCs/>
          <w:sz w:val="26"/>
          <w:szCs w:val="26"/>
        </w:rPr>
        <w:t>Lēmum</w:t>
      </w:r>
      <w:r w:rsidR="00011202">
        <w:rPr>
          <w:iCs/>
          <w:sz w:val="26"/>
          <w:szCs w:val="26"/>
        </w:rPr>
        <w:t>a priekšlikums</w:t>
      </w:r>
      <w:r>
        <w:rPr>
          <w:iCs/>
          <w:sz w:val="26"/>
          <w:szCs w:val="26"/>
        </w:rPr>
        <w:t xml:space="preserve"> ir</w:t>
      </w:r>
      <w:r w:rsidRPr="00850246" w:rsidR="00FB1660">
        <w:rPr>
          <w:iCs/>
          <w:sz w:val="26"/>
          <w:szCs w:val="26"/>
        </w:rPr>
        <w:t xml:space="preserve"> </w:t>
      </w:r>
      <w:r w:rsidRPr="007C08B2" w:rsidR="00FB1660">
        <w:rPr>
          <w:iCs/>
          <w:sz w:val="26"/>
          <w:szCs w:val="26"/>
        </w:rPr>
        <w:t xml:space="preserve">sagatavots, pamatojoties uz Līguma par Eiropas Savienības darbību (turpmāk – </w:t>
      </w:r>
      <w:r w:rsidRPr="007C08B2" w:rsidR="00FB1660">
        <w:rPr>
          <w:sz w:val="26"/>
          <w:szCs w:val="26"/>
        </w:rPr>
        <w:t xml:space="preserve">LESD) 78.panta 3.punktu, kurā noteikts, ka, kādai dalībvalstij / dalībvalstīm saskaroties ar ārkārtas situāciju migrācijas jomā, kas apdraud to patvēruma sistēmu funkcionēšanu, var tikt noteikti pagaidu pasākumi šo valstu labā. </w:t>
      </w:r>
    </w:p>
    <w:p w:rsidR="00052DE9" w:rsidP="00052DE9" w:rsidRDefault="00FB1660" w14:paraId="010D9925" w14:textId="1FC2F17D">
      <w:pPr>
        <w:spacing w:line="240" w:lineRule="auto"/>
        <w:ind w:firstLine="720"/>
        <w:jc w:val="both"/>
        <w:rPr>
          <w:rFonts w:eastAsia="Calibri"/>
          <w:sz w:val="26"/>
          <w:szCs w:val="26"/>
          <w:lang w:eastAsia="en-US"/>
        </w:rPr>
      </w:pPr>
      <w:r>
        <w:rPr>
          <w:sz w:val="26"/>
          <w:szCs w:val="26"/>
        </w:rPr>
        <w:t>Paredzēts, ka Lēmum</w:t>
      </w:r>
      <w:r w:rsidR="00011202">
        <w:rPr>
          <w:sz w:val="26"/>
          <w:szCs w:val="26"/>
        </w:rPr>
        <w:t>a priekšlikumā</w:t>
      </w:r>
      <w:r>
        <w:rPr>
          <w:sz w:val="26"/>
          <w:szCs w:val="26"/>
        </w:rPr>
        <w:t xml:space="preserve"> iekļautie pasākumi nodrošinās </w:t>
      </w:r>
      <w:r>
        <w:rPr>
          <w:iCs/>
          <w:sz w:val="26"/>
          <w:szCs w:val="26"/>
        </w:rPr>
        <w:t xml:space="preserve">Latviju, Lietuvu un Poliju ar </w:t>
      </w:r>
      <w:r w:rsidRPr="004D5941">
        <w:rPr>
          <w:iCs/>
          <w:sz w:val="26"/>
          <w:szCs w:val="26"/>
          <w:u w:val="single"/>
        </w:rPr>
        <w:t>nepieciešamajiem tiesiskajiem instrumentiem pašreizējās situācijas ātrai un efektīvai pārvaldībai</w:t>
      </w:r>
      <w:r>
        <w:rPr>
          <w:iCs/>
          <w:sz w:val="26"/>
          <w:szCs w:val="26"/>
        </w:rPr>
        <w:t>, nosakot arī atsevišķas atkāpes no Patvēruma procedūru direktīvas 2013/32/ES</w:t>
      </w:r>
      <w:r>
        <w:rPr>
          <w:rStyle w:val="FootnoteReference"/>
          <w:iCs/>
          <w:sz w:val="26"/>
          <w:szCs w:val="26"/>
        </w:rPr>
        <w:footnoteReference w:id="1"/>
      </w:r>
      <w:r>
        <w:rPr>
          <w:iCs/>
          <w:sz w:val="26"/>
          <w:szCs w:val="26"/>
        </w:rPr>
        <w:t>, Uzņemšanas standartu direktīvas 2013/33/ES</w:t>
      </w:r>
      <w:r>
        <w:rPr>
          <w:rStyle w:val="FootnoteReference"/>
          <w:iCs/>
          <w:sz w:val="26"/>
          <w:szCs w:val="26"/>
        </w:rPr>
        <w:footnoteReference w:id="2"/>
      </w:r>
      <w:r>
        <w:rPr>
          <w:iCs/>
          <w:sz w:val="26"/>
          <w:szCs w:val="26"/>
        </w:rPr>
        <w:t xml:space="preserve"> un Atgriešanas direktīvas 2008/115/EK</w:t>
      </w:r>
      <w:r>
        <w:rPr>
          <w:rStyle w:val="FootnoteReference"/>
          <w:iCs/>
          <w:sz w:val="26"/>
          <w:szCs w:val="26"/>
        </w:rPr>
        <w:footnoteReference w:id="3"/>
      </w:r>
      <w:r>
        <w:rPr>
          <w:iCs/>
          <w:sz w:val="26"/>
          <w:szCs w:val="26"/>
        </w:rPr>
        <w:t xml:space="preserve">. </w:t>
      </w:r>
    </w:p>
    <w:p w:rsidRPr="00052DE9" w:rsidR="00FB1660" w:rsidP="00052DE9" w:rsidRDefault="00FB1660" w14:paraId="570DBE91" w14:textId="1B5E05B4">
      <w:pPr>
        <w:spacing w:line="240" w:lineRule="auto"/>
        <w:ind w:firstLine="720"/>
        <w:jc w:val="both"/>
        <w:rPr>
          <w:rFonts w:eastAsia="Calibri"/>
          <w:sz w:val="26"/>
          <w:szCs w:val="26"/>
          <w:lang w:eastAsia="en-US"/>
        </w:rPr>
      </w:pPr>
      <w:r>
        <w:rPr>
          <w:iCs/>
          <w:sz w:val="26"/>
          <w:szCs w:val="26"/>
        </w:rPr>
        <w:t xml:space="preserve">Pasākumiem ir pagaidu un ārkārtas / izņēmuma raksturs, turklāt tie jāveic, </w:t>
      </w:r>
      <w:r w:rsidRPr="00850246">
        <w:rPr>
          <w:iCs/>
          <w:sz w:val="26"/>
          <w:szCs w:val="26"/>
        </w:rPr>
        <w:t>pilnībā ievēro</w:t>
      </w:r>
      <w:r>
        <w:rPr>
          <w:iCs/>
          <w:sz w:val="26"/>
          <w:szCs w:val="26"/>
        </w:rPr>
        <w:t>jot</w:t>
      </w:r>
      <w:r w:rsidRPr="00850246">
        <w:rPr>
          <w:iCs/>
          <w:sz w:val="26"/>
          <w:szCs w:val="26"/>
        </w:rPr>
        <w:t xml:space="preserve"> pamattiesības un starptautiskās saistības.</w:t>
      </w:r>
    </w:p>
    <w:p w:rsidRPr="00011202" w:rsidR="00011202" w:rsidP="00011202" w:rsidRDefault="00011202" w14:paraId="4DF22238" w14:textId="77777777">
      <w:pPr>
        <w:spacing w:line="240" w:lineRule="auto"/>
        <w:ind w:firstLine="720"/>
        <w:jc w:val="both"/>
        <w:rPr>
          <w:rStyle w:val="word"/>
          <w:sz w:val="26"/>
          <w:szCs w:val="26"/>
          <w:u w:val="single"/>
        </w:rPr>
      </w:pPr>
      <w:r w:rsidRPr="00011202">
        <w:rPr>
          <w:color w:val="000000" w:themeColor="text1"/>
          <w:sz w:val="26"/>
          <w:szCs w:val="26"/>
          <w:u w:val="single"/>
        </w:rPr>
        <w:t xml:space="preserve">Latvija var atbalstīt </w:t>
      </w:r>
      <w:r w:rsidRPr="00011202">
        <w:rPr>
          <w:rStyle w:val="word"/>
          <w:sz w:val="26"/>
          <w:szCs w:val="26"/>
          <w:u w:val="single"/>
        </w:rPr>
        <w:t>Lēmuma priekšlikumā iekļautos pasākumus un atkāpes, kamēr tās ir paredzētas kā iespēja nepieciešamības gadījumā</w:t>
      </w:r>
      <w:r w:rsidRPr="00011202">
        <w:rPr>
          <w:rStyle w:val="word"/>
          <w:sz w:val="26"/>
          <w:szCs w:val="26"/>
        </w:rPr>
        <w:t xml:space="preserve"> un </w:t>
      </w:r>
      <w:r w:rsidRPr="00011202">
        <w:rPr>
          <w:rStyle w:val="word"/>
          <w:sz w:val="26"/>
          <w:szCs w:val="26"/>
          <w:u w:val="single"/>
        </w:rPr>
        <w:lastRenderedPageBreak/>
        <w:t xml:space="preserve">neietekmē rīkojumā par Baltkrievijas </w:t>
      </w:r>
      <w:r w:rsidRPr="00011202">
        <w:rPr>
          <w:sz w:val="26"/>
          <w:szCs w:val="26"/>
          <w:u w:val="single"/>
          <w:shd w:val="clear" w:color="auto" w:fill="FFFFFF"/>
        </w:rPr>
        <w:t>pierobežas administratīvajās teritorijās</w:t>
      </w:r>
      <w:r w:rsidRPr="00011202">
        <w:rPr>
          <w:rStyle w:val="word"/>
          <w:sz w:val="26"/>
          <w:szCs w:val="26"/>
          <w:u w:val="single"/>
        </w:rPr>
        <w:t xml:space="preserve"> izsludināto ārkārtējo situāciju ietverto regulējumu. </w:t>
      </w:r>
    </w:p>
    <w:p w:rsidRPr="00011202" w:rsidR="001F507C" w:rsidP="00011202" w:rsidRDefault="00011202" w14:paraId="7CB6A9F4" w14:textId="7DC30F5A">
      <w:pPr>
        <w:spacing w:line="240" w:lineRule="auto"/>
        <w:ind w:firstLine="720"/>
        <w:jc w:val="both"/>
        <w:rPr>
          <w:color w:val="000000" w:themeColor="text1"/>
          <w:sz w:val="26"/>
          <w:szCs w:val="26"/>
        </w:rPr>
      </w:pPr>
      <w:r w:rsidRPr="00011202">
        <w:rPr>
          <w:rStyle w:val="word"/>
          <w:sz w:val="26"/>
          <w:szCs w:val="26"/>
          <w:u w:val="single"/>
        </w:rPr>
        <w:t>Atkāpju piemērošanai ir jābūt elastīgai</w:t>
      </w:r>
      <w:r w:rsidRPr="00011202">
        <w:rPr>
          <w:rStyle w:val="word"/>
          <w:sz w:val="26"/>
          <w:szCs w:val="26"/>
        </w:rPr>
        <w:t>, lai tās būtu ātri izmantojamas atbilstoši situācijas attīstībai un lai tās novērstu iespēju patvēruma procedūras ļaunprātīgai izmantošanai un neveicinātu nelikumīgās migrācijas plūsmas pastiprināšanos.</w:t>
      </w:r>
    </w:p>
    <w:p w:rsidRPr="00514C4E" w:rsidR="00011202" w:rsidP="004C0897" w:rsidRDefault="00011202" w14:paraId="6EED6BEC" w14:textId="564B7B78">
      <w:pPr>
        <w:spacing w:line="240" w:lineRule="auto"/>
        <w:jc w:val="both"/>
        <w:rPr>
          <w:sz w:val="26"/>
          <w:szCs w:val="26"/>
        </w:rPr>
      </w:pPr>
    </w:p>
    <w:p w:rsidRPr="00514C4E" w:rsidR="0015160B" w:rsidP="004C0897" w:rsidRDefault="0015160B" w14:paraId="59863E6B" w14:textId="77777777">
      <w:pPr>
        <w:spacing w:line="240" w:lineRule="auto"/>
        <w:jc w:val="both"/>
        <w:rPr>
          <w:sz w:val="26"/>
          <w:szCs w:val="26"/>
        </w:rPr>
      </w:pPr>
    </w:p>
    <w:p w:rsidRPr="00514C4E" w:rsidR="00AE5B61" w:rsidP="004C0897" w:rsidRDefault="001F507C" w14:paraId="39DDCFAF" w14:textId="5D9E6937">
      <w:pPr>
        <w:spacing w:line="240" w:lineRule="auto"/>
        <w:jc w:val="both"/>
        <w:rPr>
          <w:sz w:val="26"/>
          <w:szCs w:val="26"/>
        </w:rPr>
      </w:pPr>
      <w:r>
        <w:rPr>
          <w:sz w:val="26"/>
          <w:szCs w:val="26"/>
        </w:rPr>
        <w:t>Iekšlietu ministre</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070A66">
        <w:rPr>
          <w:sz w:val="26"/>
          <w:szCs w:val="26"/>
        </w:rPr>
        <w:tab/>
      </w:r>
      <w:r w:rsidRPr="00514C4E" w:rsidR="004C0897">
        <w:rPr>
          <w:sz w:val="26"/>
          <w:szCs w:val="26"/>
        </w:rPr>
        <w:tab/>
      </w:r>
      <w:r>
        <w:rPr>
          <w:sz w:val="26"/>
          <w:szCs w:val="26"/>
        </w:rPr>
        <w:t>Marija Golubeva</w:t>
      </w:r>
    </w:p>
    <w:p w:rsidR="0059318E" w:rsidP="004C0897" w:rsidRDefault="0059318E" w14:paraId="0FB7D13A" w14:textId="14EFBA7A">
      <w:pPr>
        <w:spacing w:line="240" w:lineRule="auto"/>
        <w:jc w:val="both"/>
        <w:rPr>
          <w:sz w:val="26"/>
          <w:szCs w:val="26"/>
        </w:rPr>
      </w:pPr>
    </w:p>
    <w:p w:rsidR="00011202" w:rsidP="004C0897" w:rsidRDefault="00011202" w14:paraId="4BD19284" w14:textId="705361D6">
      <w:pPr>
        <w:spacing w:line="240" w:lineRule="auto"/>
        <w:jc w:val="both"/>
        <w:rPr>
          <w:sz w:val="26"/>
          <w:szCs w:val="26"/>
        </w:rPr>
      </w:pPr>
    </w:p>
    <w:p w:rsidR="00011202" w:rsidP="004C0897" w:rsidRDefault="00011202" w14:paraId="49DD54CA" w14:textId="757FDCFC">
      <w:pPr>
        <w:spacing w:line="240" w:lineRule="auto"/>
        <w:jc w:val="both"/>
        <w:rPr>
          <w:sz w:val="26"/>
          <w:szCs w:val="26"/>
        </w:rPr>
      </w:pPr>
    </w:p>
    <w:p w:rsidR="00011202" w:rsidP="004C0897" w:rsidRDefault="00011202" w14:paraId="454D96B9" w14:textId="590E365F">
      <w:pPr>
        <w:spacing w:line="240" w:lineRule="auto"/>
        <w:jc w:val="both"/>
        <w:rPr>
          <w:sz w:val="26"/>
          <w:szCs w:val="26"/>
        </w:rPr>
      </w:pPr>
    </w:p>
    <w:p w:rsidR="00011202" w:rsidP="004C0897" w:rsidRDefault="00011202" w14:paraId="1148C151" w14:textId="1E671B03">
      <w:pPr>
        <w:spacing w:line="240" w:lineRule="auto"/>
        <w:jc w:val="both"/>
        <w:rPr>
          <w:sz w:val="26"/>
          <w:szCs w:val="26"/>
        </w:rPr>
      </w:pPr>
    </w:p>
    <w:p w:rsidR="00011202" w:rsidP="004C0897" w:rsidRDefault="00011202" w14:paraId="748409A5" w14:textId="5B070583">
      <w:pPr>
        <w:spacing w:line="240" w:lineRule="auto"/>
        <w:jc w:val="both"/>
        <w:rPr>
          <w:sz w:val="26"/>
          <w:szCs w:val="26"/>
        </w:rPr>
      </w:pPr>
    </w:p>
    <w:p w:rsidR="00011202" w:rsidP="004C0897" w:rsidRDefault="00011202" w14:paraId="376B6BC0" w14:textId="48409E81">
      <w:pPr>
        <w:spacing w:line="240" w:lineRule="auto"/>
        <w:jc w:val="both"/>
        <w:rPr>
          <w:sz w:val="26"/>
          <w:szCs w:val="26"/>
        </w:rPr>
      </w:pPr>
      <w:bookmarkStart w:name="_GoBack" w:id="0"/>
      <w:bookmarkEnd w:id="0"/>
    </w:p>
    <w:p w:rsidR="00011202" w:rsidP="004C0897" w:rsidRDefault="00011202" w14:paraId="720D9EBD" w14:textId="66EBBE49">
      <w:pPr>
        <w:spacing w:line="240" w:lineRule="auto"/>
        <w:jc w:val="both"/>
        <w:rPr>
          <w:sz w:val="26"/>
          <w:szCs w:val="26"/>
        </w:rPr>
      </w:pPr>
    </w:p>
    <w:p w:rsidR="00011202" w:rsidP="004C0897" w:rsidRDefault="00011202" w14:paraId="7CEFDD18" w14:textId="5E256FDE">
      <w:pPr>
        <w:spacing w:line="240" w:lineRule="auto"/>
        <w:jc w:val="both"/>
        <w:rPr>
          <w:sz w:val="26"/>
          <w:szCs w:val="26"/>
        </w:rPr>
      </w:pPr>
    </w:p>
    <w:p w:rsidR="00011202" w:rsidP="004C0897" w:rsidRDefault="00011202" w14:paraId="5D4172AF" w14:textId="63EA1E49">
      <w:pPr>
        <w:spacing w:line="240" w:lineRule="auto"/>
        <w:jc w:val="both"/>
        <w:rPr>
          <w:sz w:val="26"/>
          <w:szCs w:val="26"/>
        </w:rPr>
      </w:pPr>
    </w:p>
    <w:p w:rsidR="00011202" w:rsidP="004C0897" w:rsidRDefault="00011202" w14:paraId="2798B6A8" w14:textId="26CEDE6E">
      <w:pPr>
        <w:spacing w:line="240" w:lineRule="auto"/>
        <w:jc w:val="both"/>
        <w:rPr>
          <w:sz w:val="26"/>
          <w:szCs w:val="26"/>
        </w:rPr>
      </w:pPr>
    </w:p>
    <w:p w:rsidR="00011202" w:rsidP="004C0897" w:rsidRDefault="00011202" w14:paraId="6937F8CD" w14:textId="4307C67E">
      <w:pPr>
        <w:spacing w:line="240" w:lineRule="auto"/>
        <w:jc w:val="both"/>
        <w:rPr>
          <w:sz w:val="26"/>
          <w:szCs w:val="26"/>
        </w:rPr>
      </w:pPr>
    </w:p>
    <w:p w:rsidR="00011202" w:rsidP="004C0897" w:rsidRDefault="00011202" w14:paraId="1C56B54E" w14:textId="4349134C">
      <w:pPr>
        <w:spacing w:line="240" w:lineRule="auto"/>
        <w:jc w:val="both"/>
        <w:rPr>
          <w:sz w:val="26"/>
          <w:szCs w:val="26"/>
        </w:rPr>
      </w:pPr>
    </w:p>
    <w:p w:rsidR="00011202" w:rsidP="004C0897" w:rsidRDefault="00011202" w14:paraId="6576306F" w14:textId="1C70EA4B">
      <w:pPr>
        <w:spacing w:line="240" w:lineRule="auto"/>
        <w:jc w:val="both"/>
        <w:rPr>
          <w:sz w:val="26"/>
          <w:szCs w:val="26"/>
        </w:rPr>
      </w:pPr>
    </w:p>
    <w:p w:rsidR="00011202" w:rsidP="004C0897" w:rsidRDefault="00011202" w14:paraId="32D907A1" w14:textId="24B0E9CA">
      <w:pPr>
        <w:spacing w:line="240" w:lineRule="auto"/>
        <w:jc w:val="both"/>
        <w:rPr>
          <w:sz w:val="26"/>
          <w:szCs w:val="26"/>
        </w:rPr>
      </w:pPr>
    </w:p>
    <w:p w:rsidR="00011202" w:rsidP="004C0897" w:rsidRDefault="00011202" w14:paraId="32059EAF" w14:textId="4438A321">
      <w:pPr>
        <w:spacing w:line="240" w:lineRule="auto"/>
        <w:jc w:val="both"/>
        <w:rPr>
          <w:sz w:val="26"/>
          <w:szCs w:val="26"/>
        </w:rPr>
      </w:pPr>
    </w:p>
    <w:p w:rsidR="00011202" w:rsidP="004C0897" w:rsidRDefault="00011202" w14:paraId="4BD6F45E" w14:textId="13C9729C">
      <w:pPr>
        <w:spacing w:line="240" w:lineRule="auto"/>
        <w:jc w:val="both"/>
        <w:rPr>
          <w:sz w:val="26"/>
          <w:szCs w:val="26"/>
        </w:rPr>
      </w:pPr>
    </w:p>
    <w:p w:rsidR="00011202" w:rsidP="004C0897" w:rsidRDefault="00011202" w14:paraId="323E8B90" w14:textId="33A176A3">
      <w:pPr>
        <w:spacing w:line="240" w:lineRule="auto"/>
        <w:jc w:val="both"/>
        <w:rPr>
          <w:sz w:val="26"/>
          <w:szCs w:val="26"/>
        </w:rPr>
      </w:pPr>
    </w:p>
    <w:p w:rsidR="00011202" w:rsidP="004C0897" w:rsidRDefault="00011202" w14:paraId="54512CC5" w14:textId="66F429C2">
      <w:pPr>
        <w:spacing w:line="240" w:lineRule="auto"/>
        <w:jc w:val="both"/>
        <w:rPr>
          <w:sz w:val="26"/>
          <w:szCs w:val="26"/>
        </w:rPr>
      </w:pPr>
    </w:p>
    <w:p w:rsidR="00011202" w:rsidP="004C0897" w:rsidRDefault="00011202" w14:paraId="3FF2D822" w14:textId="47561CA2">
      <w:pPr>
        <w:spacing w:line="240" w:lineRule="auto"/>
        <w:jc w:val="both"/>
        <w:rPr>
          <w:sz w:val="26"/>
          <w:szCs w:val="26"/>
        </w:rPr>
      </w:pPr>
    </w:p>
    <w:p w:rsidR="00011202" w:rsidP="004C0897" w:rsidRDefault="00011202" w14:paraId="4D955768" w14:textId="5785D00D">
      <w:pPr>
        <w:spacing w:line="240" w:lineRule="auto"/>
        <w:jc w:val="both"/>
        <w:rPr>
          <w:sz w:val="26"/>
          <w:szCs w:val="26"/>
        </w:rPr>
      </w:pPr>
    </w:p>
    <w:p w:rsidR="00011202" w:rsidP="004C0897" w:rsidRDefault="00011202" w14:paraId="438B6FF8" w14:textId="691BAEED">
      <w:pPr>
        <w:spacing w:line="240" w:lineRule="auto"/>
        <w:jc w:val="both"/>
        <w:rPr>
          <w:sz w:val="26"/>
          <w:szCs w:val="26"/>
        </w:rPr>
      </w:pPr>
    </w:p>
    <w:p w:rsidR="00011202" w:rsidP="004C0897" w:rsidRDefault="00011202" w14:paraId="6612B4D4" w14:textId="2ECB284E">
      <w:pPr>
        <w:spacing w:line="240" w:lineRule="auto"/>
        <w:jc w:val="both"/>
        <w:rPr>
          <w:sz w:val="26"/>
          <w:szCs w:val="26"/>
        </w:rPr>
      </w:pPr>
    </w:p>
    <w:p w:rsidR="00011202" w:rsidP="004C0897" w:rsidRDefault="00011202" w14:paraId="42D5F8A0" w14:textId="14FEE957">
      <w:pPr>
        <w:spacing w:line="240" w:lineRule="auto"/>
        <w:jc w:val="both"/>
        <w:rPr>
          <w:sz w:val="26"/>
          <w:szCs w:val="26"/>
        </w:rPr>
      </w:pPr>
    </w:p>
    <w:p w:rsidR="00011202" w:rsidP="004C0897" w:rsidRDefault="00011202" w14:paraId="124A5F9D" w14:textId="34BA3752">
      <w:pPr>
        <w:spacing w:line="240" w:lineRule="auto"/>
        <w:jc w:val="both"/>
        <w:rPr>
          <w:sz w:val="26"/>
          <w:szCs w:val="26"/>
        </w:rPr>
      </w:pPr>
    </w:p>
    <w:p w:rsidR="00011202" w:rsidP="004C0897" w:rsidRDefault="00011202" w14:paraId="66E911BD" w14:textId="0C15B9DF">
      <w:pPr>
        <w:spacing w:line="240" w:lineRule="auto"/>
        <w:jc w:val="both"/>
        <w:rPr>
          <w:sz w:val="26"/>
          <w:szCs w:val="26"/>
        </w:rPr>
      </w:pPr>
    </w:p>
    <w:p w:rsidR="00011202" w:rsidP="004C0897" w:rsidRDefault="00011202" w14:paraId="388863AC" w14:textId="667B30D6">
      <w:pPr>
        <w:spacing w:line="240" w:lineRule="auto"/>
        <w:jc w:val="both"/>
        <w:rPr>
          <w:sz w:val="26"/>
          <w:szCs w:val="26"/>
        </w:rPr>
      </w:pPr>
    </w:p>
    <w:p w:rsidR="00011202" w:rsidP="004C0897" w:rsidRDefault="00011202" w14:paraId="1F0D7A74" w14:textId="279C810D">
      <w:pPr>
        <w:spacing w:line="240" w:lineRule="auto"/>
        <w:jc w:val="both"/>
        <w:rPr>
          <w:sz w:val="26"/>
          <w:szCs w:val="26"/>
        </w:rPr>
      </w:pPr>
    </w:p>
    <w:p w:rsidR="00011202" w:rsidP="004C0897" w:rsidRDefault="00011202" w14:paraId="3A0FA25F" w14:textId="7A05F7F2">
      <w:pPr>
        <w:spacing w:line="240" w:lineRule="auto"/>
        <w:jc w:val="both"/>
        <w:rPr>
          <w:sz w:val="26"/>
          <w:szCs w:val="26"/>
        </w:rPr>
      </w:pPr>
    </w:p>
    <w:p w:rsidR="00011202" w:rsidP="004C0897" w:rsidRDefault="00011202" w14:paraId="6C7C0B98" w14:textId="413B3718">
      <w:pPr>
        <w:spacing w:line="240" w:lineRule="auto"/>
        <w:jc w:val="both"/>
        <w:rPr>
          <w:sz w:val="26"/>
          <w:szCs w:val="26"/>
        </w:rPr>
      </w:pPr>
    </w:p>
    <w:p w:rsidR="00011202" w:rsidP="004C0897" w:rsidRDefault="00011202" w14:paraId="201A0233" w14:textId="55757C88">
      <w:pPr>
        <w:spacing w:line="240" w:lineRule="auto"/>
        <w:jc w:val="both"/>
        <w:rPr>
          <w:sz w:val="26"/>
          <w:szCs w:val="26"/>
        </w:rPr>
      </w:pPr>
    </w:p>
    <w:p w:rsidRPr="005F39F8" w:rsidR="00FC3DE4" w:rsidP="004C0897" w:rsidRDefault="00FC3DE4" w14:paraId="38096A30" w14:textId="77777777">
      <w:pPr>
        <w:spacing w:line="240" w:lineRule="auto"/>
        <w:jc w:val="both"/>
        <w:rPr>
          <w:sz w:val="26"/>
          <w:szCs w:val="26"/>
        </w:rPr>
      </w:pPr>
    </w:p>
    <w:p w:rsidRPr="005F39F8" w:rsidR="004304F2" w:rsidP="004304F2" w:rsidRDefault="004304F2" w14:paraId="22F03087" w14:textId="711A1B55">
      <w:pPr>
        <w:spacing w:line="240" w:lineRule="auto"/>
        <w:rPr>
          <w:sz w:val="20"/>
        </w:rPr>
      </w:pPr>
      <w:r w:rsidRPr="005F39F8">
        <w:rPr>
          <w:sz w:val="20"/>
        </w:rPr>
        <w:fldChar w:fldCharType="begin"/>
      </w:r>
      <w:r w:rsidRPr="005F39F8">
        <w:rPr>
          <w:sz w:val="20"/>
        </w:rPr>
        <w:instrText xml:space="preserve"> DATE  \@ "dd.MM.yyyy. HH:mm"  \* MERGEFORMAT </w:instrText>
      </w:r>
      <w:r w:rsidRPr="005F39F8">
        <w:rPr>
          <w:sz w:val="20"/>
        </w:rPr>
        <w:fldChar w:fldCharType="separate"/>
      </w:r>
      <w:r w:rsidR="001F507C">
        <w:rPr>
          <w:noProof/>
          <w:sz w:val="20"/>
        </w:rPr>
        <w:t>13.12.2021. 10:16</w:t>
      </w:r>
      <w:r w:rsidRPr="005F39F8">
        <w:rPr>
          <w:sz w:val="20"/>
        </w:rPr>
        <w:fldChar w:fldCharType="end"/>
      </w:r>
    </w:p>
    <w:p w:rsidRPr="005F39F8" w:rsidR="004304F2" w:rsidP="004304F2" w:rsidRDefault="00F05AF7" w14:paraId="73826FE6" w14:textId="6295EB7B">
      <w:pPr>
        <w:spacing w:line="240" w:lineRule="auto"/>
        <w:rPr>
          <w:sz w:val="20"/>
        </w:rPr>
      </w:pPr>
      <w:r>
        <w:rPr>
          <w:sz w:val="20"/>
        </w:rPr>
        <w:t>430</w:t>
      </w:r>
    </w:p>
    <w:p w:rsidRPr="005F39F8" w:rsidR="004304F2" w:rsidP="004304F2" w:rsidRDefault="004304F2" w14:paraId="6E0BC7FB" w14:textId="7DBF59BD">
      <w:pPr>
        <w:pStyle w:val="NoSpacing"/>
        <w:rPr>
          <w:rFonts w:ascii="Times New Roman" w:hAnsi="Times New Roman"/>
          <w:sz w:val="20"/>
          <w:szCs w:val="20"/>
          <w:lang w:val="lv-LV"/>
        </w:rPr>
      </w:pPr>
      <w:r w:rsidRPr="005F39F8">
        <w:rPr>
          <w:rFonts w:ascii="Times New Roman" w:hAnsi="Times New Roman"/>
          <w:sz w:val="20"/>
          <w:szCs w:val="20"/>
          <w:lang w:val="lv-LV"/>
        </w:rPr>
        <w:t>Eiropas lietu un starptautiskās sadarbības departamenta</w:t>
      </w:r>
      <w:r w:rsidRPr="005F39F8">
        <w:rPr>
          <w:rFonts w:ascii="Times New Roman" w:hAnsi="Times New Roman"/>
          <w:sz w:val="20"/>
          <w:szCs w:val="20"/>
          <w:lang w:val="lv-LV"/>
        </w:rPr>
        <w:br/>
        <w:t xml:space="preserve">Eiropas lietu nodaļas </w:t>
      </w:r>
      <w:r w:rsidR="00E3781B">
        <w:rPr>
          <w:rFonts w:ascii="Times New Roman" w:hAnsi="Times New Roman"/>
          <w:sz w:val="20"/>
          <w:szCs w:val="20"/>
          <w:lang w:val="lv-LV"/>
        </w:rPr>
        <w:t>vadītāja</w:t>
      </w:r>
    </w:p>
    <w:p w:rsidRPr="005F39F8" w:rsidR="004304F2" w:rsidP="00E3781B" w:rsidRDefault="00E3781B" w14:paraId="5503EB15" w14:textId="04D76192">
      <w:pPr>
        <w:pStyle w:val="NoSpacing"/>
        <w:numPr>
          <w:ilvl w:val="0"/>
          <w:numId w:val="46"/>
        </w:numPr>
        <w:ind w:left="357" w:hanging="357"/>
        <w:rPr>
          <w:rFonts w:ascii="Times New Roman" w:hAnsi="Times New Roman"/>
          <w:sz w:val="20"/>
          <w:szCs w:val="20"/>
          <w:lang w:val="sv-SE"/>
        </w:rPr>
      </w:pPr>
      <w:r>
        <w:rPr>
          <w:rFonts w:ascii="Times New Roman" w:hAnsi="Times New Roman"/>
          <w:sz w:val="20"/>
          <w:szCs w:val="20"/>
          <w:lang w:val="sv-SE"/>
        </w:rPr>
        <w:t>Valaine-Elsone</w:t>
      </w:r>
      <w:r w:rsidRPr="005F39F8" w:rsidR="004304F2">
        <w:rPr>
          <w:rFonts w:ascii="Times New Roman" w:hAnsi="Times New Roman"/>
          <w:sz w:val="20"/>
          <w:szCs w:val="20"/>
          <w:lang w:val="sv-SE"/>
        </w:rPr>
        <w:t>, 67219</w:t>
      </w:r>
      <w:r>
        <w:rPr>
          <w:rFonts w:ascii="Times New Roman" w:hAnsi="Times New Roman"/>
          <w:sz w:val="20"/>
          <w:szCs w:val="20"/>
          <w:lang w:val="sv-SE"/>
        </w:rPr>
        <w:t>503</w:t>
      </w:r>
    </w:p>
    <w:p w:rsidRPr="006A44C8" w:rsidR="00380A37" w:rsidP="0053589C" w:rsidRDefault="00E3781B" w14:paraId="4457B49F" w14:textId="45333BDB">
      <w:pPr>
        <w:spacing w:line="240" w:lineRule="auto"/>
        <w:rPr>
          <w:sz w:val="20"/>
        </w:rPr>
      </w:pPr>
      <w:hyperlink w:history="true" r:id="rId8">
        <w:r w:rsidRPr="001F5BD3">
          <w:rPr>
            <w:rStyle w:val="Hyperlink"/>
            <w:sz w:val="20"/>
          </w:rPr>
          <w:t>anete.valaine-elsone@iem.gov.lv</w:t>
        </w:r>
      </w:hyperlink>
    </w:p>
    <w:sectPr w:rsidRPr="006A44C8"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5D397" w14:textId="77777777" w:rsidR="001108B2" w:rsidRDefault="001108B2" w:rsidP="004C0897">
      <w:pPr>
        <w:spacing w:line="240" w:lineRule="auto"/>
      </w:pPr>
      <w:r>
        <w:separator/>
      </w:r>
    </w:p>
  </w:endnote>
  <w:endnote w:type="continuationSeparator" w:id="0">
    <w:p w14:paraId="6B3ABB98" w14:textId="77777777" w:rsidR="001108B2" w:rsidRDefault="001108B2"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FF18" w14:textId="36BF57F1" w:rsidR="00212A3B" w:rsidRPr="006F1016" w:rsidRDefault="00011202" w:rsidP="009C5741">
    <w:pPr>
      <w:pStyle w:val="Footer"/>
      <w:jc w:val="both"/>
      <w:rPr>
        <w:i/>
        <w:sz w:val="20"/>
      </w:rPr>
    </w:pPr>
    <w:r>
      <w:rPr>
        <w:i/>
        <w:sz w:val="20"/>
      </w:rPr>
      <w:t>IeMzino_1312</w:t>
    </w:r>
    <w:r w:rsidR="00212A3B">
      <w:rPr>
        <w:i/>
        <w:sz w:val="20"/>
      </w:rPr>
      <w:t>21</w:t>
    </w:r>
  </w:p>
  <w:p w14:paraId="7A3AF362" w14:textId="0FE740D9" w:rsidR="00212A3B" w:rsidRPr="009C5741" w:rsidRDefault="00212A3B" w:rsidP="009C5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BB045" w14:textId="06A1D00D" w:rsidR="00212A3B" w:rsidRPr="006F1016" w:rsidRDefault="00514C4E" w:rsidP="006F1016">
    <w:pPr>
      <w:pStyle w:val="Footer"/>
      <w:jc w:val="both"/>
      <w:rPr>
        <w:i/>
        <w:sz w:val="20"/>
      </w:rPr>
    </w:pPr>
    <w:r>
      <w:rPr>
        <w:i/>
        <w:sz w:val="20"/>
      </w:rPr>
      <w:t>IeMzino_</w:t>
    </w:r>
    <w:r w:rsidR="00E3781B">
      <w:rPr>
        <w:i/>
        <w:sz w:val="20"/>
      </w:rPr>
      <w:t>131221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4329" w14:textId="77777777" w:rsidR="001108B2" w:rsidRDefault="001108B2" w:rsidP="004C0897">
      <w:pPr>
        <w:spacing w:line="240" w:lineRule="auto"/>
      </w:pPr>
      <w:r>
        <w:separator/>
      </w:r>
    </w:p>
  </w:footnote>
  <w:footnote w:type="continuationSeparator" w:id="0">
    <w:p w14:paraId="6750AC28" w14:textId="77777777" w:rsidR="001108B2" w:rsidRDefault="001108B2" w:rsidP="004C0897">
      <w:pPr>
        <w:spacing w:line="240" w:lineRule="auto"/>
      </w:pPr>
      <w:r>
        <w:continuationSeparator/>
      </w:r>
    </w:p>
  </w:footnote>
  <w:footnote w:id="1">
    <w:p w14:paraId="54F6FC6B" w14:textId="77777777" w:rsidR="00FB1660" w:rsidRPr="0061182B" w:rsidRDefault="00FB1660" w:rsidP="00FB1660">
      <w:pPr>
        <w:pStyle w:val="FootnoteText"/>
        <w:jc w:val="both"/>
      </w:pPr>
      <w:r w:rsidRPr="0061182B">
        <w:rPr>
          <w:rStyle w:val="FootnoteReference"/>
        </w:rPr>
        <w:footnoteRef/>
      </w:r>
      <w:r w:rsidRPr="0061182B">
        <w:t xml:space="preserve"> </w:t>
      </w:r>
      <w:r w:rsidRPr="0061182B">
        <w:rPr>
          <w:shd w:val="clear" w:color="auto" w:fill="FFFFFF"/>
        </w:rPr>
        <w:t xml:space="preserve">Eiropas Parlamenta un Padomes Direktīva </w:t>
      </w:r>
      <w:r>
        <w:rPr>
          <w:shd w:val="clear" w:color="auto" w:fill="FFFFFF"/>
        </w:rPr>
        <w:t>(</w:t>
      </w:r>
      <w:r w:rsidRPr="0061182B">
        <w:rPr>
          <w:shd w:val="clear" w:color="auto" w:fill="FFFFFF"/>
        </w:rPr>
        <w:t>2013.gada 26.</w:t>
      </w:r>
      <w:r>
        <w:rPr>
          <w:shd w:val="clear" w:color="auto" w:fill="FFFFFF"/>
        </w:rPr>
        <w:t>jūnijs</w:t>
      </w:r>
      <w:r w:rsidRPr="0061182B">
        <w:rPr>
          <w:shd w:val="clear" w:color="auto" w:fill="FFFFFF"/>
        </w:rPr>
        <w:t>) par kopējām procedūrām starptautiskās aizsardzības statusa piešķiršanai un atņemšanai.</w:t>
      </w:r>
    </w:p>
  </w:footnote>
  <w:footnote w:id="2">
    <w:p w14:paraId="223E753B" w14:textId="77777777" w:rsidR="00FB1660" w:rsidRPr="0061182B" w:rsidRDefault="00FB1660" w:rsidP="00FB1660">
      <w:pPr>
        <w:pStyle w:val="FootnoteText"/>
        <w:jc w:val="both"/>
      </w:pPr>
      <w:r w:rsidRPr="0061182B">
        <w:rPr>
          <w:rStyle w:val="FootnoteReference"/>
        </w:rPr>
        <w:footnoteRef/>
      </w:r>
      <w:r w:rsidRPr="0061182B">
        <w:t xml:space="preserve"> </w:t>
      </w:r>
      <w:r w:rsidRPr="0061182B">
        <w:rPr>
          <w:shd w:val="clear" w:color="auto" w:fill="FFFFFF"/>
        </w:rPr>
        <w:t>Eiropas Parlamenta un Padomes Direktīva (2013.gada 26.jūnijs), ar ko nosaka standartus starptautiskās aizsardzības pieteikuma iesniedzēju uzņemšanai (pārstrādāta versija)</w:t>
      </w:r>
      <w:r>
        <w:rPr>
          <w:shd w:val="clear" w:color="auto" w:fill="FFFFFF"/>
        </w:rPr>
        <w:t>.</w:t>
      </w:r>
    </w:p>
  </w:footnote>
  <w:footnote w:id="3">
    <w:p w14:paraId="51242289" w14:textId="77777777" w:rsidR="00FB1660" w:rsidRPr="0061182B" w:rsidRDefault="00FB1660" w:rsidP="00FB1660">
      <w:pPr>
        <w:pStyle w:val="FootnoteText"/>
        <w:jc w:val="both"/>
      </w:pPr>
      <w:r>
        <w:rPr>
          <w:rStyle w:val="FootnoteReference"/>
        </w:rPr>
        <w:footnoteRef/>
      </w:r>
      <w:r w:rsidRPr="0061182B">
        <w:t xml:space="preserve"> </w:t>
      </w:r>
      <w:r w:rsidRPr="0061182B">
        <w:rPr>
          <w:shd w:val="clear" w:color="auto" w:fill="FFFFFF"/>
        </w:rPr>
        <w:t>Eiropas Parlamenta un Padomes Direktīva (2008.gada 16.decembris) par kopīgiem standartiem un procedūrām dalībvalstīs attiecībā uz to trešo valstu valstspiederīgo atgriešanu, kas dalībvalstī uzturas nelikumīgi</w:t>
      </w:r>
      <w:r>
        <w:rPr>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8720"/>
      <w:docPartObj>
        <w:docPartGallery w:val="Page Numbers (Top of Page)"/>
        <w:docPartUnique/>
      </w:docPartObj>
    </w:sdtPr>
    <w:sdtEndPr>
      <w:rPr>
        <w:noProof/>
      </w:rPr>
    </w:sdtEndPr>
    <w:sdtContent>
      <w:p w14:paraId="7C99B180" w14:textId="303DBCC0" w:rsidR="00212A3B" w:rsidRDefault="00212A3B">
        <w:pPr>
          <w:pStyle w:val="Header"/>
          <w:jc w:val="center"/>
        </w:pPr>
        <w:r>
          <w:fldChar w:fldCharType="begin"/>
        </w:r>
        <w:r>
          <w:instrText xml:space="preserve"> PAGE   \* MERGEFORMAT </w:instrText>
        </w:r>
        <w:r>
          <w:fldChar w:fldCharType="separate"/>
        </w:r>
        <w:r w:rsidR="00F05AF7">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F0"/>
    <w:rsid w:val="000076C1"/>
    <w:rsid w:val="00007F65"/>
    <w:rsid w:val="000101DC"/>
    <w:rsid w:val="00011202"/>
    <w:rsid w:val="00020BDD"/>
    <w:rsid w:val="0002127E"/>
    <w:rsid w:val="00026652"/>
    <w:rsid w:val="00030427"/>
    <w:rsid w:val="000318BC"/>
    <w:rsid w:val="00032EC6"/>
    <w:rsid w:val="00034938"/>
    <w:rsid w:val="000356F2"/>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60B"/>
    <w:rsid w:val="001535A2"/>
    <w:rsid w:val="001554E0"/>
    <w:rsid w:val="001576BD"/>
    <w:rsid w:val="00163D03"/>
    <w:rsid w:val="00165C38"/>
    <w:rsid w:val="00171F63"/>
    <w:rsid w:val="0017314F"/>
    <w:rsid w:val="001738AF"/>
    <w:rsid w:val="0018087E"/>
    <w:rsid w:val="001839BA"/>
    <w:rsid w:val="001843AA"/>
    <w:rsid w:val="00186286"/>
    <w:rsid w:val="001868CE"/>
    <w:rsid w:val="00195291"/>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EA2"/>
    <w:rsid w:val="001F507C"/>
    <w:rsid w:val="00201BDF"/>
    <w:rsid w:val="0020746D"/>
    <w:rsid w:val="00207AAC"/>
    <w:rsid w:val="0021202C"/>
    <w:rsid w:val="00212566"/>
    <w:rsid w:val="00212A3B"/>
    <w:rsid w:val="00212AFB"/>
    <w:rsid w:val="00217EF0"/>
    <w:rsid w:val="00224EF9"/>
    <w:rsid w:val="002258FA"/>
    <w:rsid w:val="00234220"/>
    <w:rsid w:val="00234E6F"/>
    <w:rsid w:val="00235A85"/>
    <w:rsid w:val="002403C8"/>
    <w:rsid w:val="00245651"/>
    <w:rsid w:val="00247671"/>
    <w:rsid w:val="002515A3"/>
    <w:rsid w:val="00257654"/>
    <w:rsid w:val="0026235E"/>
    <w:rsid w:val="0026374A"/>
    <w:rsid w:val="00270621"/>
    <w:rsid w:val="00280CBF"/>
    <w:rsid w:val="00284EE2"/>
    <w:rsid w:val="002870A2"/>
    <w:rsid w:val="00290222"/>
    <w:rsid w:val="00291A69"/>
    <w:rsid w:val="0029355C"/>
    <w:rsid w:val="002A1618"/>
    <w:rsid w:val="002A455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631E0"/>
    <w:rsid w:val="00364162"/>
    <w:rsid w:val="00370F04"/>
    <w:rsid w:val="00371CAE"/>
    <w:rsid w:val="00376819"/>
    <w:rsid w:val="00380A37"/>
    <w:rsid w:val="00385C26"/>
    <w:rsid w:val="00391C4E"/>
    <w:rsid w:val="00394FF5"/>
    <w:rsid w:val="00396E58"/>
    <w:rsid w:val="003A0B68"/>
    <w:rsid w:val="003A0DBB"/>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D017F"/>
    <w:rsid w:val="004D216F"/>
    <w:rsid w:val="004D3A91"/>
    <w:rsid w:val="004E2970"/>
    <w:rsid w:val="004E71A8"/>
    <w:rsid w:val="004F451A"/>
    <w:rsid w:val="004F5C4E"/>
    <w:rsid w:val="004F5F2B"/>
    <w:rsid w:val="004F74AE"/>
    <w:rsid w:val="005004A5"/>
    <w:rsid w:val="005070BF"/>
    <w:rsid w:val="00511883"/>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6900"/>
    <w:rsid w:val="00615B39"/>
    <w:rsid w:val="00616166"/>
    <w:rsid w:val="0061749B"/>
    <w:rsid w:val="006243E9"/>
    <w:rsid w:val="0063082B"/>
    <w:rsid w:val="00631648"/>
    <w:rsid w:val="00641182"/>
    <w:rsid w:val="00650619"/>
    <w:rsid w:val="00654C00"/>
    <w:rsid w:val="00663144"/>
    <w:rsid w:val="00665F31"/>
    <w:rsid w:val="00667533"/>
    <w:rsid w:val="006703B3"/>
    <w:rsid w:val="00671E17"/>
    <w:rsid w:val="006767CA"/>
    <w:rsid w:val="00676E62"/>
    <w:rsid w:val="0069161D"/>
    <w:rsid w:val="006952EF"/>
    <w:rsid w:val="006A44C8"/>
    <w:rsid w:val="006C5A32"/>
    <w:rsid w:val="006D2AD2"/>
    <w:rsid w:val="006D5E8F"/>
    <w:rsid w:val="006D5F69"/>
    <w:rsid w:val="006D60E9"/>
    <w:rsid w:val="006E2E6E"/>
    <w:rsid w:val="006E5A9B"/>
    <w:rsid w:val="006E5B42"/>
    <w:rsid w:val="006F1016"/>
    <w:rsid w:val="006F23FC"/>
    <w:rsid w:val="006F5EB8"/>
    <w:rsid w:val="007027CF"/>
    <w:rsid w:val="00710682"/>
    <w:rsid w:val="0072362B"/>
    <w:rsid w:val="00726C3E"/>
    <w:rsid w:val="0073159E"/>
    <w:rsid w:val="00740AE7"/>
    <w:rsid w:val="00747106"/>
    <w:rsid w:val="00751BC0"/>
    <w:rsid w:val="007524DA"/>
    <w:rsid w:val="00755BED"/>
    <w:rsid w:val="0076197E"/>
    <w:rsid w:val="00765CC0"/>
    <w:rsid w:val="00766092"/>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42C80"/>
    <w:rsid w:val="008463FC"/>
    <w:rsid w:val="00846A5F"/>
    <w:rsid w:val="0085049E"/>
    <w:rsid w:val="00852574"/>
    <w:rsid w:val="00852BA3"/>
    <w:rsid w:val="00853BCC"/>
    <w:rsid w:val="00866B8E"/>
    <w:rsid w:val="00867AEA"/>
    <w:rsid w:val="00871D8C"/>
    <w:rsid w:val="00875B51"/>
    <w:rsid w:val="0088229C"/>
    <w:rsid w:val="00882CE3"/>
    <w:rsid w:val="00882E81"/>
    <w:rsid w:val="0089001D"/>
    <w:rsid w:val="00890097"/>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1D81"/>
    <w:rsid w:val="00963B6C"/>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741"/>
    <w:rsid w:val="009C7DB8"/>
    <w:rsid w:val="009D7A57"/>
    <w:rsid w:val="009E170E"/>
    <w:rsid w:val="009E2B68"/>
    <w:rsid w:val="009E3D2A"/>
    <w:rsid w:val="009E5C67"/>
    <w:rsid w:val="009F1A14"/>
    <w:rsid w:val="009F1F43"/>
    <w:rsid w:val="00A113C6"/>
    <w:rsid w:val="00A146FF"/>
    <w:rsid w:val="00A1584E"/>
    <w:rsid w:val="00A16216"/>
    <w:rsid w:val="00A1703F"/>
    <w:rsid w:val="00A3466C"/>
    <w:rsid w:val="00A35EB7"/>
    <w:rsid w:val="00A37B8B"/>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E409A"/>
    <w:rsid w:val="00AE5B61"/>
    <w:rsid w:val="00AE60B5"/>
    <w:rsid w:val="00AE7002"/>
    <w:rsid w:val="00AF13AF"/>
    <w:rsid w:val="00AF7623"/>
    <w:rsid w:val="00B0176B"/>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E0339"/>
    <w:rsid w:val="00BE0734"/>
    <w:rsid w:val="00BE1415"/>
    <w:rsid w:val="00BE1B6C"/>
    <w:rsid w:val="00BF28FA"/>
    <w:rsid w:val="00BF4209"/>
    <w:rsid w:val="00BF4667"/>
    <w:rsid w:val="00BF6B12"/>
    <w:rsid w:val="00BF778B"/>
    <w:rsid w:val="00C00BAB"/>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BE7"/>
    <w:rsid w:val="00C73F1B"/>
    <w:rsid w:val="00C75EFB"/>
    <w:rsid w:val="00C778B2"/>
    <w:rsid w:val="00C77B3D"/>
    <w:rsid w:val="00C82A5E"/>
    <w:rsid w:val="00C82B89"/>
    <w:rsid w:val="00C9108B"/>
    <w:rsid w:val="00C93031"/>
    <w:rsid w:val="00C93866"/>
    <w:rsid w:val="00C938E8"/>
    <w:rsid w:val="00C950D1"/>
    <w:rsid w:val="00CA074B"/>
    <w:rsid w:val="00CB2E33"/>
    <w:rsid w:val="00CC5382"/>
    <w:rsid w:val="00CC72DE"/>
    <w:rsid w:val="00CC7DD8"/>
    <w:rsid w:val="00CD082A"/>
    <w:rsid w:val="00CD0F3D"/>
    <w:rsid w:val="00CD600B"/>
    <w:rsid w:val="00CD6B4E"/>
    <w:rsid w:val="00CE0675"/>
    <w:rsid w:val="00CE1F40"/>
    <w:rsid w:val="00CE7B8C"/>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51E4"/>
    <w:rsid w:val="00D670E0"/>
    <w:rsid w:val="00D70D0A"/>
    <w:rsid w:val="00D862A2"/>
    <w:rsid w:val="00D90B62"/>
    <w:rsid w:val="00D924C4"/>
    <w:rsid w:val="00D9664D"/>
    <w:rsid w:val="00DB0BF2"/>
    <w:rsid w:val="00DB149F"/>
    <w:rsid w:val="00DB2C54"/>
    <w:rsid w:val="00DC2C50"/>
    <w:rsid w:val="00DC5CFE"/>
    <w:rsid w:val="00DD5B3C"/>
    <w:rsid w:val="00DD700E"/>
    <w:rsid w:val="00DD7477"/>
    <w:rsid w:val="00DE118C"/>
    <w:rsid w:val="00DF47F0"/>
    <w:rsid w:val="00DF55BA"/>
    <w:rsid w:val="00DF5A5F"/>
    <w:rsid w:val="00DF6FDA"/>
    <w:rsid w:val="00E000EE"/>
    <w:rsid w:val="00E01950"/>
    <w:rsid w:val="00E0244D"/>
    <w:rsid w:val="00E03E67"/>
    <w:rsid w:val="00E051E6"/>
    <w:rsid w:val="00E14147"/>
    <w:rsid w:val="00E164B1"/>
    <w:rsid w:val="00E16BD6"/>
    <w:rsid w:val="00E3766C"/>
    <w:rsid w:val="00E3781B"/>
    <w:rsid w:val="00E37A6A"/>
    <w:rsid w:val="00E37CE5"/>
    <w:rsid w:val="00E4012B"/>
    <w:rsid w:val="00E50DFA"/>
    <w:rsid w:val="00E60B83"/>
    <w:rsid w:val="00E635D2"/>
    <w:rsid w:val="00E70B56"/>
    <w:rsid w:val="00E71680"/>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D02C1"/>
    <w:rsid w:val="00ED0586"/>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3111D"/>
    <w:rsid w:val="00F3123D"/>
    <w:rsid w:val="00F3501F"/>
    <w:rsid w:val="00F35B5B"/>
    <w:rsid w:val="00F408D6"/>
    <w:rsid w:val="00F46CCC"/>
    <w:rsid w:val="00F47149"/>
    <w:rsid w:val="00F51F16"/>
    <w:rsid w:val="00F57363"/>
    <w:rsid w:val="00F5765F"/>
    <w:rsid w:val="00F6257F"/>
    <w:rsid w:val="00F63393"/>
    <w:rsid w:val="00F6440D"/>
    <w:rsid w:val="00F65876"/>
    <w:rsid w:val="00F6775D"/>
    <w:rsid w:val="00F72DD6"/>
    <w:rsid w:val="00F76213"/>
    <w:rsid w:val="00F91AD1"/>
    <w:rsid w:val="00F949B2"/>
    <w:rsid w:val="00FA06CC"/>
    <w:rsid w:val="00FA427B"/>
    <w:rsid w:val="00FB1660"/>
    <w:rsid w:val="00FC2E18"/>
    <w:rsid w:val="00FC3DE4"/>
    <w:rsid w:val="00FC545C"/>
    <w:rsid w:val="00FC5DEF"/>
    <w:rsid w:val="00FD0F90"/>
    <w:rsid w:val="00FD2122"/>
    <w:rsid w:val="00FD265A"/>
    <w:rsid w:val="00FD7D5D"/>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Обычный (веб) Знак Знак Знак Знак Знак Знак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31"/>
      </w:numPr>
      <w:contextualSpacing/>
    </w:pPr>
  </w:style>
  <w:style w:type="paragraph" w:customStyle="1" w:styleId="PointManual">
    <w:name w:val="Point Manual"/>
    <w:basedOn w:val="Normal"/>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Strong">
    <w:name w:val="Strong"/>
    <w:uiPriority w:val="22"/>
    <w:qFormat/>
    <w:rsid w:val="00FB1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anete.valaine-elson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FB54CCD-A310-40FF-99A4-767E50EC3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2132</Words>
  <Characters>1216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Anete Valaine</cp:lastModifiedBy>
  <cp:revision>3</cp:revision>
  <cp:lastPrinted>2021-01-27T08:08:00Z</cp:lastPrinted>
  <dcterms:created xsi:type="dcterms:W3CDTF">2021-12-13T08:56:00Z</dcterms:created>
  <dcterms:modified xsi:type="dcterms:W3CDTF">2021-12-13T09:48:00Z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Grieta Strūve</vt:lpwstr>
  </property>
  <property fmtid="{D5CDD505-2E9C-101B-9397-08002B2CF9AE}" pid="3" name="DIScgiUrl">
    <vt:lpwstr>https://lim.esvis.gov.lv/cs/idcplg</vt:lpwstr>
  </property>
  <property fmtid="{D5CDD505-2E9C-101B-9397-08002B2CF9AE}" pid="4" name="DISdDocName">
    <vt:lpwstr>L292540</vt:lpwstr>
  </property>
  <property fmtid="{D5CDD505-2E9C-101B-9397-08002B2CF9AE}" pid="5" name="DISCesvisAdditionalMakersPhone">
    <vt:lpwstr>67219206/27617003</vt:lpwstr>
  </property>
  <property fmtid="{D5CDD505-2E9C-101B-9397-08002B2CF9AE}" pid="6" name="DISCesvisSigner">
    <vt:lpwstr>ministre Marija Golubeva</vt:lpwstr>
  </property>
  <property fmtid="{D5CDD505-2E9C-101B-9397-08002B2CF9AE}" pid="7" name="DISTaskPaneUrl">
    <vt:lpwstr>https://lim.esvis.gov.lv/cs/idcplg?ClientControlled=DocMan&amp;coreContentOnly=1&amp;WebdavRequest=1&amp;IdcService=DOC_INFO&amp;dID=377972</vt:lpwstr>
  </property>
  <property fmtid="{D5CDD505-2E9C-101B-9397-08002B2CF9AE}" pid="8" name="DISCesvisSafetyLevel">
    <vt:lpwstr>Vispārpieejams</vt:lpwstr>
  </property>
  <property fmtid="{D5CDD505-2E9C-101B-9397-08002B2CF9AE}" pid="9" name="DISCesvisTitle">
    <vt:lpwstr>Informatīvais ziņojums par Latvijas Republikas nacionālo pozīciju Nr.1. par  “Priekšlikumu Padomes lēmumam par pagaidu ārkārtas pasākumiem Latvijas, Lietuvas un Polijas labā”</vt:lpwstr>
  </property>
  <property fmtid="{D5CDD505-2E9C-101B-9397-08002B2CF9AE}" pid="10" name="DISCesvisMinistryOfMinister">
    <vt:lpwstr>wwTemplateNP_MinistryOfMinister(Iekšlietu,)</vt:lpwstr>
  </property>
  <property fmtid="{D5CDD505-2E9C-101B-9397-08002B2CF9AE}" pid="11" name="DISCesvisAuthor">
    <vt:lpwstr>Iekšlietu ministrija</vt:lpwstr>
  </property>
  <property fmtid="{D5CDD505-2E9C-101B-9397-08002B2CF9AE}" pid="12" name="DISCesvisMainMaker">
    <vt:lpwstr>vecākā referente Grieta Strūve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grieta.struve@iem.gov.lv</vt:lpwstr>
  </property>
  <property fmtid="{D5CDD505-2E9C-101B-9397-08002B2CF9AE}" pid="17" name="DISdUser">
    <vt:lpwstr>weblogic</vt:lpwstr>
  </property>
  <property fmtid="{D5CDD505-2E9C-101B-9397-08002B2CF9AE}" pid="18" name="DISdID">
    <vt:lpwstr>377972</vt:lpwstr>
  </property>
  <property fmtid="{D5CDD505-2E9C-101B-9397-08002B2CF9AE}" pid="19" name="DISCesvisMainMakerOrgUnitTitle">
    <vt:lpwstr>ELSSD Eiropas lietu nodaļa</vt:lpwstr>
  </property>
  <property fmtid="{D5CDD505-2E9C-101B-9397-08002B2CF9AE}" pid="20" name="DISCesvisAdditionalTutors">
    <vt:lpwstr>vecākā referente Grieta Strūve</vt:lpwstr>
  </property>
  <property fmtid="{D5CDD505-2E9C-101B-9397-08002B2CF9AE}" pid="21" name="DISCesvisAdditionalTutorsMail">
    <vt:lpwstr>grieta.struve@iem.gov.lv</vt:lpwstr>
  </property>
  <property fmtid="{D5CDD505-2E9C-101B-9397-08002B2CF9AE}" pid="22" name="DISCesvisAdditionalTutorsPhone">
    <vt:lpwstr>67219206/27617003</vt:lpwstr>
  </property>
  <property fmtid="{D5CDD505-2E9C-101B-9397-08002B2CF9AE}" pid="23" name="DISCesvisOrgApprovers">
    <vt:lpwstr>Aizsardzības ministrija, Ārlietu ministrija, Finanšu ministrija, Labklājības ministrija, Kultūras ministrija, Veselības ministrija, Satiksmes ministrija, Tieslietu ministrija</vt:lpwstr>
  </property>
</Properties>
</file>