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charts/chart31.xml" ContentType="application/vnd.openxmlformats-officedocument.drawingml.chart+xml"/>
  <Override PartName="/word/charts/style31.xml" ContentType="application/vnd.ms-office.chartstyle+xml"/>
  <Override PartName="/word/charts/colors31.xml" ContentType="application/vnd.ms-office.chartcolorstyle+xml"/>
  <Override PartName="/word/charts/chart32.xml" ContentType="application/vnd.openxmlformats-officedocument.drawingml.chart+xml"/>
  <Override PartName="/word/charts/style32.xml" ContentType="application/vnd.ms-office.chartstyle+xml"/>
  <Override PartName="/word/charts/colors32.xml" ContentType="application/vnd.ms-office.chartcolorstyle+xml"/>
  <Override PartName="/word/charts/chart33.xml" ContentType="application/vnd.openxmlformats-officedocument.drawingml.chart+xml"/>
  <Override PartName="/word/charts/style33.xml" ContentType="application/vnd.ms-office.chartstyle+xml"/>
  <Override PartName="/word/charts/colors33.xml" ContentType="application/vnd.ms-office.chartcolorstyle+xml"/>
  <Override PartName="/word/charts/chart34.xml" ContentType="application/vnd.openxmlformats-officedocument.drawingml.chart+xml"/>
  <Override PartName="/word/charts/style34.xml" ContentType="application/vnd.ms-office.chartstyle+xml"/>
  <Override PartName="/word/charts/colors34.xml" ContentType="application/vnd.ms-office.chartcolorstyle+xml"/>
  <Override PartName="/word/charts/chart35.xml" ContentType="application/vnd.openxmlformats-officedocument.drawingml.chart+xml"/>
  <Override PartName="/word/charts/style35.xml" ContentType="application/vnd.ms-office.chartstyle+xml"/>
  <Override PartName="/word/charts/colors35.xml" ContentType="application/vnd.ms-office.chartcolorstyle+xml"/>
  <Override PartName="/word/charts/chart36.xml" ContentType="application/vnd.openxmlformats-officedocument.drawingml.chart+xml"/>
  <Override PartName="/word/charts/style36.xml" ContentType="application/vnd.ms-office.chartstyle+xml"/>
  <Override PartName="/word/charts/colors36.xml" ContentType="application/vnd.ms-office.chartcolorstyle+xml"/>
  <Override PartName="/word/charts/chart37.xml" ContentType="application/vnd.openxmlformats-officedocument.drawingml.chart+xml"/>
  <Override PartName="/word/charts/style37.xml" ContentType="application/vnd.ms-office.chartstyle+xml"/>
  <Override PartName="/word/charts/colors37.xml" ContentType="application/vnd.ms-office.chartcolorstyle+xml"/>
  <Override PartName="/word/charts/chart38.xml" ContentType="application/vnd.openxmlformats-officedocument.drawingml.chart+xml"/>
  <Override PartName="/word/charts/style38.xml" ContentType="application/vnd.ms-office.chartstyle+xml"/>
  <Override PartName="/word/charts/colors38.xml" ContentType="application/vnd.ms-office.chartcolorstyle+xml"/>
  <Override PartName="/word/charts/chart39.xml" ContentType="application/vnd.openxmlformats-officedocument.drawingml.chart+xml"/>
  <Override PartName="/word/charts/style39.xml" ContentType="application/vnd.ms-office.chartstyle+xml"/>
  <Override PartName="/word/charts/colors39.xml" ContentType="application/vnd.ms-office.chartcolorstyle+xml"/>
  <Override PartName="/word/charts/chart40.xml" ContentType="application/vnd.openxmlformats-officedocument.drawingml.chart+xml"/>
  <Override PartName="/word/charts/style40.xml" ContentType="application/vnd.ms-office.chartstyle+xml"/>
  <Override PartName="/word/charts/colors40.xml" ContentType="application/vnd.ms-office.chartcolorstyle+xml"/>
  <Override PartName="/word/charts/chart41.xml" ContentType="application/vnd.openxmlformats-officedocument.drawingml.chart+xml"/>
  <Override PartName="/word/charts/style41.xml" ContentType="application/vnd.ms-office.chartstyle+xml"/>
  <Override PartName="/word/charts/colors41.xml" ContentType="application/vnd.ms-office.chartcolorstyle+xml"/>
  <Override PartName="/word/charts/chart42.xml" ContentType="application/vnd.openxmlformats-officedocument.drawingml.chart+xml"/>
  <Override PartName="/word/charts/style42.xml" ContentType="application/vnd.ms-office.chartstyle+xml"/>
  <Override PartName="/word/charts/colors42.xml" ContentType="application/vnd.ms-office.chartcolorstyle+xml"/>
  <Override PartName="/word/charts/chart43.xml" ContentType="application/vnd.openxmlformats-officedocument.drawingml.chart+xml"/>
  <Override PartName="/word/charts/style43.xml" ContentType="application/vnd.ms-office.chartstyle+xml"/>
  <Override PartName="/word/charts/colors43.xml" ContentType="application/vnd.ms-office.chartcolorstyle+xml"/>
  <Override PartName="/word/charts/chart44.xml" ContentType="application/vnd.openxmlformats-officedocument.drawingml.chart+xml"/>
  <Override PartName="/word/charts/style44.xml" ContentType="application/vnd.ms-office.chartstyle+xml"/>
  <Override PartName="/word/charts/colors44.xml" ContentType="application/vnd.ms-office.chartcolorstyle+xml"/>
  <Override PartName="/word/charts/chart45.xml" ContentType="application/vnd.openxmlformats-officedocument.drawingml.chart+xml"/>
  <Override PartName="/word/charts/style45.xml" ContentType="application/vnd.ms-office.chartstyle+xml"/>
  <Override PartName="/word/charts/colors45.xml" ContentType="application/vnd.ms-office.chartcolorstyle+xml"/>
  <Override PartName="/word/charts/chart46.xml" ContentType="application/vnd.openxmlformats-officedocument.drawingml.chart+xml"/>
  <Override PartName="/word/charts/style46.xml" ContentType="application/vnd.ms-office.chartstyle+xml"/>
  <Override PartName="/word/charts/colors46.xml" ContentType="application/vnd.ms-office.chartcolorstyle+xml"/>
  <Override PartName="/word/charts/chart47.xml" ContentType="application/vnd.openxmlformats-officedocument.drawingml.chart+xml"/>
  <Override PartName="/word/charts/style47.xml" ContentType="application/vnd.ms-office.chartstyle+xml"/>
  <Override PartName="/word/charts/colors47.xml" ContentType="application/vnd.ms-office.chartcolorstyle+xml"/>
  <Override PartName="/word/charts/chart48.xml" ContentType="application/vnd.openxmlformats-officedocument.drawingml.chart+xml"/>
  <Override PartName="/word/charts/style48.xml" ContentType="application/vnd.ms-office.chartstyle+xml"/>
  <Override PartName="/word/charts/colors48.xml" ContentType="application/vnd.ms-office.chartcolorstyle+xml"/>
  <Override PartName="/word/charts/chart49.xml" ContentType="application/vnd.openxmlformats-officedocument.drawingml.chart+xml"/>
  <Override PartName="/word/charts/style49.xml" ContentType="application/vnd.ms-office.chartstyle+xml"/>
  <Override PartName="/word/charts/colors49.xml" ContentType="application/vnd.ms-office.chartcolorstyle+xml"/>
  <Override PartName="/word/charts/chart50.xml" ContentType="application/vnd.openxmlformats-officedocument.drawingml.chart+xml"/>
  <Override PartName="/word/charts/style50.xml" ContentType="application/vnd.ms-office.chartstyle+xml"/>
  <Override PartName="/word/charts/colors50.xml" ContentType="application/vnd.ms-office.chartcolorstyle+xml"/>
  <Override PartName="/word/charts/chart51.xml" ContentType="application/vnd.openxmlformats-officedocument.drawingml.chart+xml"/>
  <Override PartName="/word/charts/style51.xml" ContentType="application/vnd.ms-office.chartstyle+xml"/>
  <Override PartName="/word/charts/colors51.xml" ContentType="application/vnd.ms-office.chartcolorstyle+xml"/>
  <Override PartName="/word/charts/chart52.xml" ContentType="application/vnd.openxmlformats-officedocument.drawingml.chart+xml"/>
  <Override PartName="/word/charts/style52.xml" ContentType="application/vnd.ms-office.chartstyle+xml"/>
  <Override PartName="/word/charts/colors52.xml" ContentType="application/vnd.ms-office.chartcolorstyle+xml"/>
  <Override PartName="/word/charts/chart53.xml" ContentType="application/vnd.openxmlformats-officedocument.drawingml.chart+xml"/>
  <Override PartName="/word/charts/style53.xml" ContentType="application/vnd.ms-office.chartstyle+xml"/>
  <Override PartName="/word/charts/colors53.xml" ContentType="application/vnd.ms-office.chartcolorstyle+xml"/>
  <Override PartName="/word/charts/chart54.xml" ContentType="application/vnd.openxmlformats-officedocument.drawingml.chart+xml"/>
  <Override PartName="/word/charts/style54.xml" ContentType="application/vnd.ms-office.chartstyle+xml"/>
  <Override PartName="/word/charts/colors54.xml" ContentType="application/vnd.ms-office.chartcolorstyle+xml"/>
  <Override PartName="/word/charts/chart55.xml" ContentType="application/vnd.openxmlformats-officedocument.drawingml.chart+xml"/>
  <Override PartName="/word/charts/style55.xml" ContentType="application/vnd.ms-office.chartstyle+xml"/>
  <Override PartName="/word/charts/colors55.xml" ContentType="application/vnd.ms-office.chartcolorstyle+xml"/>
  <Override PartName="/word/charts/chart56.xml" ContentType="application/vnd.openxmlformats-officedocument.drawingml.chart+xml"/>
  <Override PartName="/word/charts/style56.xml" ContentType="application/vnd.ms-office.chartstyle+xml"/>
  <Override PartName="/word/charts/colors56.xml" ContentType="application/vnd.ms-office.chartcolorstyle+xml"/>
  <Override PartName="/word/charts/chart57.xml" ContentType="application/vnd.openxmlformats-officedocument.drawingml.chart+xml"/>
  <Override PartName="/word/charts/style57.xml" ContentType="application/vnd.ms-office.chartstyle+xml"/>
  <Override PartName="/word/charts/colors57.xml" ContentType="application/vnd.ms-office.chartcolorstyle+xml"/>
  <Override PartName="/word/charts/chart58.xml" ContentType="application/vnd.openxmlformats-officedocument.drawingml.chart+xml"/>
  <Override PartName="/word/charts/style58.xml" ContentType="application/vnd.ms-office.chartstyle+xml"/>
  <Override PartName="/word/charts/colors58.xml" ContentType="application/vnd.ms-office.chartcolorstyle+xml"/>
  <Override PartName="/word/charts/chart59.xml" ContentType="application/vnd.openxmlformats-officedocument.drawingml.chart+xml"/>
  <Override PartName="/word/charts/style59.xml" ContentType="application/vnd.ms-office.chartstyle+xml"/>
  <Override PartName="/word/charts/colors59.xml" ContentType="application/vnd.ms-office.chartcolorstyle+xml"/>
  <Override PartName="/word/charts/chart60.xml" ContentType="application/vnd.openxmlformats-officedocument.drawingml.chart+xml"/>
  <Override PartName="/word/charts/style60.xml" ContentType="application/vnd.ms-office.chartstyle+xml"/>
  <Override PartName="/word/charts/colors60.xml" ContentType="application/vnd.ms-office.chartcolorstyle+xml"/>
  <Override PartName="/word/charts/chart61.xml" ContentType="application/vnd.openxmlformats-officedocument.drawingml.chart+xml"/>
  <Override PartName="/word/charts/style61.xml" ContentType="application/vnd.ms-office.chartstyle+xml"/>
  <Override PartName="/word/charts/colors61.xml" ContentType="application/vnd.ms-office.chartcolorstyle+xml"/>
  <Override PartName="/word/charts/chart62.xml" ContentType="application/vnd.openxmlformats-officedocument.drawingml.chart+xml"/>
  <Override PartName="/word/charts/style62.xml" ContentType="application/vnd.ms-office.chartstyle+xml"/>
  <Override PartName="/word/charts/colors62.xml" ContentType="application/vnd.ms-office.chartcolorstyle+xml"/>
  <Override PartName="/word/charts/chart63.xml" ContentType="application/vnd.openxmlformats-officedocument.drawingml.chart+xml"/>
  <Override PartName="/word/charts/style63.xml" ContentType="application/vnd.ms-office.chartstyle+xml"/>
  <Override PartName="/word/charts/colors63.xml" ContentType="application/vnd.ms-office.chartcolorstyle+xml"/>
  <Override PartName="/word/charts/chart64.xml" ContentType="application/vnd.openxmlformats-officedocument.drawingml.chart+xml"/>
  <Override PartName="/word/charts/style64.xml" ContentType="application/vnd.ms-office.chartstyle+xml"/>
  <Override PartName="/word/charts/colors64.xml" ContentType="application/vnd.ms-office.chartcolorstyle+xml"/>
  <Override PartName="/word/charts/chart65.xml" ContentType="application/vnd.openxmlformats-officedocument.drawingml.chart+xml"/>
  <Override PartName="/word/charts/style65.xml" ContentType="application/vnd.ms-office.chartstyle+xml"/>
  <Override PartName="/word/charts/colors65.xml" ContentType="application/vnd.ms-office.chartcolorstyle+xml"/>
  <Override PartName="/word/charts/chart66.xml" ContentType="application/vnd.openxmlformats-officedocument.drawingml.chart+xml"/>
  <Override PartName="/word/charts/style66.xml" ContentType="application/vnd.ms-office.chartstyle+xml"/>
  <Override PartName="/word/charts/colors66.xml" ContentType="application/vnd.ms-office.chartcolorstyle+xml"/>
  <Override PartName="/word/charts/chart67.xml" ContentType="application/vnd.openxmlformats-officedocument.drawingml.chart+xml"/>
  <Override PartName="/word/charts/style67.xml" ContentType="application/vnd.ms-office.chartstyle+xml"/>
  <Override PartName="/word/charts/colors67.xml" ContentType="application/vnd.ms-office.chartcolorstyle+xml"/>
  <Override PartName="/word/charts/chart68.xml" ContentType="application/vnd.openxmlformats-officedocument.drawingml.chart+xml"/>
  <Override PartName="/word/charts/style68.xml" ContentType="application/vnd.ms-office.chartstyle+xml"/>
  <Override PartName="/word/charts/colors68.xml" ContentType="application/vnd.ms-office.chartcolorstyle+xml"/>
  <Override PartName="/word/charts/chart69.xml" ContentType="application/vnd.openxmlformats-officedocument.drawingml.chart+xml"/>
  <Override PartName="/word/charts/style69.xml" ContentType="application/vnd.ms-office.chartstyle+xml"/>
  <Override PartName="/word/charts/colors69.xml" ContentType="application/vnd.ms-office.chartcolorstyle+xml"/>
  <Override PartName="/word/charts/chart70.xml" ContentType="application/vnd.openxmlformats-officedocument.drawingml.chart+xml"/>
  <Override PartName="/word/charts/style70.xml" ContentType="application/vnd.ms-office.chartstyle+xml"/>
  <Override PartName="/word/charts/colors70.xml" ContentType="application/vnd.ms-office.chartcolorstyle+xml"/>
  <Override PartName="/word/charts/chart71.xml" ContentType="application/vnd.openxmlformats-officedocument.drawingml.chart+xml"/>
  <Override PartName="/word/charts/style71.xml" ContentType="application/vnd.ms-office.chartstyle+xml"/>
  <Override PartName="/word/charts/colors71.xml" ContentType="application/vnd.ms-office.chartcolorstyle+xml"/>
  <Override PartName="/word/charts/chart72.xml" ContentType="application/vnd.openxmlformats-officedocument.drawingml.chart+xml"/>
  <Override PartName="/word/charts/style72.xml" ContentType="application/vnd.ms-office.chartstyle+xml"/>
  <Override PartName="/word/charts/colors72.xml" ContentType="application/vnd.ms-office.chartcolorstyle+xml"/>
  <Override PartName="/word/charts/chart73.xml" ContentType="application/vnd.openxmlformats-officedocument.drawingml.chart+xml"/>
  <Override PartName="/word/charts/style73.xml" ContentType="application/vnd.ms-office.chartstyle+xml"/>
  <Override PartName="/word/charts/colors73.xml" ContentType="application/vnd.ms-office.chartcolorstyle+xml"/>
  <Override PartName="/word/charts/chart74.xml" ContentType="application/vnd.openxmlformats-officedocument.drawingml.chart+xml"/>
  <Override PartName="/word/charts/style74.xml" ContentType="application/vnd.ms-office.chartstyle+xml"/>
  <Override PartName="/word/charts/colors74.xml" ContentType="application/vnd.ms-office.chartcolorstyle+xml"/>
  <Override PartName="/word/charts/chart75.xml" ContentType="application/vnd.openxmlformats-officedocument.drawingml.chart+xml"/>
  <Override PartName="/word/charts/style75.xml" ContentType="application/vnd.ms-office.chartstyle+xml"/>
  <Override PartName="/word/charts/colors75.xml" ContentType="application/vnd.ms-office.chartcolorstyle+xml"/>
  <Override PartName="/word/charts/chart76.xml" ContentType="application/vnd.openxmlformats-officedocument.drawingml.chart+xml"/>
  <Override PartName="/word/charts/style76.xml" ContentType="application/vnd.ms-office.chartstyle+xml"/>
  <Override PartName="/word/charts/colors76.xml" ContentType="application/vnd.ms-office.chartcolorstyle+xml"/>
  <Override PartName="/word/charts/chart77.xml" ContentType="application/vnd.openxmlformats-officedocument.drawingml.chart+xml"/>
  <Override PartName="/word/charts/style77.xml" ContentType="application/vnd.ms-office.chartstyle+xml"/>
  <Override PartName="/word/charts/colors77.xml" ContentType="application/vnd.ms-office.chartcolorstyle+xml"/>
  <Override PartName="/word/charts/chart78.xml" ContentType="application/vnd.openxmlformats-officedocument.drawingml.chart+xml"/>
  <Override PartName="/word/charts/style78.xml" ContentType="application/vnd.ms-office.chartstyle+xml"/>
  <Override PartName="/word/charts/colors78.xml" ContentType="application/vnd.ms-office.chartcolorstyle+xml"/>
  <Override PartName="/word/charts/chart79.xml" ContentType="application/vnd.openxmlformats-officedocument.drawingml.chart+xml"/>
  <Override PartName="/word/charts/style79.xml" ContentType="application/vnd.ms-office.chartstyle+xml"/>
  <Override PartName="/word/charts/colors79.xml" ContentType="application/vnd.ms-office.chartcolorstyle+xml"/>
  <Override PartName="/word/charts/chart80.xml" ContentType="application/vnd.openxmlformats-officedocument.drawingml.chart+xml"/>
  <Override PartName="/word/charts/style80.xml" ContentType="application/vnd.ms-office.chartstyle+xml"/>
  <Override PartName="/word/charts/colors80.xml" ContentType="application/vnd.ms-office.chartcolorstyle+xml"/>
  <Override PartName="/word/charts/chart81.xml" ContentType="application/vnd.openxmlformats-officedocument.drawingml.chart+xml"/>
  <Override PartName="/word/charts/style81.xml" ContentType="application/vnd.ms-office.chartstyle+xml"/>
  <Override PartName="/word/charts/colors81.xml" ContentType="application/vnd.ms-office.chartcolorstyle+xml"/>
  <Override PartName="/word/charts/chart82.xml" ContentType="application/vnd.openxmlformats-officedocument.drawingml.chart+xml"/>
  <Override PartName="/word/charts/style82.xml" ContentType="application/vnd.ms-office.chartstyle+xml"/>
  <Override PartName="/word/charts/colors82.xml" ContentType="application/vnd.ms-office.chartcolorstyle+xml"/>
  <Override PartName="/word/charts/chart83.xml" ContentType="application/vnd.openxmlformats-officedocument.drawingml.chart+xml"/>
  <Override PartName="/word/charts/style83.xml" ContentType="application/vnd.ms-office.chartstyle+xml"/>
  <Override PartName="/word/charts/colors83.xml" ContentType="application/vnd.ms-office.chartcolorstyle+xml"/>
  <Override PartName="/word/charts/chart84.xml" ContentType="application/vnd.openxmlformats-officedocument.drawingml.chart+xml"/>
  <Override PartName="/word/charts/style84.xml" ContentType="application/vnd.ms-office.chartstyle+xml"/>
  <Override PartName="/word/charts/colors84.xml" ContentType="application/vnd.ms-office.chartcolorstyle+xml"/>
  <Override PartName="/word/charts/chart85.xml" ContentType="application/vnd.openxmlformats-officedocument.drawingml.chart+xml"/>
  <Override PartName="/word/charts/style85.xml" ContentType="application/vnd.ms-office.chartstyle+xml"/>
  <Override PartName="/word/charts/colors85.xml" ContentType="application/vnd.ms-office.chartcolorstyle+xml"/>
  <Override PartName="/word/charts/chart86.xml" ContentType="application/vnd.openxmlformats-officedocument.drawingml.chart+xml"/>
  <Override PartName="/word/charts/style86.xml" ContentType="application/vnd.ms-office.chartstyle+xml"/>
  <Override PartName="/word/charts/colors86.xml" ContentType="application/vnd.ms-office.chartcolorstyle+xml"/>
  <Override PartName="/word/charts/chart87.xml" ContentType="application/vnd.openxmlformats-officedocument.drawingml.chart+xml"/>
  <Override PartName="/word/charts/style87.xml" ContentType="application/vnd.ms-office.chartstyle+xml"/>
  <Override PartName="/word/charts/colors87.xml" ContentType="application/vnd.ms-office.chartcolorstyle+xml"/>
  <Override PartName="/word/charts/chart88.xml" ContentType="application/vnd.openxmlformats-officedocument.drawingml.chart+xml"/>
  <Override PartName="/word/charts/style88.xml" ContentType="application/vnd.ms-office.chartstyle+xml"/>
  <Override PartName="/word/charts/colors88.xml" ContentType="application/vnd.ms-office.chartcolorstyle+xml"/>
  <Override PartName="/word/charts/chart89.xml" ContentType="application/vnd.openxmlformats-officedocument.drawingml.chart+xml"/>
  <Override PartName="/word/charts/style89.xml" ContentType="application/vnd.ms-office.chartstyle+xml"/>
  <Override PartName="/word/charts/colors89.xml" ContentType="application/vnd.ms-office.chartcolorstyle+xml"/>
  <Override PartName="/word/charts/chart90.xml" ContentType="application/vnd.openxmlformats-officedocument.drawingml.chart+xml"/>
  <Override PartName="/word/charts/style90.xml" ContentType="application/vnd.ms-office.chartstyle+xml"/>
  <Override PartName="/word/charts/colors90.xml" ContentType="application/vnd.ms-office.chartcolorstyle+xml"/>
  <Override PartName="/word/charts/chart91.xml" ContentType="application/vnd.openxmlformats-officedocument.drawingml.chart+xml"/>
  <Override PartName="/word/charts/style91.xml" ContentType="application/vnd.ms-office.chartstyle+xml"/>
  <Override PartName="/word/charts/colors91.xml" ContentType="application/vnd.ms-office.chartcolorstyle+xml"/>
  <Override PartName="/word/charts/chart92.xml" ContentType="application/vnd.openxmlformats-officedocument.drawingml.chart+xml"/>
  <Override PartName="/word/charts/style92.xml" ContentType="application/vnd.ms-office.chartstyle+xml"/>
  <Override PartName="/word/charts/colors92.xml" ContentType="application/vnd.ms-office.chartcolorstyle+xml"/>
  <Override PartName="/word/charts/chart93.xml" ContentType="application/vnd.openxmlformats-officedocument.drawingml.chart+xml"/>
  <Override PartName="/word/charts/style93.xml" ContentType="application/vnd.ms-office.chartstyle+xml"/>
  <Override PartName="/word/charts/colors93.xml" ContentType="application/vnd.ms-office.chartcolorstyle+xml"/>
  <Override PartName="/word/charts/chart94.xml" ContentType="application/vnd.openxmlformats-officedocument.drawingml.chart+xml"/>
  <Override PartName="/word/charts/style94.xml" ContentType="application/vnd.ms-office.chartstyle+xml"/>
  <Override PartName="/word/charts/colors94.xml" ContentType="application/vnd.ms-office.chartcolorstyle+xml"/>
  <Override PartName="/word/charts/chart95.xml" ContentType="application/vnd.openxmlformats-officedocument.drawingml.chart+xml"/>
  <Override PartName="/word/charts/style95.xml" ContentType="application/vnd.ms-office.chartstyle+xml"/>
  <Override PartName="/word/charts/colors95.xml" ContentType="application/vnd.ms-office.chartcolorstyle+xml"/>
  <Override PartName="/word/charts/chart96.xml" ContentType="application/vnd.openxmlformats-officedocument.drawingml.chart+xml"/>
  <Override PartName="/word/charts/style96.xml" ContentType="application/vnd.ms-office.chartstyle+xml"/>
  <Override PartName="/word/charts/colors96.xml" ContentType="application/vnd.ms-office.chartcolorstyle+xml"/>
  <Override PartName="/word/charts/chart97.xml" ContentType="application/vnd.openxmlformats-officedocument.drawingml.chart+xml"/>
  <Override PartName="/word/charts/style97.xml" ContentType="application/vnd.ms-office.chartstyle+xml"/>
  <Override PartName="/word/charts/colors97.xml" ContentType="application/vnd.ms-office.chartcolorstyle+xml"/>
  <Override PartName="/word/charts/chart98.xml" ContentType="application/vnd.openxmlformats-officedocument.drawingml.chart+xml"/>
  <Override PartName="/word/charts/style98.xml" ContentType="application/vnd.ms-office.chartstyle+xml"/>
  <Override PartName="/word/charts/colors98.xml" ContentType="application/vnd.ms-office.chartcolorstyle+xml"/>
  <Override PartName="/word/charts/chart99.xml" ContentType="application/vnd.openxmlformats-officedocument.drawingml.chart+xml"/>
  <Override PartName="/word/charts/style99.xml" ContentType="application/vnd.ms-office.chartstyle+xml"/>
  <Override PartName="/word/charts/colors99.xml" ContentType="application/vnd.ms-office.chartcolorstyle+xml"/>
  <Override PartName="/word/charts/chart100.xml" ContentType="application/vnd.openxmlformats-officedocument.drawingml.chart+xml"/>
  <Override PartName="/word/charts/style100.xml" ContentType="application/vnd.ms-office.chartstyle+xml"/>
  <Override PartName="/word/charts/colors100.xml" ContentType="application/vnd.ms-office.chartcolorstyle+xml"/>
  <Override PartName="/word/charts/chart101.xml" ContentType="application/vnd.openxmlformats-officedocument.drawingml.chart+xml"/>
  <Override PartName="/word/charts/style101.xml" ContentType="application/vnd.ms-office.chartstyle+xml"/>
  <Override PartName="/word/charts/colors101.xml" ContentType="application/vnd.ms-office.chartcolorstyle+xml"/>
  <Override PartName="/word/charts/chart102.xml" ContentType="application/vnd.openxmlformats-officedocument.drawingml.chart+xml"/>
  <Override PartName="/word/charts/style102.xml" ContentType="application/vnd.ms-office.chartstyle+xml"/>
  <Override PartName="/word/charts/colors102.xml" ContentType="application/vnd.ms-office.chartcolorstyle+xml"/>
  <Override PartName="/word/charts/chart103.xml" ContentType="application/vnd.openxmlformats-officedocument.drawingml.chart+xml"/>
  <Override PartName="/word/charts/style103.xml" ContentType="application/vnd.ms-office.chartstyle+xml"/>
  <Override PartName="/word/charts/colors103.xml" ContentType="application/vnd.ms-office.chartcolorstyle+xml"/>
  <Override PartName="/word/charts/chart104.xml" ContentType="application/vnd.openxmlformats-officedocument.drawingml.chart+xml"/>
  <Override PartName="/word/charts/style104.xml" ContentType="application/vnd.ms-office.chartstyle+xml"/>
  <Override PartName="/word/charts/colors104.xml" ContentType="application/vnd.ms-office.chartcolorstyle+xml"/>
  <Override PartName="/word/charts/chart105.xml" ContentType="application/vnd.openxmlformats-officedocument.drawingml.chart+xml"/>
  <Override PartName="/word/charts/style105.xml" ContentType="application/vnd.ms-office.chartstyle+xml"/>
  <Override PartName="/word/charts/colors105.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5469C1" w14:textId="499ABE70" w:rsidR="008351DE" w:rsidRPr="00EC56D3" w:rsidRDefault="008C7516" w:rsidP="00BD73D7">
      <w:pPr>
        <w:widowControl/>
        <w:spacing w:line="240" w:lineRule="auto"/>
        <w:jc w:val="both"/>
        <w:rPr>
          <w:rFonts w:ascii="Minion Pro" w:hAnsi="Minion Pro"/>
          <w:b/>
          <w:bCs/>
          <w:sz w:val="28"/>
          <w:szCs w:val="32"/>
          <w:lang w:val="lv-LV"/>
        </w:rPr>
      </w:pPr>
      <w:r>
        <w:rPr>
          <w:rFonts w:ascii="Minion Pro" w:hAnsi="Minion Pro"/>
          <w:b/>
          <w:bCs/>
          <w:noProof/>
          <w:sz w:val="28"/>
          <w:szCs w:val="32"/>
          <w14:ligatures w14:val="standardContextual"/>
        </w:rPr>
        <w:drawing>
          <wp:anchor distT="0" distB="0" distL="114300" distR="114300" simplePos="0" relativeHeight="251658338" behindDoc="0" locked="0" layoutInCell="1" allowOverlap="1" wp14:anchorId="4E1056D2" wp14:editId="1D4D4B1B">
            <wp:simplePos x="0" y="0"/>
            <wp:positionH relativeFrom="margin">
              <wp:posOffset>-34925</wp:posOffset>
            </wp:positionH>
            <wp:positionV relativeFrom="paragraph">
              <wp:posOffset>0</wp:posOffset>
            </wp:positionV>
            <wp:extent cx="3423920" cy="958215"/>
            <wp:effectExtent l="0" t="0" r="0" b="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SZF_lat_horiz.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423920" cy="958215"/>
                    </a:xfrm>
                    <a:prstGeom prst="rect">
                      <a:avLst/>
                    </a:prstGeom>
                  </pic:spPr>
                </pic:pic>
              </a:graphicData>
            </a:graphic>
            <wp14:sizeRelH relativeFrom="margin">
              <wp14:pctWidth>0</wp14:pctWidth>
            </wp14:sizeRelH>
            <wp14:sizeRelV relativeFrom="margin">
              <wp14:pctHeight>0</wp14:pctHeight>
            </wp14:sizeRelV>
          </wp:anchor>
        </w:drawing>
      </w:r>
      <w:r w:rsidR="006032DA">
        <w:rPr>
          <w:rFonts w:ascii="Verdana Pro Cond Light" w:hAnsi="Verdana Pro Cond Light"/>
          <w:noProof/>
          <w:szCs w:val="26"/>
          <w14:ligatures w14:val="standardContextual"/>
        </w:rPr>
        <w:drawing>
          <wp:anchor distT="0" distB="0" distL="114300" distR="114300" simplePos="0" relativeHeight="251658333" behindDoc="1" locked="0" layoutInCell="1" allowOverlap="1" wp14:anchorId="6204CB70" wp14:editId="68AB6370">
            <wp:simplePos x="0" y="0"/>
            <wp:positionH relativeFrom="page">
              <wp:posOffset>0</wp:posOffset>
            </wp:positionH>
            <wp:positionV relativeFrom="page">
              <wp:posOffset>0</wp:posOffset>
            </wp:positionV>
            <wp:extent cx="7560000" cy="5364000"/>
            <wp:effectExtent l="0" t="0" r="3175" b="8255"/>
            <wp:wrapNone/>
            <wp:docPr id="292484326" name="Picture 2" descr="Defocused image of a tre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2484326" name="Picture 292484326" descr="Defocused image of a tree"/>
                    <pic:cNvPicPr/>
                  </pic:nvPicPr>
                  <pic:blipFill>
                    <a:blip r:embed="rId12" cstate="print">
                      <a:duotone>
                        <a:schemeClr val="accent1">
                          <a:shade val="45000"/>
                          <a:satMod val="135000"/>
                        </a:schemeClr>
                        <a:prstClr val="white"/>
                      </a:duotone>
                      <a:alphaModFix amt="50000"/>
                      <a:extLst>
                        <a:ext uri="{28A0092B-C50C-407E-A947-70E740481C1C}">
                          <a14:useLocalDpi xmlns:a14="http://schemas.microsoft.com/office/drawing/2010/main" val="0"/>
                        </a:ext>
                      </a:extLst>
                    </a:blip>
                    <a:stretch>
                      <a:fillRect/>
                    </a:stretch>
                  </pic:blipFill>
                  <pic:spPr>
                    <a:xfrm rot="10800000">
                      <a:off x="0" y="0"/>
                      <a:ext cx="7560000" cy="5364000"/>
                    </a:xfrm>
                    <a:prstGeom prst="rect">
                      <a:avLst/>
                    </a:prstGeom>
                  </pic:spPr>
                </pic:pic>
              </a:graphicData>
            </a:graphic>
            <wp14:sizeRelH relativeFrom="page">
              <wp14:pctWidth>0</wp14:pctWidth>
            </wp14:sizeRelH>
            <wp14:sizeRelV relativeFrom="page">
              <wp14:pctHeight>0</wp14:pctHeight>
            </wp14:sizeRelV>
          </wp:anchor>
        </w:drawing>
      </w:r>
      <w:r w:rsidR="005E18BE" w:rsidRPr="00EC56D3">
        <w:rPr>
          <w:rFonts w:ascii="Minion Pro" w:hAnsi="Minion Pro"/>
          <w:b/>
          <w:bCs/>
          <w:noProof/>
          <w:sz w:val="28"/>
          <w:szCs w:val="32"/>
          <w14:ligatures w14:val="standardContextual"/>
        </w:rPr>
        <w:drawing>
          <wp:anchor distT="0" distB="0" distL="114300" distR="114300" simplePos="0" relativeHeight="251658240" behindDoc="1" locked="0" layoutInCell="1" allowOverlap="1" wp14:anchorId="7FEF1B31" wp14:editId="371B5D1E">
            <wp:simplePos x="0" y="0"/>
            <wp:positionH relativeFrom="column">
              <wp:posOffset>3171825</wp:posOffset>
            </wp:positionH>
            <wp:positionV relativeFrom="paragraph">
              <wp:posOffset>0</wp:posOffset>
            </wp:positionV>
            <wp:extent cx="2581275" cy="967740"/>
            <wp:effectExtent l="0" t="0" r="0" b="0"/>
            <wp:wrapNone/>
            <wp:docPr id="41" name="Picture 4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A picture containing text, clipart&#10;&#10;Description automatically generated"/>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2581275" cy="967740"/>
                    </a:xfrm>
                    <a:prstGeom prst="rect">
                      <a:avLst/>
                    </a:prstGeom>
                  </pic:spPr>
                </pic:pic>
              </a:graphicData>
            </a:graphic>
          </wp:anchor>
        </w:drawing>
      </w:r>
    </w:p>
    <w:p w14:paraId="2169EC4E" w14:textId="6B5B2336" w:rsidR="008351DE" w:rsidRPr="00877323" w:rsidRDefault="008351DE" w:rsidP="00BD73D7">
      <w:pPr>
        <w:widowControl/>
        <w:spacing w:line="240" w:lineRule="auto"/>
        <w:jc w:val="center"/>
        <w:rPr>
          <w:rFonts w:ascii="Minion Pro" w:hAnsi="Minion Pro"/>
          <w:b/>
          <w:bCs/>
          <w:sz w:val="24"/>
          <w:szCs w:val="32"/>
          <w:lang w:val="lv-LV"/>
        </w:rPr>
      </w:pPr>
    </w:p>
    <w:p w14:paraId="509E21F8" w14:textId="3CAF1E12" w:rsidR="008351DE" w:rsidRPr="006032DA" w:rsidRDefault="008351DE" w:rsidP="00BD73D7">
      <w:pPr>
        <w:widowControl/>
        <w:spacing w:line="240" w:lineRule="auto"/>
        <w:jc w:val="center"/>
        <w:rPr>
          <w:rFonts w:ascii="Verdana Pro Cond Light" w:hAnsi="Verdana Pro Cond Light"/>
          <w:szCs w:val="26"/>
          <w:lang w:val="lv-LV"/>
        </w:rPr>
      </w:pPr>
      <w:r w:rsidRPr="006032DA">
        <w:rPr>
          <w:rFonts w:ascii="Verdana Pro Cond Light" w:hAnsi="Verdana Pro Cond Light"/>
          <w:szCs w:val="26"/>
          <w:lang w:val="lv-LV"/>
        </w:rPr>
        <w:t>Projekts</w:t>
      </w:r>
    </w:p>
    <w:p w14:paraId="5D89F7B7" w14:textId="3BAF020F" w:rsidR="008351DE" w:rsidRPr="006032DA" w:rsidRDefault="008351DE" w:rsidP="00BD73D7">
      <w:pPr>
        <w:widowControl/>
        <w:spacing w:line="240" w:lineRule="auto"/>
        <w:jc w:val="center"/>
        <w:rPr>
          <w:rFonts w:ascii="Verdana Pro Cond Light" w:hAnsi="Verdana Pro Cond Light"/>
          <w:szCs w:val="26"/>
          <w:lang w:val="lv-LV"/>
        </w:rPr>
      </w:pPr>
      <w:r w:rsidRPr="006032DA">
        <w:rPr>
          <w:rFonts w:ascii="Verdana Pro Cond Light" w:hAnsi="Verdana Pro Cond Light"/>
          <w:szCs w:val="26"/>
          <w:lang w:val="lv-LV"/>
        </w:rPr>
        <w:t>“</w:t>
      </w:r>
      <w:bookmarkStart w:id="0" w:name="_Hlk88229841"/>
      <w:r w:rsidRPr="006032DA">
        <w:rPr>
          <w:rFonts w:ascii="Verdana Pro Cond Light" w:hAnsi="Verdana Pro Cond Light"/>
          <w:szCs w:val="26"/>
          <w:lang w:val="lv-LV"/>
        </w:rPr>
        <w:t>Klimata mērķu ekonomiskās ietekmes modelēšana un analīze</w:t>
      </w:r>
      <w:bookmarkEnd w:id="0"/>
      <w:r w:rsidRPr="006032DA">
        <w:rPr>
          <w:rFonts w:ascii="Verdana Pro Cond Light" w:hAnsi="Verdana Pro Cond Light"/>
          <w:szCs w:val="26"/>
          <w:lang w:val="lv-LV"/>
        </w:rPr>
        <w:t>”</w:t>
      </w:r>
    </w:p>
    <w:p w14:paraId="65EBCD56" w14:textId="700006C1" w:rsidR="008351DE" w:rsidRDefault="008351DE" w:rsidP="00BD73D7">
      <w:pPr>
        <w:widowControl/>
        <w:spacing w:after="0" w:line="240" w:lineRule="auto"/>
        <w:jc w:val="center"/>
        <w:rPr>
          <w:rFonts w:ascii="Verdana Pro Cond Light" w:hAnsi="Verdana Pro Cond Light"/>
          <w:szCs w:val="26"/>
          <w:lang w:val="lv-LV"/>
        </w:rPr>
      </w:pPr>
      <w:bookmarkStart w:id="1" w:name="_Hlk178257914"/>
      <w:bookmarkEnd w:id="1"/>
      <w:r w:rsidRPr="006032DA">
        <w:rPr>
          <w:rFonts w:ascii="Verdana Pro Cond Light" w:hAnsi="Verdana Pro Cond Light"/>
          <w:szCs w:val="26"/>
          <w:lang w:val="lv-LV"/>
        </w:rPr>
        <w:t>Saskaņā ar 2024. gada 6. februāra līgumu par finansējumu valsts pārvaldes uzdevuma izpildes nodrošināšanai Nr.5.2-17.2/2024/1</w:t>
      </w:r>
    </w:p>
    <w:p w14:paraId="4C100B08" w14:textId="314687B6" w:rsidR="008C7516" w:rsidRDefault="008C7516" w:rsidP="00BD73D7">
      <w:pPr>
        <w:widowControl/>
        <w:spacing w:after="0" w:line="240" w:lineRule="auto"/>
        <w:jc w:val="center"/>
        <w:rPr>
          <w:rFonts w:ascii="Verdana Pro Cond Light" w:hAnsi="Verdana Pro Cond Light"/>
          <w:szCs w:val="26"/>
          <w:lang w:val="lv-LV"/>
        </w:rPr>
      </w:pPr>
    </w:p>
    <w:p w14:paraId="79D112C0" w14:textId="248CD640" w:rsidR="008C7516" w:rsidRDefault="008C7516" w:rsidP="00BD73D7">
      <w:pPr>
        <w:widowControl/>
        <w:spacing w:after="0" w:line="240" w:lineRule="auto"/>
        <w:jc w:val="center"/>
        <w:rPr>
          <w:rFonts w:ascii="Verdana Pro Cond Light" w:hAnsi="Verdana Pro Cond Light"/>
          <w:szCs w:val="26"/>
          <w:lang w:val="lv-LV"/>
        </w:rPr>
      </w:pPr>
    </w:p>
    <w:p w14:paraId="6AB875AA" w14:textId="71353741" w:rsidR="008351DE" w:rsidRPr="006032DA" w:rsidRDefault="008C7516" w:rsidP="008C7516">
      <w:pPr>
        <w:widowControl/>
        <w:spacing w:after="0" w:line="240" w:lineRule="auto"/>
        <w:jc w:val="center"/>
        <w:rPr>
          <w:rFonts w:ascii="Verdana Pro Cond Light" w:hAnsi="Verdana Pro Cond Light"/>
          <w:b/>
          <w:bCs/>
          <w:sz w:val="28"/>
          <w:szCs w:val="32"/>
          <w:lang w:val="lv-LV"/>
        </w:rPr>
      </w:pPr>
      <w:r w:rsidRPr="008C7516">
        <w:rPr>
          <w:rFonts w:ascii="Verdana Pro Cond Light" w:hAnsi="Verdana Pro Cond Light"/>
          <w:sz w:val="24"/>
          <w:szCs w:val="26"/>
          <w:lang w:val="lv-LV"/>
        </w:rPr>
        <w:t>GALA ZIŅOJUMS</w:t>
      </w:r>
    </w:p>
    <w:p w14:paraId="47FFE5AC" w14:textId="065F7F76" w:rsidR="008351DE" w:rsidRPr="006032DA" w:rsidRDefault="008351DE" w:rsidP="00BD73D7">
      <w:pPr>
        <w:widowControl/>
        <w:spacing w:after="0" w:line="240" w:lineRule="auto"/>
        <w:jc w:val="both"/>
        <w:rPr>
          <w:rFonts w:ascii="Verdana Pro Cond Light" w:hAnsi="Verdana Pro Cond Light"/>
          <w:b/>
          <w:bCs/>
          <w:sz w:val="28"/>
          <w:szCs w:val="32"/>
          <w:lang w:val="lv-LV"/>
        </w:rPr>
      </w:pPr>
    </w:p>
    <w:p w14:paraId="47AAFC98" w14:textId="24E481F1" w:rsidR="008351DE" w:rsidRPr="006032DA" w:rsidRDefault="008351DE" w:rsidP="00BD73D7">
      <w:pPr>
        <w:widowControl/>
        <w:spacing w:after="0" w:line="240" w:lineRule="auto"/>
        <w:jc w:val="both"/>
        <w:rPr>
          <w:rFonts w:ascii="Verdana Pro Cond Light" w:hAnsi="Verdana Pro Cond Light"/>
          <w:b/>
          <w:bCs/>
          <w:sz w:val="28"/>
          <w:szCs w:val="32"/>
          <w:lang w:val="lv-LV"/>
        </w:rPr>
      </w:pPr>
    </w:p>
    <w:p w14:paraId="475A3099" w14:textId="4000B03F" w:rsidR="008351DE" w:rsidRPr="006032DA" w:rsidRDefault="008351DE" w:rsidP="00BD73D7">
      <w:pPr>
        <w:widowControl/>
        <w:spacing w:after="0" w:line="240" w:lineRule="auto"/>
        <w:jc w:val="both"/>
        <w:rPr>
          <w:rFonts w:ascii="Verdana Pro Cond Light" w:hAnsi="Verdana Pro Cond Light"/>
          <w:b/>
          <w:bCs/>
          <w:sz w:val="36"/>
          <w:szCs w:val="36"/>
          <w:lang w:val="lv-LV"/>
        </w:rPr>
      </w:pPr>
    </w:p>
    <w:p w14:paraId="6DFAFBBB" w14:textId="141E15C5" w:rsidR="008351DE" w:rsidRPr="006032DA" w:rsidRDefault="00041C6C" w:rsidP="008C7516">
      <w:pPr>
        <w:widowControl/>
        <w:spacing w:after="0" w:line="240" w:lineRule="auto"/>
        <w:jc w:val="center"/>
        <w:rPr>
          <w:rFonts w:ascii="Verdana Pro Cond Light" w:hAnsi="Verdana Pro Cond Light"/>
          <w:sz w:val="28"/>
          <w:szCs w:val="28"/>
          <w:lang w:val="lv-LV"/>
        </w:rPr>
      </w:pPr>
      <w:r>
        <w:rPr>
          <w:rFonts w:ascii="Verdana Pro Cond Light" w:hAnsi="Verdana Pro Cond Light"/>
          <w:noProof/>
          <w:szCs w:val="26"/>
          <w14:ligatures w14:val="standardContextual"/>
        </w:rPr>
        <w:drawing>
          <wp:anchor distT="0" distB="0" distL="114300" distR="114300" simplePos="0" relativeHeight="251658334" behindDoc="1" locked="0" layoutInCell="1" allowOverlap="1" wp14:anchorId="65E6D5F5" wp14:editId="546959EB">
            <wp:simplePos x="0" y="0"/>
            <wp:positionH relativeFrom="page">
              <wp:posOffset>0</wp:posOffset>
            </wp:positionH>
            <wp:positionV relativeFrom="page">
              <wp:posOffset>5364480</wp:posOffset>
            </wp:positionV>
            <wp:extent cx="7560000" cy="5364000"/>
            <wp:effectExtent l="0" t="0" r="3175" b="8255"/>
            <wp:wrapNone/>
            <wp:docPr id="1192278189" name="Picture 2" descr="Defocused image of a tre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2484326" name="Picture 292484326" descr="Defocused image of a tree"/>
                    <pic:cNvPicPr/>
                  </pic:nvPicPr>
                  <pic:blipFill>
                    <a:blip r:embed="rId12" cstate="print">
                      <a:duotone>
                        <a:schemeClr val="accent1">
                          <a:shade val="45000"/>
                          <a:satMod val="135000"/>
                        </a:schemeClr>
                        <a:prstClr val="white"/>
                      </a:duotone>
                      <a:alphaModFix amt="50000"/>
                      <a:extLst>
                        <a:ext uri="{28A0092B-C50C-407E-A947-70E740481C1C}">
                          <a14:useLocalDpi xmlns:a14="http://schemas.microsoft.com/office/drawing/2010/main" val="0"/>
                        </a:ext>
                      </a:extLst>
                    </a:blip>
                    <a:stretch>
                      <a:fillRect/>
                    </a:stretch>
                  </pic:blipFill>
                  <pic:spPr>
                    <a:xfrm>
                      <a:off x="0" y="0"/>
                      <a:ext cx="7560000" cy="5364000"/>
                    </a:xfrm>
                    <a:prstGeom prst="rect">
                      <a:avLst/>
                    </a:prstGeom>
                  </pic:spPr>
                </pic:pic>
              </a:graphicData>
            </a:graphic>
            <wp14:sizeRelH relativeFrom="page">
              <wp14:pctWidth>0</wp14:pctWidth>
            </wp14:sizeRelH>
            <wp14:sizeRelV relativeFrom="page">
              <wp14:pctHeight>0</wp14:pctHeight>
            </wp14:sizeRelV>
          </wp:anchor>
        </w:drawing>
      </w:r>
      <w:r w:rsidR="0090725A" w:rsidRPr="006032DA">
        <w:rPr>
          <w:rFonts w:ascii="Verdana Pro Cond Light" w:hAnsi="Verdana Pro Cond Light"/>
          <w:b/>
          <w:bCs/>
          <w:caps/>
          <w:sz w:val="80"/>
          <w:szCs w:val="76"/>
          <w:lang w:val="lv-LV"/>
        </w:rPr>
        <w:t>Nacionālā Enerģētikas un klimata plāna sociālekonomiskais izvērtējums</w:t>
      </w:r>
      <w:bookmarkStart w:id="2" w:name="_Hlk57715682"/>
    </w:p>
    <w:p w14:paraId="03F18A89" w14:textId="77777777" w:rsidR="008351DE" w:rsidRPr="006032DA" w:rsidRDefault="008351DE" w:rsidP="00BD73D7">
      <w:pPr>
        <w:pStyle w:val="BodyTextIndent2"/>
        <w:spacing w:after="240" w:line="240" w:lineRule="auto"/>
        <w:ind w:left="0"/>
        <w:jc w:val="both"/>
        <w:rPr>
          <w:rFonts w:ascii="Verdana Pro Cond Light" w:hAnsi="Verdana Pro Cond Light"/>
          <w:sz w:val="28"/>
          <w:szCs w:val="28"/>
          <w:lang w:val="lv-LV"/>
        </w:rPr>
      </w:pPr>
    </w:p>
    <w:p w14:paraId="77C012F4" w14:textId="77777777" w:rsidR="008351DE" w:rsidRPr="006032DA" w:rsidRDefault="008351DE" w:rsidP="00BD73D7">
      <w:pPr>
        <w:pStyle w:val="BodyTextIndent2"/>
        <w:spacing w:after="240" w:line="240" w:lineRule="auto"/>
        <w:ind w:left="0"/>
        <w:jc w:val="both"/>
        <w:rPr>
          <w:rFonts w:ascii="Verdana Pro Cond Light" w:hAnsi="Verdana Pro Cond Light"/>
          <w:sz w:val="28"/>
          <w:szCs w:val="28"/>
          <w:lang w:val="lv-LV"/>
        </w:rPr>
      </w:pPr>
    </w:p>
    <w:p w14:paraId="282C88F6" w14:textId="77777777" w:rsidR="008351DE" w:rsidRPr="006032DA" w:rsidRDefault="008351DE" w:rsidP="00BD73D7">
      <w:pPr>
        <w:pStyle w:val="BodyTextIndent2"/>
        <w:spacing w:after="240" w:line="240" w:lineRule="auto"/>
        <w:ind w:left="0"/>
        <w:jc w:val="both"/>
        <w:rPr>
          <w:rFonts w:ascii="Verdana Pro Cond Light" w:hAnsi="Verdana Pro Cond Light"/>
          <w:sz w:val="28"/>
          <w:szCs w:val="28"/>
          <w:lang w:val="lv-LV"/>
        </w:rPr>
      </w:pPr>
    </w:p>
    <w:p w14:paraId="314B97F7" w14:textId="77777777" w:rsidR="008351DE" w:rsidRPr="006032DA" w:rsidRDefault="008351DE" w:rsidP="00BD73D7">
      <w:pPr>
        <w:pStyle w:val="BodyTextIndent2"/>
        <w:spacing w:after="240" w:line="240" w:lineRule="auto"/>
        <w:ind w:left="0"/>
        <w:jc w:val="both"/>
        <w:rPr>
          <w:rFonts w:ascii="Verdana Pro Cond Light" w:hAnsi="Verdana Pro Cond Light"/>
          <w:sz w:val="28"/>
          <w:szCs w:val="28"/>
          <w:lang w:val="lv-LV"/>
        </w:rPr>
      </w:pPr>
    </w:p>
    <w:p w14:paraId="157ED98D" w14:textId="08A50327" w:rsidR="000C6D41" w:rsidRPr="006032DA" w:rsidRDefault="008351DE" w:rsidP="00BD73D7">
      <w:pPr>
        <w:pStyle w:val="BodyTextIndent2"/>
        <w:spacing w:after="240" w:line="240" w:lineRule="auto"/>
        <w:ind w:left="0"/>
        <w:jc w:val="right"/>
        <w:rPr>
          <w:rFonts w:ascii="Verdana Pro Cond Light" w:hAnsi="Verdana Pro Cond Light"/>
          <w:lang w:val="lv-LV"/>
        </w:rPr>
      </w:pPr>
      <w:r w:rsidRPr="006032DA">
        <w:rPr>
          <w:rFonts w:ascii="Verdana Pro Cond Light" w:hAnsi="Verdana Pro Cond Light"/>
          <w:lang w:val="lv-LV"/>
        </w:rPr>
        <w:t xml:space="preserve">Projekta vadītāja: </w:t>
      </w:r>
      <w:r w:rsidR="000C6D41" w:rsidRPr="006032DA">
        <w:rPr>
          <w:rFonts w:ascii="Verdana Pro Cond Light" w:hAnsi="Verdana Pro Cond Light"/>
          <w:lang w:val="lv-LV"/>
        </w:rPr>
        <w:t xml:space="preserve">Prof. Dr. </w:t>
      </w:r>
      <w:r w:rsidRPr="006032DA">
        <w:rPr>
          <w:rFonts w:ascii="Verdana Pro Cond Light" w:hAnsi="Verdana Pro Cond Light"/>
          <w:lang w:val="lv-LV"/>
        </w:rPr>
        <w:t>Inna Šteinbuka</w:t>
      </w:r>
      <w:r w:rsidR="006032DA" w:rsidRPr="006032DA">
        <w:rPr>
          <w:rFonts w:ascii="Verdana Pro Cond Light" w:hAnsi="Verdana Pro Cond Light"/>
          <w:lang w:val="lv-LV"/>
        </w:rPr>
        <w:br/>
      </w:r>
      <w:r w:rsidR="000C6D41" w:rsidRPr="006032DA">
        <w:rPr>
          <w:rFonts w:ascii="Verdana Pro Cond Light" w:hAnsi="Verdana Pro Cond Light"/>
          <w:lang w:val="lv-LV"/>
        </w:rPr>
        <w:t>Vadošais pētnieks: Dr. O</w:t>
      </w:r>
      <w:r w:rsidR="00D62509">
        <w:rPr>
          <w:rFonts w:ascii="Verdana Pro Cond Light" w:hAnsi="Verdana Pro Cond Light"/>
          <w:lang w:val="lv-LV"/>
        </w:rPr>
        <w:t>ļ</w:t>
      </w:r>
      <w:r w:rsidR="000C6D41" w:rsidRPr="006032DA">
        <w:rPr>
          <w:rFonts w:ascii="Verdana Pro Cond Light" w:hAnsi="Verdana Pro Cond Light"/>
          <w:lang w:val="lv-LV"/>
        </w:rPr>
        <w:t>egs Krasnopjorovs</w:t>
      </w:r>
    </w:p>
    <w:p w14:paraId="19F959FB" w14:textId="77777777" w:rsidR="008351DE" w:rsidRPr="006032DA" w:rsidRDefault="008351DE" w:rsidP="00BD73D7">
      <w:pPr>
        <w:pStyle w:val="BodyTextIndent2"/>
        <w:spacing w:after="240" w:line="240" w:lineRule="auto"/>
        <w:ind w:left="0"/>
        <w:jc w:val="both"/>
        <w:rPr>
          <w:rFonts w:ascii="Verdana Pro Cond Light" w:hAnsi="Verdana Pro Cond Light" w:cs="Segoe UI Light"/>
          <w:bCs/>
          <w:lang w:val="lv-LV"/>
        </w:rPr>
      </w:pPr>
    </w:p>
    <w:p w14:paraId="0DFDB27A" w14:textId="77777777" w:rsidR="008351DE" w:rsidRPr="006032DA" w:rsidRDefault="008351DE" w:rsidP="00BD73D7">
      <w:pPr>
        <w:pStyle w:val="BodyTextIndent2"/>
        <w:spacing w:after="0" w:line="240" w:lineRule="auto"/>
        <w:ind w:left="0"/>
        <w:jc w:val="center"/>
        <w:rPr>
          <w:rFonts w:ascii="Verdana Pro Cond Light" w:hAnsi="Verdana Pro Cond Light" w:cs="Segoe UI Light"/>
          <w:bCs/>
          <w:lang w:val="lv-LV"/>
        </w:rPr>
      </w:pPr>
    </w:p>
    <w:bookmarkEnd w:id="2"/>
    <w:p w14:paraId="6E56E1D9" w14:textId="41E7E280" w:rsidR="008351DE" w:rsidRPr="006032DA" w:rsidRDefault="008351DE" w:rsidP="00BD73D7">
      <w:pPr>
        <w:widowControl/>
        <w:spacing w:after="160" w:line="240" w:lineRule="auto"/>
        <w:jc w:val="center"/>
        <w:rPr>
          <w:rFonts w:ascii="Verdana Pro Cond Light" w:hAnsi="Verdana Pro Cond Light"/>
          <w:b/>
          <w:bCs/>
          <w:sz w:val="30"/>
          <w:szCs w:val="30"/>
          <w:lang w:val="lv-LV"/>
        </w:rPr>
      </w:pPr>
      <w:r w:rsidRPr="006032DA">
        <w:rPr>
          <w:rFonts w:ascii="Verdana Pro Cond Light" w:hAnsi="Verdana Pro Cond Light"/>
          <w:sz w:val="18"/>
          <w:szCs w:val="18"/>
          <w:lang w:val="lv-LV"/>
        </w:rPr>
        <w:t xml:space="preserve">Rīga, 2024. gada </w:t>
      </w:r>
      <w:r w:rsidR="008C7516">
        <w:rPr>
          <w:rFonts w:ascii="Verdana Pro Cond Light" w:hAnsi="Verdana Pro Cond Light"/>
          <w:sz w:val="18"/>
          <w:szCs w:val="18"/>
          <w:lang w:val="lv-LV"/>
        </w:rPr>
        <w:t>decembris</w:t>
      </w:r>
    </w:p>
    <w:p w14:paraId="27507D3D" w14:textId="62F1D2E3" w:rsidR="008351DE" w:rsidRPr="00EC56D3" w:rsidRDefault="008351DE" w:rsidP="00BD73D7">
      <w:pPr>
        <w:widowControl/>
        <w:spacing w:after="160" w:line="240" w:lineRule="auto"/>
        <w:jc w:val="both"/>
        <w:rPr>
          <w:rFonts w:ascii="Minion Pro" w:hAnsi="Minion Pro"/>
          <w:lang w:val="lv-LV"/>
        </w:rPr>
      </w:pPr>
      <w:r w:rsidRPr="00EC56D3">
        <w:rPr>
          <w:rFonts w:ascii="Minion Pro" w:hAnsi="Minion Pro"/>
          <w:lang w:val="lv-LV"/>
        </w:rPr>
        <w:lastRenderedPageBreak/>
        <w:br w:type="page"/>
      </w:r>
    </w:p>
    <w:p w14:paraId="60BEFA81" w14:textId="50AD10CE" w:rsidR="006A15CE" w:rsidRPr="00041C6C" w:rsidRDefault="006A15CE" w:rsidP="00041C6C">
      <w:pPr>
        <w:widowControl/>
        <w:spacing w:before="240" w:after="360" w:line="240" w:lineRule="auto"/>
        <w:rPr>
          <w:rFonts w:ascii="Arial Nova Cond" w:hAnsi="Arial Nova Cond"/>
          <w:b/>
          <w:bCs/>
          <w:caps/>
          <w:color w:val="2F5496" w:themeColor="accent1" w:themeShade="BF"/>
          <w:sz w:val="40"/>
          <w:szCs w:val="56"/>
          <w:lang w:val="lv-LV"/>
        </w:rPr>
      </w:pPr>
      <w:r w:rsidRPr="00041C6C">
        <w:rPr>
          <w:rFonts w:ascii="Arial Nova Cond" w:hAnsi="Arial Nova Cond"/>
          <w:b/>
          <w:bCs/>
          <w:caps/>
          <w:color w:val="2F5496" w:themeColor="accent1" w:themeShade="BF"/>
          <w:sz w:val="40"/>
          <w:szCs w:val="56"/>
          <w:lang w:val="lv-LV"/>
        </w:rPr>
        <w:lastRenderedPageBreak/>
        <w:t>Saturs</w:t>
      </w:r>
    </w:p>
    <w:p w14:paraId="212C4F3A" w14:textId="05BD73EF" w:rsidR="003F5F49" w:rsidRDefault="009A0CE2">
      <w:pPr>
        <w:pStyle w:val="TOC1"/>
        <w:rPr>
          <w:rFonts w:asciiTheme="minorHAnsi" w:eastAsiaTheme="minorEastAsia" w:hAnsiTheme="minorHAnsi" w:cstheme="minorBidi"/>
          <w:b w:val="0"/>
          <w:caps w:val="0"/>
          <w:sz w:val="22"/>
          <w:lang w:val="en-US"/>
        </w:rPr>
      </w:pPr>
      <w:r w:rsidRPr="00A961F5">
        <w:rPr>
          <w:rFonts w:ascii="Minion Pro" w:hAnsi="Minion Pro"/>
        </w:rPr>
        <w:fldChar w:fldCharType="begin"/>
      </w:r>
      <w:r w:rsidRPr="00A961F5">
        <w:rPr>
          <w:rFonts w:ascii="Minion Pro" w:hAnsi="Minion Pro"/>
        </w:rPr>
        <w:instrText xml:space="preserve"> TOC \o "1-3" \h \z \u </w:instrText>
      </w:r>
      <w:r w:rsidRPr="00A961F5">
        <w:rPr>
          <w:rFonts w:ascii="Minion Pro" w:hAnsi="Minion Pro"/>
        </w:rPr>
        <w:fldChar w:fldCharType="separate"/>
      </w:r>
      <w:hyperlink w:anchor="_Toc183697480" w:history="1">
        <w:r w:rsidR="003F5F49" w:rsidRPr="003872D4">
          <w:rPr>
            <w:rStyle w:val="Hyperlink"/>
          </w:rPr>
          <w:t>IEVADS</w:t>
        </w:r>
        <w:r w:rsidR="003F5F49">
          <w:rPr>
            <w:webHidden/>
          </w:rPr>
          <w:tab/>
        </w:r>
        <w:r w:rsidR="003F5F49">
          <w:rPr>
            <w:webHidden/>
          </w:rPr>
          <w:fldChar w:fldCharType="begin"/>
        </w:r>
        <w:r w:rsidR="003F5F49">
          <w:rPr>
            <w:webHidden/>
          </w:rPr>
          <w:instrText xml:space="preserve"> PAGEREF _Toc183697480 \h </w:instrText>
        </w:r>
        <w:r w:rsidR="003F5F49">
          <w:rPr>
            <w:webHidden/>
          </w:rPr>
        </w:r>
        <w:r w:rsidR="003F5F49">
          <w:rPr>
            <w:webHidden/>
          </w:rPr>
          <w:fldChar w:fldCharType="separate"/>
        </w:r>
        <w:r w:rsidR="0036183E">
          <w:rPr>
            <w:webHidden/>
          </w:rPr>
          <w:t>4</w:t>
        </w:r>
        <w:r w:rsidR="003F5F49">
          <w:rPr>
            <w:webHidden/>
          </w:rPr>
          <w:fldChar w:fldCharType="end"/>
        </w:r>
      </w:hyperlink>
    </w:p>
    <w:p w14:paraId="3BE81646" w14:textId="6B507151" w:rsidR="003F5F49" w:rsidRDefault="0036183E">
      <w:pPr>
        <w:pStyle w:val="TOC1"/>
        <w:rPr>
          <w:rFonts w:asciiTheme="minorHAnsi" w:eastAsiaTheme="minorEastAsia" w:hAnsiTheme="minorHAnsi" w:cstheme="minorBidi"/>
          <w:b w:val="0"/>
          <w:caps w:val="0"/>
          <w:sz w:val="22"/>
          <w:lang w:val="en-US"/>
        </w:rPr>
      </w:pPr>
      <w:hyperlink w:anchor="_Toc183697481" w:history="1">
        <w:r w:rsidR="003F5F49" w:rsidRPr="003872D4">
          <w:rPr>
            <w:rStyle w:val="Hyperlink"/>
          </w:rPr>
          <w:t>KOPSAVILKUMS</w:t>
        </w:r>
        <w:r w:rsidR="003F5F49">
          <w:rPr>
            <w:webHidden/>
          </w:rPr>
          <w:tab/>
        </w:r>
        <w:r w:rsidR="003F5F49">
          <w:rPr>
            <w:webHidden/>
          </w:rPr>
          <w:fldChar w:fldCharType="begin"/>
        </w:r>
        <w:r w:rsidR="003F5F49">
          <w:rPr>
            <w:webHidden/>
          </w:rPr>
          <w:instrText xml:space="preserve"> PAGEREF _Toc183697481 \h </w:instrText>
        </w:r>
        <w:r w:rsidR="003F5F49">
          <w:rPr>
            <w:webHidden/>
          </w:rPr>
        </w:r>
        <w:r w:rsidR="003F5F49">
          <w:rPr>
            <w:webHidden/>
          </w:rPr>
          <w:fldChar w:fldCharType="separate"/>
        </w:r>
        <w:r>
          <w:rPr>
            <w:webHidden/>
          </w:rPr>
          <w:t>6</w:t>
        </w:r>
        <w:r w:rsidR="003F5F49">
          <w:rPr>
            <w:webHidden/>
          </w:rPr>
          <w:fldChar w:fldCharType="end"/>
        </w:r>
      </w:hyperlink>
    </w:p>
    <w:p w14:paraId="51AB49BB" w14:textId="2045824F" w:rsidR="003F5F49" w:rsidRDefault="0036183E">
      <w:pPr>
        <w:pStyle w:val="TOC1"/>
        <w:rPr>
          <w:rFonts w:asciiTheme="minorHAnsi" w:eastAsiaTheme="minorEastAsia" w:hAnsiTheme="minorHAnsi" w:cstheme="minorBidi"/>
          <w:b w:val="0"/>
          <w:caps w:val="0"/>
          <w:sz w:val="22"/>
          <w:lang w:val="en-US"/>
        </w:rPr>
      </w:pPr>
      <w:hyperlink w:anchor="_Toc183697482" w:history="1">
        <w:r w:rsidR="003F5F49" w:rsidRPr="003872D4">
          <w:rPr>
            <w:rStyle w:val="Hyperlink"/>
          </w:rPr>
          <w:t>1. Latvijas aktuālo problēmu monitorings</w:t>
        </w:r>
        <w:r w:rsidR="003F5F49">
          <w:rPr>
            <w:webHidden/>
          </w:rPr>
          <w:tab/>
        </w:r>
        <w:r w:rsidR="003F5F49">
          <w:rPr>
            <w:webHidden/>
          </w:rPr>
          <w:fldChar w:fldCharType="begin"/>
        </w:r>
        <w:r w:rsidR="003F5F49">
          <w:rPr>
            <w:webHidden/>
          </w:rPr>
          <w:instrText xml:space="preserve"> PAGEREF _Toc183697482 \h </w:instrText>
        </w:r>
        <w:r w:rsidR="003F5F49">
          <w:rPr>
            <w:webHidden/>
          </w:rPr>
        </w:r>
        <w:r w:rsidR="003F5F49">
          <w:rPr>
            <w:webHidden/>
          </w:rPr>
          <w:fldChar w:fldCharType="separate"/>
        </w:r>
        <w:r>
          <w:rPr>
            <w:webHidden/>
          </w:rPr>
          <w:t>10</w:t>
        </w:r>
        <w:r w:rsidR="003F5F49">
          <w:rPr>
            <w:webHidden/>
          </w:rPr>
          <w:fldChar w:fldCharType="end"/>
        </w:r>
      </w:hyperlink>
    </w:p>
    <w:p w14:paraId="33385DA8" w14:textId="41AFAE59" w:rsidR="003F5F49" w:rsidRDefault="0036183E">
      <w:pPr>
        <w:pStyle w:val="TOC1"/>
        <w:rPr>
          <w:rFonts w:asciiTheme="minorHAnsi" w:eastAsiaTheme="minorEastAsia" w:hAnsiTheme="minorHAnsi" w:cstheme="minorBidi"/>
          <w:b w:val="0"/>
          <w:caps w:val="0"/>
          <w:sz w:val="22"/>
          <w:lang w:val="en-US"/>
        </w:rPr>
      </w:pPr>
      <w:hyperlink w:anchor="_Toc183697483" w:history="1">
        <w:r w:rsidR="003F5F49" w:rsidRPr="003872D4">
          <w:rPr>
            <w:rStyle w:val="Hyperlink"/>
          </w:rPr>
          <w:t>2. Latvijas ilgtermiņa ekonomiskās attīstības un klimata mērķi</w:t>
        </w:r>
        <w:r w:rsidR="003F5F49">
          <w:rPr>
            <w:webHidden/>
          </w:rPr>
          <w:tab/>
        </w:r>
        <w:r w:rsidR="003F5F49">
          <w:rPr>
            <w:webHidden/>
          </w:rPr>
          <w:fldChar w:fldCharType="begin"/>
        </w:r>
        <w:r w:rsidR="003F5F49">
          <w:rPr>
            <w:webHidden/>
          </w:rPr>
          <w:instrText xml:space="preserve"> PAGEREF _Toc183697483 \h </w:instrText>
        </w:r>
        <w:r w:rsidR="003F5F49">
          <w:rPr>
            <w:webHidden/>
          </w:rPr>
        </w:r>
        <w:r w:rsidR="003F5F49">
          <w:rPr>
            <w:webHidden/>
          </w:rPr>
          <w:fldChar w:fldCharType="separate"/>
        </w:r>
        <w:r>
          <w:rPr>
            <w:webHidden/>
          </w:rPr>
          <w:t>16</w:t>
        </w:r>
        <w:r w:rsidR="003F5F49">
          <w:rPr>
            <w:webHidden/>
          </w:rPr>
          <w:fldChar w:fldCharType="end"/>
        </w:r>
      </w:hyperlink>
    </w:p>
    <w:p w14:paraId="146DBDE4" w14:textId="71753CA0" w:rsidR="003F5F49" w:rsidRDefault="0036183E">
      <w:pPr>
        <w:pStyle w:val="TOC1"/>
        <w:rPr>
          <w:rFonts w:asciiTheme="minorHAnsi" w:eastAsiaTheme="minorEastAsia" w:hAnsiTheme="minorHAnsi" w:cstheme="minorBidi"/>
          <w:b w:val="0"/>
          <w:caps w:val="0"/>
          <w:sz w:val="22"/>
          <w:lang w:val="en-US"/>
        </w:rPr>
      </w:pPr>
      <w:hyperlink w:anchor="_Toc183697484" w:history="1">
        <w:r w:rsidR="003F5F49" w:rsidRPr="003872D4">
          <w:rPr>
            <w:rStyle w:val="Hyperlink"/>
          </w:rPr>
          <w:t>3. Zaļais kurss un Eiropas Savienības politiskās tendences</w:t>
        </w:r>
        <w:r w:rsidR="003F5F49">
          <w:rPr>
            <w:webHidden/>
          </w:rPr>
          <w:tab/>
        </w:r>
        <w:r w:rsidR="003F5F49">
          <w:rPr>
            <w:webHidden/>
          </w:rPr>
          <w:fldChar w:fldCharType="begin"/>
        </w:r>
        <w:r w:rsidR="003F5F49">
          <w:rPr>
            <w:webHidden/>
          </w:rPr>
          <w:instrText xml:space="preserve"> PAGEREF _Toc183697484 \h </w:instrText>
        </w:r>
        <w:r w:rsidR="003F5F49">
          <w:rPr>
            <w:webHidden/>
          </w:rPr>
        </w:r>
        <w:r w:rsidR="003F5F49">
          <w:rPr>
            <w:webHidden/>
          </w:rPr>
          <w:fldChar w:fldCharType="separate"/>
        </w:r>
        <w:r>
          <w:rPr>
            <w:webHidden/>
          </w:rPr>
          <w:t>23</w:t>
        </w:r>
        <w:r w:rsidR="003F5F49">
          <w:rPr>
            <w:webHidden/>
          </w:rPr>
          <w:fldChar w:fldCharType="end"/>
        </w:r>
      </w:hyperlink>
    </w:p>
    <w:p w14:paraId="511A8EB9" w14:textId="585314FD" w:rsidR="003F5F49" w:rsidRDefault="0036183E">
      <w:pPr>
        <w:pStyle w:val="TOC1"/>
        <w:rPr>
          <w:rFonts w:asciiTheme="minorHAnsi" w:eastAsiaTheme="minorEastAsia" w:hAnsiTheme="minorHAnsi" w:cstheme="minorBidi"/>
          <w:b w:val="0"/>
          <w:caps w:val="0"/>
          <w:sz w:val="22"/>
          <w:lang w:val="en-US"/>
        </w:rPr>
      </w:pPr>
      <w:hyperlink w:anchor="_Toc183697485" w:history="1">
        <w:r w:rsidR="003F5F49" w:rsidRPr="003872D4">
          <w:rPr>
            <w:rStyle w:val="Hyperlink"/>
          </w:rPr>
          <w:t>4. Klimata un enerģētikas mērķu 2030.gadam sasniegšanai nepieciešamās investīcijas Eiropas Savienības valstīs</w:t>
        </w:r>
        <w:r w:rsidR="003F5F49">
          <w:rPr>
            <w:webHidden/>
          </w:rPr>
          <w:tab/>
        </w:r>
        <w:r w:rsidR="003F5F49">
          <w:rPr>
            <w:webHidden/>
          </w:rPr>
          <w:fldChar w:fldCharType="begin"/>
        </w:r>
        <w:r w:rsidR="003F5F49">
          <w:rPr>
            <w:webHidden/>
          </w:rPr>
          <w:instrText xml:space="preserve"> PAGEREF _Toc183697485 \h </w:instrText>
        </w:r>
        <w:r w:rsidR="003F5F49">
          <w:rPr>
            <w:webHidden/>
          </w:rPr>
        </w:r>
        <w:r w:rsidR="003F5F49">
          <w:rPr>
            <w:webHidden/>
          </w:rPr>
          <w:fldChar w:fldCharType="separate"/>
        </w:r>
        <w:r>
          <w:rPr>
            <w:webHidden/>
          </w:rPr>
          <w:t>30</w:t>
        </w:r>
        <w:r w:rsidR="003F5F49">
          <w:rPr>
            <w:webHidden/>
          </w:rPr>
          <w:fldChar w:fldCharType="end"/>
        </w:r>
      </w:hyperlink>
    </w:p>
    <w:p w14:paraId="02E22035" w14:textId="1F744EF8" w:rsidR="003F5F49" w:rsidRDefault="0036183E">
      <w:pPr>
        <w:pStyle w:val="TOC1"/>
        <w:rPr>
          <w:rFonts w:asciiTheme="minorHAnsi" w:eastAsiaTheme="minorEastAsia" w:hAnsiTheme="minorHAnsi" w:cstheme="minorBidi"/>
          <w:b w:val="0"/>
          <w:caps w:val="0"/>
          <w:sz w:val="22"/>
          <w:lang w:val="en-US"/>
        </w:rPr>
      </w:pPr>
      <w:hyperlink w:anchor="_Toc183697486" w:history="1">
        <w:r w:rsidR="003F5F49" w:rsidRPr="003872D4">
          <w:rPr>
            <w:rStyle w:val="Hyperlink"/>
          </w:rPr>
          <w:t>5. Latvijas klimata mērķu sasniegšanai nepieciešamā finansējuma novērtējums</w:t>
        </w:r>
        <w:r w:rsidR="003F5F49">
          <w:rPr>
            <w:webHidden/>
          </w:rPr>
          <w:tab/>
        </w:r>
        <w:r w:rsidR="003F5F49">
          <w:rPr>
            <w:webHidden/>
          </w:rPr>
          <w:fldChar w:fldCharType="begin"/>
        </w:r>
        <w:r w:rsidR="003F5F49">
          <w:rPr>
            <w:webHidden/>
          </w:rPr>
          <w:instrText xml:space="preserve"> PAGEREF _Toc183697486 \h </w:instrText>
        </w:r>
        <w:r w:rsidR="003F5F49">
          <w:rPr>
            <w:webHidden/>
          </w:rPr>
        </w:r>
        <w:r w:rsidR="003F5F49">
          <w:rPr>
            <w:webHidden/>
          </w:rPr>
          <w:fldChar w:fldCharType="separate"/>
        </w:r>
        <w:r>
          <w:rPr>
            <w:webHidden/>
          </w:rPr>
          <w:t>40</w:t>
        </w:r>
        <w:r w:rsidR="003F5F49">
          <w:rPr>
            <w:webHidden/>
          </w:rPr>
          <w:fldChar w:fldCharType="end"/>
        </w:r>
      </w:hyperlink>
    </w:p>
    <w:p w14:paraId="37FA524B" w14:textId="274DFEAF" w:rsidR="003F5F49" w:rsidRDefault="0036183E">
      <w:pPr>
        <w:pStyle w:val="TOC1"/>
        <w:rPr>
          <w:rFonts w:asciiTheme="minorHAnsi" w:eastAsiaTheme="minorEastAsia" w:hAnsiTheme="minorHAnsi" w:cstheme="minorBidi"/>
          <w:b w:val="0"/>
          <w:caps w:val="0"/>
          <w:sz w:val="22"/>
          <w:lang w:val="en-US"/>
        </w:rPr>
      </w:pPr>
      <w:hyperlink w:anchor="_Toc183697487" w:history="1">
        <w:r w:rsidR="003F5F49" w:rsidRPr="003872D4">
          <w:rPr>
            <w:rStyle w:val="Hyperlink"/>
            <w:lang w:val="sv-SE"/>
          </w:rPr>
          <w:t>6. Nacionālā Enerģētikas un klimata plāna 2021.-2023. gadam sociālekonomiskās ietekmes modelēšanas rezultāti</w:t>
        </w:r>
        <w:r w:rsidR="003F5F49">
          <w:rPr>
            <w:webHidden/>
          </w:rPr>
          <w:tab/>
        </w:r>
        <w:r w:rsidR="003F5F49">
          <w:rPr>
            <w:webHidden/>
          </w:rPr>
          <w:fldChar w:fldCharType="begin"/>
        </w:r>
        <w:r w:rsidR="003F5F49">
          <w:rPr>
            <w:webHidden/>
          </w:rPr>
          <w:instrText xml:space="preserve"> PAGEREF _Toc183697487 \h </w:instrText>
        </w:r>
        <w:r w:rsidR="003F5F49">
          <w:rPr>
            <w:webHidden/>
          </w:rPr>
        </w:r>
        <w:r w:rsidR="003F5F49">
          <w:rPr>
            <w:webHidden/>
          </w:rPr>
          <w:fldChar w:fldCharType="separate"/>
        </w:r>
        <w:r>
          <w:rPr>
            <w:webHidden/>
          </w:rPr>
          <w:t>56</w:t>
        </w:r>
        <w:r w:rsidR="003F5F49">
          <w:rPr>
            <w:webHidden/>
          </w:rPr>
          <w:fldChar w:fldCharType="end"/>
        </w:r>
      </w:hyperlink>
    </w:p>
    <w:p w14:paraId="1933D434" w14:textId="3539C7D5" w:rsidR="003F5F49" w:rsidRDefault="0036183E">
      <w:pPr>
        <w:pStyle w:val="TOC2"/>
        <w:rPr>
          <w:rFonts w:asciiTheme="minorHAnsi" w:eastAsiaTheme="minorEastAsia" w:hAnsiTheme="minorHAnsi"/>
          <w:b w:val="0"/>
          <w:bCs w:val="0"/>
          <w:caps w:val="0"/>
          <w:szCs w:val="22"/>
          <w:lang w:val="en-US"/>
        </w:rPr>
      </w:pPr>
      <w:hyperlink w:anchor="_Toc183697488" w:history="1">
        <w:r w:rsidR="003F5F49" w:rsidRPr="003872D4">
          <w:rPr>
            <w:rStyle w:val="Hyperlink"/>
          </w:rPr>
          <w:t>Pirmais scenārijs – ZIZIMM sektora pasĀkumi</w:t>
        </w:r>
        <w:r w:rsidR="003F5F49">
          <w:rPr>
            <w:webHidden/>
          </w:rPr>
          <w:tab/>
        </w:r>
        <w:r w:rsidR="003F5F49">
          <w:rPr>
            <w:webHidden/>
          </w:rPr>
          <w:fldChar w:fldCharType="begin"/>
        </w:r>
        <w:r w:rsidR="003F5F49">
          <w:rPr>
            <w:webHidden/>
          </w:rPr>
          <w:instrText xml:space="preserve"> PAGEREF _Toc183697488 \h </w:instrText>
        </w:r>
        <w:r w:rsidR="003F5F49">
          <w:rPr>
            <w:webHidden/>
          </w:rPr>
        </w:r>
        <w:r w:rsidR="003F5F49">
          <w:rPr>
            <w:webHidden/>
          </w:rPr>
          <w:fldChar w:fldCharType="separate"/>
        </w:r>
        <w:r>
          <w:rPr>
            <w:webHidden/>
          </w:rPr>
          <w:t>59</w:t>
        </w:r>
        <w:r w:rsidR="003F5F49">
          <w:rPr>
            <w:webHidden/>
          </w:rPr>
          <w:fldChar w:fldCharType="end"/>
        </w:r>
      </w:hyperlink>
    </w:p>
    <w:p w14:paraId="746087E8" w14:textId="07B46A7D" w:rsidR="003F5F49" w:rsidRDefault="0036183E">
      <w:pPr>
        <w:pStyle w:val="TOC2"/>
        <w:rPr>
          <w:rFonts w:asciiTheme="minorHAnsi" w:eastAsiaTheme="minorEastAsia" w:hAnsiTheme="minorHAnsi"/>
          <w:b w:val="0"/>
          <w:bCs w:val="0"/>
          <w:caps w:val="0"/>
          <w:szCs w:val="22"/>
          <w:lang w:val="en-US"/>
        </w:rPr>
      </w:pPr>
      <w:hyperlink w:anchor="_Toc183697489" w:history="1">
        <w:r w:rsidR="003F5F49" w:rsidRPr="003872D4">
          <w:rPr>
            <w:rStyle w:val="Hyperlink"/>
          </w:rPr>
          <w:t>Otrais scenārijs – transporta pasākumi</w:t>
        </w:r>
        <w:r w:rsidR="003F5F49">
          <w:rPr>
            <w:webHidden/>
          </w:rPr>
          <w:tab/>
        </w:r>
        <w:r w:rsidR="003F5F49">
          <w:rPr>
            <w:webHidden/>
          </w:rPr>
          <w:fldChar w:fldCharType="begin"/>
        </w:r>
        <w:r w:rsidR="003F5F49">
          <w:rPr>
            <w:webHidden/>
          </w:rPr>
          <w:instrText xml:space="preserve"> PAGEREF _Toc183697489 \h </w:instrText>
        </w:r>
        <w:r w:rsidR="003F5F49">
          <w:rPr>
            <w:webHidden/>
          </w:rPr>
        </w:r>
        <w:r w:rsidR="003F5F49">
          <w:rPr>
            <w:webHidden/>
          </w:rPr>
          <w:fldChar w:fldCharType="separate"/>
        </w:r>
        <w:r>
          <w:rPr>
            <w:webHidden/>
          </w:rPr>
          <w:t>65</w:t>
        </w:r>
        <w:r w:rsidR="003F5F49">
          <w:rPr>
            <w:webHidden/>
          </w:rPr>
          <w:fldChar w:fldCharType="end"/>
        </w:r>
      </w:hyperlink>
    </w:p>
    <w:p w14:paraId="364AD840" w14:textId="7674F383" w:rsidR="003F5F49" w:rsidRDefault="0036183E">
      <w:pPr>
        <w:pStyle w:val="TOC2"/>
        <w:rPr>
          <w:rFonts w:asciiTheme="minorHAnsi" w:eastAsiaTheme="minorEastAsia" w:hAnsiTheme="minorHAnsi"/>
          <w:b w:val="0"/>
          <w:bCs w:val="0"/>
          <w:caps w:val="0"/>
          <w:szCs w:val="22"/>
          <w:lang w:val="en-US"/>
        </w:rPr>
      </w:pPr>
      <w:hyperlink w:anchor="_Toc183697490" w:history="1">
        <w:r w:rsidR="003F5F49" w:rsidRPr="003872D4">
          <w:rPr>
            <w:rStyle w:val="Hyperlink"/>
          </w:rPr>
          <w:t>Trešais scenārijs – RPPI sektora pasākumi</w:t>
        </w:r>
        <w:r w:rsidR="003F5F49">
          <w:rPr>
            <w:webHidden/>
          </w:rPr>
          <w:tab/>
        </w:r>
        <w:r w:rsidR="003F5F49">
          <w:rPr>
            <w:webHidden/>
          </w:rPr>
          <w:fldChar w:fldCharType="begin"/>
        </w:r>
        <w:r w:rsidR="003F5F49">
          <w:rPr>
            <w:webHidden/>
          </w:rPr>
          <w:instrText xml:space="preserve"> PAGEREF _Toc183697490 \h </w:instrText>
        </w:r>
        <w:r w:rsidR="003F5F49">
          <w:rPr>
            <w:webHidden/>
          </w:rPr>
        </w:r>
        <w:r w:rsidR="003F5F49">
          <w:rPr>
            <w:webHidden/>
          </w:rPr>
          <w:fldChar w:fldCharType="separate"/>
        </w:r>
        <w:r>
          <w:rPr>
            <w:webHidden/>
          </w:rPr>
          <w:t>70</w:t>
        </w:r>
        <w:r w:rsidR="003F5F49">
          <w:rPr>
            <w:webHidden/>
          </w:rPr>
          <w:fldChar w:fldCharType="end"/>
        </w:r>
      </w:hyperlink>
    </w:p>
    <w:p w14:paraId="7056EA96" w14:textId="7162654E" w:rsidR="003F5F49" w:rsidRDefault="0036183E">
      <w:pPr>
        <w:pStyle w:val="TOC2"/>
        <w:rPr>
          <w:rFonts w:asciiTheme="minorHAnsi" w:eastAsiaTheme="minorEastAsia" w:hAnsiTheme="minorHAnsi"/>
          <w:b w:val="0"/>
          <w:bCs w:val="0"/>
          <w:caps w:val="0"/>
          <w:szCs w:val="22"/>
          <w:lang w:val="en-US"/>
        </w:rPr>
      </w:pPr>
      <w:hyperlink w:anchor="_Toc183697491" w:history="1">
        <w:r w:rsidR="003F5F49" w:rsidRPr="003872D4">
          <w:rPr>
            <w:rStyle w:val="Hyperlink"/>
          </w:rPr>
          <w:t>Ceturtais scenārijs – elektroenerģijas un siltumenerģijas ražošanas pasākumi</w:t>
        </w:r>
        <w:r w:rsidR="003F5F49">
          <w:rPr>
            <w:webHidden/>
          </w:rPr>
          <w:tab/>
        </w:r>
        <w:r w:rsidR="003F5F49">
          <w:rPr>
            <w:webHidden/>
          </w:rPr>
          <w:fldChar w:fldCharType="begin"/>
        </w:r>
        <w:r w:rsidR="003F5F49">
          <w:rPr>
            <w:webHidden/>
          </w:rPr>
          <w:instrText xml:space="preserve"> PAGEREF _Toc183697491 \h </w:instrText>
        </w:r>
        <w:r w:rsidR="003F5F49">
          <w:rPr>
            <w:webHidden/>
          </w:rPr>
        </w:r>
        <w:r w:rsidR="003F5F49">
          <w:rPr>
            <w:webHidden/>
          </w:rPr>
          <w:fldChar w:fldCharType="separate"/>
        </w:r>
        <w:r>
          <w:rPr>
            <w:webHidden/>
          </w:rPr>
          <w:t>74</w:t>
        </w:r>
        <w:r w:rsidR="003F5F49">
          <w:rPr>
            <w:webHidden/>
          </w:rPr>
          <w:fldChar w:fldCharType="end"/>
        </w:r>
      </w:hyperlink>
    </w:p>
    <w:p w14:paraId="51726671" w14:textId="20BB9786" w:rsidR="003F5F49" w:rsidRDefault="0036183E">
      <w:pPr>
        <w:pStyle w:val="TOC2"/>
        <w:rPr>
          <w:rFonts w:asciiTheme="minorHAnsi" w:eastAsiaTheme="minorEastAsia" w:hAnsiTheme="minorHAnsi"/>
          <w:b w:val="0"/>
          <w:bCs w:val="0"/>
          <w:caps w:val="0"/>
          <w:szCs w:val="22"/>
          <w:lang w:val="en-US"/>
        </w:rPr>
      </w:pPr>
      <w:hyperlink w:anchor="_Toc183697492" w:history="1">
        <w:r w:rsidR="003F5F49" w:rsidRPr="003872D4">
          <w:rPr>
            <w:rStyle w:val="Hyperlink"/>
          </w:rPr>
          <w:t>Piektais scenārijs – enerģētiskās drošības un iekšējā elektrības tirgus pasākumi</w:t>
        </w:r>
        <w:r w:rsidR="003F5F49">
          <w:rPr>
            <w:webHidden/>
          </w:rPr>
          <w:tab/>
        </w:r>
        <w:r w:rsidR="003F5F49">
          <w:rPr>
            <w:webHidden/>
          </w:rPr>
          <w:fldChar w:fldCharType="begin"/>
        </w:r>
        <w:r w:rsidR="003F5F49">
          <w:rPr>
            <w:webHidden/>
          </w:rPr>
          <w:instrText xml:space="preserve"> PAGEREF _Toc183697492 \h </w:instrText>
        </w:r>
        <w:r w:rsidR="003F5F49">
          <w:rPr>
            <w:webHidden/>
          </w:rPr>
        </w:r>
        <w:r w:rsidR="003F5F49">
          <w:rPr>
            <w:webHidden/>
          </w:rPr>
          <w:fldChar w:fldCharType="separate"/>
        </w:r>
        <w:r>
          <w:rPr>
            <w:webHidden/>
          </w:rPr>
          <w:t>80</w:t>
        </w:r>
        <w:r w:rsidR="003F5F49">
          <w:rPr>
            <w:webHidden/>
          </w:rPr>
          <w:fldChar w:fldCharType="end"/>
        </w:r>
      </w:hyperlink>
    </w:p>
    <w:p w14:paraId="2CD0D0E6" w14:textId="3027D36B" w:rsidR="003F5F49" w:rsidRDefault="0036183E">
      <w:pPr>
        <w:pStyle w:val="TOC2"/>
        <w:rPr>
          <w:rFonts w:asciiTheme="minorHAnsi" w:eastAsiaTheme="minorEastAsia" w:hAnsiTheme="minorHAnsi"/>
          <w:b w:val="0"/>
          <w:bCs w:val="0"/>
          <w:caps w:val="0"/>
          <w:szCs w:val="22"/>
          <w:lang w:val="en-US"/>
        </w:rPr>
      </w:pPr>
      <w:hyperlink w:anchor="_Toc183697493" w:history="1">
        <w:r w:rsidR="003F5F49" w:rsidRPr="003872D4">
          <w:rPr>
            <w:rStyle w:val="Hyperlink"/>
          </w:rPr>
          <w:t>Sestais scenārijs – energoefektivitātes pasākumi</w:t>
        </w:r>
        <w:r w:rsidR="003F5F49">
          <w:rPr>
            <w:webHidden/>
          </w:rPr>
          <w:tab/>
        </w:r>
        <w:r w:rsidR="003F5F49">
          <w:rPr>
            <w:webHidden/>
          </w:rPr>
          <w:fldChar w:fldCharType="begin"/>
        </w:r>
        <w:r w:rsidR="003F5F49">
          <w:rPr>
            <w:webHidden/>
          </w:rPr>
          <w:instrText xml:space="preserve"> PAGEREF _Toc183697493 \h </w:instrText>
        </w:r>
        <w:r w:rsidR="003F5F49">
          <w:rPr>
            <w:webHidden/>
          </w:rPr>
        </w:r>
        <w:r w:rsidR="003F5F49">
          <w:rPr>
            <w:webHidden/>
          </w:rPr>
          <w:fldChar w:fldCharType="separate"/>
        </w:r>
        <w:r>
          <w:rPr>
            <w:webHidden/>
          </w:rPr>
          <w:t>84</w:t>
        </w:r>
        <w:r w:rsidR="003F5F49">
          <w:rPr>
            <w:webHidden/>
          </w:rPr>
          <w:fldChar w:fldCharType="end"/>
        </w:r>
      </w:hyperlink>
    </w:p>
    <w:p w14:paraId="61EAC4D8" w14:textId="5EAB9A67" w:rsidR="003F5F49" w:rsidRDefault="0036183E">
      <w:pPr>
        <w:pStyle w:val="TOC2"/>
        <w:rPr>
          <w:rFonts w:asciiTheme="minorHAnsi" w:eastAsiaTheme="minorEastAsia" w:hAnsiTheme="minorHAnsi"/>
          <w:b w:val="0"/>
          <w:bCs w:val="0"/>
          <w:caps w:val="0"/>
          <w:szCs w:val="22"/>
          <w:lang w:val="en-US"/>
        </w:rPr>
      </w:pPr>
      <w:hyperlink w:anchor="_Toc183697494" w:history="1">
        <w:r w:rsidR="003F5F49" w:rsidRPr="003872D4">
          <w:rPr>
            <w:rStyle w:val="Hyperlink"/>
          </w:rPr>
          <w:t>Septītais scenārijs – kopējais scenārijs, kas ietver 1.-6. scenāriju īstenošanu nepieciešamā finansējuma apjomā</w:t>
        </w:r>
        <w:r w:rsidR="003F5F49">
          <w:rPr>
            <w:webHidden/>
          </w:rPr>
          <w:tab/>
        </w:r>
        <w:r w:rsidR="003F5F49">
          <w:rPr>
            <w:webHidden/>
          </w:rPr>
          <w:fldChar w:fldCharType="begin"/>
        </w:r>
        <w:r w:rsidR="003F5F49">
          <w:rPr>
            <w:webHidden/>
          </w:rPr>
          <w:instrText xml:space="preserve"> PAGEREF _Toc183697494 \h </w:instrText>
        </w:r>
        <w:r w:rsidR="003F5F49">
          <w:rPr>
            <w:webHidden/>
          </w:rPr>
        </w:r>
        <w:r w:rsidR="003F5F49">
          <w:rPr>
            <w:webHidden/>
          </w:rPr>
          <w:fldChar w:fldCharType="separate"/>
        </w:r>
        <w:r>
          <w:rPr>
            <w:webHidden/>
          </w:rPr>
          <w:t>89</w:t>
        </w:r>
        <w:r w:rsidR="003F5F49">
          <w:rPr>
            <w:webHidden/>
          </w:rPr>
          <w:fldChar w:fldCharType="end"/>
        </w:r>
      </w:hyperlink>
    </w:p>
    <w:p w14:paraId="068E82A4" w14:textId="160274BA" w:rsidR="003F5F49" w:rsidRDefault="0036183E">
      <w:pPr>
        <w:pStyle w:val="TOC2"/>
        <w:rPr>
          <w:rFonts w:asciiTheme="minorHAnsi" w:eastAsiaTheme="minorEastAsia" w:hAnsiTheme="minorHAnsi"/>
          <w:b w:val="0"/>
          <w:bCs w:val="0"/>
          <w:caps w:val="0"/>
          <w:szCs w:val="22"/>
          <w:lang w:val="en-US"/>
        </w:rPr>
      </w:pPr>
      <w:hyperlink w:anchor="_Toc183697495" w:history="1">
        <w:r w:rsidR="003F5F49" w:rsidRPr="003872D4">
          <w:rPr>
            <w:rStyle w:val="Hyperlink"/>
          </w:rPr>
          <w:t>ASTOtais scenārijs – kopējais scenārijs, kas ietver 1.-6. scenāriju īstenošanu iezīmētā finansējuma apjomā</w:t>
        </w:r>
        <w:r w:rsidR="003F5F49">
          <w:rPr>
            <w:webHidden/>
          </w:rPr>
          <w:tab/>
        </w:r>
        <w:r w:rsidR="003F5F49">
          <w:rPr>
            <w:webHidden/>
          </w:rPr>
          <w:fldChar w:fldCharType="begin"/>
        </w:r>
        <w:r w:rsidR="003F5F49">
          <w:rPr>
            <w:webHidden/>
          </w:rPr>
          <w:instrText xml:space="preserve"> PAGEREF _Toc183697495 \h </w:instrText>
        </w:r>
        <w:r w:rsidR="003F5F49">
          <w:rPr>
            <w:webHidden/>
          </w:rPr>
        </w:r>
        <w:r w:rsidR="003F5F49">
          <w:rPr>
            <w:webHidden/>
          </w:rPr>
          <w:fldChar w:fldCharType="separate"/>
        </w:r>
        <w:r>
          <w:rPr>
            <w:webHidden/>
          </w:rPr>
          <w:t>93</w:t>
        </w:r>
        <w:r w:rsidR="003F5F49">
          <w:rPr>
            <w:webHidden/>
          </w:rPr>
          <w:fldChar w:fldCharType="end"/>
        </w:r>
      </w:hyperlink>
    </w:p>
    <w:p w14:paraId="24367DD5" w14:textId="249BFD19" w:rsidR="003F5F49" w:rsidRDefault="0036183E">
      <w:pPr>
        <w:pStyle w:val="TOC1"/>
        <w:rPr>
          <w:rFonts w:asciiTheme="minorHAnsi" w:eastAsiaTheme="minorEastAsia" w:hAnsiTheme="minorHAnsi" w:cstheme="minorBidi"/>
          <w:b w:val="0"/>
          <w:caps w:val="0"/>
          <w:sz w:val="22"/>
          <w:lang w:val="en-US"/>
        </w:rPr>
      </w:pPr>
      <w:hyperlink w:anchor="_Toc183697496" w:history="1">
        <w:r w:rsidR="003F5F49" w:rsidRPr="003872D4">
          <w:rPr>
            <w:rStyle w:val="Hyperlink"/>
          </w:rPr>
          <w:t>Secinājumi un rekomendācijas</w:t>
        </w:r>
        <w:r w:rsidR="003F5F49">
          <w:rPr>
            <w:webHidden/>
          </w:rPr>
          <w:tab/>
        </w:r>
        <w:r w:rsidR="003F5F49">
          <w:rPr>
            <w:webHidden/>
          </w:rPr>
          <w:fldChar w:fldCharType="begin"/>
        </w:r>
        <w:r w:rsidR="003F5F49">
          <w:rPr>
            <w:webHidden/>
          </w:rPr>
          <w:instrText xml:space="preserve"> PAGEREF _Toc183697496 \h </w:instrText>
        </w:r>
        <w:r w:rsidR="003F5F49">
          <w:rPr>
            <w:webHidden/>
          </w:rPr>
        </w:r>
        <w:r w:rsidR="003F5F49">
          <w:rPr>
            <w:webHidden/>
          </w:rPr>
          <w:fldChar w:fldCharType="separate"/>
        </w:r>
        <w:r>
          <w:rPr>
            <w:webHidden/>
          </w:rPr>
          <w:t>99</w:t>
        </w:r>
        <w:r w:rsidR="003F5F49">
          <w:rPr>
            <w:webHidden/>
          </w:rPr>
          <w:fldChar w:fldCharType="end"/>
        </w:r>
      </w:hyperlink>
    </w:p>
    <w:p w14:paraId="5F3395BF" w14:textId="155929CE" w:rsidR="00A961F5" w:rsidRDefault="009A0CE2" w:rsidP="00CF083E">
      <w:pPr>
        <w:widowControl/>
        <w:spacing w:line="240" w:lineRule="auto"/>
        <w:jc w:val="both"/>
        <w:rPr>
          <w:rFonts w:ascii="Minion Pro" w:hAnsi="Minion Pro"/>
          <w:lang w:val="lv-LV"/>
        </w:rPr>
      </w:pPr>
      <w:r w:rsidRPr="00A961F5">
        <w:rPr>
          <w:rFonts w:ascii="Minion Pro" w:hAnsi="Minion Pro"/>
          <w:lang w:val="lv-LV"/>
        </w:rPr>
        <w:fldChar w:fldCharType="end"/>
      </w:r>
      <w:r w:rsidR="00A961F5">
        <w:rPr>
          <w:rFonts w:ascii="Minion Pro" w:hAnsi="Minion Pro"/>
          <w:lang w:val="lv-LV"/>
        </w:rPr>
        <w:br w:type="page"/>
      </w:r>
    </w:p>
    <w:p w14:paraId="6D29ECCC" w14:textId="77777777" w:rsidR="00262896" w:rsidRPr="00D948CD" w:rsidRDefault="00262896" w:rsidP="00262896">
      <w:pPr>
        <w:pStyle w:val="Heading1"/>
        <w:widowControl/>
        <w:rPr>
          <w:lang w:val="lv-LV"/>
        </w:rPr>
      </w:pPr>
      <w:bookmarkStart w:id="3" w:name="_Toc178018158"/>
      <w:bookmarkStart w:id="4" w:name="_Toc183697480"/>
      <w:bookmarkStart w:id="5" w:name="_Hlk178000758"/>
      <w:r w:rsidRPr="00D948CD">
        <w:rPr>
          <w:lang w:val="lv-LV"/>
        </w:rPr>
        <w:lastRenderedPageBreak/>
        <w:t>IEVADS</w:t>
      </w:r>
      <w:bookmarkEnd w:id="3"/>
      <w:bookmarkEnd w:id="4"/>
    </w:p>
    <w:p w14:paraId="2E8B6723" w14:textId="77777777" w:rsidR="00262896" w:rsidRPr="000360AF" w:rsidRDefault="00262896" w:rsidP="00262896">
      <w:pPr>
        <w:widowControl/>
        <w:spacing w:after="120" w:line="240" w:lineRule="auto"/>
        <w:rPr>
          <w:rFonts w:ascii="Verdana Pro Cond Light" w:hAnsi="Verdana Pro Cond Light"/>
          <w:lang w:val="lv-LV"/>
        </w:rPr>
      </w:pPr>
      <w:r w:rsidRPr="000360AF">
        <w:rPr>
          <w:rFonts w:ascii="Verdana Pro Cond Light" w:hAnsi="Verdana Pro Cond Light"/>
          <w:lang w:val="lv-LV"/>
        </w:rPr>
        <w:t>Šis Nodevums ietver atskaiti par Nacion</w:t>
      </w:r>
      <w:r w:rsidRPr="000360AF">
        <w:rPr>
          <w:rFonts w:ascii="Verdana Pro Cond Light" w:hAnsi="Verdana Pro Cond Light" w:cs="Calibri"/>
          <w:lang w:val="lv-LV"/>
        </w:rPr>
        <w:t>ā</w:t>
      </w:r>
      <w:r w:rsidRPr="000360AF">
        <w:rPr>
          <w:rFonts w:ascii="Verdana Pro Cond Light" w:hAnsi="Verdana Pro Cond Light"/>
          <w:lang w:val="lv-LV"/>
        </w:rPr>
        <w:t>laj</w:t>
      </w:r>
      <w:r w:rsidRPr="000360AF">
        <w:rPr>
          <w:rFonts w:ascii="Verdana Pro Cond Light" w:hAnsi="Verdana Pro Cond Light" w:cs="Calibri"/>
          <w:lang w:val="lv-LV"/>
        </w:rPr>
        <w:t>ā</w:t>
      </w:r>
      <w:r w:rsidRPr="000360AF">
        <w:rPr>
          <w:rFonts w:ascii="Verdana Pro Cond Light" w:hAnsi="Verdana Pro Cond Light"/>
          <w:lang w:val="lv-LV"/>
        </w:rPr>
        <w:t xml:space="preserve"> ener</w:t>
      </w:r>
      <w:r w:rsidRPr="000360AF">
        <w:rPr>
          <w:rFonts w:ascii="Verdana Pro Cond Light" w:hAnsi="Verdana Pro Cond Light" w:cs="Calibri"/>
          <w:lang w:val="lv-LV"/>
        </w:rPr>
        <w:t>ģē</w:t>
      </w:r>
      <w:r w:rsidRPr="000360AF">
        <w:rPr>
          <w:rFonts w:ascii="Verdana Pro Cond Light" w:hAnsi="Verdana Pro Cond Light"/>
          <w:lang w:val="lv-LV"/>
        </w:rPr>
        <w:t>tikas un klimata pl</w:t>
      </w:r>
      <w:r w:rsidRPr="000360AF">
        <w:rPr>
          <w:rFonts w:ascii="Verdana Pro Cond Light" w:hAnsi="Verdana Pro Cond Light" w:cs="Calibri"/>
          <w:lang w:val="lv-LV"/>
        </w:rPr>
        <w:t>ā</w:t>
      </w:r>
      <w:r w:rsidRPr="000360AF">
        <w:rPr>
          <w:rFonts w:ascii="Verdana Pro Cond Light" w:hAnsi="Verdana Pro Cond Light"/>
          <w:lang w:val="lv-LV"/>
        </w:rPr>
        <w:t>n</w:t>
      </w:r>
      <w:r w:rsidRPr="000360AF">
        <w:rPr>
          <w:rFonts w:ascii="Verdana Pro Cond Light" w:hAnsi="Verdana Pro Cond Light" w:cs="Calibri"/>
          <w:lang w:val="lv-LV"/>
        </w:rPr>
        <w:t>ā</w:t>
      </w:r>
      <w:r w:rsidRPr="000360AF">
        <w:rPr>
          <w:rFonts w:ascii="Verdana Pro Cond Light" w:hAnsi="Verdana Pro Cond Light"/>
          <w:lang w:val="lv-LV"/>
        </w:rPr>
        <w:t xml:space="preserve"> iek</w:t>
      </w:r>
      <w:r w:rsidRPr="000360AF">
        <w:rPr>
          <w:rFonts w:ascii="Verdana Pro Cond Light" w:hAnsi="Verdana Pro Cond Light" w:cs="Calibri"/>
          <w:lang w:val="lv-LV"/>
        </w:rPr>
        <w:t>ļ</w:t>
      </w:r>
      <w:r w:rsidRPr="000360AF">
        <w:rPr>
          <w:rFonts w:ascii="Verdana Pro Cond Light" w:hAnsi="Verdana Pro Cond Light"/>
          <w:lang w:val="lv-LV"/>
        </w:rPr>
        <w:t>auto pas</w:t>
      </w:r>
      <w:r w:rsidRPr="000360AF">
        <w:rPr>
          <w:rFonts w:ascii="Verdana Pro Cond Light" w:hAnsi="Verdana Pro Cond Light" w:cs="Calibri"/>
          <w:lang w:val="lv-LV"/>
        </w:rPr>
        <w:t>ā</w:t>
      </w:r>
      <w:r w:rsidRPr="000360AF">
        <w:rPr>
          <w:rFonts w:ascii="Verdana Pro Cond Light" w:hAnsi="Verdana Pro Cond Light"/>
          <w:lang w:val="lv-LV"/>
        </w:rPr>
        <w:t>kumu ekonomisk</w:t>
      </w:r>
      <w:r w:rsidRPr="000360AF">
        <w:rPr>
          <w:rFonts w:ascii="Verdana Pro Cond Light" w:hAnsi="Verdana Pro Cond Light" w:cs="Calibri"/>
          <w:lang w:val="lv-LV"/>
        </w:rPr>
        <w:t>ā</w:t>
      </w:r>
      <w:r w:rsidRPr="000360AF">
        <w:rPr>
          <w:rFonts w:ascii="Verdana Pro Cond Light" w:hAnsi="Verdana Pro Cond Light"/>
          <w:lang w:val="lv-LV"/>
        </w:rPr>
        <w:t>s ietekmes izv</w:t>
      </w:r>
      <w:r w:rsidRPr="000360AF">
        <w:rPr>
          <w:rFonts w:ascii="Verdana Pro Cond Light" w:hAnsi="Verdana Pro Cond Light" w:cs="Calibri"/>
          <w:lang w:val="lv-LV"/>
        </w:rPr>
        <w:t>ē</w:t>
      </w:r>
      <w:r w:rsidRPr="000360AF">
        <w:rPr>
          <w:rFonts w:ascii="Verdana Pro Cond Light" w:hAnsi="Verdana Pro Cond Light"/>
          <w:lang w:val="lv-LV"/>
        </w:rPr>
        <w:t>rt</w:t>
      </w:r>
      <w:r w:rsidRPr="000360AF">
        <w:rPr>
          <w:rFonts w:ascii="Verdana Pro Cond Light" w:hAnsi="Verdana Pro Cond Light" w:cs="Calibri"/>
          <w:lang w:val="lv-LV"/>
        </w:rPr>
        <w:t>ē</w:t>
      </w:r>
      <w:r w:rsidRPr="000360AF">
        <w:rPr>
          <w:rFonts w:ascii="Verdana Pro Cond Light" w:hAnsi="Verdana Pro Cond Light"/>
          <w:lang w:val="lv-LV"/>
        </w:rPr>
        <w:t>jumu saska</w:t>
      </w:r>
      <w:r w:rsidRPr="000360AF">
        <w:rPr>
          <w:rFonts w:ascii="Verdana Pro Cond Light" w:hAnsi="Verdana Pro Cond Light" w:cs="Calibri"/>
          <w:lang w:val="lv-LV"/>
        </w:rPr>
        <w:t>ņā</w:t>
      </w:r>
      <w:r w:rsidRPr="000360AF">
        <w:rPr>
          <w:rFonts w:ascii="Verdana Pro Cond Light" w:hAnsi="Verdana Pro Cond Light"/>
          <w:lang w:val="lv-LV"/>
        </w:rPr>
        <w:t xml:space="preserve"> ar l</w:t>
      </w:r>
      <w:r w:rsidRPr="000360AF">
        <w:rPr>
          <w:rFonts w:ascii="Verdana Pro Cond Light" w:hAnsi="Verdana Pro Cond Light" w:cs="Calibri"/>
          <w:lang w:val="lv-LV"/>
        </w:rPr>
        <w:t>ī</w:t>
      </w:r>
      <w:r w:rsidRPr="000360AF">
        <w:rPr>
          <w:rFonts w:ascii="Verdana Pro Cond Light" w:hAnsi="Verdana Pro Cond Light"/>
          <w:lang w:val="lv-LV"/>
        </w:rPr>
        <w:t>gumu par finans</w:t>
      </w:r>
      <w:r w:rsidRPr="000360AF">
        <w:rPr>
          <w:rFonts w:ascii="Verdana Pro Cond Light" w:hAnsi="Verdana Pro Cond Light" w:cs="Calibri"/>
          <w:lang w:val="lv-LV"/>
        </w:rPr>
        <w:t>ē</w:t>
      </w:r>
      <w:r w:rsidRPr="000360AF">
        <w:rPr>
          <w:rFonts w:ascii="Verdana Pro Cond Light" w:hAnsi="Verdana Pro Cond Light"/>
          <w:lang w:val="lv-LV"/>
        </w:rPr>
        <w:t>jumu valsts p</w:t>
      </w:r>
      <w:r w:rsidRPr="000360AF">
        <w:rPr>
          <w:rFonts w:ascii="Verdana Pro Cond Light" w:hAnsi="Verdana Pro Cond Light" w:cs="Calibri"/>
          <w:lang w:val="lv-LV"/>
        </w:rPr>
        <w:t>ā</w:t>
      </w:r>
      <w:r w:rsidRPr="000360AF">
        <w:rPr>
          <w:rFonts w:ascii="Verdana Pro Cond Light" w:hAnsi="Verdana Pro Cond Light"/>
          <w:lang w:val="lv-LV"/>
        </w:rPr>
        <w:t>rvaldes uzdevuma izpildes nodro</w:t>
      </w:r>
      <w:r w:rsidRPr="000360AF">
        <w:rPr>
          <w:rFonts w:ascii="Verdana Pro Cond Light" w:hAnsi="Verdana Pro Cond Light" w:cs="Daytona Condensed Light"/>
          <w:lang w:val="lv-LV"/>
        </w:rPr>
        <w:t>š</w:t>
      </w:r>
      <w:r w:rsidRPr="000360AF">
        <w:rPr>
          <w:rFonts w:ascii="Verdana Pro Cond Light" w:hAnsi="Verdana Pro Cond Light"/>
          <w:lang w:val="lv-LV"/>
        </w:rPr>
        <w:t>in</w:t>
      </w:r>
      <w:r w:rsidRPr="000360AF">
        <w:rPr>
          <w:rFonts w:ascii="Verdana Pro Cond Light" w:hAnsi="Verdana Pro Cond Light" w:cs="Calibri"/>
          <w:lang w:val="lv-LV"/>
        </w:rPr>
        <w:t>ā</w:t>
      </w:r>
      <w:r w:rsidRPr="000360AF">
        <w:rPr>
          <w:rFonts w:ascii="Verdana Pro Cond Light" w:hAnsi="Verdana Pro Cond Light" w:cs="Daytona Condensed Light"/>
          <w:lang w:val="lv-LV"/>
        </w:rPr>
        <w:t>š</w:t>
      </w:r>
      <w:r w:rsidRPr="000360AF">
        <w:rPr>
          <w:rFonts w:ascii="Verdana Pro Cond Light" w:hAnsi="Verdana Pro Cond Light"/>
          <w:lang w:val="lv-LV"/>
        </w:rPr>
        <w:t>anai Nr.5.2-17.2/2024/1.</w:t>
      </w:r>
    </w:p>
    <w:p w14:paraId="3500879A" w14:textId="63217DB8" w:rsidR="00262896" w:rsidRDefault="00262896" w:rsidP="00262896">
      <w:pPr>
        <w:widowControl/>
        <w:spacing w:after="120" w:line="240" w:lineRule="auto"/>
        <w:rPr>
          <w:rFonts w:ascii="Verdana Pro Cond Light" w:hAnsi="Verdana Pro Cond Light" w:cs="Arial"/>
          <w:lang w:val="lv-LV"/>
        </w:rPr>
      </w:pPr>
      <w:r w:rsidRPr="000360AF">
        <w:rPr>
          <w:rFonts w:ascii="Verdana Pro Cond Light" w:hAnsi="Verdana Pro Cond Light"/>
          <w:lang w:val="lv-LV"/>
        </w:rPr>
        <w:t xml:space="preserve">Darba uzdevumu kontekstā un </w:t>
      </w:r>
      <w:r w:rsidRPr="000360AF">
        <w:rPr>
          <w:rFonts w:ascii="Verdana Pro Cond Light" w:hAnsi="Verdana Pro Cond Light" w:cs="Arial"/>
          <w:lang w:val="lv-LV"/>
        </w:rPr>
        <w:t>atbilstoši starptautiskajai metodoloģijai tika izanalizēta situācija Latvijas ene</w:t>
      </w:r>
      <w:r>
        <w:rPr>
          <w:rFonts w:ascii="Verdana Pro Cond Light" w:hAnsi="Verdana Pro Cond Light" w:cs="Arial"/>
          <w:lang w:val="lv-LV"/>
        </w:rPr>
        <w:t>ģ</w:t>
      </w:r>
      <w:r w:rsidRPr="000360AF">
        <w:rPr>
          <w:rFonts w:ascii="Verdana Pro Cond Light" w:hAnsi="Verdana Pro Cond Light" w:cs="Arial"/>
          <w:lang w:val="lv-LV"/>
        </w:rPr>
        <w:t>ētikas sektorā. Aktuālo problēmu analīzes veikšanai tika izmantoti 36 enerģētikas ekspertu vērtējumi, kurus iesaistīja Pasaules Enerģijas Padomes Latvijas Nacionālā komiteja. Problēmu monitoringā ir ietverti 33 galvenie enerģijas pārveidošanas iz</w:t>
      </w:r>
      <w:r w:rsidR="0002297E">
        <w:rPr>
          <w:rFonts w:ascii="Verdana Pro Cond Light" w:hAnsi="Verdana Pro Cond Light" w:cs="Arial"/>
          <w:lang w:val="lv-LV"/>
        </w:rPr>
        <w:t>aicinājumi 6 kategorijās: ģeopolitiskie jautājumi, ekonomiskie jautājumi, s</w:t>
      </w:r>
      <w:r w:rsidRPr="000360AF">
        <w:rPr>
          <w:rFonts w:ascii="Verdana Pro Cond Light" w:hAnsi="Verdana Pro Cond Light" w:cs="Arial"/>
          <w:lang w:val="lv-LV"/>
        </w:rPr>
        <w:t xml:space="preserve">abiedrības jautājumi, </w:t>
      </w:r>
      <w:r w:rsidR="0002297E">
        <w:rPr>
          <w:rFonts w:ascii="Verdana Pro Cond Light" w:hAnsi="Verdana Pro Cond Light" w:cs="Arial"/>
          <w:lang w:val="lv-LV"/>
        </w:rPr>
        <w:t>r</w:t>
      </w:r>
      <w:r w:rsidRPr="000360AF">
        <w:rPr>
          <w:rFonts w:ascii="Verdana Pro Cond Light" w:hAnsi="Verdana Pro Cond Light" w:cs="Arial"/>
          <w:lang w:val="lv-LV"/>
        </w:rPr>
        <w:t>egu</w:t>
      </w:r>
      <w:r w:rsidR="0002297E">
        <w:rPr>
          <w:rFonts w:ascii="Verdana Pro Cond Light" w:hAnsi="Verdana Pro Cond Light" w:cs="Arial"/>
          <w:lang w:val="lv-LV"/>
        </w:rPr>
        <w:t>lēšanas režīmi, (Tehnoloģijas) spēļu mainītāji un v</w:t>
      </w:r>
      <w:r w:rsidRPr="000360AF">
        <w:rPr>
          <w:rFonts w:ascii="Verdana Pro Cond Light" w:hAnsi="Verdana Pro Cond Light" w:cs="Arial"/>
          <w:lang w:val="lv-LV"/>
        </w:rPr>
        <w:t>ide un klimata pārmaiņas. Tāpat ir apskatīti arī PWC organizētās aptaujas rezultāti attiecībā uz uzņēmēju gatavību ES Zaļā kursa iesaistē.</w:t>
      </w:r>
    </w:p>
    <w:p w14:paraId="705EE946" w14:textId="77777777" w:rsidR="00262896" w:rsidRPr="000360AF" w:rsidRDefault="00262896" w:rsidP="00262896">
      <w:pPr>
        <w:widowControl/>
        <w:spacing w:after="120" w:line="240" w:lineRule="auto"/>
        <w:rPr>
          <w:rFonts w:ascii="Verdana Pro Cond Light" w:hAnsi="Verdana Pro Cond Light" w:cs="Arial"/>
          <w:lang w:val="lv-LV"/>
        </w:rPr>
      </w:pPr>
      <w:r w:rsidRPr="000360AF">
        <w:rPr>
          <w:rFonts w:ascii="Verdana Pro Cond Light" w:hAnsi="Verdana Pro Cond Light" w:cs="Arial"/>
          <w:lang w:val="lv-LV"/>
        </w:rPr>
        <w:t xml:space="preserve">Atbilstoši problēmu analīzei </w:t>
      </w:r>
      <w:r w:rsidRPr="000360AF">
        <w:rPr>
          <w:rFonts w:ascii="Verdana Pro Cond Light" w:hAnsi="Verdana Pro Cond Light"/>
          <w:color w:val="000000"/>
          <w:lang w:val="lv-LV"/>
        </w:rPr>
        <w:t xml:space="preserve">ir raksturota Latvijas ilgtermiņa ekonomiskās attīstības un klimata mērķu mijiedarbība un kopējās pieejamās investīcijas. </w:t>
      </w:r>
      <w:r w:rsidRPr="000360AF">
        <w:rPr>
          <w:rFonts w:ascii="Verdana Pro Cond Light" w:hAnsi="Verdana Pro Cond Light" w:cs="Arial"/>
          <w:lang w:val="lv-LV"/>
        </w:rPr>
        <w:t xml:space="preserve">Atbilstoši Eiropas Komisijas </w:t>
      </w:r>
      <w:r>
        <w:rPr>
          <w:rFonts w:ascii="Verdana Pro Cond Light" w:hAnsi="Verdana Pro Cond Light" w:cs="Arial"/>
          <w:lang w:val="lv-LV"/>
        </w:rPr>
        <w:t xml:space="preserve">(EK) </w:t>
      </w:r>
      <w:r w:rsidRPr="000360AF">
        <w:rPr>
          <w:rFonts w:ascii="Verdana Pro Cond Light" w:hAnsi="Verdana Pro Cond Light" w:cs="Arial"/>
          <w:lang w:val="lv-LV"/>
        </w:rPr>
        <w:t xml:space="preserve">novērtējumam un Pasaules Ekonomikas Foruma sniegtajai informācijai, ES dalībvalstu nepieciešamās papildu investīcijas </w:t>
      </w:r>
      <w:r>
        <w:rPr>
          <w:rFonts w:ascii="Verdana Pro Cond Light" w:hAnsi="Verdana Pro Cond Light" w:cs="Arial"/>
          <w:lang w:val="lv-LV"/>
        </w:rPr>
        <w:t>Z</w:t>
      </w:r>
      <w:r w:rsidRPr="000360AF">
        <w:rPr>
          <w:rFonts w:ascii="Verdana Pro Cond Light" w:hAnsi="Verdana Pro Cond Light" w:cs="Arial"/>
          <w:lang w:val="lv-LV"/>
        </w:rPr>
        <w:t xml:space="preserve">aļā kursa mērķu sasniegšanai līdz 2030.gadam ir novērtētas vairāk nekā 620 miljardu eiro apmērā gadā. </w:t>
      </w:r>
      <w:r w:rsidRPr="000360AF">
        <w:rPr>
          <w:rFonts w:ascii="Verdana Pro Cond Light" w:hAnsi="Verdana Pro Cond Light"/>
          <w:color w:val="000000"/>
          <w:lang w:val="lv-LV"/>
        </w:rPr>
        <w:t>Tiek izvērtēts Latvijas kopējais nepieciešamais finansējums NEKP ambiciozo mērķu īstenošanai. Liela nozīmē būs ES fondu un privāto investīciju pieejamībai.</w:t>
      </w:r>
    </w:p>
    <w:p w14:paraId="04280377" w14:textId="77777777" w:rsidR="00262896" w:rsidRPr="004C2ACE" w:rsidRDefault="00262896" w:rsidP="00262896">
      <w:pPr>
        <w:widowControl/>
        <w:spacing w:after="120" w:line="240" w:lineRule="auto"/>
        <w:rPr>
          <w:rFonts w:ascii="Verdana Pro Cond Light" w:hAnsi="Verdana Pro Cond Light"/>
          <w:lang w:val="lv-LV"/>
        </w:rPr>
      </w:pPr>
      <w:r w:rsidRPr="004C2ACE">
        <w:rPr>
          <w:rFonts w:ascii="Verdana Pro Cond Light" w:hAnsi="Verdana Pro Cond Light"/>
          <w:lang w:val="lv-LV"/>
        </w:rPr>
        <w:t>Latvijas prioritātes kopumā atbilst ES prioritātēm. Respektīvi, ir nepieciešams veicināt investīcijas infrastruktūrā un rūpniecībā, jo īpaši energoietilpīgās nozarēs. Tomēr trūkst līdzekļu visu iecerēto pasākumu īstenošanai. Nepieciešamo finansējuma novērtējuma pamatojumam tiek izmantota arī citu valstu pieredze, kā arī autoru izstrādāta oriģinālā metodika.</w:t>
      </w:r>
    </w:p>
    <w:p w14:paraId="0E19A867" w14:textId="77777777" w:rsidR="00262896" w:rsidRDefault="00262896" w:rsidP="00262896">
      <w:pPr>
        <w:widowControl/>
        <w:spacing w:after="120" w:line="240" w:lineRule="auto"/>
        <w:rPr>
          <w:rFonts w:ascii="Verdana Pro Cond Light" w:hAnsi="Verdana Pro Cond Light"/>
          <w:lang w:val="lv-LV"/>
        </w:rPr>
      </w:pPr>
      <w:r w:rsidRPr="004C2ACE">
        <w:rPr>
          <w:rFonts w:ascii="Verdana Pro Cond Light" w:hAnsi="Verdana Pro Cond Light"/>
          <w:lang w:val="lv-LV"/>
        </w:rPr>
        <w:t>Pamatojoties uz Latvijas nacionālo enerģētikas un klimata plānu 2021. – 2030. gadam (NEKP), tika novērtēta NEKP pasākumu un to grupu sociālekonomiskā ietekme, pielietojot vispārējā līdzsvara modeli (VLA; Computable General Equilibrium).</w:t>
      </w:r>
    </w:p>
    <w:p w14:paraId="677A33E8" w14:textId="05426B33" w:rsidR="0002297E" w:rsidRDefault="0002297E" w:rsidP="00262896">
      <w:pPr>
        <w:widowControl/>
        <w:spacing w:after="120" w:line="240" w:lineRule="auto"/>
        <w:rPr>
          <w:rFonts w:ascii="Verdana Pro Cond Light" w:hAnsi="Verdana Pro Cond Light"/>
          <w:lang w:val="lv-LV"/>
        </w:rPr>
      </w:pPr>
      <w:r>
        <w:rPr>
          <w:rFonts w:ascii="Verdana Pro Cond Light" w:hAnsi="Verdana Pro Cond Light"/>
          <w:lang w:val="lv-LV"/>
        </w:rPr>
        <w:t>Ziņoju</w:t>
      </w:r>
      <w:r w:rsidR="004B4457">
        <w:rPr>
          <w:rFonts w:ascii="Verdana Pro Cond Light" w:hAnsi="Verdana Pro Cond Light"/>
          <w:lang w:val="lv-LV"/>
        </w:rPr>
        <w:t>ma</w:t>
      </w:r>
      <w:r>
        <w:rPr>
          <w:rFonts w:ascii="Verdana Pro Cond Light" w:hAnsi="Verdana Pro Cond Light"/>
          <w:lang w:val="lv-LV"/>
        </w:rPr>
        <w:t xml:space="preserve"> izstrādes laikā </w:t>
      </w:r>
      <w:r w:rsidR="00DF5B16">
        <w:rPr>
          <w:rFonts w:ascii="Verdana Pro Cond Light" w:hAnsi="Verdana Pro Cond Light"/>
          <w:lang w:val="lv-LV"/>
        </w:rPr>
        <w:t>tika veiktas</w:t>
      </w:r>
      <w:r>
        <w:rPr>
          <w:rFonts w:ascii="Verdana Pro Cond Light" w:hAnsi="Verdana Pro Cond Light"/>
          <w:lang w:val="lv-LV"/>
        </w:rPr>
        <w:t xml:space="preserve"> vairākas konsultācijas</w:t>
      </w:r>
      <w:r w:rsidR="004B4457">
        <w:rPr>
          <w:rFonts w:ascii="Verdana Pro Cond Light" w:hAnsi="Verdana Pro Cond Light"/>
          <w:lang w:val="lv-LV"/>
        </w:rPr>
        <w:t>, tai</w:t>
      </w:r>
      <w:r w:rsidR="005B3AE8">
        <w:rPr>
          <w:rFonts w:ascii="Verdana Pro Cond Light" w:hAnsi="Verdana Pro Cond Light"/>
          <w:lang w:val="lv-LV"/>
        </w:rPr>
        <w:t xml:space="preserve"> skaitā ar</w:t>
      </w:r>
      <w:r w:rsidR="005E1477">
        <w:rPr>
          <w:rFonts w:ascii="Verdana Pro Cond Light" w:hAnsi="Verdana Pro Cond Light"/>
          <w:lang w:val="lv-LV"/>
        </w:rPr>
        <w:t xml:space="preserve"> </w:t>
      </w:r>
      <w:r w:rsidR="005E1477" w:rsidRPr="005E1477">
        <w:rPr>
          <w:rFonts w:ascii="Verdana Pro Cond Light" w:hAnsi="Verdana Pro Cond Light"/>
          <w:lang w:val="lv-LV"/>
        </w:rPr>
        <w:t>Kl</w:t>
      </w:r>
      <w:r w:rsidR="005E1477">
        <w:rPr>
          <w:rFonts w:ascii="Verdana Pro Cond Light" w:hAnsi="Verdana Pro Cond Light"/>
          <w:lang w:val="lv-LV"/>
        </w:rPr>
        <w:t>imata un Enerģētikas ministriju</w:t>
      </w:r>
      <w:r w:rsidR="005B3AE8">
        <w:rPr>
          <w:rFonts w:ascii="Verdana Pro Cond Light" w:hAnsi="Verdana Pro Cond Light"/>
          <w:lang w:val="lv-LV"/>
        </w:rPr>
        <w:t>,</w:t>
      </w:r>
      <w:r w:rsidR="007D37DC">
        <w:rPr>
          <w:rFonts w:ascii="Verdana Pro Cond Light" w:hAnsi="Verdana Pro Cond Light"/>
          <w:lang w:val="lv-LV"/>
        </w:rPr>
        <w:t xml:space="preserve"> Ekonomikas ministriju, Zemkopīb</w:t>
      </w:r>
      <w:r w:rsidR="005B3AE8">
        <w:rPr>
          <w:rFonts w:ascii="Verdana Pro Cond Light" w:hAnsi="Verdana Pro Cond Light"/>
          <w:lang w:val="lv-LV"/>
        </w:rPr>
        <w:t xml:space="preserve">as ministriju, Finanšu ministriju un Fizikālās Enerģētikas institūtu. </w:t>
      </w:r>
      <w:r w:rsidR="005B3AE8" w:rsidRPr="005B3AE8">
        <w:rPr>
          <w:rFonts w:ascii="Verdana Pro Cond Light" w:hAnsi="Verdana Pro Cond Light"/>
          <w:lang w:val="lv-LV"/>
        </w:rPr>
        <w:t xml:space="preserve">Ekonomiskā izvērtējuma metodoloģija un sākotnējie rezultāti </w:t>
      </w:r>
      <w:r w:rsidR="005B3AE8">
        <w:rPr>
          <w:rFonts w:ascii="Verdana Pro Cond Light" w:hAnsi="Verdana Pro Cond Light"/>
          <w:lang w:val="lv-LV"/>
        </w:rPr>
        <w:t>tika</w:t>
      </w:r>
      <w:r w:rsidR="005B3AE8" w:rsidRPr="005B3AE8">
        <w:rPr>
          <w:rFonts w:ascii="Verdana Pro Cond Light" w:hAnsi="Verdana Pro Cond Light"/>
          <w:lang w:val="lv-LV"/>
        </w:rPr>
        <w:t xml:space="preserve"> apspriesti</w:t>
      </w:r>
      <w:r w:rsidR="005B3AE8">
        <w:rPr>
          <w:rFonts w:ascii="Verdana Pro Cond Light" w:hAnsi="Verdana Pro Cond Light"/>
          <w:lang w:val="lv-LV"/>
        </w:rPr>
        <w:t xml:space="preserve"> </w:t>
      </w:r>
      <w:r w:rsidR="004B4457" w:rsidRPr="004B4457">
        <w:rPr>
          <w:rFonts w:ascii="Verdana Pro Cond Light" w:hAnsi="Verdana Pro Cond Light"/>
          <w:lang w:val="lv-LV"/>
        </w:rPr>
        <w:t xml:space="preserve">Nacionālā enerģētikas un klimata plāna </w:t>
      </w:r>
      <w:r w:rsidR="00597D3D">
        <w:rPr>
          <w:rFonts w:ascii="Verdana Pro Cond Light" w:hAnsi="Verdana Pro Cond Light"/>
          <w:lang w:val="lv-LV"/>
        </w:rPr>
        <w:t xml:space="preserve">Modelēšanas darba grupā, </w:t>
      </w:r>
      <w:r w:rsidR="00597D3D" w:rsidRPr="00597D3D">
        <w:rPr>
          <w:rFonts w:ascii="Verdana Pro Cond Light" w:hAnsi="Verdana Pro Cond Light"/>
          <w:lang w:val="lv-LV"/>
        </w:rPr>
        <w:t>Zemes sektora un lauksaimniecības dar</w:t>
      </w:r>
      <w:r w:rsidR="00597D3D">
        <w:rPr>
          <w:rFonts w:ascii="Verdana Pro Cond Light" w:hAnsi="Verdana Pro Cond Light"/>
          <w:lang w:val="lv-LV"/>
        </w:rPr>
        <w:t xml:space="preserve">ba grupā, </w:t>
      </w:r>
      <w:r w:rsidR="00597D3D" w:rsidRPr="00597D3D">
        <w:rPr>
          <w:rFonts w:ascii="Verdana Pro Cond Light" w:hAnsi="Verdana Pro Cond Light"/>
          <w:lang w:val="lv-LV"/>
        </w:rPr>
        <w:t>Rūpnie</w:t>
      </w:r>
      <w:r w:rsidR="00597D3D">
        <w:rPr>
          <w:rFonts w:ascii="Verdana Pro Cond Light" w:hAnsi="Verdana Pro Cond Light"/>
          <w:lang w:val="lv-LV"/>
        </w:rPr>
        <w:t xml:space="preserve">cības un būvniecības darba grupā, kā arī ar </w:t>
      </w:r>
      <w:r w:rsidR="00597D3D" w:rsidRPr="00597D3D">
        <w:rPr>
          <w:rFonts w:ascii="Verdana Pro Cond Light" w:hAnsi="Verdana Pro Cond Light"/>
          <w:lang w:val="lv-LV"/>
        </w:rPr>
        <w:t>uzņēmumu organizāciju pārstāvjiem</w:t>
      </w:r>
      <w:r w:rsidR="00597D3D">
        <w:rPr>
          <w:rFonts w:ascii="Verdana Pro Cond Light" w:hAnsi="Verdana Pro Cond Light"/>
          <w:lang w:val="lv-LV"/>
        </w:rPr>
        <w:t xml:space="preserve">, kā </w:t>
      </w:r>
      <w:r w:rsidR="00597D3D" w:rsidRPr="00597D3D">
        <w:rPr>
          <w:rFonts w:ascii="Verdana Pro Cond Light" w:hAnsi="Verdana Pro Cond Light"/>
          <w:lang w:val="lv-LV"/>
        </w:rPr>
        <w:t>Latv</w:t>
      </w:r>
      <w:r w:rsidR="00597D3D">
        <w:rPr>
          <w:rFonts w:ascii="Verdana Pro Cond Light" w:hAnsi="Verdana Pro Cond Light"/>
          <w:lang w:val="lv-LV"/>
        </w:rPr>
        <w:t xml:space="preserve">ijas Darba devēju konfederāciju, </w:t>
      </w:r>
      <w:r w:rsidR="00597D3D" w:rsidRPr="00597D3D">
        <w:rPr>
          <w:rFonts w:ascii="Verdana Pro Cond Light" w:hAnsi="Verdana Pro Cond Light"/>
          <w:lang w:val="lv-LV"/>
        </w:rPr>
        <w:t>Latvijas Tir</w:t>
      </w:r>
      <w:r w:rsidR="00597D3D">
        <w:rPr>
          <w:rFonts w:ascii="Verdana Pro Cond Light" w:hAnsi="Verdana Pro Cond Light"/>
          <w:lang w:val="lv-LV"/>
        </w:rPr>
        <w:t>dzniecības un rūpniecības kameru un Ārvalstu Investoru padomi.</w:t>
      </w:r>
    </w:p>
    <w:p w14:paraId="2CF3A16E" w14:textId="4628CE95" w:rsidR="0002297E" w:rsidRPr="004C2ACE" w:rsidRDefault="0002297E" w:rsidP="00262896">
      <w:pPr>
        <w:widowControl/>
        <w:spacing w:after="120" w:line="240" w:lineRule="auto"/>
        <w:rPr>
          <w:rFonts w:ascii="Verdana Pro Cond Light" w:hAnsi="Verdana Pro Cond Light"/>
          <w:lang w:val="lv-LV"/>
        </w:rPr>
      </w:pPr>
      <w:r>
        <w:rPr>
          <w:rFonts w:ascii="Verdana Pro Cond Light" w:hAnsi="Verdana Pro Cond Light"/>
          <w:lang w:val="lv-LV"/>
        </w:rPr>
        <w:t xml:space="preserve">Ziņojuma gala rezultāti tika prezentēti </w:t>
      </w:r>
      <w:r w:rsidR="00597D3D" w:rsidRPr="00597D3D">
        <w:rPr>
          <w:rFonts w:ascii="Verdana Pro Cond Light" w:hAnsi="Verdana Pro Cond Light"/>
          <w:lang w:val="lv-LV"/>
        </w:rPr>
        <w:t>Klimata un Enerģētikas ministrija</w:t>
      </w:r>
      <w:r w:rsidR="00597D3D">
        <w:rPr>
          <w:rFonts w:ascii="Verdana Pro Cond Light" w:hAnsi="Verdana Pro Cond Light"/>
          <w:lang w:val="lv-LV"/>
        </w:rPr>
        <w:t>i un Latvijas Bankai, tāpat v</w:t>
      </w:r>
      <w:r w:rsidR="004B4457">
        <w:rPr>
          <w:rFonts w:ascii="Verdana Pro Cond Light" w:hAnsi="Verdana Pro Cond Light"/>
          <w:lang w:val="lv-LV"/>
        </w:rPr>
        <w:t>a</w:t>
      </w:r>
      <w:r w:rsidR="00597D3D">
        <w:rPr>
          <w:rFonts w:ascii="Verdana Pro Cond Light" w:hAnsi="Verdana Pro Cond Light"/>
          <w:lang w:val="lv-LV"/>
        </w:rPr>
        <w:t xml:space="preserve">irākās </w:t>
      </w:r>
      <w:r w:rsidR="004B4457" w:rsidRPr="004B4457">
        <w:rPr>
          <w:rFonts w:ascii="Verdana Pro Cond Light" w:hAnsi="Verdana Pro Cond Light"/>
          <w:lang w:val="lv-LV"/>
        </w:rPr>
        <w:t xml:space="preserve">Nacionālā enerģētikas un klimata plāna </w:t>
      </w:r>
      <w:r w:rsidR="00597D3D">
        <w:rPr>
          <w:rFonts w:ascii="Verdana Pro Cond Light" w:hAnsi="Verdana Pro Cond Light"/>
          <w:lang w:val="lv-LV"/>
        </w:rPr>
        <w:t>darba grupās</w:t>
      </w:r>
      <w:r w:rsidR="00642E6C">
        <w:rPr>
          <w:rFonts w:ascii="Verdana Pro Cond Light" w:hAnsi="Verdana Pro Cond Light"/>
          <w:lang w:val="lv-LV"/>
        </w:rPr>
        <w:t xml:space="preserve">, </w:t>
      </w:r>
      <w:r w:rsidR="004B4457">
        <w:rPr>
          <w:rFonts w:ascii="Verdana Pro Cond Light" w:hAnsi="Verdana Pro Cond Light"/>
          <w:lang w:val="lv-LV"/>
        </w:rPr>
        <w:t>tostarp</w:t>
      </w:r>
      <w:r w:rsidR="00597D3D">
        <w:rPr>
          <w:rFonts w:ascii="Verdana Pro Cond Light" w:hAnsi="Verdana Pro Cond Light"/>
          <w:lang w:val="lv-LV"/>
        </w:rPr>
        <w:t xml:space="preserve"> </w:t>
      </w:r>
      <w:r w:rsidR="00597D3D" w:rsidRPr="00597D3D">
        <w:rPr>
          <w:rFonts w:ascii="Verdana Pro Cond Light" w:hAnsi="Verdana Pro Cond Light"/>
          <w:lang w:val="lv-LV"/>
        </w:rPr>
        <w:t xml:space="preserve">Zemes sektora un lauksaimniecības </w:t>
      </w:r>
      <w:r w:rsidR="00597D3D">
        <w:rPr>
          <w:rFonts w:ascii="Verdana Pro Cond Light" w:hAnsi="Verdana Pro Cond Light"/>
          <w:lang w:val="lv-LV"/>
        </w:rPr>
        <w:t xml:space="preserve">darba grupai, </w:t>
      </w:r>
      <w:r w:rsidR="00597D3D" w:rsidRPr="00597D3D">
        <w:rPr>
          <w:rFonts w:ascii="Verdana Pro Cond Light" w:hAnsi="Verdana Pro Cond Light"/>
          <w:lang w:val="lv-LV"/>
        </w:rPr>
        <w:t>Ilgts</w:t>
      </w:r>
      <w:r w:rsidR="00597D3D">
        <w:rPr>
          <w:rFonts w:ascii="Verdana Pro Cond Light" w:hAnsi="Verdana Pro Cond Light"/>
          <w:lang w:val="lv-LV"/>
        </w:rPr>
        <w:t xml:space="preserve">pējīgas mobilitātes darba grupai, </w:t>
      </w:r>
      <w:r w:rsidR="00597D3D" w:rsidRPr="00597D3D">
        <w:rPr>
          <w:rFonts w:ascii="Verdana Pro Cond Light" w:hAnsi="Verdana Pro Cond Light"/>
          <w:lang w:val="lv-LV"/>
        </w:rPr>
        <w:t>Rūpniec</w:t>
      </w:r>
      <w:r w:rsidR="00597D3D">
        <w:rPr>
          <w:rFonts w:ascii="Verdana Pro Cond Light" w:hAnsi="Verdana Pro Cond Light"/>
          <w:lang w:val="lv-LV"/>
        </w:rPr>
        <w:t xml:space="preserve">ības un būvniecības darba grupai un </w:t>
      </w:r>
      <w:r w:rsidR="00642E6C" w:rsidRPr="00642E6C">
        <w:rPr>
          <w:rFonts w:ascii="Verdana Pro Cond Light" w:hAnsi="Verdana Pro Cond Light"/>
          <w:lang w:val="lv-LV"/>
        </w:rPr>
        <w:t>Aprites ekonomikas un atkritum</w:t>
      </w:r>
      <w:r w:rsidR="00642E6C">
        <w:rPr>
          <w:rFonts w:ascii="Verdana Pro Cond Light" w:hAnsi="Verdana Pro Cond Light"/>
          <w:lang w:val="lv-LV"/>
        </w:rPr>
        <w:t xml:space="preserve">u apsaimniekošanas darba </w:t>
      </w:r>
      <w:r w:rsidR="00597D3D">
        <w:rPr>
          <w:rFonts w:ascii="Verdana Pro Cond Light" w:hAnsi="Verdana Pro Cond Light"/>
          <w:lang w:val="lv-LV"/>
        </w:rPr>
        <w:t>grupai.</w:t>
      </w:r>
    </w:p>
    <w:p w14:paraId="095E256D" w14:textId="77777777" w:rsidR="00262896" w:rsidRPr="004C2ACE" w:rsidRDefault="00262896" w:rsidP="00262896">
      <w:pPr>
        <w:widowControl/>
        <w:spacing w:after="120" w:line="240" w:lineRule="auto"/>
        <w:rPr>
          <w:rFonts w:ascii="Verdana Pro Cond Light" w:hAnsi="Verdana Pro Cond Light"/>
          <w:lang w:val="lv-LV"/>
        </w:rPr>
      </w:pPr>
      <w:r w:rsidRPr="004C2ACE">
        <w:rPr>
          <w:rFonts w:ascii="Verdana Pro Cond Light" w:hAnsi="Verdana Pro Cond Light"/>
          <w:lang w:val="lv-LV"/>
        </w:rPr>
        <w:t>Nodevums ietver sešas sadaļas.</w:t>
      </w:r>
    </w:p>
    <w:p w14:paraId="7BCE8E4D" w14:textId="77777777" w:rsidR="00262896" w:rsidRPr="004C2ACE" w:rsidRDefault="00262896" w:rsidP="00262896">
      <w:pPr>
        <w:widowControl/>
        <w:spacing w:after="120" w:line="240" w:lineRule="auto"/>
        <w:rPr>
          <w:rFonts w:ascii="Verdana Pro Cond Light" w:hAnsi="Verdana Pro Cond Light"/>
          <w:lang w:val="lv-LV"/>
        </w:rPr>
      </w:pPr>
      <w:r w:rsidRPr="004C2ACE">
        <w:rPr>
          <w:rFonts w:ascii="Verdana Pro Cond Light" w:hAnsi="Verdana Pro Cond Light"/>
          <w:i/>
          <w:iCs/>
          <w:lang w:val="lv-LV"/>
        </w:rPr>
        <w:t>Pirmajā sadaļā</w:t>
      </w:r>
      <w:r w:rsidRPr="004C2ACE">
        <w:rPr>
          <w:rFonts w:ascii="Verdana Pro Cond Light" w:hAnsi="Verdana Pro Cond Light"/>
          <w:lang w:val="lv-LV"/>
        </w:rPr>
        <w:t xml:space="preserve"> ir apskatītas Latvijas enerģētikas sektora 2024.gada monitoringa aktuālās problēmas. Raksturojot situāciju Latvijā, Pasaules Enerģijas Padome, balstoties uz Latvijas ekspertu vērtējumiem, norādīja uz miera saglabāšanas riskiem, piegāžu ķēdes nestabilitāti, infrastruktūras uzlabošanas nepieciešamību, pieprasījuma vadības trūkumiem un iesaistīto pušu koordinācijas nepietiekamību. Šajā sadaļā tiek prezentēti arī uzņēmēju viedokļi par Zaļā kursa īstenošanu, izmantota PWC 2022.gadā organizētā 300 ES uzņēmēju aptauja “Vai Eiropas uzņēmumi ir gatavi ES Zaļajam kursam”. Papildus tam tiek apskatīts Eiropas Vides Politikas Institūta 2024.gada maijā sagatavotais Eiropas Zaļā kursa Barometra 2024 ziņojums. Aptaujā piedalījās pārstāvji no akadēmiskās vides un domnīcām, politikas veidotāji, nevalstiskās organizācijas un privātais sektors.</w:t>
      </w:r>
    </w:p>
    <w:p w14:paraId="3E3619A8" w14:textId="77777777" w:rsidR="00262896" w:rsidRPr="004C2ACE" w:rsidRDefault="00262896" w:rsidP="00262896">
      <w:pPr>
        <w:widowControl/>
        <w:spacing w:after="120" w:line="240" w:lineRule="auto"/>
        <w:rPr>
          <w:rFonts w:ascii="Verdana Pro Cond Light" w:hAnsi="Verdana Pro Cond Light"/>
          <w:lang w:val="lv-LV"/>
        </w:rPr>
      </w:pPr>
      <w:r w:rsidRPr="004C2ACE">
        <w:rPr>
          <w:rFonts w:ascii="Verdana Pro Cond Light" w:hAnsi="Verdana Pro Cond Light"/>
          <w:i/>
          <w:iCs/>
          <w:lang w:val="lv-LV"/>
        </w:rPr>
        <w:t>Otra sadaļa</w:t>
      </w:r>
      <w:r w:rsidRPr="004C2ACE">
        <w:rPr>
          <w:rFonts w:ascii="Verdana Pro Cond Light" w:hAnsi="Verdana Pro Cond Light"/>
          <w:lang w:val="lv-LV"/>
        </w:rPr>
        <w:t xml:space="preserve"> tiek veltīta Latvijas ilgtermiņa ekonomiskās attīstības un klimata mērķiem. Ņemot vērā, ka NEKP ir cieši saistīts ar kopēju tautsaimniecības attīstību, šajā nodaļā ir raksturota Latvijas ilgtermiņa ekonomiskās attīstības un klimata mērķu mijiedarbība un kopējās pieejamās investīcijas, kas izriet no valdības dokumentiem.</w:t>
      </w:r>
    </w:p>
    <w:p w14:paraId="3C831B45" w14:textId="77777777" w:rsidR="00262896" w:rsidRPr="004C2ACE" w:rsidRDefault="00262896" w:rsidP="00262896">
      <w:pPr>
        <w:widowControl/>
        <w:spacing w:after="120" w:line="240" w:lineRule="auto"/>
        <w:rPr>
          <w:rFonts w:ascii="Verdana Pro Cond Light" w:hAnsi="Verdana Pro Cond Light"/>
          <w:lang w:val="lv-LV"/>
        </w:rPr>
      </w:pPr>
      <w:r w:rsidRPr="004C2ACE">
        <w:rPr>
          <w:rFonts w:ascii="Verdana Pro Cond Light" w:hAnsi="Verdana Pro Cond Light"/>
          <w:lang w:val="lv-LV"/>
        </w:rPr>
        <w:lastRenderedPageBreak/>
        <w:t xml:space="preserve">Zaļā kursa turpināšanas ietekme uz Eiropas Savienības konkurētspēju ir apskatīta nodevuma </w:t>
      </w:r>
      <w:r w:rsidRPr="004C2ACE">
        <w:rPr>
          <w:rFonts w:ascii="Verdana Pro Cond Light" w:hAnsi="Verdana Pro Cond Light"/>
          <w:i/>
          <w:iCs/>
          <w:lang w:val="lv-LV"/>
        </w:rPr>
        <w:t>trešajā sadaļā</w:t>
      </w:r>
      <w:r w:rsidRPr="004C2ACE">
        <w:rPr>
          <w:rFonts w:ascii="Verdana Pro Cond Light" w:hAnsi="Verdana Pro Cond Light"/>
          <w:lang w:val="lv-LV"/>
        </w:rPr>
        <w:t xml:space="preserve">. Eiropas Komisijas prezidente apstiprināja, ka Zaļā kursa virziens tiek saglabāts, kas ir svarīga ziņa privātajiem investoriem, un ka esošā 2030.gada tiesiskā ietvara ieviešana tiks turpināta. Tomēr Zaļā kursa ieviešana jāsaskaņo ar Eiropas konkurētspējas nākotni. Šajā kontekstā analizēti galvenie </w:t>
      </w:r>
      <w:r w:rsidRPr="004C2ACE">
        <w:rPr>
          <w:rFonts w:ascii="Verdana Pro Cond Light" w:hAnsi="Verdana Pro Cond Light"/>
          <w:i/>
          <w:iCs/>
          <w:lang w:val="lv-LV"/>
        </w:rPr>
        <w:t>Mario Dragi</w:t>
      </w:r>
      <w:r w:rsidRPr="004C2ACE">
        <w:rPr>
          <w:rFonts w:ascii="Verdana Pro Cond Light" w:hAnsi="Verdana Pro Cond Light"/>
          <w:lang w:val="lv-LV"/>
        </w:rPr>
        <w:t xml:space="preserve"> secinājumi, īpaši saistībā ar kopīgu dekarbonizācijas un konkurētspējas plānu. Ja šāds saskaņotas rīcības plāns netiks izstrādāts, pastāv risks, ka dekarbonizācija var būt pretrunā ar konkurētspēju un izaugsmi.</w:t>
      </w:r>
    </w:p>
    <w:p w14:paraId="0CBA0CB9" w14:textId="77777777" w:rsidR="00262896" w:rsidRPr="004C2ACE" w:rsidRDefault="00262896" w:rsidP="00262896">
      <w:pPr>
        <w:widowControl/>
        <w:spacing w:after="120" w:line="240" w:lineRule="auto"/>
        <w:rPr>
          <w:rFonts w:ascii="Verdana Pro Cond Light" w:hAnsi="Verdana Pro Cond Light"/>
          <w:lang w:val="lv-LV"/>
        </w:rPr>
      </w:pPr>
      <w:r w:rsidRPr="004C2ACE">
        <w:rPr>
          <w:rFonts w:ascii="Verdana Pro Cond Light" w:hAnsi="Verdana Pro Cond Light"/>
          <w:lang w:val="lv-LV"/>
        </w:rPr>
        <w:t xml:space="preserve">Latvijā Zaļā kursa un klimatneitralitātes iniciatīva varētu tikt īstenota pie nosacījuma, ja tiks rasts finansējums atbalstīt klimata pārmaiņu mazināšanas un zaļās pārkārtošanas darbības. Šis finansējums sastāv no nacionālā, pašvaldību un starptautiskā finansējuma, un to veido publiskie, privātie un alternatīvie finansējuma avoti. Visas ES valstīs mēģina piesaistīt attiecīgo finansējumu Zaļā kursa un klimatneitralitātes iniciatīvas īstenošanai. Respektīvi </w:t>
      </w:r>
      <w:r w:rsidRPr="004C2ACE">
        <w:rPr>
          <w:rFonts w:ascii="Verdana Pro Cond Light" w:hAnsi="Verdana Pro Cond Light"/>
          <w:i/>
          <w:iCs/>
          <w:lang w:val="lv-LV"/>
        </w:rPr>
        <w:t>ceturtās sadaļas</w:t>
      </w:r>
      <w:r w:rsidRPr="004C2ACE">
        <w:rPr>
          <w:rFonts w:ascii="Verdana Pro Cond Light" w:hAnsi="Verdana Pro Cond Light"/>
          <w:lang w:val="lv-LV"/>
        </w:rPr>
        <w:t xml:space="preserve"> mērķis ir raksturot klimata un enerģētikas mērķu 2030.gadam sasniegšanai nepieciešamas investīcijas ES valstīs. Situācija ES dalībvalstīs ir ļoti atšķirīga un nevar būt tiešā veidā attiecināta uz Latvijas vajadzību izvērtēšanu, tomēr analīze sniedz priekšstatu pat finansējuma mērķrādītājiem (</w:t>
      </w:r>
      <w:r w:rsidRPr="004C2ACE">
        <w:rPr>
          <w:rFonts w:ascii="Verdana Pro Cond Light" w:hAnsi="Verdana Pro Cond Light"/>
          <w:i/>
          <w:iCs/>
          <w:lang w:val="lv-LV"/>
        </w:rPr>
        <w:t>benchmark</w:t>
      </w:r>
      <w:r w:rsidRPr="004C2ACE">
        <w:rPr>
          <w:rFonts w:ascii="Verdana Pro Cond Light" w:hAnsi="Verdana Pro Cond Light"/>
          <w:lang w:val="lv-LV"/>
        </w:rPr>
        <w:t>).</w:t>
      </w:r>
    </w:p>
    <w:p w14:paraId="5886C2D6" w14:textId="77777777" w:rsidR="00262896" w:rsidRPr="004C2ACE" w:rsidRDefault="00262896" w:rsidP="00262896">
      <w:pPr>
        <w:widowControl/>
        <w:spacing w:after="120" w:line="240" w:lineRule="auto"/>
        <w:rPr>
          <w:rFonts w:ascii="Verdana Pro Cond Light" w:hAnsi="Verdana Pro Cond Light"/>
          <w:lang w:val="lv-LV"/>
        </w:rPr>
      </w:pPr>
      <w:r w:rsidRPr="004C2ACE">
        <w:rPr>
          <w:rFonts w:ascii="Verdana Pro Cond Light" w:hAnsi="Verdana Pro Cond Light"/>
          <w:i/>
          <w:iCs/>
          <w:lang w:val="lv-LV"/>
        </w:rPr>
        <w:t>Piektā sadaļa</w:t>
      </w:r>
      <w:r w:rsidRPr="004C2ACE">
        <w:rPr>
          <w:rFonts w:ascii="Verdana Pro Cond Light" w:hAnsi="Verdana Pro Cond Light"/>
          <w:lang w:val="lv-LV"/>
        </w:rPr>
        <w:t xml:space="preserve"> tiek veltīta Latvijas enerģētikas un klimata mērķu sasniegšanai nepieciešamā finansējuma novērtējumam, balstoties uz autoru izstrādāto metodoloģisko pieeju, kuras pamatā ir konceptuālais pieņēmums, ka klimata neitrālas ekonomikas mērķa sasniegšanai ir nepieciešams aizvietot SEG emisiju ietilpīgus aktīvus, kā arī palielināt esošo aktīvu energoefektivitāti. Ņemot vērā datu ierobežoto pieejamību, nepieciešamo investīciju apjoma novērtēšanai tika piemērota pieeja, kuras pamatā ir nacionālo kontu dati, salīdzinoši augstas agregācijas līmenī.</w:t>
      </w:r>
    </w:p>
    <w:p w14:paraId="44ED7D55" w14:textId="03E66AA9" w:rsidR="00262896" w:rsidRPr="000360AF" w:rsidRDefault="00262896" w:rsidP="00262896">
      <w:pPr>
        <w:widowControl/>
        <w:spacing w:after="120" w:line="240" w:lineRule="auto"/>
        <w:rPr>
          <w:rFonts w:ascii="Verdana Pro Cond Light" w:hAnsi="Verdana Pro Cond Light"/>
          <w:lang w:val="lv-LV"/>
        </w:rPr>
      </w:pPr>
      <w:r w:rsidRPr="004C2ACE">
        <w:rPr>
          <w:rFonts w:ascii="Verdana Pro Cond Light" w:hAnsi="Verdana Pro Cond Light"/>
          <w:lang w:val="lv-LV"/>
        </w:rPr>
        <w:t xml:space="preserve">Nodevuma </w:t>
      </w:r>
      <w:r w:rsidRPr="004C2ACE">
        <w:rPr>
          <w:rFonts w:ascii="Verdana Pro Cond Light" w:hAnsi="Verdana Pro Cond Light"/>
          <w:i/>
          <w:iCs/>
          <w:lang w:val="lv-LV"/>
        </w:rPr>
        <w:t>sestajā sadaļā</w:t>
      </w:r>
      <w:r w:rsidRPr="004C2ACE">
        <w:rPr>
          <w:rFonts w:ascii="Verdana Pro Cond Light" w:hAnsi="Verdana Pro Cond Light"/>
          <w:lang w:val="lv-LV"/>
        </w:rPr>
        <w:t xml:space="preserve"> LU pētnieki veic NEKP pasākumu sociālekonomiskās ietekmes izvērtējumu, pielietojot vispārējā līdzsvara modeli. Tika analizēta ietekme uz šādiem sociālekonomiskiem rādītājiem </w:t>
      </w:r>
      <w:r>
        <w:rPr>
          <w:rFonts w:ascii="Verdana Pro Cond Light" w:hAnsi="Verdana Pro Cond Light"/>
          <w:lang w:val="lv-LV"/>
        </w:rPr>
        <w:t xml:space="preserve">– </w:t>
      </w:r>
      <w:r w:rsidRPr="004C2ACE">
        <w:rPr>
          <w:rFonts w:ascii="Verdana Pro Cond Light" w:hAnsi="Verdana Pro Cond Light"/>
          <w:lang w:val="lv-LV"/>
        </w:rPr>
        <w:t xml:space="preserve">iekšzemes kopproduktu, privāto patēriņu, investīcijām, eksportu, importu, tirdzniecības bilanci, darba vietu skaitu, bezdarba līmeni, vidējo algu, patēriņa cenām, valsts budžeta ieņēmumiem, kā arī uz pievienoto vērtību nozaru dalījumā. Vērtējums sniegts šādu NEKP pasākumu grupu dalījumā </w:t>
      </w:r>
      <w:r>
        <w:rPr>
          <w:rFonts w:ascii="Verdana Pro Cond Light" w:hAnsi="Verdana Pro Cond Light"/>
          <w:lang w:val="lv-LV"/>
        </w:rPr>
        <w:t xml:space="preserve">– </w:t>
      </w:r>
      <w:r w:rsidRPr="004C2ACE">
        <w:rPr>
          <w:rFonts w:ascii="Verdana Pro Cond Light" w:hAnsi="Verdana Pro Cond Light"/>
          <w:lang w:val="lv-LV"/>
        </w:rPr>
        <w:t>ZIZIMM sektora pasākumi, transporta pasākumi, RPPI sektora pasākumi, elektroenerģijas un siltumenerģijas ražošanas pasākumi, enerģiskās drošības un iekšējā elektrības tirgus pasākumi, energoefektivitātes pasākumi. Ietverta arī divu kopējo scenāriju sociālekonomiskā ietekme –</w:t>
      </w:r>
      <w:r>
        <w:rPr>
          <w:rFonts w:ascii="Verdana Pro Cond Light" w:hAnsi="Verdana Pro Cond Light"/>
          <w:lang w:val="lv-LV"/>
        </w:rPr>
        <w:t xml:space="preserve"> </w:t>
      </w:r>
      <w:r w:rsidRPr="004C2ACE">
        <w:rPr>
          <w:rFonts w:ascii="Verdana Pro Cond Light" w:hAnsi="Verdana Pro Cond Light"/>
          <w:lang w:val="lv-LV"/>
        </w:rPr>
        <w:t>visu NEKP pasākumu īstenošana nepieciešamā finansējuma apjomā un iezīmētā finansējuma apjomā.</w:t>
      </w:r>
      <w:r w:rsidRPr="000360AF">
        <w:rPr>
          <w:rFonts w:ascii="Verdana Pro Cond Light" w:hAnsi="Verdana Pro Cond Light"/>
          <w:lang w:val="lv-LV"/>
        </w:rPr>
        <w:br w:type="page"/>
      </w:r>
    </w:p>
    <w:p w14:paraId="65EE0DCD" w14:textId="77777777" w:rsidR="00262896" w:rsidRPr="00D948CD" w:rsidRDefault="00262896" w:rsidP="00262896">
      <w:pPr>
        <w:pStyle w:val="Heading1"/>
        <w:widowControl/>
        <w:rPr>
          <w:lang w:val="lv-LV"/>
        </w:rPr>
      </w:pPr>
      <w:bookmarkStart w:id="6" w:name="_Toc183697481"/>
      <w:bookmarkStart w:id="7" w:name="_Toc176185138"/>
      <w:bookmarkStart w:id="8" w:name="_Toc178018159"/>
      <w:r w:rsidRPr="00D948CD">
        <w:rPr>
          <w:lang w:val="lv-LV"/>
        </w:rPr>
        <w:lastRenderedPageBreak/>
        <w:t>KOPSAVILKUMS</w:t>
      </w:r>
      <w:bookmarkEnd w:id="6"/>
    </w:p>
    <w:p w14:paraId="78946F33" w14:textId="77777777" w:rsidR="00262896" w:rsidRPr="004C2ACE" w:rsidRDefault="00262896" w:rsidP="00262896">
      <w:pPr>
        <w:widowControl/>
        <w:spacing w:beforeLines="40" w:before="96" w:after="160" w:line="240" w:lineRule="auto"/>
        <w:rPr>
          <w:rFonts w:ascii="Verdana Pro Cond Light" w:hAnsi="Verdana Pro Cond Light"/>
          <w:lang w:val="lv-LV"/>
        </w:rPr>
      </w:pPr>
      <w:r w:rsidRPr="004C2ACE">
        <w:rPr>
          <w:rFonts w:ascii="Verdana Pro Cond Light" w:hAnsi="Verdana Pro Cond Light"/>
          <w:lang w:val="lv-LV"/>
        </w:rPr>
        <w:t>Nodevumā, saskaņā ar līgumu par finansējumu valsts pārvaldes uzdevuma izpildes nodrošināšanai Nr.5.2-17.2/2024/1, izvērtēta Nacionālajā enerģētikas un klimata plānā iekļauto pasākumu ekonomiskā ietekme.</w:t>
      </w:r>
    </w:p>
    <w:p w14:paraId="717AEFC9" w14:textId="77777777" w:rsidR="00262896" w:rsidRPr="004C2ACE" w:rsidRDefault="00262896" w:rsidP="00262896">
      <w:pPr>
        <w:widowControl/>
        <w:spacing w:beforeLines="40" w:before="96" w:after="160" w:line="240" w:lineRule="auto"/>
        <w:rPr>
          <w:rFonts w:ascii="Verdana Pro Cond Light" w:hAnsi="Verdana Pro Cond Light"/>
          <w:lang w:val="lv-LV"/>
        </w:rPr>
      </w:pPr>
      <w:r w:rsidRPr="004C2ACE">
        <w:rPr>
          <w:rFonts w:ascii="Verdana Pro Cond Light" w:hAnsi="Verdana Pro Cond Light"/>
          <w:lang w:val="lv-LV"/>
        </w:rPr>
        <w:t>Darba uzdevumu kontekstā un atbilstoši starptautiskajai metodoloģijai tika izanalizēta situācija Latvijas enerģētikas sektorā. Raksturojot situāciju Latvijā, Pasaules Enerģijas Padome kā galvenās problēmas no enerģētikas ekspertu puses nosauca miera risku, piegāžu ķēdes ievainojamību, infrastruktūras nepilnības, pieprasījuma vadības trūkumus un iesaistīto pušu koordinācijas nepietiekamību.</w:t>
      </w:r>
    </w:p>
    <w:p w14:paraId="144DE064" w14:textId="77777777" w:rsidR="00262896" w:rsidRPr="004C2ACE" w:rsidRDefault="00262896" w:rsidP="00262896">
      <w:pPr>
        <w:widowControl/>
        <w:spacing w:beforeLines="40" w:before="96" w:after="160" w:line="240" w:lineRule="auto"/>
        <w:rPr>
          <w:rFonts w:ascii="Verdana Pro Cond Light" w:hAnsi="Verdana Pro Cond Light"/>
          <w:lang w:val="lv-LV"/>
        </w:rPr>
      </w:pPr>
      <w:r w:rsidRPr="004C2ACE">
        <w:rPr>
          <w:rFonts w:ascii="Verdana Pro Cond Light" w:hAnsi="Verdana Pro Cond Light"/>
          <w:lang w:val="lv-LV"/>
        </w:rPr>
        <w:t>Eiropas Vides Politikas Institūta 2024.gada maija Eiropas Zaļā kursa Barometra 2024 ziņojums parāda, ka neskatoties uz to, ka 69% respondentu uzskata, ka Zaļajam kursam ir pozitīva ārējā ietekme, 67% vērtē, ka 2024.gada vēlēšanu rezultāti mazinās ES entuziasmu zaļo mērķu virzībā. Vienlaikus respondenti ir pārliecināti, ka Eiropas Komisija spēs iepriekš nosprausto darba kārtību noturēt. Būtisku lomu sabiedrības atbalsta nodrošināšanā spēlēs “taisnīgas pārejas” (“</w:t>
      </w:r>
      <w:r w:rsidRPr="00D92493">
        <w:rPr>
          <w:rFonts w:ascii="Verdana Pro Cond Light" w:hAnsi="Verdana Pro Cond Light"/>
          <w:i/>
          <w:iCs/>
          <w:lang w:val="lv-LV"/>
        </w:rPr>
        <w:t>just transition</w:t>
      </w:r>
      <w:r w:rsidRPr="004C2ACE">
        <w:rPr>
          <w:rFonts w:ascii="Verdana Pro Cond Light" w:hAnsi="Verdana Pro Cond Light"/>
          <w:lang w:val="lv-LV"/>
        </w:rPr>
        <w:t>”) koncepta ieviešana.</w:t>
      </w:r>
    </w:p>
    <w:p w14:paraId="0AA6253D" w14:textId="77777777" w:rsidR="00262896" w:rsidRPr="004C2ACE" w:rsidRDefault="00262896" w:rsidP="00262896">
      <w:pPr>
        <w:widowControl/>
        <w:spacing w:beforeLines="40" w:before="96" w:after="160" w:line="240" w:lineRule="auto"/>
        <w:rPr>
          <w:rFonts w:ascii="Verdana Pro Cond Light" w:hAnsi="Verdana Pro Cond Light"/>
          <w:lang w:val="lv-LV"/>
        </w:rPr>
      </w:pPr>
      <w:r w:rsidRPr="004C2ACE">
        <w:rPr>
          <w:rFonts w:ascii="Verdana Pro Cond Light" w:hAnsi="Verdana Pro Cond Light"/>
          <w:lang w:val="lv-LV"/>
        </w:rPr>
        <w:t>Zaļais kurss aptver ļoti būtisku biznesa un vērtības ķēžu transformāciju caur regulējuma izmaiņām, atbalsta pasākumiem un papildu maksājumu pienākumiem. PWC organizētā 300 uzņēmēju aptauja parādīja, ka lielākai daļai uzņēmumu trūkst visaptverošas stratēģijas, lai reaģētu uz visām Zaļā kursa dimensijām. Lai gan PWC organizētā uzņēmēju aptauja tika veikta 2022.gadā, un situācija ir mainījusies, aptaujā iezīmētie virzieni paliek joprojām aktuāli un ir vērā ņemami Latvijas politikas plānošanas procesā.</w:t>
      </w:r>
    </w:p>
    <w:p w14:paraId="22EF3E86" w14:textId="77777777" w:rsidR="00262896" w:rsidRDefault="00262896" w:rsidP="00262896">
      <w:pPr>
        <w:widowControl/>
        <w:spacing w:beforeLines="40" w:before="96" w:after="160" w:line="240" w:lineRule="auto"/>
        <w:rPr>
          <w:rFonts w:ascii="Verdana Pro Cond Light" w:hAnsi="Verdana Pro Cond Light"/>
          <w:lang w:val="lv-LV"/>
        </w:rPr>
      </w:pPr>
      <w:r w:rsidRPr="004C2ACE">
        <w:rPr>
          <w:rFonts w:ascii="Verdana Pro Cond Light" w:hAnsi="Verdana Pro Cond Light"/>
          <w:lang w:val="lv-LV"/>
        </w:rPr>
        <w:t>Latvijas Izaugsmes stratēģijā (Ekonomikas ministrijas sagatavotais informatīvais ziņojums “Par Latvijas ekonomisko attīstību”) ir noteikti ambiciozi mērķi un to sasniegšana sekmēs arī enerģētikas un klimata mērķu izpildi. Tomēr nelabvēlīga situācija ārējā vidē, ģeopolitiskās spriedzes ilgstoša turpināšanās un reformu kavēšanās var bremzēt valdības centienus nodrošināt ilgtspējīgu izaugsmi.</w:t>
      </w:r>
    </w:p>
    <w:p w14:paraId="4F3E5858" w14:textId="77777777" w:rsidR="00262896" w:rsidRPr="004C2ACE" w:rsidRDefault="00262896" w:rsidP="00262896">
      <w:pPr>
        <w:widowControl/>
        <w:spacing w:beforeLines="40" w:before="96" w:after="160" w:line="240" w:lineRule="auto"/>
        <w:rPr>
          <w:rFonts w:ascii="Verdana Pro Cond Light" w:hAnsi="Verdana Pro Cond Light"/>
          <w:lang w:val="lv-LV"/>
        </w:rPr>
      </w:pPr>
      <w:r w:rsidRPr="004C2ACE">
        <w:rPr>
          <w:rFonts w:ascii="Verdana Pro Cond Light" w:hAnsi="Verdana Pro Cond Light"/>
          <w:lang w:val="lv-LV"/>
        </w:rPr>
        <w:t>Lai sasniegtu izvirzītos mērķus, ir nepieciešami būtiski ieguldījumi gan ekonomikas modernizācijā, gan NEKP ietverto pasākumu izpildē. Lai arī valdības dokumentos ir paredzēts nozīmīgs publiskais finansējums minēto mērķu sasniegšanai, bez būtiska privātā sektora iesaistes būs grūti sasniegt izvirzītos izaugsmes mērķus. Privātā sektora plašāka iesaiste prasa gan stimulu sistēmu (nodokļi, subsīdijas u.c.), gan arī finansēšanas avotu (kreditēšana, kapitāla tirgus u.c.) paplašināšanu.</w:t>
      </w:r>
    </w:p>
    <w:p w14:paraId="25D0149E" w14:textId="77777777" w:rsidR="00262896" w:rsidRPr="004C2ACE" w:rsidRDefault="00262896" w:rsidP="00262896">
      <w:pPr>
        <w:widowControl/>
        <w:spacing w:beforeLines="40" w:before="96" w:after="160" w:line="240" w:lineRule="auto"/>
        <w:rPr>
          <w:rFonts w:ascii="Verdana Pro Cond Light" w:hAnsi="Verdana Pro Cond Light"/>
          <w:lang w:val="lv-LV"/>
        </w:rPr>
      </w:pPr>
      <w:r w:rsidRPr="004C2ACE">
        <w:rPr>
          <w:rFonts w:ascii="Verdana Pro Cond Light" w:hAnsi="Verdana Pro Cond Light"/>
          <w:lang w:val="lv-LV"/>
        </w:rPr>
        <w:t>NEKP analīze liecina, ka tajā ir iekļauti 217 pasākumi, no kuriem 118 ir nepieciešams papildu finansējums, 15,3 miljr. EUR vērtībā līdz 2030.gadam, savukārt iezīmēts finansējums ir tikai 57</w:t>
      </w:r>
      <w:r>
        <w:rPr>
          <w:rFonts w:ascii="Verdana Pro Cond Light" w:hAnsi="Verdana Pro Cond Light"/>
          <w:lang w:val="lv-LV"/>
        </w:rPr>
        <w:t> </w:t>
      </w:r>
      <w:r w:rsidRPr="004C2ACE">
        <w:rPr>
          <w:rFonts w:ascii="Verdana Pro Cond Light" w:hAnsi="Verdana Pro Cond Light"/>
          <w:lang w:val="lv-LV"/>
        </w:rPr>
        <w:t>pasākumiem. Šobrīd nav skaidrs, kur iegūt šos papildu līdzekļus. NEKP ietver aprakstu par ES fondu līdzekļiem līdz 2027.gadam. Tomēr tas pēc būtības ir pieejamais, bet ne nepieciešamais finansējums klimatu mērķu sasniegšanai.</w:t>
      </w:r>
    </w:p>
    <w:p w14:paraId="3AB3B369" w14:textId="77777777" w:rsidR="00262896" w:rsidRPr="004C2ACE" w:rsidRDefault="00262896" w:rsidP="00262896">
      <w:pPr>
        <w:widowControl/>
        <w:spacing w:beforeLines="40" w:before="96" w:after="160" w:line="240" w:lineRule="auto"/>
        <w:rPr>
          <w:rFonts w:ascii="Verdana Pro Cond Light" w:hAnsi="Verdana Pro Cond Light"/>
          <w:lang w:val="lv-LV"/>
        </w:rPr>
      </w:pPr>
      <w:r w:rsidRPr="004C2ACE">
        <w:rPr>
          <w:rFonts w:ascii="Verdana Pro Cond Light" w:hAnsi="Verdana Pro Cond Light"/>
          <w:lang w:val="lv-LV"/>
        </w:rPr>
        <w:t>Šobrīd nav pārliecības, ka plānotās darbības un pieejamais finansējums būs pietiekams NEKP mērķu sasniegšanai. Eiropas Komisija uzskata, ka rīcībpolitika un pasākumi, ko Latvija plāno, lai samazinātu kopīgajos centienos paredzētās emisijas, nav pietiekami, lai sasniegtu 2030. gada kopīgo centienu mērķrādītāju.</w:t>
      </w:r>
    </w:p>
    <w:p w14:paraId="1AF69DF6" w14:textId="77777777" w:rsidR="00262896" w:rsidRPr="004C2ACE" w:rsidRDefault="00262896" w:rsidP="00262896">
      <w:pPr>
        <w:widowControl/>
        <w:spacing w:beforeLines="40" w:before="96" w:after="160" w:line="240" w:lineRule="auto"/>
        <w:rPr>
          <w:rFonts w:ascii="Verdana Pro Cond Light" w:hAnsi="Verdana Pro Cond Light"/>
          <w:lang w:val="lv-LV"/>
        </w:rPr>
      </w:pPr>
      <w:r w:rsidRPr="004C2ACE">
        <w:rPr>
          <w:rFonts w:ascii="Verdana Pro Cond Light" w:hAnsi="Verdana Pro Cond Light"/>
          <w:lang w:val="lv-LV"/>
        </w:rPr>
        <w:t>Viena no problēmām ir uzskaites trūkums, cik lieli līdzekļi tiek novirzīti “zaļajai” ekonomikai. Tāpēc ir atbalstāma “zaļā budžeta” marķēšanas ieviešana Latvijā, kura palīdzēs saskaņot izdevumu un ieņēmumu plānošanu ar klimata un vides mērķiem. Vienlaikus būtu lietderīgi aprēķināt budžeta izdevumus “zaļajai” ekonomikai arī retrospektīvi par iepriekšējajiem gadiem. Tas ļautu labāk uzraudzīt klimata mērķu sasniegšanas dinamiku un precīzāk prognozēt nākotnes vajadzības.</w:t>
      </w:r>
    </w:p>
    <w:p w14:paraId="02169F8B" w14:textId="77777777" w:rsidR="00262896" w:rsidRPr="004C2ACE" w:rsidRDefault="00262896" w:rsidP="00262896">
      <w:pPr>
        <w:widowControl/>
        <w:spacing w:beforeLines="40" w:before="96" w:after="160" w:line="240" w:lineRule="auto"/>
        <w:rPr>
          <w:rFonts w:ascii="Verdana Pro Cond Light" w:hAnsi="Verdana Pro Cond Light"/>
          <w:lang w:val="lv-LV"/>
        </w:rPr>
      </w:pPr>
      <w:r w:rsidRPr="004C2ACE">
        <w:rPr>
          <w:rFonts w:ascii="Verdana Pro Cond Light" w:hAnsi="Verdana Pro Cond Light"/>
          <w:lang w:val="lv-LV"/>
        </w:rPr>
        <w:t xml:space="preserve">ES izpildvaras stratēģiskās vadlīnijas nākamajiem pieciem gadiem izriet no Urzulas fon der Leienas (Ursula von der Leyen) ziņojuma “Eiropas izvēle. Politiskās vadlīnijas nākamajai Eiropas Komisijai”  Eiropas Parlamentā 2024.gada 18.jūlijā. Atbilstoši šim ziņojumam, ES saglabās iesākto </w:t>
      </w:r>
      <w:r w:rsidRPr="004C2ACE">
        <w:rPr>
          <w:rFonts w:ascii="Verdana Pro Cond Light" w:hAnsi="Verdana Pro Cond Light"/>
          <w:lang w:val="lv-LV"/>
        </w:rPr>
        <w:lastRenderedPageBreak/>
        <w:t>virzību uz Eiropas Zaļā kursa mērķiem, veicinot tādu industriālo politiku, kas palīdzētu līdz 2040. gadam par 90 % samazināt emisijas un līdz 2050.gadam panākt klimata neitralitāti.</w:t>
      </w:r>
    </w:p>
    <w:p w14:paraId="38F33B50" w14:textId="77777777" w:rsidR="00262896" w:rsidRPr="004C2ACE" w:rsidRDefault="00262896" w:rsidP="00262896">
      <w:pPr>
        <w:widowControl/>
        <w:spacing w:beforeLines="40" w:before="96" w:after="160" w:line="240" w:lineRule="auto"/>
        <w:rPr>
          <w:rFonts w:ascii="Verdana Pro Cond Light" w:hAnsi="Verdana Pro Cond Light"/>
          <w:lang w:val="lv-LV"/>
        </w:rPr>
      </w:pPr>
      <w:r w:rsidRPr="004C2ACE">
        <w:rPr>
          <w:rFonts w:ascii="Verdana Pro Cond Light" w:hAnsi="Verdana Pro Cond Light"/>
          <w:lang w:val="lv-LV"/>
        </w:rPr>
        <w:t>Arī M.Dragi ziņojumā par Eiropas konkurētspējas nākotni ir akcentēts, ka Eiropas Savienības politikas veidotājiem vitāli nepieciešams izstrādat un īstenot kopīgu dekarbonizācijas un konkurētspējas plānu. Ja Eiropas ambiciozajiem klimata mērķiem tiks izstrādāts saskaņots plāns to sasniegšanai, dekarbonizācija Eiropā būs iespējama. Taču, ja ES nesaskaņos savu politiku, pastāv risks, ka dekarbonizācija var būt pretrunā ar konkurētspēju un izaugsmi.</w:t>
      </w:r>
    </w:p>
    <w:p w14:paraId="66373F29" w14:textId="77777777" w:rsidR="00262896" w:rsidRPr="004C2ACE" w:rsidRDefault="00262896" w:rsidP="00262896">
      <w:pPr>
        <w:widowControl/>
        <w:spacing w:beforeLines="40" w:before="96" w:after="160" w:line="240" w:lineRule="auto"/>
        <w:rPr>
          <w:rFonts w:ascii="Verdana Pro Cond Light" w:hAnsi="Verdana Pro Cond Light"/>
          <w:lang w:val="lv-LV"/>
        </w:rPr>
      </w:pPr>
      <w:r w:rsidRPr="004C2ACE">
        <w:rPr>
          <w:rFonts w:ascii="Verdana Pro Cond Light" w:hAnsi="Verdana Pro Cond Light"/>
          <w:lang w:val="lv-LV"/>
        </w:rPr>
        <w:t>Dekarbonizācija varētu būt iespēja Eiropai gan uzņemties vadību jaunu tīru tehnoloģiju un aprites risinājumu jomā, gan pārorientēt elektroenerģijas ražošanu uz drošiem, zemu izmaksu tīras enerģijas avotiem, kuros ES ir dāsnas dabas bagātības.  Tomēr, vai Eiropa varēs izmantot šo iespēju, būs atkarīgs no tā, vai ekonomiskā un konkurētspējas politika ir sinhronizēta ar ES dekarbonizācijas mērķiem. Apdraudējums Eiropas pozīcijai tīro tehnoloģiju jomā galvenokārt ir saistīts ar rūpniecības stratēģijas trūkumu.</w:t>
      </w:r>
    </w:p>
    <w:p w14:paraId="707EE33B" w14:textId="77777777" w:rsidR="00262896" w:rsidRPr="004C2ACE" w:rsidRDefault="00262896" w:rsidP="00262896">
      <w:pPr>
        <w:widowControl/>
        <w:spacing w:beforeLines="40" w:before="96" w:after="160" w:line="240" w:lineRule="auto"/>
        <w:rPr>
          <w:rFonts w:ascii="Verdana Pro Cond Light" w:hAnsi="Verdana Pro Cond Light"/>
          <w:lang w:val="lv-LV"/>
        </w:rPr>
      </w:pPr>
      <w:r w:rsidRPr="004C2ACE">
        <w:rPr>
          <w:rFonts w:ascii="Verdana Pro Cond Light" w:hAnsi="Verdana Pro Cond Light"/>
          <w:lang w:val="lv-LV"/>
        </w:rPr>
        <w:t>ES un Latvijas izaicinājumi un riski Zaļā kursa īstenošanā ir diezgan līdzīgi, jo arī Latvijā nepieciešama lielāka konkurētspējas, izaugsmes un rūpniecības politikas koordinācija ar Zaļā kursa ieviešanas plāniem.</w:t>
      </w:r>
    </w:p>
    <w:p w14:paraId="4EE03862" w14:textId="77777777" w:rsidR="00262896" w:rsidRPr="004C2ACE" w:rsidRDefault="00262896" w:rsidP="00262896">
      <w:pPr>
        <w:widowControl/>
        <w:spacing w:beforeLines="40" w:before="96" w:after="160" w:line="240" w:lineRule="auto"/>
        <w:rPr>
          <w:rFonts w:ascii="Verdana Pro Cond Light" w:hAnsi="Verdana Pro Cond Light"/>
          <w:lang w:val="lv-LV"/>
        </w:rPr>
      </w:pPr>
      <w:r w:rsidRPr="004C2ACE">
        <w:rPr>
          <w:rFonts w:ascii="Verdana Pro Cond Light" w:hAnsi="Verdana Pro Cond Light"/>
          <w:lang w:val="lv-LV"/>
        </w:rPr>
        <w:t>Atbilstoši Eiropas Komisijas novērtējumam un Pasaules Ekonomikas Foruma sniegtajai informācijai, ES dalībvalstu nepieciešamās papildu investīcijas Zaļā kursa mērķu sasniegšanai līdz 2030.gadam ir novērtētas vairāk nekā 620 miljardu eiro apmērā gadā.</w:t>
      </w:r>
    </w:p>
    <w:p w14:paraId="0ADFDB73" w14:textId="77777777" w:rsidR="00262896" w:rsidRPr="004C2ACE" w:rsidRDefault="00262896" w:rsidP="00262896">
      <w:pPr>
        <w:widowControl/>
        <w:spacing w:beforeLines="40" w:before="96" w:after="160" w:line="240" w:lineRule="auto"/>
        <w:rPr>
          <w:rFonts w:ascii="Verdana Pro Cond Light" w:hAnsi="Verdana Pro Cond Light"/>
          <w:lang w:val="lv-LV"/>
        </w:rPr>
      </w:pPr>
      <w:r w:rsidRPr="004C2ACE">
        <w:rPr>
          <w:rFonts w:ascii="Verdana Pro Cond Light" w:hAnsi="Verdana Pro Cond Light"/>
          <w:lang w:val="lv-LV"/>
        </w:rPr>
        <w:t>Zaļā kursa un klimatneitralitātes iniciatīvu finansējums sastāv no nacionālā, pašvaldību un starptautiskā finansējuma, un to veido publiskie, privātie un alternatīvie finansējuma avoti. Kopumā valstu pieeja paredz lielāku uzsvaru uz privātajām investīcijām, paredzot publiskā finansējuma iesaisti līdz vienai trešdaļai no kopējām nepieciešamām investīcijām.</w:t>
      </w:r>
    </w:p>
    <w:p w14:paraId="48F28812" w14:textId="77777777" w:rsidR="00262896" w:rsidRPr="004C2ACE" w:rsidRDefault="00262896" w:rsidP="00262896">
      <w:pPr>
        <w:widowControl/>
        <w:spacing w:beforeLines="40" w:before="96" w:after="160" w:line="240" w:lineRule="auto"/>
        <w:rPr>
          <w:rFonts w:ascii="Verdana Pro Cond Light" w:hAnsi="Verdana Pro Cond Light"/>
          <w:lang w:val="lv-LV"/>
        </w:rPr>
      </w:pPr>
      <w:r w:rsidRPr="004C2ACE">
        <w:rPr>
          <w:rFonts w:ascii="Verdana Pro Cond Light" w:hAnsi="Verdana Pro Cond Light"/>
          <w:lang w:val="lv-LV"/>
        </w:rPr>
        <w:t>Ziņojuma ietvaros apskatītajās valstīs investīciju intensitāte ievērojami svārstās, veidojot no 1,7% līdz 5,6% no IKP gadā. To ietekmē valsts lielums, ekonomikas struktūra, pašreizējais enerģijas ģenerācijas portfelis u.c. būtiski faktori. Vienlaikus valstu salīdzinājums ir ļoti aptuvens, jo valstīm ir ļoti dažādas pieejas uzskaitot gan veiktās, gan nepieciešamās investīcijas.</w:t>
      </w:r>
    </w:p>
    <w:p w14:paraId="1B5AE459" w14:textId="77777777" w:rsidR="00262896" w:rsidRPr="004C2ACE" w:rsidRDefault="00262896" w:rsidP="00262896">
      <w:pPr>
        <w:widowControl/>
        <w:spacing w:beforeLines="40" w:before="96" w:after="160" w:line="240" w:lineRule="auto"/>
        <w:rPr>
          <w:rFonts w:ascii="Verdana Pro Cond Light" w:hAnsi="Verdana Pro Cond Light"/>
          <w:lang w:val="lv-LV"/>
        </w:rPr>
      </w:pPr>
      <w:r w:rsidRPr="004C2ACE">
        <w:rPr>
          <w:rFonts w:ascii="Verdana Pro Cond Light" w:hAnsi="Verdana Pro Cond Light"/>
          <w:lang w:val="lv-LV"/>
        </w:rPr>
        <w:t>Latvijas enerģētikas un klimata mērķu sasniegšanai indikatīvās izmaksas jeb papildus nepieciešamais finansējums ir novērtēts, balstoties uz autoru izstrādātu metodoloģisko pieeju, kuras pamatā ir konceptuālais pieņēmums, ka klimata neitrālas ekonomikas mērķa sasniegšanai ir nepieciešams aizvietot SEG emisiju ietilpīgus aktīvus ar zaļajām tehnoloģijām, kā arī palielināt esošo aktīvu energoefektivitāti.</w:t>
      </w:r>
    </w:p>
    <w:p w14:paraId="08F6DA97" w14:textId="77777777" w:rsidR="00262896" w:rsidRPr="004C2ACE" w:rsidRDefault="00262896" w:rsidP="00262896">
      <w:pPr>
        <w:widowControl/>
        <w:spacing w:beforeLines="40" w:before="96" w:after="160" w:line="240" w:lineRule="auto"/>
        <w:rPr>
          <w:rFonts w:ascii="Verdana Pro Cond Light" w:hAnsi="Verdana Pro Cond Light"/>
          <w:lang w:val="lv-LV"/>
        </w:rPr>
      </w:pPr>
      <w:r w:rsidRPr="004C2ACE">
        <w:rPr>
          <w:rFonts w:ascii="Verdana Pro Cond Light" w:hAnsi="Verdana Pro Cond Light"/>
          <w:lang w:val="lv-LV"/>
        </w:rPr>
        <w:t>Nozaru ar vislielāko SEG emisiju apjomu nefinanšu aktīvu kopējā vērtība (neieskaitot darījumus ar nekustāmo īpašumu) 2021. gadā bija 75,3 milrd. eiro un veidoja 27,2 % no nefinanšu aktīvu kopējās vērtības Latvijas tautsaimniecībā. Lielākā daļa no SEG emisiju apjoma 2021. gadā bija lauksaimniecības nozarē (30% no SEG emisiju intensīvo nozaru kopējiem nefinanšu aktīviem), enerģētikas nozarē (16,5 %), transporta (22,6 %), apstrādes rūpniecības nozarēs (22,5 %) un komunālās saimniecības nozarē (8,3 %).</w:t>
      </w:r>
    </w:p>
    <w:p w14:paraId="012C8570" w14:textId="77777777" w:rsidR="00262896" w:rsidRPr="004C2ACE" w:rsidRDefault="00262896" w:rsidP="00262896">
      <w:pPr>
        <w:widowControl/>
        <w:spacing w:beforeLines="40" w:before="96" w:after="160" w:line="240" w:lineRule="auto"/>
        <w:rPr>
          <w:rFonts w:ascii="Verdana Pro Cond Light" w:hAnsi="Verdana Pro Cond Light"/>
          <w:lang w:val="lv-LV"/>
        </w:rPr>
      </w:pPr>
      <w:r w:rsidRPr="004C2ACE">
        <w:rPr>
          <w:rFonts w:ascii="Verdana Pro Cond Light" w:hAnsi="Verdana Pro Cond Light"/>
          <w:lang w:val="lv-LV"/>
        </w:rPr>
        <w:t>Vērtējot investīciju potenciālu ekonomikā, jāsecina, ka Ekonomikas ministrijas mērķa izaugsmes scenārijā līdz 2030. gadam (NEKP plāns) kopējās investīciju plūsmas (ikgadējie bruto izdevumi pamatkapitāla veidošanai) var sasniegt 67 miljardus EUR (2021. gada cenās), kas kopējo aktīvu vērtību var palielināt par 9 miljardiem EUR. Savukārt, no 2030. līdz 2035. gadam (Ekonomikas izaugsmes plāna laika tvērums) kopējās investīciju plūsmas var sasniegt vēl 57 miljardus EUR, kopējai nefinanšu aktīvu vērtībai pieaugot līdz 298 miljardiem EUR.</w:t>
      </w:r>
    </w:p>
    <w:p w14:paraId="2407BE1B" w14:textId="77777777" w:rsidR="00262896" w:rsidRPr="004C2ACE" w:rsidRDefault="00262896" w:rsidP="00262896">
      <w:pPr>
        <w:widowControl/>
        <w:spacing w:beforeLines="40" w:before="96" w:after="160" w:line="240" w:lineRule="auto"/>
        <w:rPr>
          <w:rFonts w:ascii="Verdana Pro Cond Light" w:hAnsi="Verdana Pro Cond Light"/>
          <w:lang w:val="lv-LV"/>
        </w:rPr>
      </w:pPr>
      <w:r w:rsidRPr="004C2ACE">
        <w:rPr>
          <w:rFonts w:ascii="Verdana Pro Cond Light" w:hAnsi="Verdana Pro Cond Light"/>
          <w:lang w:val="lv-LV"/>
        </w:rPr>
        <w:t>Jāņem vērā, ka visi ieguldījumi tautsaimniecībā nav saistīti ar pielāgošanos klimata pārmaiņām un klimata mērķu sasniegšanu. Nozīmīgu daļu veido ieguldījumi publiskajā infrastruktūrā (ceļi, dzelzceļš), valsts drošībā (militārie izdevumi) utt. Pēdējos gados no kopējā investīciju apjoma tikai 55% investīciju ir saistāmas ar SEG emisiju intensīvajām nozarēm (enerģētika, rūpniecība, lauksaimniecība, transports, atkritumu apsaimniekošana) un tajā skaitā tikai 25% no šīm investīcijām ir saistāmas ar esošo aktīvu aizvietošanu. Savukārt no esošo aktīvu aizvietošanas tikai daļa ir zaļajās investīcijas.</w:t>
      </w:r>
    </w:p>
    <w:p w14:paraId="5814CFED" w14:textId="77777777" w:rsidR="00262896" w:rsidRPr="004C2ACE" w:rsidRDefault="00262896" w:rsidP="00262896">
      <w:pPr>
        <w:widowControl/>
        <w:spacing w:beforeLines="40" w:before="96" w:after="160" w:line="240" w:lineRule="auto"/>
        <w:rPr>
          <w:rFonts w:ascii="Verdana Pro Cond Light" w:hAnsi="Verdana Pro Cond Light"/>
          <w:lang w:val="lv-LV"/>
        </w:rPr>
      </w:pPr>
      <w:r w:rsidRPr="004C2ACE">
        <w:rPr>
          <w:rFonts w:ascii="Verdana Pro Cond Light" w:hAnsi="Verdana Pro Cond Light"/>
          <w:lang w:val="lv-LV"/>
        </w:rPr>
        <w:lastRenderedPageBreak/>
        <w:t>Ekonomikas ministrijas mērķa izaugsmes scenārijā iespējamie investīciju pieauguma apmēri ir pietiekami, lai nodrošinātu pakāpenisku nefinanšu aktīvu vērtības kāpumu ražošanas kapacitātes palielināšanai. Tomēr ir jāņem vērā, ka ekonomikas dekarbonizācija prasīs papildus ieguldījumus zaļajās tehnoloģijās, kam būs jāaizvieto esošie SEG emisiju radošie aktīvi.</w:t>
      </w:r>
    </w:p>
    <w:p w14:paraId="31798C54" w14:textId="77777777" w:rsidR="00262896" w:rsidRPr="004C2ACE" w:rsidRDefault="00262896" w:rsidP="00262896">
      <w:pPr>
        <w:widowControl/>
        <w:spacing w:beforeLines="40" w:before="96" w:after="160" w:line="240" w:lineRule="auto"/>
        <w:rPr>
          <w:rFonts w:ascii="Verdana Pro Cond Light" w:hAnsi="Verdana Pro Cond Light"/>
          <w:lang w:val="lv-LV"/>
        </w:rPr>
      </w:pPr>
      <w:r w:rsidRPr="004C2ACE">
        <w:rPr>
          <w:rFonts w:ascii="Verdana Pro Cond Light" w:hAnsi="Verdana Pro Cond Light"/>
          <w:lang w:val="lv-LV"/>
        </w:rPr>
        <w:t>Pēc autoru novērtējuma, lai esošos aktīvus aizvietotu ar zaļajām tehnoloģijām un straujāk virzītos uz nozaru dekarbonizāciju - lieli ieguldījumi ir nepieciešami transporta nozarē, kur būtu jāaizvieto vismaz 1/5 daļa no esošiem nefinanšu aktīviem (galvenokārt tie ir ieguldījumi autotransportā), apstrādes rūpniecībā būs jāaizvieto vismaz 50% no esošajiem ražošanas aktīviem (mašīnas un iekārtas), enerģētikas nozarē nepieciešams veikt investīcijas nefinanšu aktīvu aizvietošanai vismaz 10% no aktīvu kopējās bruto vērtības nozarē, t.sk. 40% no mašīnām un iekārtām enerģētikas nozarē, lauksaimniecības nozarē būtu jāaizstāj vismaz 1/5 daļa no transportlīdzekļiem un 10% kultivētie bioloģiskie aktīvi, atkritumu apsaimniekošanas nozarē jāaizvieto 40% no mašīnām un iekārtām nozarē un 10% no transportlīdzekļiem.</w:t>
      </w:r>
    </w:p>
    <w:p w14:paraId="1F0950C7" w14:textId="77777777" w:rsidR="00262896" w:rsidRPr="004C2ACE" w:rsidRDefault="00262896" w:rsidP="00262896">
      <w:pPr>
        <w:widowControl/>
        <w:spacing w:beforeLines="40" w:before="96" w:after="160" w:line="240" w:lineRule="auto"/>
        <w:rPr>
          <w:rFonts w:ascii="Verdana Pro Cond Light" w:hAnsi="Verdana Pro Cond Light"/>
          <w:lang w:val="lv-LV"/>
        </w:rPr>
      </w:pPr>
      <w:r w:rsidRPr="004C2ACE">
        <w:rPr>
          <w:rFonts w:ascii="Verdana Pro Cond Light" w:hAnsi="Verdana Pro Cond Light"/>
          <w:lang w:val="lv-LV"/>
        </w:rPr>
        <w:t>Kopumā investējot jaunajās zaļajās tehnoloģijās un ražošanas procesu energoefektivitātes palielināšanai, būtu jāaizvieto nefinanšu (ražošanas) aktīvi vismaz 10,7 miljrd. eiro vērtībā (rēķinot 2021.gada atjaunošanas cenās), kas ir  aptuveni 32% no IKP 2021. gadā.</w:t>
      </w:r>
    </w:p>
    <w:p w14:paraId="436CA91A" w14:textId="77777777" w:rsidR="00262896" w:rsidRPr="004C2ACE" w:rsidRDefault="00262896" w:rsidP="00262896">
      <w:pPr>
        <w:widowControl/>
        <w:spacing w:beforeLines="40" w:before="96" w:after="160" w:line="240" w:lineRule="auto"/>
        <w:rPr>
          <w:rFonts w:ascii="Verdana Pro Cond Light" w:hAnsi="Verdana Pro Cond Light"/>
          <w:lang w:val="lv-LV"/>
        </w:rPr>
      </w:pPr>
      <w:r w:rsidRPr="004C2ACE">
        <w:rPr>
          <w:rFonts w:ascii="Verdana Pro Cond Light" w:hAnsi="Verdana Pro Cond Light"/>
          <w:lang w:val="lv-LV"/>
        </w:rPr>
        <w:t>Jaunu tehnoloģiju iegāde vienā nozarē var prasīt papildus ieguldījumus citā nozarē. Īpaši tas attiecas uz investīcijām infrastruktūras pilnveidošanai, nodrošinot tās atbilstību jaunajām tehnoloģijām. Jaunas tehnoloģijas prasīs ieguldījumus cilvēkkapitālā jaunu prasmju apguvei. Tas kopējo tautsaimniecībā nepieciešamo investīciju apjomu palielinās vēl vismaz divas reizes jeb papildus vismaz par 11 miljrd. eiro.</w:t>
      </w:r>
    </w:p>
    <w:p w14:paraId="3AA016DF" w14:textId="77777777" w:rsidR="00262896" w:rsidRPr="004C2ACE" w:rsidRDefault="00262896" w:rsidP="00262896">
      <w:pPr>
        <w:widowControl/>
        <w:spacing w:beforeLines="40" w:before="96" w:after="160" w:line="240" w:lineRule="auto"/>
        <w:rPr>
          <w:rFonts w:ascii="Verdana Pro Cond Light" w:hAnsi="Verdana Pro Cond Light"/>
          <w:lang w:val="lv-LV"/>
        </w:rPr>
      </w:pPr>
      <w:r w:rsidRPr="004C2ACE">
        <w:rPr>
          <w:rFonts w:ascii="Verdana Pro Cond Light" w:hAnsi="Verdana Pro Cond Light"/>
          <w:lang w:val="lv-LV"/>
        </w:rPr>
        <w:t>Papildus investīcijas mājokļu renovācijai un energoefektivitātei var prasīt papildus ieguldījumus. Aizstājot tikai 10% no esošajiem uzkrātajiem aktīviem, ir nepieciešami gandrīz 10 miljrd. eiro ieguldījumi jeb 30% no IKP 2021.gadā.</w:t>
      </w:r>
    </w:p>
    <w:p w14:paraId="2A9A4D58" w14:textId="77777777" w:rsidR="00262896" w:rsidRPr="004C2ACE" w:rsidRDefault="00262896" w:rsidP="00262896">
      <w:pPr>
        <w:widowControl/>
        <w:spacing w:beforeLines="40" w:before="96" w:after="160" w:line="240" w:lineRule="auto"/>
        <w:rPr>
          <w:rFonts w:ascii="Verdana Pro Cond Light" w:hAnsi="Verdana Pro Cond Light"/>
          <w:lang w:val="lv-LV"/>
        </w:rPr>
      </w:pPr>
      <w:r w:rsidRPr="004C2ACE">
        <w:rPr>
          <w:rFonts w:ascii="Verdana Pro Cond Light" w:hAnsi="Verdana Pro Cond Light"/>
          <w:lang w:val="lv-LV"/>
        </w:rPr>
        <w:t>Līdz ar to kopējās papildus investīcijas straujākai virzībai uz klimatneitralitāti, zaļajām tehnoloģijām un ekonomikas dekarbonizāciju var sasniegt 31,7 miljrd. eiro jeb 95% no IKP 2021.gada cenās. Investīciju projektu īstenošanas atlikšana uz vēlāku laiku var būtiski ietekmēt to sadārdzināšanos.</w:t>
      </w:r>
    </w:p>
    <w:p w14:paraId="7C95E4C2" w14:textId="77777777" w:rsidR="00262896" w:rsidRPr="004C2ACE" w:rsidRDefault="00262896" w:rsidP="00262896">
      <w:pPr>
        <w:widowControl/>
        <w:spacing w:beforeLines="40" w:before="96" w:after="160" w:line="240" w:lineRule="auto"/>
        <w:rPr>
          <w:rFonts w:ascii="Verdana Pro Cond Light" w:hAnsi="Verdana Pro Cond Light"/>
          <w:lang w:val="lv-LV"/>
        </w:rPr>
      </w:pPr>
      <w:r w:rsidRPr="004C2ACE">
        <w:rPr>
          <w:rFonts w:ascii="Verdana Pro Cond Light" w:hAnsi="Verdana Pro Cond Light"/>
          <w:lang w:val="lv-LV"/>
        </w:rPr>
        <w:t>Ja nepieciešamo aktīvu aizvietošanu straujākai virzībai uz klimatneitralitāti, zaļajām tehnoloģijām un ekonomikas dekarbonizāciju, veiktu līdz 2050.gadam, būtu nepieciešamas papildus ekonomikas izaugsmes mērķa scenārijā noteiktajam investīciju apjomam veikt ieguldījumus ik gadu 1 – 1,5 % apmērā no IKP faktiskajās cenās.</w:t>
      </w:r>
    </w:p>
    <w:p w14:paraId="1D75E4BC" w14:textId="77777777" w:rsidR="00262896" w:rsidRDefault="00262896" w:rsidP="00262896">
      <w:pPr>
        <w:widowControl/>
        <w:spacing w:beforeLines="40" w:before="96" w:after="160" w:line="240" w:lineRule="auto"/>
        <w:rPr>
          <w:rFonts w:ascii="Verdana Pro Cond Light" w:hAnsi="Verdana Pro Cond Light"/>
          <w:lang w:val="lv-LV"/>
        </w:rPr>
      </w:pPr>
      <w:r w:rsidRPr="004C2ACE">
        <w:rPr>
          <w:rFonts w:ascii="Verdana Pro Cond Light" w:hAnsi="Verdana Pro Cond Light"/>
          <w:lang w:val="lv-LV"/>
        </w:rPr>
        <w:t>LU pētnieki arī pielietoja vispārējā līdzsvara modeli (VLA; Computable General Equilibirum), lai veiktu šobrīd iezīmēto ar reāli izdalītu finansējumu NEKP pasākumu sociālekonomiskās ietekmes izvērtējumu. Jāņem vērā, ka NEKP pasākumu sociālekonomiskās ietekmes izvērtējuma precizitātei izšķiroši svarīgi ir izejas dati un pieņēmumi. Precizējot izejas datus un pieņēmumus, var tikt precizēta arī NEKP pasākumu sociālekonomiskā ietekme.</w:t>
      </w:r>
    </w:p>
    <w:p w14:paraId="51634034" w14:textId="5536E91A" w:rsidR="00262896" w:rsidRDefault="00262896" w:rsidP="00262896">
      <w:pPr>
        <w:widowControl/>
        <w:spacing w:before="40" w:after="160" w:line="240" w:lineRule="auto"/>
        <w:rPr>
          <w:rFonts w:ascii="Verdana Pro Cond Light" w:hAnsi="Verdana Pro Cond Light"/>
          <w:lang w:val="lv-LV"/>
        </w:rPr>
      </w:pPr>
      <w:r w:rsidRPr="004C2ACE">
        <w:rPr>
          <w:rFonts w:ascii="Verdana Pro Cond Light" w:hAnsi="Verdana Pro Cond Light"/>
          <w:lang w:val="lv-LV"/>
        </w:rPr>
        <w:t xml:space="preserve">NEKP </w:t>
      </w:r>
      <w:r w:rsidR="00D62509">
        <w:rPr>
          <w:rFonts w:ascii="Verdana Pro Cond Light" w:hAnsi="Verdana Pro Cond Light"/>
          <w:lang w:val="lv-LV"/>
        </w:rPr>
        <w:t>pasākumu īstenošana nepieciešamā finansējuma apjomā p</w:t>
      </w:r>
      <w:r w:rsidRPr="004C2ACE">
        <w:rPr>
          <w:rFonts w:ascii="Verdana Pro Cond Light" w:hAnsi="Verdana Pro Cond Light"/>
          <w:lang w:val="lv-LV"/>
        </w:rPr>
        <w:t>aredz 6</w:t>
      </w:r>
      <w:r w:rsidR="00D62509">
        <w:rPr>
          <w:rFonts w:ascii="Verdana Pro Cond Light" w:hAnsi="Verdana Pro Cond Light"/>
          <w:lang w:val="lv-LV"/>
        </w:rPr>
        <w:t>,</w:t>
      </w:r>
      <w:r w:rsidRPr="004C2ACE">
        <w:rPr>
          <w:rFonts w:ascii="Verdana Pro Cond Light" w:hAnsi="Verdana Pro Cond Light"/>
          <w:lang w:val="lv-LV"/>
        </w:rPr>
        <w:t>3 miljardu eiro jaunās naudas ieplūdināšanu Latvijas ekonomikā līdz 2030. gadam ieskaitot, galvenokārt investīciju veidā</w:t>
      </w:r>
      <w:r w:rsidR="00D62509">
        <w:rPr>
          <w:rFonts w:ascii="Verdana Pro Cond Light" w:hAnsi="Verdana Pro Cond Light"/>
          <w:lang w:val="lv-LV"/>
        </w:rPr>
        <w:t xml:space="preserve">. </w:t>
      </w:r>
      <w:r w:rsidRPr="004C2ACE">
        <w:rPr>
          <w:rFonts w:ascii="Verdana Pro Cond Light" w:hAnsi="Verdana Pro Cond Light"/>
          <w:lang w:val="lv-LV"/>
        </w:rPr>
        <w:t xml:space="preserve">NEKP pasākumu īstenošanai </w:t>
      </w:r>
      <w:r w:rsidR="00D62509">
        <w:rPr>
          <w:rFonts w:ascii="Verdana Pro Cond Light" w:hAnsi="Verdana Pro Cond Light"/>
          <w:lang w:val="lv-LV"/>
        </w:rPr>
        <w:t>i</w:t>
      </w:r>
      <w:r w:rsidRPr="004C2ACE">
        <w:rPr>
          <w:rFonts w:ascii="Verdana Pro Cond Light" w:hAnsi="Verdana Pro Cond Light"/>
          <w:lang w:val="lv-LV"/>
        </w:rPr>
        <w:t>r pozitīva ietekme uz iekšzemes kopproduktu. Reālā IKP līmenis 2050. gadā ir par 7,</w:t>
      </w:r>
      <w:r w:rsidR="00D62509">
        <w:rPr>
          <w:rFonts w:ascii="Verdana Pro Cond Light" w:hAnsi="Verdana Pro Cond Light"/>
          <w:lang w:val="lv-LV"/>
        </w:rPr>
        <w:t>7</w:t>
      </w:r>
      <w:r w:rsidRPr="004C2ACE">
        <w:rPr>
          <w:rFonts w:ascii="Verdana Pro Cond Light" w:hAnsi="Verdana Pro Cond Light"/>
          <w:lang w:val="lv-LV"/>
        </w:rPr>
        <w:t>% lielāks nekā neīstenojot NEKP pasākumus nepieciešamā finansējuma apjomā. No IKP komponentēm visvairāk palielinās investīcijas (vairāk nekā par 10%); pozitīva ietekme ir arī uz privāto patēriņu. Īstermiņā investīciju pieaugums izspiež eksportu un palielina importu, tādējādi pasliktinot tirdzniecības bilanci par 2,0 procentu punktiem no IKP. Ilgtermiņā ekonomikas potenciāla stiprināšanas ietekmē eksports tomēr pieaug vairāk par importu, uzlabojot tirdzniecības bilanci par 1,</w:t>
      </w:r>
      <w:r w:rsidR="00D62509">
        <w:rPr>
          <w:rFonts w:ascii="Verdana Pro Cond Light" w:hAnsi="Verdana Pro Cond Light"/>
          <w:lang w:val="lv-LV"/>
        </w:rPr>
        <w:t>7</w:t>
      </w:r>
      <w:r w:rsidRPr="004C2ACE">
        <w:rPr>
          <w:rFonts w:ascii="Verdana Pro Cond Light" w:hAnsi="Verdana Pro Cond Light"/>
          <w:lang w:val="lv-LV"/>
        </w:rPr>
        <w:t xml:space="preserve"> procentu punktiem no IKP.</w:t>
      </w:r>
    </w:p>
    <w:p w14:paraId="67A2F19D" w14:textId="62C0EADB" w:rsidR="00262896" w:rsidRDefault="00262896" w:rsidP="00262896">
      <w:pPr>
        <w:widowControl/>
        <w:spacing w:before="40" w:after="160" w:line="240" w:lineRule="auto"/>
        <w:rPr>
          <w:rFonts w:ascii="Verdana Pro Cond Light" w:hAnsi="Verdana Pro Cond Light"/>
          <w:lang w:val="lv-LV"/>
        </w:rPr>
      </w:pPr>
      <w:r w:rsidRPr="004C2ACE">
        <w:rPr>
          <w:rFonts w:ascii="Verdana Pro Cond Light" w:hAnsi="Verdana Pro Cond Light"/>
          <w:lang w:val="lv-LV"/>
        </w:rPr>
        <w:t>NEKP pasākumu īstenošanai ir pozitīva ietekme uz produktivitāti, palielinās arī nodarbinātība. Nodarbināto skaits 2050. gadā ir par 4,</w:t>
      </w:r>
      <w:r w:rsidR="00D62509">
        <w:rPr>
          <w:rFonts w:ascii="Verdana Pro Cond Light" w:hAnsi="Verdana Pro Cond Light"/>
          <w:lang w:val="lv-LV"/>
        </w:rPr>
        <w:t>8</w:t>
      </w:r>
      <w:r w:rsidRPr="004C2ACE">
        <w:rPr>
          <w:rFonts w:ascii="Verdana Pro Cond Light" w:hAnsi="Verdana Pro Cond Light"/>
          <w:lang w:val="lv-LV"/>
        </w:rPr>
        <w:t xml:space="preserve">% lielāks nekā neīstenojot NEKP pasākumus un bezdarba līmenis mazāks par </w:t>
      </w:r>
      <w:r w:rsidR="00D62509">
        <w:rPr>
          <w:rFonts w:ascii="Verdana Pro Cond Light" w:hAnsi="Verdana Pro Cond Light"/>
          <w:lang w:val="lv-LV"/>
        </w:rPr>
        <w:t>3</w:t>
      </w:r>
      <w:r w:rsidRPr="004C2ACE">
        <w:rPr>
          <w:rFonts w:ascii="Verdana Pro Cond Light" w:hAnsi="Verdana Pro Cond Light"/>
          <w:lang w:val="lv-LV"/>
        </w:rPr>
        <w:t>,</w:t>
      </w:r>
      <w:r w:rsidR="00D62509">
        <w:rPr>
          <w:rFonts w:ascii="Verdana Pro Cond Light" w:hAnsi="Verdana Pro Cond Light"/>
          <w:lang w:val="lv-LV"/>
        </w:rPr>
        <w:t>0</w:t>
      </w:r>
      <w:r w:rsidRPr="004C2ACE">
        <w:rPr>
          <w:rFonts w:ascii="Verdana Pro Cond Light" w:hAnsi="Verdana Pro Cond Light"/>
          <w:lang w:val="lv-LV"/>
        </w:rPr>
        <w:t xml:space="preserve"> procentu punktiem no ekonomiski aktīvajiem iedzīvotājiem. Ņemot vērā, ka bezdarba līmenis ir zems jau tagad, NEKP pasākumu īstenošana var intensificēt darbaroku trūkumu Latvijas ekonomikā un mazināt bezdarbu zem tā dabiskā līmeņa. </w:t>
      </w:r>
      <w:r w:rsidR="00242ACB">
        <w:rPr>
          <w:rFonts w:ascii="Verdana Pro Cond Light" w:hAnsi="Verdana Pro Cond Light"/>
          <w:lang w:val="lv-LV"/>
        </w:rPr>
        <w:t xml:space="preserve">It īpaši situācijā, kad vienlaicīgi ar NEKP pasākumiem tiek īstenoti arī citi lielie investīciju projekti (piemēram, Rail </w:t>
      </w:r>
      <w:r w:rsidR="00242ACB">
        <w:rPr>
          <w:rFonts w:ascii="Verdana Pro Cond Light" w:hAnsi="Verdana Pro Cond Light"/>
          <w:lang w:val="lv-LV"/>
        </w:rPr>
        <w:lastRenderedPageBreak/>
        <w:t xml:space="preserve">Baltica). </w:t>
      </w:r>
      <w:r w:rsidRPr="004C2ACE">
        <w:rPr>
          <w:rFonts w:ascii="Verdana Pro Cond Light" w:hAnsi="Verdana Pro Cond Light"/>
          <w:lang w:val="lv-LV"/>
        </w:rPr>
        <w:t>Lai mazinātu ekonomikas pārkaršanas riskus, lielu NEKP investīciju pasākumu īstenošanas laikā, var rasties nepieciešamība palielināt ekonomiski aktīvo iedzīvotāju skaitu – piemēram, veicinot ekonomiski neaktīvu Latvijas iedzīvotāju atgriešanu darba tirgū vai augsti kvalificēto speciālistu imigrāciju.</w:t>
      </w:r>
    </w:p>
    <w:p w14:paraId="711C155C" w14:textId="77777777" w:rsidR="00262896" w:rsidRDefault="00262896" w:rsidP="00262896">
      <w:pPr>
        <w:widowControl/>
        <w:spacing w:before="40" w:after="160" w:line="240" w:lineRule="auto"/>
        <w:rPr>
          <w:rFonts w:ascii="Verdana Pro Cond Light" w:hAnsi="Verdana Pro Cond Light"/>
          <w:lang w:val="lv-LV"/>
        </w:rPr>
      </w:pPr>
      <w:r w:rsidRPr="004C2ACE">
        <w:rPr>
          <w:rFonts w:ascii="Verdana Pro Cond Light" w:hAnsi="Verdana Pro Cond Light"/>
          <w:lang w:val="lv-LV"/>
        </w:rPr>
        <w:t>Lielāks darbaspēka pieprasījums nosaka arī augstākas algas. Īstermiņā šo algas pieaugumu var kompensēt augstāka inflācija (tautsaimniecības augšupejas ietekmē), taču ilgtermiņā ietekme uz cenu līmeni ir negatīva, jo papildu investīcijas vairo tautsaimniecības kapacitāti jeb potenciālo IKP. Tādējādi ietekme uz reālo algu (t.i., vidējās algas pirktspēju) ilgtermiņā ir pozitīva.</w:t>
      </w:r>
    </w:p>
    <w:p w14:paraId="5D6C57E4" w14:textId="63CB7D6A" w:rsidR="00262896" w:rsidRDefault="00262896" w:rsidP="00262896">
      <w:pPr>
        <w:widowControl/>
        <w:spacing w:before="40" w:after="160" w:line="240" w:lineRule="auto"/>
        <w:rPr>
          <w:rFonts w:ascii="Verdana Pro Cond Light" w:hAnsi="Verdana Pro Cond Light"/>
          <w:lang w:val="lv-LV"/>
        </w:rPr>
      </w:pPr>
      <w:r w:rsidRPr="004C2ACE">
        <w:rPr>
          <w:rFonts w:ascii="Verdana Pro Cond Light" w:hAnsi="Verdana Pro Cond Light"/>
          <w:lang w:val="lv-LV"/>
        </w:rPr>
        <w:t xml:space="preserve">Augstāks IKP un īstermiņā arī lielāks cenu līmenis nosaka pozitīvu NEKP pasākumu ietekmi uz valsts budžeta ieņēmumiem, t.sk. uz nodokļu ieņēmumiem. Valsts budžeta ieņēmumi 2050. gadā ir par </w:t>
      </w:r>
      <w:r w:rsidR="00D62509">
        <w:rPr>
          <w:rFonts w:ascii="Verdana Pro Cond Light" w:hAnsi="Verdana Pro Cond Light"/>
          <w:lang w:val="lv-LV"/>
        </w:rPr>
        <w:t>5</w:t>
      </w:r>
      <w:r w:rsidRPr="004C2ACE">
        <w:rPr>
          <w:rFonts w:ascii="Verdana Pro Cond Light" w:hAnsi="Verdana Pro Cond Light"/>
          <w:lang w:val="lv-LV"/>
        </w:rPr>
        <w:t>,</w:t>
      </w:r>
      <w:r w:rsidR="00D62509">
        <w:rPr>
          <w:rFonts w:ascii="Verdana Pro Cond Light" w:hAnsi="Verdana Pro Cond Light"/>
          <w:lang w:val="lv-LV"/>
        </w:rPr>
        <w:t>2</w:t>
      </w:r>
      <w:r w:rsidRPr="004C2ACE">
        <w:rPr>
          <w:rFonts w:ascii="Verdana Pro Cond Light" w:hAnsi="Verdana Pro Cond Light"/>
          <w:lang w:val="lv-LV"/>
        </w:rPr>
        <w:t xml:space="preserve">% lielāki nekā bāzes scenārijā. </w:t>
      </w:r>
    </w:p>
    <w:p w14:paraId="2074AE35" w14:textId="08F28CD0" w:rsidR="00262896" w:rsidRPr="004C2ACE" w:rsidRDefault="00262896" w:rsidP="00262896">
      <w:pPr>
        <w:widowControl/>
        <w:spacing w:before="40" w:after="160" w:line="240" w:lineRule="auto"/>
        <w:rPr>
          <w:rFonts w:ascii="Verdana Pro Cond Light" w:hAnsi="Verdana Pro Cond Light"/>
          <w:lang w:val="lv-LV"/>
        </w:rPr>
      </w:pPr>
      <w:r w:rsidRPr="004C2ACE">
        <w:rPr>
          <w:rFonts w:ascii="Verdana Pro Cond Light" w:hAnsi="Verdana Pro Cond Light"/>
          <w:lang w:val="lv-LV"/>
        </w:rPr>
        <w:t xml:space="preserve">Savukārt NEKP pasākumu īstenošana iezīmētā finansējuma apjomā paredz jaunās naudas iepludināšanu Latvijas ekonomikā līdz 2030. gadam ieskaitot 1,0 miljarda eiro apmērā (kopējais iezīmētā finansējuma apjoms līdz 2030. gadam pārsniedz 1,8 miljardus eiro). Reālā IKP līmenis 2050. gadā ir par </w:t>
      </w:r>
      <w:r w:rsidR="00D62509">
        <w:rPr>
          <w:rFonts w:ascii="Verdana Pro Cond Light" w:hAnsi="Verdana Pro Cond Light"/>
          <w:lang w:val="lv-LV"/>
        </w:rPr>
        <w:t>1</w:t>
      </w:r>
      <w:r w:rsidRPr="004C2ACE">
        <w:rPr>
          <w:rFonts w:ascii="Verdana Pro Cond Light" w:hAnsi="Verdana Pro Cond Light"/>
          <w:lang w:val="lv-LV"/>
        </w:rPr>
        <w:t>,</w:t>
      </w:r>
      <w:r w:rsidR="00D62509">
        <w:rPr>
          <w:rFonts w:ascii="Verdana Pro Cond Light" w:hAnsi="Verdana Pro Cond Light"/>
          <w:lang w:val="lv-LV"/>
        </w:rPr>
        <w:t>3</w:t>
      </w:r>
      <w:r w:rsidRPr="004C2ACE">
        <w:rPr>
          <w:rFonts w:ascii="Verdana Pro Cond Light" w:hAnsi="Verdana Pro Cond Light"/>
          <w:lang w:val="lv-LV"/>
        </w:rPr>
        <w:t xml:space="preserve">% lielāks nekā neīstenojot NEKP pasākumus iezīmētā finansējuma apjomā. Kopējā ietekme uz Latvijas darba tirgu nav liela, tādējādi NEKP pasākumu īstenošanai iezīmētā finansējuma apjomā nav būtisku ekonomikas pārkaršanas risku. </w:t>
      </w:r>
    </w:p>
    <w:p w14:paraId="374BDBB4" w14:textId="77777777" w:rsidR="00262896" w:rsidRDefault="00262896" w:rsidP="00262896">
      <w:pPr>
        <w:widowControl/>
        <w:spacing w:after="160" w:line="240" w:lineRule="auto"/>
        <w:rPr>
          <w:rFonts w:ascii="Minion Pro" w:eastAsiaTheme="majorEastAsia" w:hAnsi="Minion Pro" w:cstheme="majorBidi"/>
          <w:b/>
          <w:color w:val="2F5496" w:themeColor="accent1" w:themeShade="BF"/>
          <w:sz w:val="40"/>
          <w:szCs w:val="32"/>
          <w:lang w:val="lv-LV"/>
        </w:rPr>
      </w:pPr>
      <w:r>
        <w:rPr>
          <w:rFonts w:ascii="Minion Pro" w:hAnsi="Minion Pro"/>
          <w:lang w:val="lv-LV"/>
        </w:rPr>
        <w:br w:type="page"/>
      </w:r>
    </w:p>
    <w:p w14:paraId="743867EC" w14:textId="77777777" w:rsidR="00262896" w:rsidRDefault="00262896" w:rsidP="00041C6C">
      <w:pPr>
        <w:widowControl/>
        <w:spacing w:after="120" w:line="240" w:lineRule="auto"/>
        <w:rPr>
          <w:rFonts w:ascii="Verdana Pro Cond Light" w:hAnsi="Verdana Pro Cond Light" w:cs="Arial"/>
          <w:szCs w:val="20"/>
          <w:lang w:val="lv-LV"/>
        </w:rPr>
      </w:pPr>
    </w:p>
    <w:p w14:paraId="5F777D46" w14:textId="77777777" w:rsidR="00041C6C" w:rsidRDefault="00041C6C" w:rsidP="00041C6C">
      <w:pPr>
        <w:widowControl/>
        <w:spacing w:after="120" w:line="240" w:lineRule="auto"/>
        <w:rPr>
          <w:rFonts w:ascii="Verdana Pro Cond Light" w:hAnsi="Verdana Pro Cond Light" w:cs="Arial"/>
          <w:szCs w:val="20"/>
          <w:lang w:val="lv-LV"/>
        </w:rPr>
      </w:pPr>
    </w:p>
    <w:p w14:paraId="5AE32E3A" w14:textId="77777777" w:rsidR="00041C6C" w:rsidRDefault="00041C6C" w:rsidP="00041C6C">
      <w:pPr>
        <w:widowControl/>
        <w:spacing w:after="120" w:line="240" w:lineRule="auto"/>
        <w:rPr>
          <w:rFonts w:ascii="Verdana Pro Cond Light" w:hAnsi="Verdana Pro Cond Light" w:cs="Arial"/>
          <w:szCs w:val="20"/>
          <w:lang w:val="lv-LV"/>
        </w:rPr>
      </w:pPr>
    </w:p>
    <w:p w14:paraId="0BA31E85" w14:textId="77777777" w:rsidR="00041C6C" w:rsidRDefault="00041C6C" w:rsidP="00041C6C">
      <w:pPr>
        <w:widowControl/>
        <w:spacing w:after="120" w:line="240" w:lineRule="auto"/>
        <w:rPr>
          <w:rFonts w:ascii="Verdana Pro Cond Light" w:hAnsi="Verdana Pro Cond Light" w:cs="Arial"/>
          <w:szCs w:val="20"/>
          <w:lang w:val="lv-LV"/>
        </w:rPr>
      </w:pPr>
    </w:p>
    <w:p w14:paraId="3F1334B4" w14:textId="77777777" w:rsidR="00041C6C" w:rsidRDefault="00041C6C" w:rsidP="00041C6C">
      <w:pPr>
        <w:widowControl/>
        <w:spacing w:after="120" w:line="240" w:lineRule="auto"/>
        <w:rPr>
          <w:rFonts w:ascii="Verdana Pro Cond Light" w:hAnsi="Verdana Pro Cond Light" w:cs="Arial"/>
          <w:szCs w:val="20"/>
          <w:lang w:val="lv-LV"/>
        </w:rPr>
      </w:pPr>
    </w:p>
    <w:p w14:paraId="32F7B947" w14:textId="77777777" w:rsidR="00262896" w:rsidRPr="00041C6C" w:rsidRDefault="00262896" w:rsidP="00041C6C">
      <w:pPr>
        <w:widowControl/>
        <w:spacing w:after="120" w:line="240" w:lineRule="auto"/>
        <w:rPr>
          <w:rFonts w:ascii="Verdana Pro Cond Light" w:hAnsi="Verdana Pro Cond Light" w:cs="Arial"/>
          <w:szCs w:val="20"/>
          <w:lang w:val="lv-LV"/>
        </w:rPr>
      </w:pPr>
    </w:p>
    <w:p w14:paraId="648BAC09" w14:textId="77777777" w:rsidR="00262896" w:rsidRPr="00041C6C" w:rsidRDefault="00262896" w:rsidP="00041C6C">
      <w:pPr>
        <w:widowControl/>
        <w:spacing w:after="120" w:line="240" w:lineRule="auto"/>
        <w:rPr>
          <w:rFonts w:ascii="Verdana Pro Cond Light" w:hAnsi="Verdana Pro Cond Light" w:cs="Arial"/>
          <w:szCs w:val="20"/>
          <w:lang w:val="lv-LV"/>
        </w:rPr>
      </w:pPr>
    </w:p>
    <w:p w14:paraId="5D53CDE7" w14:textId="77777777" w:rsidR="00262896" w:rsidRPr="00041C6C" w:rsidRDefault="00262896" w:rsidP="00041C6C">
      <w:pPr>
        <w:widowControl/>
        <w:spacing w:after="120" w:line="240" w:lineRule="auto"/>
        <w:rPr>
          <w:rFonts w:ascii="Verdana Pro Cond Light" w:hAnsi="Verdana Pro Cond Light" w:cs="Arial"/>
          <w:szCs w:val="20"/>
          <w:lang w:val="lv-LV"/>
        </w:rPr>
      </w:pPr>
    </w:p>
    <w:p w14:paraId="730F01B0" w14:textId="77777777" w:rsidR="00262896" w:rsidRPr="00D948CD" w:rsidRDefault="00262896" w:rsidP="00262896">
      <w:pPr>
        <w:pStyle w:val="Heading1"/>
        <w:widowControl/>
        <w:rPr>
          <w:lang w:val="lv-LV"/>
        </w:rPr>
      </w:pPr>
      <w:bookmarkStart w:id="9" w:name="_Toc183697482"/>
      <w:r>
        <w:rPr>
          <w:noProof/>
          <w14:ligatures w14:val="standardContextual"/>
        </w:rPr>
        <w:drawing>
          <wp:anchor distT="0" distB="0" distL="114300" distR="114300" simplePos="0" relativeHeight="251658242" behindDoc="1" locked="0" layoutInCell="1" allowOverlap="1" wp14:anchorId="5F519540" wp14:editId="31779A5B">
            <wp:simplePos x="0" y="0"/>
            <wp:positionH relativeFrom="page">
              <wp:posOffset>0</wp:posOffset>
            </wp:positionH>
            <wp:positionV relativeFrom="page">
              <wp:posOffset>0</wp:posOffset>
            </wp:positionV>
            <wp:extent cx="7560000" cy="3600000"/>
            <wp:effectExtent l="0" t="0" r="3175" b="635"/>
            <wp:wrapNone/>
            <wp:docPr id="1820107792" name="Picture 4" descr="Maze and steel bal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20107792" name="Picture 1820107792" descr="Maze and steel ball"/>
                    <pic:cNvPicPr/>
                  </pic:nvPicPr>
                  <pic:blipFill rotWithShape="1">
                    <a:blip r:embed="rId14" cstate="print">
                      <a:duotone>
                        <a:schemeClr val="accent1">
                          <a:shade val="45000"/>
                          <a:satMod val="135000"/>
                        </a:schemeClr>
                        <a:prstClr val="white"/>
                      </a:duotone>
                      <a:alphaModFix amt="50000"/>
                      <a:extLst>
                        <a:ext uri="{28A0092B-C50C-407E-A947-70E740481C1C}">
                          <a14:useLocalDpi xmlns:a14="http://schemas.microsoft.com/office/drawing/2010/main" val="0"/>
                        </a:ext>
                      </a:extLst>
                    </a:blip>
                    <a:srcRect t="29005"/>
                    <a:stretch/>
                  </pic:blipFill>
                  <pic:spPr bwMode="auto">
                    <a:xfrm>
                      <a:off x="0" y="0"/>
                      <a:ext cx="7560000" cy="3600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lang w:val="lv-LV"/>
        </w:rPr>
        <w:t xml:space="preserve">1. </w:t>
      </w:r>
      <w:r w:rsidRPr="00D948CD">
        <w:rPr>
          <w:lang w:val="lv-LV"/>
        </w:rPr>
        <w:t>Latvijas aktuālo problēmu monitorings</w:t>
      </w:r>
      <w:bookmarkEnd w:id="7"/>
      <w:bookmarkEnd w:id="8"/>
      <w:bookmarkEnd w:id="9"/>
    </w:p>
    <w:p w14:paraId="21C0B6EC" w14:textId="77777777" w:rsidR="00262896" w:rsidRDefault="00262896" w:rsidP="00262896">
      <w:pPr>
        <w:widowControl/>
        <w:spacing w:after="120" w:line="240" w:lineRule="auto"/>
        <w:rPr>
          <w:rFonts w:ascii="Verdana Pro Cond Light" w:hAnsi="Verdana Pro Cond Light" w:cs="Arial"/>
          <w:szCs w:val="20"/>
          <w:lang w:val="lv-LV"/>
        </w:rPr>
      </w:pPr>
    </w:p>
    <w:p w14:paraId="57B7EBD3" w14:textId="77777777" w:rsidR="00041C6C" w:rsidRDefault="00041C6C" w:rsidP="00262896">
      <w:pPr>
        <w:widowControl/>
        <w:spacing w:after="120" w:line="240" w:lineRule="auto"/>
        <w:rPr>
          <w:rFonts w:ascii="Verdana Pro Cond Light" w:hAnsi="Verdana Pro Cond Light" w:cs="Arial"/>
          <w:szCs w:val="20"/>
          <w:lang w:val="lv-LV"/>
        </w:rPr>
      </w:pPr>
    </w:p>
    <w:p w14:paraId="79364A7B" w14:textId="77777777" w:rsidR="00262896" w:rsidRDefault="00262896" w:rsidP="00262896">
      <w:pPr>
        <w:widowControl/>
        <w:spacing w:after="120" w:line="240" w:lineRule="auto"/>
        <w:rPr>
          <w:rFonts w:ascii="Verdana Pro Cond Light" w:hAnsi="Verdana Pro Cond Light" w:cs="Arial"/>
          <w:szCs w:val="20"/>
          <w:lang w:val="lv-LV"/>
        </w:rPr>
      </w:pPr>
    </w:p>
    <w:p w14:paraId="32D44D37" w14:textId="77777777" w:rsidR="00262896" w:rsidRPr="000360AF" w:rsidRDefault="00262896" w:rsidP="00262896">
      <w:pPr>
        <w:widowControl/>
        <w:spacing w:after="120" w:line="240" w:lineRule="auto"/>
        <w:rPr>
          <w:rFonts w:ascii="Verdana Pro Cond Light" w:hAnsi="Verdana Pro Cond Light" w:cs="Arial"/>
          <w:szCs w:val="20"/>
          <w:lang w:val="lv-LV"/>
        </w:rPr>
      </w:pPr>
      <w:r w:rsidRPr="000360AF">
        <w:rPr>
          <w:rFonts w:ascii="Verdana Pro Cond Light" w:hAnsi="Verdana Pro Cond Light" w:cs="Arial"/>
          <w:szCs w:val="20"/>
          <w:lang w:val="lv-LV"/>
        </w:rPr>
        <w:t>2024. gada martā Pasaules Enerģijas Padome (PEP) ir veikusi ikgadēju aktuālo problēmu monitoringu, aptaujājot 1800 ekspertus no 100 pasaules valstīm, t.sk. sagatavojot padziļinātos vērtējumus par 40 valstīm. Atbilstoši PEP starptautiskajai metodoloģijai situāciju par Latviju novērtēja 36 enerģētikas eksperti, kurus iesaistīja Pasaules Enerģijas Padomes Latvijas Nacionālā komiteja.</w:t>
      </w:r>
      <w:r w:rsidRPr="000360AF">
        <w:rPr>
          <w:rStyle w:val="FootnoteReference"/>
          <w:rFonts w:ascii="Verdana Pro Cond Light" w:hAnsi="Verdana Pro Cond Light" w:cs="Arial"/>
          <w:szCs w:val="20"/>
          <w:lang w:val="lv-LV"/>
        </w:rPr>
        <w:footnoteReference w:id="2"/>
      </w:r>
    </w:p>
    <w:p w14:paraId="15A30CA0" w14:textId="77777777" w:rsidR="00262896" w:rsidRPr="000360AF" w:rsidRDefault="00262896" w:rsidP="00262896">
      <w:pPr>
        <w:widowControl/>
        <w:spacing w:after="120" w:line="240" w:lineRule="auto"/>
        <w:rPr>
          <w:rFonts w:ascii="Verdana Pro Cond Light" w:hAnsi="Verdana Pro Cond Light" w:cs="Arial"/>
          <w:szCs w:val="20"/>
          <w:lang w:val="lv-LV"/>
        </w:rPr>
      </w:pPr>
      <w:r w:rsidRPr="000360AF">
        <w:rPr>
          <w:rFonts w:ascii="Verdana Pro Cond Light" w:hAnsi="Verdana Pro Cond Light" w:cs="Arial"/>
          <w:szCs w:val="20"/>
          <w:lang w:val="lv-LV"/>
        </w:rPr>
        <w:t>Monitoringa pētījums palīdz operatīvi identificēt aktualitātes pasaules enerģētikas darba kārtībās, izmaiņas un tendences laika gaitā. Tas sniedz kvalitatīvu priekšstatu par kritiski svarīgiem nenoteiktības jautājumiem enerģētikas jomā un iezīmē jautājumus, kuri prasa tūlītēju rīcību no politikas veidotāju puses. Monitorings ir būtisks instruments, lai raksturotu sarežģītu un nenoteiktu vidi, kurā darbojas enerģētikas līderi, un instruments, ar kura palīdzību var salīdzināt vērtējumus par galvenajiem pārmaiņu dzinējspēkiem enerģētikas jomā dažādās pasaules valstīs un reģionos.</w:t>
      </w:r>
    </w:p>
    <w:p w14:paraId="2B282134" w14:textId="77777777" w:rsidR="00262896" w:rsidRPr="000360AF" w:rsidRDefault="00262896" w:rsidP="00262896">
      <w:pPr>
        <w:widowControl/>
        <w:spacing w:after="120" w:line="240" w:lineRule="auto"/>
        <w:rPr>
          <w:rFonts w:ascii="Verdana Pro Cond Light" w:hAnsi="Verdana Pro Cond Light" w:cs="Arial"/>
          <w:szCs w:val="20"/>
          <w:lang w:val="lv-LV"/>
        </w:rPr>
      </w:pPr>
      <w:r w:rsidRPr="000360AF">
        <w:rPr>
          <w:rFonts w:ascii="Verdana Pro Cond Light" w:hAnsi="Verdana Pro Cond Light" w:cs="Arial"/>
          <w:szCs w:val="20"/>
          <w:lang w:val="lv-LV"/>
        </w:rPr>
        <w:t>Problēmu monitoringā ir ietverti 33 galvenie enerģijas pārveidošanas izaicinājumi 6 kategorijās: Ģeopolitiskie jautājumi, Ekonomiskie jautājumi, Sabiedrības jautājumi, Regulēšanas režīmi, (Tehnoloģijas) Spēļu mainītāji un Vide un klimata pārmaiņas.</w:t>
      </w:r>
    </w:p>
    <w:p w14:paraId="3D8EA1E1" w14:textId="77777777" w:rsidR="00262896" w:rsidRPr="000360AF" w:rsidRDefault="00262896" w:rsidP="00262896">
      <w:pPr>
        <w:pStyle w:val="ListParagraph"/>
        <w:widowControl/>
        <w:spacing w:after="120" w:line="240" w:lineRule="auto"/>
        <w:ind w:left="0"/>
        <w:rPr>
          <w:rFonts w:ascii="Verdana Pro Cond Light" w:hAnsi="Verdana Pro Cond Light" w:cs="Arial"/>
          <w:szCs w:val="20"/>
          <w:lang w:val="lv-LV"/>
        </w:rPr>
      </w:pPr>
      <w:r w:rsidRPr="000360AF">
        <w:rPr>
          <w:rFonts w:ascii="Verdana Pro Cond Light" w:hAnsi="Verdana Pro Cond Light"/>
          <w:szCs w:val="20"/>
          <w:lang w:val="lv-LV"/>
        </w:rPr>
        <w:t xml:space="preserve">1.1. </w:t>
      </w:r>
      <w:r w:rsidRPr="000360AF">
        <w:rPr>
          <w:rFonts w:ascii="Verdana Pro Cond Light" w:hAnsi="Verdana Pro Cond Light" w:cs="Arial"/>
          <w:szCs w:val="20"/>
          <w:lang w:val="lv-LV"/>
        </w:rPr>
        <w:t>attēlā ir atspoguļots monitoringa pētījuma rezultāts par Latviju, bet zemāk (1.2. attēls) ir atspoguļots viedoklis par pieciem galvenajiem monitoringa pētījumā iezīmētajiem neskaidrību faktoriem un nepieciešamās rīcības virzieniem, piedāvājot īsu skaidrojumu par iemesliem, kāpēc eksperti iezīmēja tieši šos monitoringa aptaujā piedāvātos faktorus. Attiecīgais skaidrojums ir izdiskutēts Pasaules Enerģijas Padomes Latvijas Nacionālā komitejā un nopublicēts Pasaules Enerģijas Padomes mājaslapā</w:t>
      </w:r>
      <w:r w:rsidRPr="000360AF">
        <w:rPr>
          <w:rStyle w:val="FootnoteReference"/>
          <w:rFonts w:ascii="Verdana Pro Cond Light" w:hAnsi="Verdana Pro Cond Light" w:cs="Arial"/>
          <w:szCs w:val="20"/>
          <w:lang w:val="lv-LV"/>
        </w:rPr>
        <w:footnoteReference w:id="3"/>
      </w:r>
      <w:r w:rsidRPr="000360AF">
        <w:rPr>
          <w:rFonts w:ascii="Verdana Pro Cond Light" w:hAnsi="Verdana Pro Cond Light" w:cs="Arial"/>
          <w:szCs w:val="20"/>
          <w:lang w:val="lv-LV"/>
        </w:rPr>
        <w:t>.</w:t>
      </w:r>
    </w:p>
    <w:p w14:paraId="23E51459" w14:textId="77777777" w:rsidR="00262896" w:rsidRPr="000360AF" w:rsidRDefault="00262896" w:rsidP="00262896">
      <w:pPr>
        <w:widowControl/>
        <w:spacing w:after="120" w:line="240" w:lineRule="auto"/>
        <w:rPr>
          <w:rFonts w:ascii="Verdana Pro Cond Light" w:hAnsi="Verdana Pro Cond Light" w:cs="Arial"/>
          <w:sz w:val="24"/>
          <w:lang w:val="lv-LV"/>
        </w:rPr>
      </w:pPr>
      <w:r w:rsidRPr="000360AF">
        <w:rPr>
          <w:rFonts w:ascii="Verdana Pro Cond Light" w:hAnsi="Verdana Pro Cond Light" w:cs="Arial"/>
          <w:b/>
          <w:bCs/>
          <w:szCs w:val="20"/>
          <w:lang w:val="lv-LV"/>
        </w:rPr>
        <w:t>Raksturojot situāciju Latvijā</w:t>
      </w:r>
      <w:r>
        <w:rPr>
          <w:rFonts w:ascii="Verdana Pro Cond Light" w:hAnsi="Verdana Pro Cond Light" w:cs="Arial"/>
          <w:b/>
          <w:bCs/>
          <w:szCs w:val="20"/>
          <w:lang w:val="lv-LV"/>
        </w:rPr>
        <w:t>,</w:t>
      </w:r>
      <w:r w:rsidRPr="000360AF">
        <w:rPr>
          <w:rFonts w:ascii="Verdana Pro Cond Light" w:hAnsi="Verdana Pro Cond Light" w:cs="Arial"/>
          <w:b/>
          <w:bCs/>
          <w:szCs w:val="20"/>
          <w:lang w:val="lv-LV"/>
        </w:rPr>
        <w:t xml:space="preserve"> kā galven</w:t>
      </w:r>
      <w:r>
        <w:rPr>
          <w:rFonts w:ascii="Verdana Pro Cond Light" w:hAnsi="Verdana Pro Cond Light" w:cs="Arial"/>
          <w:b/>
          <w:bCs/>
          <w:szCs w:val="20"/>
          <w:lang w:val="lv-LV"/>
        </w:rPr>
        <w:t>ie</w:t>
      </w:r>
      <w:r w:rsidRPr="000360AF">
        <w:rPr>
          <w:rFonts w:ascii="Verdana Pro Cond Light" w:hAnsi="Verdana Pro Cond Light" w:cs="Arial"/>
          <w:b/>
          <w:bCs/>
          <w:szCs w:val="20"/>
          <w:lang w:val="lv-LV"/>
        </w:rPr>
        <w:t xml:space="preserve"> neskaidrīb</w:t>
      </w:r>
      <w:r>
        <w:rPr>
          <w:rFonts w:ascii="Verdana Pro Cond Light" w:hAnsi="Verdana Pro Cond Light" w:cs="Arial"/>
          <w:b/>
          <w:bCs/>
          <w:szCs w:val="20"/>
          <w:lang w:val="lv-LV"/>
        </w:rPr>
        <w:t>u faktori</w:t>
      </w:r>
      <w:r w:rsidRPr="000360AF">
        <w:rPr>
          <w:rFonts w:ascii="Verdana Pro Cond Light" w:hAnsi="Verdana Pro Cond Light" w:cs="Arial"/>
          <w:szCs w:val="20"/>
          <w:lang w:val="lv-LV"/>
        </w:rPr>
        <w:t xml:space="preserve"> no enerģētikas ekspertu puses tika norādīt</w:t>
      </w:r>
      <w:r>
        <w:rPr>
          <w:rFonts w:ascii="Verdana Pro Cond Light" w:hAnsi="Verdana Pro Cond Light" w:cs="Arial"/>
          <w:szCs w:val="20"/>
          <w:lang w:val="lv-LV"/>
        </w:rPr>
        <w:t>i</w:t>
      </w:r>
      <w:r w:rsidRPr="000360AF">
        <w:rPr>
          <w:rFonts w:ascii="Verdana Pro Cond Light" w:hAnsi="Verdana Pro Cond Light" w:cs="Arial"/>
          <w:szCs w:val="20"/>
          <w:lang w:val="lv-LV"/>
        </w:rPr>
        <w:t xml:space="preserve"> miera risks, piegāžu ķēdes, infrastruktūra, pieprasījuma vadība un iesaistīto pušu </w:t>
      </w:r>
      <w:r w:rsidRPr="000360AF">
        <w:rPr>
          <w:rFonts w:ascii="Verdana Pro Cond Light" w:hAnsi="Verdana Pro Cond Light" w:cs="Arial"/>
          <w:sz w:val="24"/>
          <w:lang w:val="lv-LV"/>
        </w:rPr>
        <w:t>koordinācija.</w:t>
      </w:r>
    </w:p>
    <w:p w14:paraId="264A6B7B" w14:textId="77777777" w:rsidR="00262896" w:rsidRPr="000360AF" w:rsidRDefault="00262896" w:rsidP="00262896">
      <w:pPr>
        <w:widowControl/>
        <w:spacing w:after="160" w:line="240" w:lineRule="auto"/>
        <w:rPr>
          <w:rFonts w:ascii="Verdana Pro Cond Light" w:hAnsi="Verdana Pro Cond Light" w:cs="Arial"/>
          <w:b/>
          <w:bCs/>
          <w:i/>
          <w:iCs/>
          <w:lang w:val="lv-LV"/>
        </w:rPr>
      </w:pPr>
      <w:r w:rsidRPr="000360AF">
        <w:rPr>
          <w:rFonts w:ascii="Verdana Pro Cond Light" w:hAnsi="Verdana Pro Cond Light" w:cs="Arial"/>
          <w:b/>
          <w:bCs/>
          <w:i/>
          <w:iCs/>
          <w:lang w:val="lv-LV"/>
        </w:rPr>
        <w:br w:type="page"/>
      </w:r>
    </w:p>
    <w:p w14:paraId="100A1CA9" w14:textId="77777777" w:rsidR="00262896" w:rsidRDefault="00262896" w:rsidP="00262896">
      <w:pPr>
        <w:widowControl/>
        <w:spacing w:before="120" w:after="120" w:line="240" w:lineRule="auto"/>
        <w:ind w:left="357"/>
        <w:jc w:val="right"/>
        <w:rPr>
          <w:rFonts w:ascii="Verdana Pro Cond Light" w:hAnsi="Verdana Pro Cond Light"/>
          <w:szCs w:val="20"/>
          <w:lang w:val="lv-LV"/>
        </w:rPr>
      </w:pPr>
      <w:r w:rsidRPr="00102C7C">
        <w:rPr>
          <w:rFonts w:ascii="Verdana Pro Cond Light" w:hAnsi="Verdana Pro Cond Light"/>
          <w:szCs w:val="20"/>
          <w:lang w:val="lv-LV"/>
        </w:rPr>
        <w:lastRenderedPageBreak/>
        <w:t>1.1. attēls</w:t>
      </w:r>
    </w:p>
    <w:p w14:paraId="6EFA441A" w14:textId="3847EBF7" w:rsidR="00262896" w:rsidRDefault="00262896" w:rsidP="00262896">
      <w:pPr>
        <w:widowControl/>
        <w:spacing w:line="240" w:lineRule="auto"/>
        <w:jc w:val="center"/>
        <w:rPr>
          <w:rFonts w:ascii="Verdana Pro Cond Light" w:hAnsi="Verdana Pro Cond Light" w:cs="Arial"/>
          <w:b/>
          <w:bCs/>
          <w:lang w:val="lv-LV"/>
        </w:rPr>
      </w:pPr>
      <w:r>
        <w:rPr>
          <w:rFonts w:ascii="Verdana Pro Cond Light" w:hAnsi="Verdana Pro Cond Light" w:cs="Arial"/>
          <w:b/>
          <w:bCs/>
          <w:lang w:val="lv-LV"/>
        </w:rPr>
        <w:t>Latvija</w:t>
      </w:r>
    </w:p>
    <w:tbl>
      <w:tblPr>
        <w:tblStyle w:val="TableGrid"/>
        <w:tblW w:w="96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
        <w:gridCol w:w="9184"/>
      </w:tblGrid>
      <w:tr w:rsidR="00262896" w:rsidRPr="009B6177" w14:paraId="512B8097" w14:textId="77777777" w:rsidTr="000828A3">
        <w:tc>
          <w:tcPr>
            <w:tcW w:w="454" w:type="dxa"/>
          </w:tcPr>
          <w:p w14:paraId="121388F1" w14:textId="77777777" w:rsidR="00262896" w:rsidRPr="009B6177" w:rsidRDefault="00262896" w:rsidP="0002297E">
            <w:pPr>
              <w:widowControl/>
              <w:spacing w:after="0" w:line="240" w:lineRule="auto"/>
              <w:jc w:val="center"/>
              <w:rPr>
                <w:rFonts w:ascii="Calibri Light" w:hAnsi="Calibri Light" w:cs="Calibri Light"/>
                <w:sz w:val="16"/>
                <w:szCs w:val="16"/>
                <w:lang w:val="lv-LV"/>
              </w:rPr>
            </w:pPr>
          </w:p>
        </w:tc>
        <w:tc>
          <w:tcPr>
            <w:tcW w:w="9184" w:type="dxa"/>
          </w:tcPr>
          <w:p w14:paraId="127943D2" w14:textId="77777777" w:rsidR="00262896" w:rsidRPr="009B6177" w:rsidRDefault="00262896" w:rsidP="0002297E">
            <w:pPr>
              <w:widowControl/>
              <w:spacing w:after="0" w:line="240" w:lineRule="auto"/>
              <w:jc w:val="center"/>
              <w:rPr>
                <w:rFonts w:ascii="Calibri Light" w:hAnsi="Calibri Light" w:cs="Calibri Light"/>
                <w:sz w:val="16"/>
                <w:szCs w:val="16"/>
                <w:lang w:val="lv-LV"/>
              </w:rPr>
            </w:pPr>
          </w:p>
        </w:tc>
      </w:tr>
      <w:tr w:rsidR="00262896" w:rsidRPr="009B6177" w14:paraId="0216D38D" w14:textId="77777777" w:rsidTr="000828A3">
        <w:trPr>
          <w:cantSplit/>
          <w:trHeight w:val="1134"/>
        </w:trPr>
        <w:tc>
          <w:tcPr>
            <w:tcW w:w="454" w:type="dxa"/>
            <w:textDirection w:val="btLr"/>
          </w:tcPr>
          <w:p w14:paraId="0CF10EA1" w14:textId="77777777" w:rsidR="00262896" w:rsidRPr="009B6177" w:rsidRDefault="00262896" w:rsidP="0002297E">
            <w:pPr>
              <w:widowControl/>
              <w:spacing w:after="0" w:line="240" w:lineRule="auto"/>
              <w:jc w:val="center"/>
              <w:rPr>
                <w:rFonts w:ascii="Calibri Light" w:hAnsi="Calibri Light" w:cs="Calibri Light"/>
                <w:sz w:val="16"/>
                <w:szCs w:val="16"/>
                <w:lang w:val="lv-LV"/>
              </w:rPr>
            </w:pPr>
            <w:r w:rsidRPr="009B6177">
              <w:rPr>
                <w:rFonts w:ascii="Calibri Light" w:hAnsi="Calibri Light" w:cs="Calibri Light"/>
                <w:sz w:val="16"/>
                <w:szCs w:val="16"/>
                <w:lang w:val="lv-LV"/>
              </w:rPr>
              <w:t>Nenoteiktība</w:t>
            </w:r>
          </w:p>
        </w:tc>
        <w:tc>
          <w:tcPr>
            <w:tcW w:w="9184" w:type="dxa"/>
          </w:tcPr>
          <w:p w14:paraId="16CAEDF0" w14:textId="7B9C5356" w:rsidR="00262896" w:rsidRPr="009B6177" w:rsidRDefault="000828A3" w:rsidP="0002297E">
            <w:pPr>
              <w:widowControl/>
              <w:spacing w:after="0" w:line="240" w:lineRule="auto"/>
              <w:jc w:val="center"/>
              <w:rPr>
                <w:rFonts w:ascii="Calibri Light" w:hAnsi="Calibri Light" w:cs="Calibri Light"/>
                <w:sz w:val="16"/>
                <w:szCs w:val="16"/>
                <w:lang w:val="lv-LV"/>
              </w:rPr>
            </w:pPr>
            <w:r>
              <w:rPr>
                <w:noProof/>
                <w14:ligatures w14:val="standardContextual"/>
              </w:rPr>
              <mc:AlternateContent>
                <mc:Choice Requires="wps">
                  <w:drawing>
                    <wp:anchor distT="0" distB="0" distL="114300" distR="114300" simplePos="0" relativeHeight="251658304" behindDoc="0" locked="0" layoutInCell="1" allowOverlap="1" wp14:anchorId="3735FBFC" wp14:editId="6551C1AC">
                      <wp:simplePos x="0" y="0"/>
                      <wp:positionH relativeFrom="column">
                        <wp:posOffset>3023540</wp:posOffset>
                      </wp:positionH>
                      <wp:positionV relativeFrom="paragraph">
                        <wp:posOffset>701040</wp:posOffset>
                      </wp:positionV>
                      <wp:extent cx="900000" cy="167570"/>
                      <wp:effectExtent l="0" t="0" r="14605" b="4445"/>
                      <wp:wrapNone/>
                      <wp:docPr id="1743042091" name="Text Box 2"/>
                      <wp:cNvGraphicFramePr/>
                      <a:graphic xmlns:a="http://schemas.openxmlformats.org/drawingml/2006/main">
                        <a:graphicData uri="http://schemas.microsoft.com/office/word/2010/wordprocessingShape">
                          <wps:wsp>
                            <wps:cNvSpPr txBox="1"/>
                            <wps:spPr>
                              <a:xfrm>
                                <a:off x="0" y="0"/>
                                <a:ext cx="900000" cy="167570"/>
                              </a:xfrm>
                              <a:prstGeom prst="rect">
                                <a:avLst/>
                              </a:prstGeom>
                              <a:noFill/>
                              <a:ln w="6350">
                                <a:noFill/>
                              </a:ln>
                            </wps:spPr>
                            <wps:txbx>
                              <w:txbxContent>
                                <w:p w14:paraId="10B182B3" w14:textId="51328505" w:rsidR="00B06983" w:rsidRPr="009B6177" w:rsidRDefault="00B06983" w:rsidP="000828A3">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Enerģijas uzkrāšana</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3735FBFC" id="_x0000_t202" coordsize="21600,21600" o:spt="202" path="m,l,21600r21600,l21600,xe">
                      <v:stroke joinstyle="miter"/>
                      <v:path gradientshapeok="t" o:connecttype="rect"/>
                    </v:shapetype>
                    <v:shape id="Text Box 2" o:spid="_x0000_s1026" type="#_x0000_t202" style="position:absolute;left:0;text-align:left;margin-left:238.05pt;margin-top:55.2pt;width:70.85pt;height:13.2pt;z-index:2516583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bDBKgIAAEsEAAAOAAAAZHJzL2Uyb0RvYy54bWysVN9v2jAQfp+0/8Hy+0igLV0jQsVaMU1C&#10;bSWY+mwcm0SyfZ5tSNhfv7OT0Knb0zQezPl+33efs7jvtCIn4XwDpqTTSU6JMByqxhxK+n23/vSZ&#10;Eh+YqZgCI0p6Fp7eLz9+WLS2EDOoQVXCEUxifNHaktYh2CLLPK+FZn4CVhg0SnCaBby6Q1Y51mJ2&#10;rbJZns+zFlxlHXDhPWofeyNdpvxSCh6epfQiEFVS7C2k06VzH89suWDFwTFbN3xog/1DF5o1Bote&#10;Uj2ywMjRNX+k0g134EGGCQedgZQNF2kGnGaav5tmWzMr0iwIjrcXmPz/S8ufTi+ONBXu7vb6Kr+e&#10;5XdTSgzTuKud6AL5Ah2ZRZha6wv03lr0Dx2qMWTUe1TG6TvpdPzHuQjaEfDzBeSYjKPyLo8/Sjia&#10;pvPbm9u0hOwt2DofvgrQJAoldbjDBC07bXzARtB1dIm1DKwbpdIelSFtSedXN3kKuFgwQhkMjCP0&#10;rUYpdPtumGsP1RnHctDzw1u+brD4hvnwwhwSAvtFkodnPKQCLAKDREkN7uff9NEf94RWSlokWEn9&#10;jyNzghL1zeAGIxtHwY3CfhTMUT8AchaXgd0kEQNcUKMoHehX5P4qVkETMxxrlZQHN14eQk90fD1c&#10;rFbJDVlnWdiYreUxeQQwgrnrXpmzA+IBV/UEI/lY8Q743reHfnUMIJu0lQhpj+OANDI2LWt4XfFJ&#10;/H5PXm/fgOUvAAAA//8DAFBLAwQUAAYACAAAACEAYefZtuEAAAALAQAADwAAAGRycy9kb3ducmV2&#10;LnhtbEyPwU7DMBBE70j8g7VI3KgTqNIqxKkQEqUgFYmWD3DjbZwmXkexm4a/ZznBcWeeZmeK1eQ6&#10;MeIQGk8K0lkCAqnypqFawdf+5W4JIkRNRneeUME3BliV11eFzo2/0CeOu1gLDqGQawU2xj6XMlQW&#10;nQ4z3yOxd/SD05HPoZZm0BcOd528T5JMOt0Qf7C6x2eLVbs7OwXr5pjuP8a27m379rp+32xPm1NU&#10;6vZmenoEEXGKfzD81ufqUHKngz+TCaJTMF9kKaNspMkcBBNZuuAxB1YesiXIspD/N5Q/AAAA//8D&#10;AFBLAQItABQABgAIAAAAIQC2gziS/gAAAOEBAAATAAAAAAAAAAAAAAAAAAAAAABbQ29udGVudF9U&#10;eXBlc10ueG1sUEsBAi0AFAAGAAgAAAAhADj9If/WAAAAlAEAAAsAAAAAAAAAAAAAAAAALwEAAF9y&#10;ZWxzLy5yZWxzUEsBAi0AFAAGAAgAAAAhAAxdsMEqAgAASwQAAA4AAAAAAAAAAAAAAAAALgIAAGRy&#10;cy9lMm9Eb2MueG1sUEsBAi0AFAAGAAgAAAAhAGHn2bbhAAAACwEAAA8AAAAAAAAAAAAAAAAAhAQA&#10;AGRycy9kb3ducmV2LnhtbFBLBQYAAAAABAAEAPMAAACSBQAAAAA=&#10;" filled="f" stroked="f" strokeweight=".5pt">
                      <v:textbox inset="0,0,0,0">
                        <w:txbxContent>
                          <w:p w14:paraId="10B182B3" w14:textId="51328505" w:rsidR="00B06983" w:rsidRPr="009B6177" w:rsidRDefault="00B06983" w:rsidP="000828A3">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Enerģijas uzkrāšana</w:t>
                            </w:r>
                          </w:p>
                        </w:txbxContent>
                      </v:textbox>
                    </v:shape>
                  </w:pict>
                </mc:Fallback>
              </mc:AlternateContent>
            </w:r>
            <w:r>
              <w:rPr>
                <w:noProof/>
                <w14:ligatures w14:val="standardContextual"/>
              </w:rPr>
              <mc:AlternateContent>
                <mc:Choice Requires="wps">
                  <w:drawing>
                    <wp:anchor distT="0" distB="0" distL="114300" distR="114300" simplePos="0" relativeHeight="251658303" behindDoc="0" locked="0" layoutInCell="1" allowOverlap="1" wp14:anchorId="682D92B3" wp14:editId="65E338AD">
                      <wp:simplePos x="0" y="0"/>
                      <wp:positionH relativeFrom="column">
                        <wp:posOffset>4122750</wp:posOffset>
                      </wp:positionH>
                      <wp:positionV relativeFrom="paragraph">
                        <wp:posOffset>716280</wp:posOffset>
                      </wp:positionV>
                      <wp:extent cx="720000" cy="167570"/>
                      <wp:effectExtent l="0" t="0" r="4445" b="4445"/>
                      <wp:wrapNone/>
                      <wp:docPr id="891164993" name="Text Box 2"/>
                      <wp:cNvGraphicFramePr/>
                      <a:graphic xmlns:a="http://schemas.openxmlformats.org/drawingml/2006/main">
                        <a:graphicData uri="http://schemas.microsoft.com/office/word/2010/wordprocessingShape">
                          <wps:wsp>
                            <wps:cNvSpPr txBox="1"/>
                            <wps:spPr>
                              <a:xfrm>
                                <a:off x="0" y="0"/>
                                <a:ext cx="720000" cy="167570"/>
                              </a:xfrm>
                              <a:prstGeom prst="rect">
                                <a:avLst/>
                              </a:prstGeom>
                              <a:noFill/>
                              <a:ln w="6350">
                                <a:noFill/>
                              </a:ln>
                            </wps:spPr>
                            <wps:txbx>
                              <w:txbxContent>
                                <w:p w14:paraId="103604E6" w14:textId="485460F7" w:rsidR="00B06983" w:rsidRPr="009B6177" w:rsidRDefault="00B06983" w:rsidP="000828A3">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Piegādes ķēdes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82D92B3" id="_x0000_s1027" type="#_x0000_t202" style="position:absolute;left:0;text-align:left;margin-left:324.65pt;margin-top:56.4pt;width:56.7pt;height:13.2pt;z-index:25165830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TR5LgIAAFEEAAAOAAAAZHJzL2Uyb0RvYy54bWysVN9v2jAQfp+0/8Hy+0hCVyiIULFWTJNQ&#10;WwmmPhvHJpFsn2cbEvbX7+wQOnV7mvbinO+X777vLov7TityEs43YEpajHJKhOFQNeZQ0u+79ac7&#10;SnxgpmIKjCjpWXh6v/z4YdHauRhDDaoSjmAS4+etLWkdgp1nmee10MyPwAqDRglOs4BXd8gqx1rM&#10;rlU2zvNJ1oKrrAMuvEftY2+ky5RfSsHDs5ReBKJKirWFdLp07uOZLRdsfnDM1g2/lMH+oQrNGoOP&#10;XlM9ssDI0TV/pNINd+BBhhEHnYGUDRepB+ymyN91s62ZFakXBMfbK0z+/6XlT6cXR5qqpHezoph8&#10;ns1uKDFMI1U70QXyBToyjii11s/ReWvRPXSoRrYHvUdlbL6TTscvtkXQjnifrxjHZByVU2QtRwtH&#10;UzGZ3k4TB9lbsHU+fBWgSRRK6pDChCw7bXzAQtB1cIlvGVg3SiUalSFtSSc3t3kKuFowQhkMjC30&#10;pUYpdPsuNX5tYw/VGbtz0E+Jt3zdYA0b5sMLczgWWDaOenjGQyrAt+AiUVKD+/k3ffRHttBKSYtj&#10;VlL/48icoER9M8hjnMlBcIOwHwRz1A+Ak1vgElmeRAxwQQ2idKBfcQNW8RU0McPxrZLy4IbLQ+jH&#10;HXeIi9UqueHsWRY2Zmt5TB5xjJjuulfm7AX4gIw9wTCCbP4O/963Z2B1DCCbRE5EtsfxAjjObeLs&#10;smNxMX6/J6+3P8HyFwAAAP//AwBQSwMEFAAGAAgAAAAhACJQeAfhAAAACwEAAA8AAABkcnMvZG93&#10;bnJldi54bWxMj8FOwzAQRO9I/IO1SNyokxSlNMSpEBKlVAKJlg9wk22cJl5HsZuGv2c5wXFnnmZn&#10;8tVkOzHi4BtHCuJZBAKpdFVDtYKv/cvdAwgfNFW6c4QKvtHDqri+ynVWuQt94rgLteAQ8plWYELo&#10;Myl9adBqP3M9EntHN1gd+BxqWQ36wuG2k0kUpdLqhviD0T0+Gyzb3dkqWDfHeP8xtnVv2rfX9Xbz&#10;ftqcglK3N9PTI4iAU/iD4bc+V4eCOx3cmSovOgXp/XLOKBtxwhuYWKTJAsSBlfkyAVnk8v+G4gcA&#10;AP//AwBQSwECLQAUAAYACAAAACEAtoM4kv4AAADhAQAAEwAAAAAAAAAAAAAAAAAAAAAAW0NvbnRl&#10;bnRfVHlwZXNdLnhtbFBLAQItABQABgAIAAAAIQA4/SH/1gAAAJQBAAALAAAAAAAAAAAAAAAAAC8B&#10;AABfcmVscy8ucmVsc1BLAQItABQABgAIAAAAIQCgdTR5LgIAAFEEAAAOAAAAAAAAAAAAAAAAAC4C&#10;AABkcnMvZTJvRG9jLnhtbFBLAQItABQABgAIAAAAIQAiUHgH4QAAAAsBAAAPAAAAAAAAAAAAAAAA&#10;AIgEAABkcnMvZG93bnJldi54bWxQSwUGAAAAAAQABADzAAAAlgUAAAAA&#10;" filled="f" stroked="f" strokeweight=".5pt">
                      <v:textbox inset="0,0,0,0">
                        <w:txbxContent>
                          <w:p w14:paraId="103604E6" w14:textId="485460F7" w:rsidR="00B06983" w:rsidRPr="009B6177" w:rsidRDefault="00B06983" w:rsidP="000828A3">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Piegādes ķēdes</w:t>
                            </w:r>
                          </w:p>
                        </w:txbxContent>
                      </v:textbox>
                    </v:shape>
                  </w:pict>
                </mc:Fallback>
              </mc:AlternateContent>
            </w:r>
            <w:r>
              <w:rPr>
                <w:noProof/>
                <w14:ligatures w14:val="standardContextual"/>
              </w:rPr>
              <mc:AlternateContent>
                <mc:Choice Requires="wps">
                  <w:drawing>
                    <wp:anchor distT="0" distB="0" distL="114300" distR="114300" simplePos="0" relativeHeight="251658302" behindDoc="0" locked="0" layoutInCell="1" allowOverlap="1" wp14:anchorId="51F61B85" wp14:editId="2132B626">
                      <wp:simplePos x="0" y="0"/>
                      <wp:positionH relativeFrom="column">
                        <wp:posOffset>4959121</wp:posOffset>
                      </wp:positionH>
                      <wp:positionV relativeFrom="paragraph">
                        <wp:posOffset>1134389</wp:posOffset>
                      </wp:positionV>
                      <wp:extent cx="720000" cy="167570"/>
                      <wp:effectExtent l="0" t="0" r="4445" b="4445"/>
                      <wp:wrapNone/>
                      <wp:docPr id="277661469" name="Text Box 2"/>
                      <wp:cNvGraphicFramePr/>
                      <a:graphic xmlns:a="http://schemas.openxmlformats.org/drawingml/2006/main">
                        <a:graphicData uri="http://schemas.microsoft.com/office/word/2010/wordprocessingShape">
                          <wps:wsp>
                            <wps:cNvSpPr txBox="1"/>
                            <wps:spPr>
                              <a:xfrm>
                                <a:off x="0" y="0"/>
                                <a:ext cx="720000" cy="167570"/>
                              </a:xfrm>
                              <a:prstGeom prst="rect">
                                <a:avLst/>
                              </a:prstGeom>
                              <a:noFill/>
                              <a:ln w="6350">
                                <a:noFill/>
                              </a:ln>
                            </wps:spPr>
                            <wps:txbx>
                              <w:txbxContent>
                                <w:p w14:paraId="4BEF00E3" w14:textId="1D070746" w:rsidR="00B06983" w:rsidRPr="009B6177" w:rsidRDefault="00B06983" w:rsidP="000828A3">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Riski mieram</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1F61B85" id="_x0000_s1028" type="#_x0000_t202" style="position:absolute;left:0;text-align:left;margin-left:390.5pt;margin-top:89.3pt;width:56.7pt;height:13.2pt;z-index:25165830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ZI3LQIAAFEEAAAOAAAAZHJzL2Uyb0RvYy54bWysVE1v2zAMvQ/YfxB0X+xkq9MZcYqsRYYB&#10;QVsgGXpWZCk2IImapMTOfv0oOU6HbqdhF5nil8j3SC/ueq3ISTjfgqnodJJTIgyHujWHin7frT/c&#10;UuIDMzVTYERFz8LTu+X7d4vOlmIGDahaOIJJjC87W9EmBFtmmeeN0MxPwAqDRglOs4BXd8hqxzrM&#10;rlU2y/Mi68DV1gEX3qP2YTDSZcovpeDhSUovAlEVxdpCOl069/HMlgtWHhyzTcsvZbB/qEKz1uCj&#10;11QPLDBydO0fqXTLHXiQYcJBZyBly0XqAbuZ5m+62TbMitQLguPtFSb//9Lyx9OzI21d0dl8XhTT&#10;T8VnSgzTSNVO9IF8gZ7MIkqd9SU6by26hx7VyPao96iMzffS6fjFtgjaEe/zFeOYjKNyjqzlaOFo&#10;mhbzm3niIHsNts6HrwI0iUJFHVKYkGWnjQ9YCLqOLvEtA+tWqUSjMqSraPHxJk8BVwtGKIOBsYWh&#10;1CiFft8PjY9t7KE+Y3cOhinxlq9brGHDfHhmDscCy8ZRD094SAX4FlwkShpwP/+mj/7IFlop6XDM&#10;Kup/HJkTlKhvBnmMMzkKbhT2o2CO+h5wcqe4RJYnEQNcUKMoHegX3IBVfAVNzHB8q6I8uPFyH4Zx&#10;xx3iYrVKbjh7loWN2Voek0ccI6a7/oU5ewE+IGOPMI4gK9/gP/gODKyOAWSbyInIDjheAMe5TZxd&#10;diwuxu/35PX6J1j+AgAA//8DAFBLAwQUAAYACAAAACEAZBTM8uIAAAALAQAADwAAAGRycy9kb3du&#10;cmV2LnhtbEyPUU/CMBSF3038D8018U3aEYQx1xFjIiKJJgI/oKyXdWy9XdYy5r+3PunjyTk55zv5&#10;arQtG7D3tSMJyUQAQyqdrqmScNi/PqTAfFCkVesIJXyjh1Vxe5OrTLsrfeGwCxWLJeQzJcGE0GWc&#10;+9KgVX7iOqTonVxvVYiyr7ju1TWW25ZPhZhzq2qKC0Z1+GKwbHYXK2Fdn5L959BUnWne39bbzcd5&#10;cw5S3t+Nz0/AAo7hLwy/+BEdish0dBfSnrUSFmkSv4RoLNI5sJhIl7MZsKOEqXgUwIuc//9Q/AAA&#10;AP//AwBQSwECLQAUAAYACAAAACEAtoM4kv4AAADhAQAAEwAAAAAAAAAAAAAAAAAAAAAAW0NvbnRl&#10;bnRfVHlwZXNdLnhtbFBLAQItABQABgAIAAAAIQA4/SH/1gAAAJQBAAALAAAAAAAAAAAAAAAAAC8B&#10;AABfcmVscy8ucmVsc1BLAQItABQABgAIAAAAIQAyfZI3LQIAAFEEAAAOAAAAAAAAAAAAAAAAAC4C&#10;AABkcnMvZTJvRG9jLnhtbFBLAQItABQABgAIAAAAIQBkFMzy4gAAAAsBAAAPAAAAAAAAAAAAAAAA&#10;AIcEAABkcnMvZG93bnJldi54bWxQSwUGAAAAAAQABADzAAAAlgUAAAAA&#10;" filled="f" stroked="f" strokeweight=".5pt">
                      <v:textbox inset="0,0,0,0">
                        <w:txbxContent>
                          <w:p w14:paraId="4BEF00E3" w14:textId="1D070746" w:rsidR="00B06983" w:rsidRPr="009B6177" w:rsidRDefault="00B06983" w:rsidP="000828A3">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Riski mieram</w:t>
                            </w:r>
                          </w:p>
                        </w:txbxContent>
                      </v:textbox>
                    </v:shape>
                  </w:pict>
                </mc:Fallback>
              </mc:AlternateContent>
            </w:r>
            <w:r>
              <w:rPr>
                <w:noProof/>
                <w14:ligatures w14:val="standardContextual"/>
              </w:rPr>
              <mc:AlternateContent>
                <mc:Choice Requires="wps">
                  <w:drawing>
                    <wp:anchor distT="0" distB="0" distL="114300" distR="114300" simplePos="0" relativeHeight="251658301" behindDoc="0" locked="0" layoutInCell="1" allowOverlap="1" wp14:anchorId="54B3B9B4" wp14:editId="0B8B2803">
                      <wp:simplePos x="0" y="0"/>
                      <wp:positionH relativeFrom="column">
                        <wp:posOffset>2784475</wp:posOffset>
                      </wp:positionH>
                      <wp:positionV relativeFrom="paragraph">
                        <wp:posOffset>981228</wp:posOffset>
                      </wp:positionV>
                      <wp:extent cx="720000" cy="167570"/>
                      <wp:effectExtent l="0" t="0" r="4445" b="4445"/>
                      <wp:wrapNone/>
                      <wp:docPr id="1084395412" name="Text Box 2"/>
                      <wp:cNvGraphicFramePr/>
                      <a:graphic xmlns:a="http://schemas.openxmlformats.org/drawingml/2006/main">
                        <a:graphicData uri="http://schemas.microsoft.com/office/word/2010/wordprocessingShape">
                          <wps:wsp>
                            <wps:cNvSpPr txBox="1"/>
                            <wps:spPr>
                              <a:xfrm>
                                <a:off x="0" y="0"/>
                                <a:ext cx="720000" cy="167570"/>
                              </a:xfrm>
                              <a:prstGeom prst="rect">
                                <a:avLst/>
                              </a:prstGeom>
                              <a:noFill/>
                              <a:ln w="6350">
                                <a:noFill/>
                              </a:ln>
                            </wps:spPr>
                            <wps:txbx>
                              <w:txbxContent>
                                <w:p w14:paraId="366BC03D" w14:textId="1AA052BF" w:rsidR="00B06983" w:rsidRPr="009B6177" w:rsidRDefault="00B06983" w:rsidP="000828A3">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Populisms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4B3B9B4" id="_x0000_s1029" type="#_x0000_t202" style="position:absolute;left:0;text-align:left;margin-left:219.25pt;margin-top:77.25pt;width:56.7pt;height:13.2pt;z-index:25165830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7OVLgIAAFIEAAAOAAAAZHJzL2Uyb0RvYy54bWysVN9v2jAQfp+0/8Hy+0iAQjtEqFgrpkmo&#10;rQRTn43jQKTE59mGhP31++wQOnV7mvbinO+X777vLvP7tq7YSVlXks74cJByprSkvNT7jH/frj7d&#10;cea80LmoSKuMn5Xj94uPH+aNmakRHajKlWVIot2sMRk/eG9mSeLkQdXCDcgoDWNBthYeV7tPcisa&#10;ZK+rZJSm06QhmxtLUjkH7WNn5IuYvyiU9M9F4ZRnVcZRm4+njecunMliLmZ7K8yhlJcyxD9UUYtS&#10;49FrqkfhBTva8o9UdSktOSr8QFKdUFGUUsUe0M0wfdfN5iCMir0AHGeuMLn/l1Y+nV4sK3Nwl97d&#10;jD9PboYjzrSowdVWtZ59oZaNAkyNcTN4bwz8fQs1Qnq9gzJ03xa2Dl/0xWAH4OcryCGZhPIWtKWw&#10;SJiG09vJbSQheQs21vmvimoWhIxbcBihFae18ygErr1LeEvTqqyqyGOlWZPx6XiSxoCrBRGVRmBo&#10;oSs1SL7dtbHzcd/GjvIzurPUjYkzclWihrVw/kVYzAXKxqz7ZxxFRXiLLhJnB7I//6YP/qALVs4a&#10;zFnG3Y+jsIqz6psGkWEoe8H2wq4X9LF+IIzuEFtkZBQRYH3Vi4Wl+hUrsAyvwCS0xFsZl972lwff&#10;zTuWSKrlMrph+Izwa70xMiQPOAZMt+2rsOYCvAdjT9TPoJi9w7/z7RhYHj0VZSQnINvheAEcgxs5&#10;uyxZ2Izf79Hr7Vew+AUAAP//AwBQSwMEFAAGAAgAAAAhANeaQ3DiAAAACwEAAA8AAABkcnMvZG93&#10;bnJldi54bWxMj8FOwzAQRO9I/IO1SNyoE2hQGuJUCInSIoFEywe48TZJE6+j2E3D37M9wW13ZzT7&#10;Jl9OthMjDr5xpCCeRSCQSmcaqhR8717vUhA+aDK6c4QKftDDsri+ynVm3Jm+cNyGSnAI+UwrqEPo&#10;Myl9WaPVfuZ6JNYObrA68DpU0gz6zOG2k/dR9Citbog/1LrHlxrLdnuyClbNId59jm3V1+3mbfW+&#10;/jiuj0Gp25vp+QlEwCn8meGCz+hQMNPench40SmYP6QJW1lI5jywI0niBYg9X9JoAbLI5f8OxS8A&#10;AAD//wMAUEsBAi0AFAAGAAgAAAAhALaDOJL+AAAA4QEAABMAAAAAAAAAAAAAAAAAAAAAAFtDb250&#10;ZW50X1R5cGVzXS54bWxQSwECLQAUAAYACAAAACEAOP0h/9YAAACUAQAACwAAAAAAAAAAAAAAAAAv&#10;AQAAX3JlbHMvLnJlbHNQSwECLQAUAAYACAAAACEA4GOzlS4CAABSBAAADgAAAAAAAAAAAAAAAAAu&#10;AgAAZHJzL2Uyb0RvYy54bWxQSwECLQAUAAYACAAAACEA15pDcOIAAAALAQAADwAAAAAAAAAAAAAA&#10;AACIBAAAZHJzL2Rvd25yZXYueG1sUEsFBgAAAAAEAAQA8wAAAJcFAAAAAA==&#10;" filled="f" stroked="f" strokeweight=".5pt">
                      <v:textbox inset="0,0,0,0">
                        <w:txbxContent>
                          <w:p w14:paraId="366BC03D" w14:textId="1AA052BF" w:rsidR="00B06983" w:rsidRPr="009B6177" w:rsidRDefault="00B06983" w:rsidP="000828A3">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Populisms</w:t>
                            </w:r>
                          </w:p>
                        </w:txbxContent>
                      </v:textbox>
                    </v:shape>
                  </w:pict>
                </mc:Fallback>
              </mc:AlternateContent>
            </w:r>
            <w:r>
              <w:rPr>
                <w:noProof/>
                <w14:ligatures w14:val="standardContextual"/>
              </w:rPr>
              <mc:AlternateContent>
                <mc:Choice Requires="wps">
                  <w:drawing>
                    <wp:anchor distT="0" distB="0" distL="114300" distR="114300" simplePos="0" relativeHeight="251658300" behindDoc="0" locked="0" layoutInCell="1" allowOverlap="1" wp14:anchorId="5A2AF215" wp14:editId="05E07E62">
                      <wp:simplePos x="0" y="0"/>
                      <wp:positionH relativeFrom="column">
                        <wp:posOffset>3039745</wp:posOffset>
                      </wp:positionH>
                      <wp:positionV relativeFrom="paragraph">
                        <wp:posOffset>1464005</wp:posOffset>
                      </wp:positionV>
                      <wp:extent cx="900000" cy="167570"/>
                      <wp:effectExtent l="0" t="0" r="14605" b="4445"/>
                      <wp:wrapNone/>
                      <wp:docPr id="20644689" name="Text Box 2"/>
                      <wp:cNvGraphicFramePr/>
                      <a:graphic xmlns:a="http://schemas.openxmlformats.org/drawingml/2006/main">
                        <a:graphicData uri="http://schemas.microsoft.com/office/word/2010/wordprocessingShape">
                          <wps:wsp>
                            <wps:cNvSpPr txBox="1"/>
                            <wps:spPr>
                              <a:xfrm>
                                <a:off x="0" y="0"/>
                                <a:ext cx="900000" cy="167570"/>
                              </a:xfrm>
                              <a:prstGeom prst="rect">
                                <a:avLst/>
                              </a:prstGeom>
                              <a:noFill/>
                              <a:ln w="6350">
                                <a:noFill/>
                              </a:ln>
                            </wps:spPr>
                            <wps:txbx>
                              <w:txbxContent>
                                <w:p w14:paraId="1AEA19AC" w14:textId="6CF7D4E1" w:rsidR="00B06983" w:rsidRPr="009B6177" w:rsidRDefault="00B06983" w:rsidP="000828A3">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Iekšzemes izaugsme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A2AF215" id="_x0000_s1030" type="#_x0000_t202" style="position:absolute;left:0;text-align:left;margin-left:239.35pt;margin-top:115.3pt;width:70.85pt;height:13.2pt;z-index:2516583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o5LQIAAFAEAAAOAAAAZHJzL2Uyb0RvYy54bWysVN9v2jAQfp+0/8Hy+0hglLaIULFWTJOq&#10;thJMfTaOQyLZPu9sSNhfv7ND6NTtaRoP5ny/fPd9d1ncdUazo0LfgC34eJRzpqyEsrH7gn/frj/d&#10;cOaDsKXQYFXBT8rzu+XHD4vWzdUEatClQkZJrJ+3ruB1CG6eZV7Wygg/AqcsGStAIwJdcZ+VKFrK&#10;bnQ2yfNZ1gKWDkEq70n70Bv5MuWvKiXDc1V5FZguONUW0onp3MUzWy7EfI/C1Y08lyH+oQojGkuP&#10;XlI9iCDYAZs/UplGIniowkiCyaCqGqlSD9TNOH/XzaYWTqVeCBzvLjD5/5dWPh1fkDVlwSf5bDqd&#10;3dxyZoUhpraqC+wLdGwSQWqdn5PvxpF36EhNZA96T8rYe1ehif/UFSM7wX26QByTSVLe5vHHmSTT&#10;eHZ9dZ0oyN6CHfrwVYFhUSg4EoMJWHF89IEKIdfBJb5lYd1onVjUlrUFn32+ylPAxUIR2lJgbKEv&#10;NUqh23Wp7+nQxg7KE3WH0A+Jd3LdUA2PwocXgTQVVDZNenimo9JAb8FZ4qwG/Pk3ffQnssjKWUtT&#10;VnD/4yBQcaa/WaIxjuQg4CDsBsEezD3Q4I5ph5xMIgVg0INYIZhXWoBVfIVMwkp6q+Ay4HC5D/20&#10;0wpJtVolNxo9J8Kj3TgZk0ccI6bb7lWgOwMfiLEnGCZQzN/h3/v2DKwOAaomkROR7XE8A05jmzg7&#10;r1jci9/vyevtQ7D8BQAA//8DAFBLAwQUAAYACAAAACEAJuNTT+IAAAALAQAADwAAAGRycy9kb3du&#10;cmV2LnhtbEyPQU7DMBBF90jcwRokdtRuKEkV4lQIiVIqgUTLAdzYjdPE4yh203B7hhUsZ+bpz/vF&#10;anIdG80QGo8S5jMBzGDldYO1hK/9y90SWIgKteo8GgnfJsCqvL4qVK79BT/NuIs1oxAMuZJgY+xz&#10;zkNljVNh5nuDdDv6walI41BzPagLhbuOJ0Kk3KkG6YNVvXm2pmp3Zydh3Rzn+4+xrXvbvr2ut5v3&#10;0+YUpby9mZ4egUUzxT8YfvVJHUpyOvgz6sA6CYtsmREqIbkXKTAi0kQsgB1o85AJ4GXB/3cofwAA&#10;AP//AwBQSwECLQAUAAYACAAAACEAtoM4kv4AAADhAQAAEwAAAAAAAAAAAAAAAAAAAAAAW0NvbnRl&#10;bnRfVHlwZXNdLnhtbFBLAQItABQABgAIAAAAIQA4/SH/1gAAAJQBAAALAAAAAAAAAAAAAAAAAC8B&#10;AABfcmVscy8ucmVsc1BLAQItABQABgAIAAAAIQA/X6o5LQIAAFAEAAAOAAAAAAAAAAAAAAAAAC4C&#10;AABkcnMvZTJvRG9jLnhtbFBLAQItABQABgAIAAAAIQAm41NP4gAAAAsBAAAPAAAAAAAAAAAAAAAA&#10;AIcEAABkcnMvZG93bnJldi54bWxQSwUGAAAAAAQABADzAAAAlgUAAAAA&#10;" filled="f" stroked="f" strokeweight=".5pt">
                      <v:textbox inset="0,0,0,0">
                        <w:txbxContent>
                          <w:p w14:paraId="1AEA19AC" w14:textId="6CF7D4E1" w:rsidR="00B06983" w:rsidRPr="009B6177" w:rsidRDefault="00B06983" w:rsidP="000828A3">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Iekšzemes izaugsme</w:t>
                            </w:r>
                          </w:p>
                        </w:txbxContent>
                      </v:textbox>
                    </v:shape>
                  </w:pict>
                </mc:Fallback>
              </mc:AlternateContent>
            </w:r>
            <w:r>
              <w:rPr>
                <w:noProof/>
                <w14:ligatures w14:val="standardContextual"/>
              </w:rPr>
              <mc:AlternateContent>
                <mc:Choice Requires="wps">
                  <w:drawing>
                    <wp:anchor distT="0" distB="0" distL="114300" distR="114300" simplePos="0" relativeHeight="251658299" behindDoc="0" locked="0" layoutInCell="1" allowOverlap="1" wp14:anchorId="7B52107C" wp14:editId="1973D267">
                      <wp:simplePos x="0" y="0"/>
                      <wp:positionH relativeFrom="column">
                        <wp:posOffset>2496820</wp:posOffset>
                      </wp:positionH>
                      <wp:positionV relativeFrom="paragraph">
                        <wp:posOffset>1639570</wp:posOffset>
                      </wp:positionV>
                      <wp:extent cx="1080000" cy="167570"/>
                      <wp:effectExtent l="0" t="0" r="6350" b="4445"/>
                      <wp:wrapNone/>
                      <wp:docPr id="62185473" name="Text Box 2"/>
                      <wp:cNvGraphicFramePr/>
                      <a:graphic xmlns:a="http://schemas.openxmlformats.org/drawingml/2006/main">
                        <a:graphicData uri="http://schemas.microsoft.com/office/word/2010/wordprocessingShape">
                          <wps:wsp>
                            <wps:cNvSpPr txBox="1"/>
                            <wps:spPr>
                              <a:xfrm>
                                <a:off x="0" y="0"/>
                                <a:ext cx="1080000" cy="167570"/>
                              </a:xfrm>
                              <a:prstGeom prst="rect">
                                <a:avLst/>
                              </a:prstGeom>
                              <a:noFill/>
                              <a:ln w="6350">
                                <a:noFill/>
                              </a:ln>
                            </wps:spPr>
                            <wps:txbx>
                              <w:txbxContent>
                                <w:p w14:paraId="36F72915" w14:textId="621B42BF" w:rsidR="00B06983" w:rsidRPr="009B6177" w:rsidRDefault="00B06983" w:rsidP="000828A3">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Sociālās vajadzības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B52107C" id="_x0000_s1031" type="#_x0000_t202" style="position:absolute;left:0;text-align:left;margin-left:196.6pt;margin-top:129.1pt;width:85.05pt;height:13.2pt;z-index:25165829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4Xh6LgIAAFEEAAAOAAAAZHJzL2Uyb0RvYy54bWysVE2P2yAQvVfqf0DcGzvZ5kNWnFW6q1SV&#10;ot2VkmrPBENsCRgKJHb66zvgOFtte6qaAxmYD+a9N3h532lFzsL5BkxJx6OcEmE4VI05lvT7fvNp&#10;QYkPzFRMgRElvQhP71cfPyxbW4gJ1KAq4QgWMb5obUnrEGyRZZ7XQjM/AisMOiU4zQJu3TGrHGux&#10;ulbZJM9nWQuusg648B5PH3snXaX6UgoenqX0IhBVUuwtpNWl9RDXbLVkxdExWzf82gb7hy40awxe&#10;eiv1yAIjJ9f8UUo33IEHGUYcdAZSNlwkDIhmnL9Ds6uZFQkLkuPtjSb//8ryp/OLI01V0tlkvJh+&#10;nt9RYphGpfaiC+QLdGQSSWqtLzB2ZzE6dHiMYg/nHg8j9k46Hf8RFUE/0n25URyL8ZiUL3L8UcLR&#10;N57Np/OkQfaWbZ0PXwVoEo2SOpQwMcvOWx+wEwwdQuJlBjaNUklGZUiLOO6meUq4eTBDGUyMGPpe&#10;oxW6Q5eATwccB6guCM9BPyXe8k2DPWyZDy/M4Vhg2zjq4RkXqQDvgqtFSQ3u59/OYzyqhV5KWhyz&#10;kvofJ+YEJeqbQR3jTA6GG4zDYJiTfgCc3DE+IsuTiQkuqMGUDvQrvoB1vAVdzHC8q6Q8uGHzEPpx&#10;xzfExXqdwnD2LAtbs7M8Fo88Rk733Stz9kp8QMmeYBhBVrzjv4/tFVifAsgmiROZ7Xm8Eo5zmzS7&#10;vrH4MH7fp6i3L8HqFwAAAP//AwBQSwMEFAAGAAgAAAAhAFfnJ4/iAAAACwEAAA8AAABkcnMvZG93&#10;bnJldi54bWxMj01OwzAQRvdI3MEaJHbUaUKjNMSpEBKlVAKJtgdw42mcJraj2E3D7RlWsJufp2/e&#10;FKvJdGzEwTfOCpjPImBoK6caWws47F8fMmA+SKtk5ywK+EYPq/L2ppC5clf7heMu1IxCrM+lAB1C&#10;n3PuK41G+pnr0dLu5AYjA7VDzdUgrxRuOh5HUcqNbCxd0LLHF41Vu7sYAevmNN9/jm3d6/b9bb3d&#10;fJw35yDE/d30/AQs4BT+YPjVJ3UoyenoLlZ51glIlklMqIB4kVFBxCJNEmBHmmSPKfCy4P9/KH8A&#10;AAD//wMAUEsBAi0AFAAGAAgAAAAhALaDOJL+AAAA4QEAABMAAAAAAAAAAAAAAAAAAAAAAFtDb250&#10;ZW50X1R5cGVzXS54bWxQSwECLQAUAAYACAAAACEAOP0h/9YAAACUAQAACwAAAAAAAAAAAAAAAAAv&#10;AQAAX3JlbHMvLnJlbHNQSwECLQAUAAYACAAAACEAuOF4ei4CAABRBAAADgAAAAAAAAAAAAAAAAAu&#10;AgAAZHJzL2Uyb0RvYy54bWxQSwECLQAUAAYACAAAACEAV+cnj+IAAAALAQAADwAAAAAAAAAAAAAA&#10;AACIBAAAZHJzL2Rvd25yZXYueG1sUEsFBgAAAAAEAAQA8wAAAJcFAAAAAA==&#10;" filled="f" stroked="f" strokeweight=".5pt">
                      <v:textbox inset="0,0,0,0">
                        <w:txbxContent>
                          <w:p w14:paraId="36F72915" w14:textId="621B42BF" w:rsidR="00B06983" w:rsidRPr="009B6177" w:rsidRDefault="00B06983" w:rsidP="000828A3">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Sociālās vajadzības</w:t>
                            </w:r>
                          </w:p>
                        </w:txbxContent>
                      </v:textbox>
                    </v:shape>
                  </w:pict>
                </mc:Fallback>
              </mc:AlternateContent>
            </w:r>
            <w:r>
              <w:rPr>
                <w:noProof/>
                <w14:ligatures w14:val="standardContextual"/>
              </w:rPr>
              <mc:AlternateContent>
                <mc:Choice Requires="wps">
                  <w:drawing>
                    <wp:anchor distT="0" distB="0" distL="114300" distR="114300" simplePos="0" relativeHeight="251658297" behindDoc="0" locked="0" layoutInCell="1" allowOverlap="1" wp14:anchorId="26F8560C" wp14:editId="2C4FF599">
                      <wp:simplePos x="0" y="0"/>
                      <wp:positionH relativeFrom="column">
                        <wp:posOffset>2563368</wp:posOffset>
                      </wp:positionH>
                      <wp:positionV relativeFrom="paragraph">
                        <wp:posOffset>1142365</wp:posOffset>
                      </wp:positionV>
                      <wp:extent cx="720000" cy="167570"/>
                      <wp:effectExtent l="0" t="0" r="4445" b="4445"/>
                      <wp:wrapNone/>
                      <wp:docPr id="1263638095" name="Text Box 2"/>
                      <wp:cNvGraphicFramePr/>
                      <a:graphic xmlns:a="http://schemas.openxmlformats.org/drawingml/2006/main">
                        <a:graphicData uri="http://schemas.microsoft.com/office/word/2010/wordprocessingShape">
                          <wps:wsp>
                            <wps:cNvSpPr txBox="1"/>
                            <wps:spPr>
                              <a:xfrm>
                                <a:off x="0" y="0"/>
                                <a:ext cx="720000" cy="167570"/>
                              </a:xfrm>
                              <a:prstGeom prst="rect">
                                <a:avLst/>
                              </a:prstGeom>
                              <a:noFill/>
                              <a:ln w="6350">
                                <a:noFill/>
                              </a:ln>
                            </wps:spPr>
                            <wps:txbx>
                              <w:txbxContent>
                                <w:p w14:paraId="25271C9A" w14:textId="6265D3F6" w:rsidR="00B06983" w:rsidRPr="009B6177" w:rsidRDefault="00B06983" w:rsidP="000828A3">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Darbaspēks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6F8560C" id="_x0000_s1032" type="#_x0000_t202" style="position:absolute;left:0;text-align:left;margin-left:201.85pt;margin-top:89.95pt;width:56.7pt;height:13.2pt;z-index:25165829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cw6LQIAAFIEAAAOAAAAZHJzL2Uyb0RvYy54bWysVE2P2jAQvVfqf7B8LwkgYIsIK7orqkpo&#10;dyWo9mwcByIlHtc2JPTX99khbLXtqerFGc+XZ96byeK+rSt2VtaVpDM+HKScKS0pL/Uh49936093&#10;nDkvdC4q0irjF+X4/fLjh0Vj5mpER6pyZRmSaDdvTMaP3pt5kjh5VLVwAzJKw1iQrYXH1R6S3IoG&#10;2esqGaXpNGnI5saSVM5B+9gZ+TLmLwol/XNROOVZlXHU5uNp47kPZ7JciPnBCnMs5bUM8Q9V1KLU&#10;ePSW6lF4wU62/CNVXUpLjgo/kFQnVBSlVLEHdDNM33WzPQqjYi8Ax5kbTO7/pZVP5xfLyhzcjabj&#10;6fgu/TzhTIsaXO1U69kXatkowNQYN4f31sDft1AjpNc7KEP3bWHr8EVfDHYAfrmBHJJJKGegLYVF&#10;wjScziazSELyFmys818V1SwIGbfgMEIrzhvnUQhce5fwlqZ1WVWRx0qzJuPT8SSNATcLIiqNwNBC&#10;V2qQfLtvY+fTvo095Rd0Z6kbE2fkukQNG+H8i7CYC5SNWffPOIqK8BZdJc6OZH/+TR/8QResnDWY&#10;s4y7HydhFWfVNw0iw1D2gu2FfS/oU/1AGN0htsjIKCLA+qoXC0v1K1ZgFV6BSWiJtzIuve0vD76b&#10;dyyRVKtVdMPwGeE3emtkSB5wDJju2ldhzRV4D8aeqJ9BMX+Hf+fbMbA6eSrKSE5AtsPxCjgGN3J2&#10;XbKwGb/fo9fbr2D5CwAA//8DAFBLAwQUAAYACAAAACEA+lLsSeIAAAALAQAADwAAAGRycy9kb3du&#10;cmV2LnhtbEyPQU7DMBBF90jcwRokdtROSxsa4lQIiVKQQKLlAG48jdPE4yh20/T2mBUsR//p/zf5&#10;arQtG7D3tSMJyUQAQyqdrqmS8L17uXsA5oMirVpHKOGCHlbF9VWuMu3O9IXDNlQslpDPlAQTQpdx&#10;7kuDVvmJ65BidnC9VSGefcV1r86x3LZ8KsSCW1VTXDCqw2eDZbM9WQnr+pDsPoem6kzz9rp+33wc&#10;N8cg5e3N+PQILOAY/mD41Y/qUESnvTuR9qyVcC9maURjkC6XwCIxT9IE2F7CVCxmwIuc//+h+AEA&#10;AP//AwBQSwECLQAUAAYACAAAACEAtoM4kv4AAADhAQAAEwAAAAAAAAAAAAAAAAAAAAAAW0NvbnRl&#10;bnRfVHlwZXNdLnhtbFBLAQItABQABgAIAAAAIQA4/SH/1gAAAJQBAAALAAAAAAAAAAAAAAAAAC8B&#10;AABfcmVscy8ucmVsc1BLAQItABQABgAIAAAAIQBH9cw6LQIAAFIEAAAOAAAAAAAAAAAAAAAAAC4C&#10;AABkcnMvZTJvRG9jLnhtbFBLAQItABQABgAIAAAAIQD6UuxJ4gAAAAsBAAAPAAAAAAAAAAAAAAAA&#10;AIcEAABkcnMvZG93bnJldi54bWxQSwUGAAAAAAQABADzAAAAlgUAAAAA&#10;" filled="f" stroked="f" strokeweight=".5pt">
                      <v:textbox inset="0,0,0,0">
                        <w:txbxContent>
                          <w:p w14:paraId="25271C9A" w14:textId="6265D3F6" w:rsidR="00B06983" w:rsidRPr="009B6177" w:rsidRDefault="00B06983" w:rsidP="000828A3">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Darbaspēks</w:t>
                            </w:r>
                          </w:p>
                        </w:txbxContent>
                      </v:textbox>
                    </v:shape>
                  </w:pict>
                </mc:Fallback>
              </mc:AlternateContent>
            </w:r>
            <w:r>
              <w:rPr>
                <w:noProof/>
                <w14:ligatures w14:val="standardContextual"/>
              </w:rPr>
              <mc:AlternateContent>
                <mc:Choice Requires="wps">
                  <w:drawing>
                    <wp:anchor distT="0" distB="0" distL="114300" distR="114300" simplePos="0" relativeHeight="251658298" behindDoc="0" locked="0" layoutInCell="1" allowOverlap="1" wp14:anchorId="14FB92F3" wp14:editId="0519705E">
                      <wp:simplePos x="0" y="0"/>
                      <wp:positionH relativeFrom="column">
                        <wp:posOffset>2013763</wp:posOffset>
                      </wp:positionH>
                      <wp:positionV relativeFrom="paragraph">
                        <wp:posOffset>1138301</wp:posOffset>
                      </wp:positionV>
                      <wp:extent cx="720000" cy="371831"/>
                      <wp:effectExtent l="0" t="0" r="4445" b="9525"/>
                      <wp:wrapNone/>
                      <wp:docPr id="1212265150" name="Text Box 2"/>
                      <wp:cNvGraphicFramePr/>
                      <a:graphic xmlns:a="http://schemas.openxmlformats.org/drawingml/2006/main">
                        <a:graphicData uri="http://schemas.microsoft.com/office/word/2010/wordprocessingShape">
                          <wps:wsp>
                            <wps:cNvSpPr txBox="1"/>
                            <wps:spPr>
                              <a:xfrm>
                                <a:off x="0" y="0"/>
                                <a:ext cx="720000" cy="371831"/>
                              </a:xfrm>
                              <a:prstGeom prst="rect">
                                <a:avLst/>
                              </a:prstGeom>
                              <a:noFill/>
                              <a:ln w="6350">
                                <a:noFill/>
                              </a:ln>
                            </wps:spPr>
                            <wps:txbx>
                              <w:txbxContent>
                                <w:p w14:paraId="540B0753" w14:textId="2A566DCA" w:rsidR="00B06983" w:rsidRPr="009B6177" w:rsidRDefault="00B06983" w:rsidP="000828A3">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Kritiskie minerālie produkti</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FB92F3" id="_x0000_s1033" type="#_x0000_t202" style="position:absolute;left:0;text-align:left;margin-left:158.55pt;margin-top:89.65pt;width:56.7pt;height:29.3pt;z-index:2516582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G28LAIAAFIEAAAOAAAAZHJzL2Uyb0RvYy54bWysVFFv2jAQfp+0/2D5fYSASquIULFWTJNQ&#10;WwmmPhvHgUiJz7MNCfv1++wQunV7mvbinO/On+/77pz5fdfU7KSsq0jnPB2NOVNaUlHpfc6/bVef&#10;7jhzXuhC1KRVzs/K8fvFxw/z1mRqQgeqC2UZQLTLWpPzg/cmSxInD6oRbkRGaQRLso3w2Np9UljR&#10;Ar2pk8l4PEtasoWxJJVz8D72Qb6I+GWppH8uS6c8q3OO2nxcbVx3YU0Wc5HtrTCHSl7KEP9QRSMq&#10;jUuvUI/CC3a01R9QTSUtOSr9SFKTUFlWUkUOYJOO37HZHIRRkQvEceYqk/t/sPLp9GJZVaB3k3Qy&#10;md2kN5BJiwa92qrOs8/UsUmQqTUuQ/bGIN93cOPI4HdwBvZdaZvwBS+GOJDOV5EDmITzFm0bIyIR&#10;mt6md9OIkrwdNtb5L4oaFoycW/QwSitOa+dRCFKHlHCXplVV17GPtWZtzmdTUPgtghO1xsFAoS81&#10;WL7bdZH57UBjR8UZ7Cz1Y+KMXFWoYS2cfxEWc4GyMev+GUtZE+6ii8XZgeyPv/lDPtqFKGct5izn&#10;7vtRWMVZ/VWjkYD0g2EHYzcY+tg8EEY3xSsyMpo4YH09mKWl5hVPYBluQUhoibtyLr0dNg++n3c8&#10;IqmWy5iG4TPCr/XGyAAe1AqabrtXYc1FeI+OPdEwgyJ7p3+f2+u8PHoqq9icoGyv40VwDG7s2eWR&#10;hZfx6z5mvf0KFj8BAAD//wMAUEsDBBQABgAIAAAAIQD7/6os4gAAAAsBAAAPAAAAZHJzL2Rvd25y&#10;ZXYueG1sTI/RToNAEEXfTfyHzZj4ZheKikWWxphYWxNNbP2ALTsFCjtL2C3Fv3d80sfJPbn3TL6c&#10;bCdGHHzjSEE8i0Aglc40VCn42r3cPIDwQZPRnSNU8I0elsXlRa4z4870ieM2VIJLyGdaQR1Cn0np&#10;yxqt9jPXI3F2cIPVgc+hkmbQZy63nZxH0b20uiFeqHWPzzWW7fZkFayaQ7z7GNuqr9vN6+pt/X5c&#10;H4NS11fT0yOIgFP4g+FXn9WhYKe9O5HxolOQxGnMKAfpIgHBxG0S3YHYK5gn6QJkkcv/PxQ/AAAA&#10;//8DAFBLAQItABQABgAIAAAAIQC2gziS/gAAAOEBAAATAAAAAAAAAAAAAAAAAAAAAABbQ29udGVu&#10;dF9UeXBlc10ueG1sUEsBAi0AFAAGAAgAAAAhADj9If/WAAAAlAEAAAsAAAAAAAAAAAAAAAAALwEA&#10;AF9yZWxzLy5yZWxzUEsBAi0AFAAGAAgAAAAhACbgbbwsAgAAUgQAAA4AAAAAAAAAAAAAAAAALgIA&#10;AGRycy9lMm9Eb2MueG1sUEsBAi0AFAAGAAgAAAAhAPv/qiziAAAACwEAAA8AAAAAAAAAAAAAAAAA&#10;hgQAAGRycy9kb3ducmV2LnhtbFBLBQYAAAAABAAEAPMAAACVBQAAAAA=&#10;" filled="f" stroked="f" strokeweight=".5pt">
                      <v:textbox inset="0,0,0,0">
                        <w:txbxContent>
                          <w:p w14:paraId="540B0753" w14:textId="2A566DCA" w:rsidR="00B06983" w:rsidRPr="009B6177" w:rsidRDefault="00B06983" w:rsidP="000828A3">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Kritiskie minerālie produkti</w:t>
                            </w:r>
                          </w:p>
                        </w:txbxContent>
                      </v:textbox>
                    </v:shape>
                  </w:pict>
                </mc:Fallback>
              </mc:AlternateContent>
            </w:r>
            <w:r>
              <w:rPr>
                <w:noProof/>
                <w14:ligatures w14:val="standardContextual"/>
              </w:rPr>
              <mc:AlternateContent>
                <mc:Choice Requires="wps">
                  <w:drawing>
                    <wp:anchor distT="0" distB="0" distL="114300" distR="114300" simplePos="0" relativeHeight="251658296" behindDoc="0" locked="0" layoutInCell="1" allowOverlap="1" wp14:anchorId="39F9A872" wp14:editId="25EA0E03">
                      <wp:simplePos x="0" y="0"/>
                      <wp:positionH relativeFrom="column">
                        <wp:posOffset>1053465</wp:posOffset>
                      </wp:positionH>
                      <wp:positionV relativeFrom="paragraph">
                        <wp:posOffset>1450035</wp:posOffset>
                      </wp:positionV>
                      <wp:extent cx="900000" cy="167570"/>
                      <wp:effectExtent l="0" t="0" r="14605" b="4445"/>
                      <wp:wrapNone/>
                      <wp:docPr id="1756860905" name="Text Box 2"/>
                      <wp:cNvGraphicFramePr/>
                      <a:graphic xmlns:a="http://schemas.openxmlformats.org/drawingml/2006/main">
                        <a:graphicData uri="http://schemas.microsoft.com/office/word/2010/wordprocessingShape">
                          <wps:wsp>
                            <wps:cNvSpPr txBox="1"/>
                            <wps:spPr>
                              <a:xfrm>
                                <a:off x="0" y="0"/>
                                <a:ext cx="900000" cy="167570"/>
                              </a:xfrm>
                              <a:prstGeom prst="rect">
                                <a:avLst/>
                              </a:prstGeom>
                              <a:noFill/>
                              <a:ln w="6350">
                                <a:noFill/>
                              </a:ln>
                            </wps:spPr>
                            <wps:txbx>
                              <w:txbxContent>
                                <w:p w14:paraId="303876A2" w14:textId="067EBC89" w:rsidR="00B06983" w:rsidRPr="009B6177" w:rsidRDefault="00B06983" w:rsidP="000828A3">
                                  <w:pPr>
                                    <w:spacing w:after="0" w:line="240" w:lineRule="auto"/>
                                    <w:jc w:val="right"/>
                                    <w:rPr>
                                      <w:rFonts w:asciiTheme="majorHAnsi" w:hAnsiTheme="majorHAnsi" w:cstheme="majorHAnsi"/>
                                      <w:sz w:val="16"/>
                                      <w:szCs w:val="16"/>
                                      <w:lang w:val="lv-LV"/>
                                    </w:rPr>
                                  </w:pPr>
                                  <w:r>
                                    <w:rPr>
                                      <w:rFonts w:asciiTheme="majorHAnsi" w:hAnsiTheme="majorHAnsi" w:cstheme="majorHAnsi"/>
                                      <w:sz w:val="16"/>
                                      <w:szCs w:val="16"/>
                                      <w:lang w:val="lv-LV"/>
                                    </w:rPr>
                                    <w:t>Mākslīgais intelekts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9F9A872" id="_x0000_s1034" type="#_x0000_t202" style="position:absolute;left:0;text-align:left;margin-left:82.95pt;margin-top:114.2pt;width:70.85pt;height:13.2pt;z-index:251658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lyLgIAAFIEAAAOAAAAZHJzL2Uyb0RvYy54bWysVEuP2jAQvlfqf7B8LwlUPDYirOiuqCqh&#10;3ZWg2rNxbBLJ9ri2IaG/vmOHsNW2p6oczHhenvm+mSzvO63IWTjfgCnpeJRTIgyHqjHHkn7fbz4t&#10;KPGBmYopMKKkF+Hp/erjh2VrCzGBGlQlHMEkxhetLWkdgi2yzPNaaOZHYIVBowSnWcCrO2aVYy1m&#10;1yqb5Pksa8FV1gEX3qP2sTfSVcovpeDhWUovAlElxdpCOl06D/HMVktWHB2zdcOvZbB/qEKzxuCj&#10;t1SPLDBycs0fqXTDHXiQYcRBZyBlw0XqAbsZ5++62dXMitQLguPtDSb//9Lyp/OLI02F3M2ns8Us&#10;v8unlBimkau96AL5Ah2ZRJha6wv03ln0Dx2qMWTQe1TG7jvpdPzHvgjaEfDLDeSYjKPyLo8/Sjia&#10;xrP5dJ5IyN6CrfPhqwBNolBShxwmaNl56wMWgq6DS3zLwKZRKvGoDGlLOvs8zVPAzYIRymBgbKEv&#10;NUqhO3Sp88XQxgGqC3bnoB8Tb/mmwRq2zIcX5nAusGyc9fCMh1SAb8FVoqQG9/Nv+uiPdKGVkhbn&#10;rKT+x4k5QYn6ZpDIOJSD4AbhMAjmpB8AR3eMW2R5EjHABTWI0oF+xRVYx1fQxAzHt0rKgxsuD6Gf&#10;d1wiLtbr5IbDZ1nYmp3lMXnEMWK6716Zs1fgAzL2BMMMsuId/r1vz8D6FEA2iZyIbI/jFXAc3MTZ&#10;dcniZvx+T15vn4LVLwAAAP//AwBQSwMEFAAGAAgAAAAhAECZIO3hAAAACwEAAA8AAABkcnMvZG93&#10;bnJldi54bWxMj9FOwzAMRd+R+IfISLyxdGUrpTSdEBJjIIHExgdkjdd2bZyqybry95gneLz20fVx&#10;vppsJ0YcfONIwXwWgUAqnWmoUvC1e75JQfigyejOESr4Rg+r4vIi15lxZ/rEcRsqwSXkM62gDqHP&#10;pPRljVb7meuReHdwg9WB41BJM+gzl9tOxlGUSKsb4gu17vGpxrLdnqyCdXOY7z7Gturr9vVl/bZ5&#10;P26OQanrq+nxAUTAKfzB8KvP6lCw096dyHjRcU6W94wqiON0AYKJ2+guAbHnyXKRgixy+f+H4gcA&#10;AP//AwBQSwECLQAUAAYACAAAACEAtoM4kv4AAADhAQAAEwAAAAAAAAAAAAAAAAAAAAAAW0NvbnRl&#10;bnRfVHlwZXNdLnhtbFBLAQItABQABgAIAAAAIQA4/SH/1gAAAJQBAAALAAAAAAAAAAAAAAAAAC8B&#10;AABfcmVscy8ucmVsc1BLAQItABQABgAIAAAAIQB+IjlyLgIAAFIEAAAOAAAAAAAAAAAAAAAAAC4C&#10;AABkcnMvZTJvRG9jLnhtbFBLAQItABQABgAIAAAAIQBAmSDt4QAAAAsBAAAPAAAAAAAAAAAAAAAA&#10;AIgEAABkcnMvZG93bnJldi54bWxQSwUGAAAAAAQABADzAAAAlgUAAAAA&#10;" filled="f" stroked="f" strokeweight=".5pt">
                      <v:textbox inset="0,0,0,0">
                        <w:txbxContent>
                          <w:p w14:paraId="303876A2" w14:textId="067EBC89" w:rsidR="00B06983" w:rsidRPr="009B6177" w:rsidRDefault="00B06983" w:rsidP="000828A3">
                            <w:pPr>
                              <w:spacing w:after="0" w:line="240" w:lineRule="auto"/>
                              <w:jc w:val="right"/>
                              <w:rPr>
                                <w:rFonts w:asciiTheme="majorHAnsi" w:hAnsiTheme="majorHAnsi" w:cstheme="majorHAnsi"/>
                                <w:sz w:val="16"/>
                                <w:szCs w:val="16"/>
                                <w:lang w:val="lv-LV"/>
                              </w:rPr>
                            </w:pPr>
                            <w:r>
                              <w:rPr>
                                <w:rFonts w:asciiTheme="majorHAnsi" w:hAnsiTheme="majorHAnsi" w:cstheme="majorHAnsi"/>
                                <w:sz w:val="16"/>
                                <w:szCs w:val="16"/>
                                <w:lang w:val="lv-LV"/>
                              </w:rPr>
                              <w:t>Mākslīgais intelekts</w:t>
                            </w:r>
                          </w:p>
                        </w:txbxContent>
                      </v:textbox>
                    </v:shape>
                  </w:pict>
                </mc:Fallback>
              </mc:AlternateContent>
            </w:r>
            <w:r>
              <w:rPr>
                <w:noProof/>
                <w14:ligatures w14:val="standardContextual"/>
              </w:rPr>
              <mc:AlternateContent>
                <mc:Choice Requires="wps">
                  <w:drawing>
                    <wp:anchor distT="0" distB="0" distL="114300" distR="114300" simplePos="0" relativeHeight="251658295" behindDoc="0" locked="0" layoutInCell="1" allowOverlap="1" wp14:anchorId="10C3DDE6" wp14:editId="21111404">
                      <wp:simplePos x="0" y="0"/>
                      <wp:positionH relativeFrom="column">
                        <wp:posOffset>1137031</wp:posOffset>
                      </wp:positionH>
                      <wp:positionV relativeFrom="paragraph">
                        <wp:posOffset>1632585</wp:posOffset>
                      </wp:positionV>
                      <wp:extent cx="900000" cy="167570"/>
                      <wp:effectExtent l="0" t="0" r="14605" b="4445"/>
                      <wp:wrapNone/>
                      <wp:docPr id="272469333" name="Text Box 2"/>
                      <wp:cNvGraphicFramePr/>
                      <a:graphic xmlns:a="http://schemas.openxmlformats.org/drawingml/2006/main">
                        <a:graphicData uri="http://schemas.microsoft.com/office/word/2010/wordprocessingShape">
                          <wps:wsp>
                            <wps:cNvSpPr txBox="1"/>
                            <wps:spPr>
                              <a:xfrm>
                                <a:off x="0" y="0"/>
                                <a:ext cx="900000" cy="167570"/>
                              </a:xfrm>
                              <a:prstGeom prst="rect">
                                <a:avLst/>
                              </a:prstGeom>
                              <a:noFill/>
                              <a:ln w="6350">
                                <a:noFill/>
                              </a:ln>
                            </wps:spPr>
                            <wps:txbx>
                              <w:txbxContent>
                                <w:p w14:paraId="0C9FA7E9" w14:textId="445C0243" w:rsidR="00B06983" w:rsidRPr="009B6177" w:rsidRDefault="00B06983" w:rsidP="000828A3">
                                  <w:pPr>
                                    <w:spacing w:after="0" w:line="240" w:lineRule="auto"/>
                                    <w:jc w:val="right"/>
                                    <w:rPr>
                                      <w:rFonts w:asciiTheme="majorHAnsi" w:hAnsiTheme="majorHAnsi" w:cstheme="majorHAnsi"/>
                                      <w:sz w:val="16"/>
                                      <w:szCs w:val="16"/>
                                      <w:lang w:val="lv-LV"/>
                                    </w:rPr>
                                  </w:pPr>
                                  <w:r>
                                    <w:rPr>
                                      <w:rFonts w:asciiTheme="majorHAnsi" w:hAnsiTheme="majorHAnsi" w:cstheme="majorHAnsi"/>
                                      <w:sz w:val="16"/>
                                      <w:szCs w:val="16"/>
                                      <w:lang w:val="lv-LV"/>
                                    </w:rPr>
                                    <w:t>Dzīves cikla ietekme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0C3DDE6" id="_x0000_s1035" type="#_x0000_t202" style="position:absolute;left:0;text-align:left;margin-left:89.55pt;margin-top:128.55pt;width:70.85pt;height:13.2pt;z-index:25165829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JF4LgIAAFEEAAAOAAAAZHJzL2Uyb0RvYy54bWysVN9v2jAQfp+0/8Hy+0iAlZaIULFWTJNQ&#10;WwmmPhvHJpFsn2cbEvbX7+wQOnV7msaDOd8v333fXRb3nVbkJJxvwJR0PMopEYZD1ZhDSb/v1p/u&#10;KPGBmYopMKKkZ+Hp/fLjh0VrCzGBGlQlHMEkxhetLWkdgi2yzPNaaOZHYIVBowSnWcCrO2SVYy1m&#10;1yqb5Pksa8FV1gEX3qP2sTfSZcovpeDhWUovAlElxdpCOl069/HMlgtWHByzdcMvZbB/qEKzxuCj&#10;11SPLDBydM0fqXTDHXiQYcRBZyBlw0XqAbsZ5++62dbMitQLguPtFSb//9Lyp9OLI01V0snt5PNs&#10;Pp1OKTFMI1U70QXyBToyiSi11hfovLXoHjpUI9uD3qMyNt9Jp+M/tkXQjnifrxjHZByV8zz+KOFo&#10;Gs9ub24TB9lbsHU+fBWgSRRK6pDChCw7bXzAQtB1cIlvGVg3SiUalSFtSWfTmzwFXC0YoQwGxhb6&#10;UqMUun2XGp8PbeyhOmN3Dvop8ZavG6xhw3x4YQ7HAsvGUQ/PeEgF+BZcJEpqcD//po/+yBZaKWlx&#10;zErqfxyZE5SobwZ5jDM5CG4Q9oNgjvoBcHLHuESWJxEDXFCDKB3oV9yAVXwFTcxwfKukPLjh8hD6&#10;cccd4mK1Sm44e5aFjdlaHpNHHCOmu+6VOXsBPiBjTzCMICve4d/79gysjgFkk8iJyPY4XgDHuU2c&#10;XXYsLsbv9+T19iVY/gIAAP//AwBQSwMEFAAGAAgAAAAhAAk63prhAAAACwEAAA8AAABkcnMvZG93&#10;bnJldi54bWxMj9FOwkAQRd9N/IfNmPgm25YgULslxkREEk0EPmDpDm1pd7bpLqX+veOTvs2dublz&#10;brYabSsG7H3tSEE8iUAgFc7UVCo47F8fFiB80GR06wgVfKOHVX57k+nUuCt94bALpeAQ8qlWUIXQ&#10;pVL6okKr/cR1SHw7ud7qwLIvpen1lcNtK5MoepRW18QfKt3hS4VFs7tYBev6FO8/h6bsqub9bb3d&#10;fJw356DU/d34/AQi4Bj+zPCLz+iQM9PRXch40bKeL2O2Kkhmcx7YMU0iLnPkzWI6A5ln8n+H/AcA&#10;AP//AwBQSwECLQAUAAYACAAAACEAtoM4kv4AAADhAQAAEwAAAAAAAAAAAAAAAAAAAAAAW0NvbnRl&#10;bnRfVHlwZXNdLnhtbFBLAQItABQABgAIAAAAIQA4/SH/1gAAAJQBAAALAAAAAAAAAAAAAAAAAC8B&#10;AABfcmVscy8ucmVsc1BLAQItABQABgAIAAAAIQAIlJF4LgIAAFEEAAAOAAAAAAAAAAAAAAAAAC4C&#10;AABkcnMvZTJvRG9jLnhtbFBLAQItABQABgAIAAAAIQAJOt6a4QAAAAsBAAAPAAAAAAAAAAAAAAAA&#10;AIgEAABkcnMvZG93bnJldi54bWxQSwUGAAAAAAQABADzAAAAlgUAAAAA&#10;" filled="f" stroked="f" strokeweight=".5pt">
                      <v:textbox inset="0,0,0,0">
                        <w:txbxContent>
                          <w:p w14:paraId="0C9FA7E9" w14:textId="445C0243" w:rsidR="00B06983" w:rsidRPr="009B6177" w:rsidRDefault="00B06983" w:rsidP="000828A3">
                            <w:pPr>
                              <w:spacing w:after="0" w:line="240" w:lineRule="auto"/>
                              <w:jc w:val="right"/>
                              <w:rPr>
                                <w:rFonts w:asciiTheme="majorHAnsi" w:hAnsiTheme="majorHAnsi" w:cstheme="majorHAnsi"/>
                                <w:sz w:val="16"/>
                                <w:szCs w:val="16"/>
                                <w:lang w:val="lv-LV"/>
                              </w:rPr>
                            </w:pPr>
                            <w:r>
                              <w:rPr>
                                <w:rFonts w:asciiTheme="majorHAnsi" w:hAnsiTheme="majorHAnsi" w:cstheme="majorHAnsi"/>
                                <w:sz w:val="16"/>
                                <w:szCs w:val="16"/>
                                <w:lang w:val="lv-LV"/>
                              </w:rPr>
                              <w:t>Dzīves cikla ietekme</w:t>
                            </w:r>
                          </w:p>
                        </w:txbxContent>
                      </v:textbox>
                    </v:shape>
                  </w:pict>
                </mc:Fallback>
              </mc:AlternateContent>
            </w:r>
            <w:r>
              <w:rPr>
                <w:noProof/>
                <w14:ligatures w14:val="standardContextual"/>
              </w:rPr>
              <mc:AlternateContent>
                <mc:Choice Requires="wps">
                  <w:drawing>
                    <wp:anchor distT="0" distB="0" distL="114300" distR="114300" simplePos="0" relativeHeight="251658294" behindDoc="0" locked="0" layoutInCell="1" allowOverlap="1" wp14:anchorId="5EAF5367" wp14:editId="7132F306">
                      <wp:simplePos x="0" y="0"/>
                      <wp:positionH relativeFrom="column">
                        <wp:posOffset>1537970</wp:posOffset>
                      </wp:positionH>
                      <wp:positionV relativeFrom="paragraph">
                        <wp:posOffset>1831340</wp:posOffset>
                      </wp:positionV>
                      <wp:extent cx="720000" cy="167570"/>
                      <wp:effectExtent l="0" t="0" r="4445" b="4445"/>
                      <wp:wrapNone/>
                      <wp:docPr id="1328591364" name="Text Box 2"/>
                      <wp:cNvGraphicFramePr/>
                      <a:graphic xmlns:a="http://schemas.openxmlformats.org/drawingml/2006/main">
                        <a:graphicData uri="http://schemas.microsoft.com/office/word/2010/wordprocessingShape">
                          <wps:wsp>
                            <wps:cNvSpPr txBox="1"/>
                            <wps:spPr>
                              <a:xfrm>
                                <a:off x="0" y="0"/>
                                <a:ext cx="720000" cy="167570"/>
                              </a:xfrm>
                              <a:prstGeom prst="rect">
                                <a:avLst/>
                              </a:prstGeom>
                              <a:noFill/>
                              <a:ln w="6350">
                                <a:noFill/>
                              </a:ln>
                            </wps:spPr>
                            <wps:txbx>
                              <w:txbxContent>
                                <w:p w14:paraId="7B40F7A2" w14:textId="0867E5E2" w:rsidR="00B06983" w:rsidRPr="009B6177" w:rsidRDefault="00B06983" w:rsidP="000828A3">
                                  <w:pPr>
                                    <w:spacing w:after="0" w:line="240" w:lineRule="auto"/>
                                    <w:jc w:val="right"/>
                                    <w:rPr>
                                      <w:rFonts w:asciiTheme="majorHAnsi" w:hAnsiTheme="majorHAnsi" w:cstheme="majorHAnsi"/>
                                      <w:sz w:val="16"/>
                                      <w:szCs w:val="16"/>
                                      <w:lang w:val="lv-LV"/>
                                    </w:rPr>
                                  </w:pPr>
                                  <w:r>
                                    <w:rPr>
                                      <w:rFonts w:asciiTheme="majorHAnsi" w:hAnsiTheme="majorHAnsi" w:cstheme="majorHAnsi"/>
                                      <w:sz w:val="16"/>
                                      <w:szCs w:val="16"/>
                                      <w:lang w:val="lv-LV"/>
                                    </w:rPr>
                                    <w:t>Trilemmas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EAF5367" id="_x0000_s1036" type="#_x0000_t202" style="position:absolute;left:0;text-align:left;margin-left:121.1pt;margin-top:144.2pt;width:56.7pt;height:13.2pt;z-index:25165829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KulLQIAAFMEAAAOAAAAZHJzL2Uyb0RvYy54bWysVE2P2jAQvVfqf7B8L+GjwBYRVnRXVJXQ&#10;7kpQ7dk4DkRKPK5tSOiv77NDYLXtqerFGc+XZ96byfy+qUp2UtYVpFM+6PU5U1pSVuh9yn9sV5/u&#10;OHNe6EyUpFXKz8rx+8XHD/PazNSQDlRmyjIk0W5Wm5QfvDezJHHyoCrhemSUhjEnWwmPq90nmRU1&#10;sldlMuz3J0lNNjOWpHIO2sfWyBcxf54r6Z/z3CnPypSjNh9PG89dOJPFXMz2VphDIS9liH+oohKF&#10;xqPXVI/CC3a0xR+pqkJacpT7nqQqoTwvpIo9oJtB/103m4MwKvYCcJy5wuT+X1r5dHqxrMjA3Wh4&#10;N/4yGE0+c6ZFBa62qvHsKzVsGGCqjZvBe2Pg7xuoEdLpHZSh+ya3VfiiLwY7AD9fQQ7JJJRT0NaH&#10;RcI0mEzH00hCcgs21vlviioWhJRbcBihFae18ygErp1LeEvTqijLyGOpWZ3yyWjcjwFXCyJKjcDQ&#10;QltqkHyza9rOYwVBtaPsjPYstXPijFwVKGItnH8RFoOBujHs/hlHXhIeo4vE2YHsr7/pgz/4gpWz&#10;GoOWcvfzKKzirPyuwWSYyk6wnbDrBH2sHgizO8AaGRlFBFhfdmJuqXrFDizDKzAJLfFWyqW33eXB&#10;twOPLZJquYxumD4j/FpvjAzJA5AB1G3zKqy5IO9B2RN1Qyhm7whofVsKlkdPeRHZueF4QRyTG0m7&#10;bFlYjbf36HX7Fyx+AwAA//8DAFBLAwQUAAYACAAAACEAm4DEW+EAAAALAQAADwAAAGRycy9kb3du&#10;cmV2LnhtbEyP0UrDQBBF3wX/YRnBN7tJTEuI2RQRrFVQsPUDtsk0myY7G7LbNP6945O+3WEOd84U&#10;69n2YsLRt44UxIsIBFLl6pYaBV/757sMhA+aat07QgXf6GFdXl8VOq/dhT5x2oVGcAn5XCswIQy5&#10;lL4yaLVfuAGJd0c3Wh14HBtZj/rC5baXSRStpNUt8QWjB3wyWHW7s1WwaY/x/mPqmsF0ry+bt+37&#10;aXsKSt3ezI8PIALO4Q+GX31Wh5KdDu5MtRe9giRNEkY5ZFkKgon75XIF4sAhTjOQZSH//1D+AAAA&#10;//8DAFBLAQItABQABgAIAAAAIQC2gziS/gAAAOEBAAATAAAAAAAAAAAAAAAAAAAAAABbQ29udGVu&#10;dF9UeXBlc10ueG1sUEsBAi0AFAAGAAgAAAAhADj9If/WAAAAlAEAAAsAAAAAAAAAAAAAAAAALwEA&#10;AF9yZWxzLy5yZWxzUEsBAi0AFAAGAAgAAAAhAMNwq6UtAgAAUwQAAA4AAAAAAAAAAAAAAAAALgIA&#10;AGRycy9lMm9Eb2MueG1sUEsBAi0AFAAGAAgAAAAhAJuAxFvhAAAACwEAAA8AAAAAAAAAAAAAAAAA&#10;hwQAAGRycy9kb3ducmV2LnhtbFBLBQYAAAAABAAEAPMAAACVBQAAAAA=&#10;" filled="f" stroked="f" strokeweight=".5pt">
                      <v:textbox inset="0,0,0,0">
                        <w:txbxContent>
                          <w:p w14:paraId="7B40F7A2" w14:textId="0867E5E2" w:rsidR="00B06983" w:rsidRPr="009B6177" w:rsidRDefault="00B06983" w:rsidP="000828A3">
                            <w:pPr>
                              <w:spacing w:after="0" w:line="240" w:lineRule="auto"/>
                              <w:jc w:val="right"/>
                              <w:rPr>
                                <w:rFonts w:asciiTheme="majorHAnsi" w:hAnsiTheme="majorHAnsi" w:cstheme="majorHAnsi"/>
                                <w:sz w:val="16"/>
                                <w:szCs w:val="16"/>
                                <w:lang w:val="lv-LV"/>
                              </w:rPr>
                            </w:pPr>
                            <w:r>
                              <w:rPr>
                                <w:rFonts w:asciiTheme="majorHAnsi" w:hAnsiTheme="majorHAnsi" w:cstheme="majorHAnsi"/>
                                <w:sz w:val="16"/>
                                <w:szCs w:val="16"/>
                                <w:lang w:val="lv-LV"/>
                              </w:rPr>
                              <w:t>Trilemmas</w:t>
                            </w:r>
                          </w:p>
                        </w:txbxContent>
                      </v:textbox>
                    </v:shape>
                  </w:pict>
                </mc:Fallback>
              </mc:AlternateContent>
            </w:r>
            <w:r>
              <w:rPr>
                <w:noProof/>
                <w14:ligatures w14:val="standardContextual"/>
              </w:rPr>
              <mc:AlternateContent>
                <mc:Choice Requires="wps">
                  <w:drawing>
                    <wp:anchor distT="0" distB="0" distL="114300" distR="114300" simplePos="0" relativeHeight="251658293" behindDoc="0" locked="0" layoutInCell="1" allowOverlap="1" wp14:anchorId="66CFA8EB" wp14:editId="361FAEBA">
                      <wp:simplePos x="0" y="0"/>
                      <wp:positionH relativeFrom="column">
                        <wp:posOffset>2782900</wp:posOffset>
                      </wp:positionH>
                      <wp:positionV relativeFrom="paragraph">
                        <wp:posOffset>1991995</wp:posOffset>
                      </wp:positionV>
                      <wp:extent cx="720000" cy="167570"/>
                      <wp:effectExtent l="0" t="0" r="4445" b="4445"/>
                      <wp:wrapNone/>
                      <wp:docPr id="388316862" name="Text Box 2"/>
                      <wp:cNvGraphicFramePr/>
                      <a:graphic xmlns:a="http://schemas.openxmlformats.org/drawingml/2006/main">
                        <a:graphicData uri="http://schemas.microsoft.com/office/word/2010/wordprocessingShape">
                          <wps:wsp>
                            <wps:cNvSpPr txBox="1"/>
                            <wps:spPr>
                              <a:xfrm>
                                <a:off x="0" y="0"/>
                                <a:ext cx="720000" cy="167570"/>
                              </a:xfrm>
                              <a:prstGeom prst="rect">
                                <a:avLst/>
                              </a:prstGeom>
                              <a:noFill/>
                              <a:ln w="6350">
                                <a:noFill/>
                              </a:ln>
                            </wps:spPr>
                            <wps:txbx>
                              <w:txbxContent>
                                <w:p w14:paraId="35468C35" w14:textId="44886A3A" w:rsidR="00B06983" w:rsidRPr="009B6177" w:rsidRDefault="00B06983" w:rsidP="000828A3">
                                  <w:pPr>
                                    <w:spacing w:after="0" w:line="240" w:lineRule="auto"/>
                                    <w:rPr>
                                      <w:rFonts w:asciiTheme="majorHAnsi" w:hAnsiTheme="majorHAnsi" w:cstheme="majorHAnsi"/>
                                      <w:sz w:val="16"/>
                                      <w:szCs w:val="16"/>
                                      <w:lang w:val="lv-LV"/>
                                    </w:rPr>
                                  </w:pPr>
                                  <w:r>
                                    <w:rPr>
                                      <w:rFonts w:asciiTheme="majorHAnsi" w:hAnsiTheme="majorHAnsi" w:cstheme="majorHAnsi"/>
                                      <w:sz w:val="16"/>
                                      <w:szCs w:val="16"/>
                                      <w:lang w:val="lv-LV"/>
                                    </w:rPr>
                                    <w:t>Investīcijas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6CFA8EB" id="_x0000_s1037" type="#_x0000_t202" style="position:absolute;left:0;text-align:left;margin-left:219.15pt;margin-top:156.85pt;width:56.7pt;height:13.2pt;z-index:25165829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vF8LQIAAFIEAAAOAAAAZHJzL2Uyb0RvYy54bWysVN9v2jAQfp+0/8Hy+0gCKiBEqFgrpkmo&#10;rQRTn41jk0i2z7MNCfvrd3YIrbo9TXtxzvfLd993l+V9pxU5C+cbMCUtRjklwnCoGnMs6Y/95suc&#10;Eh+YqZgCI0p6EZ7erz5/WrZ2IcZQg6qEI5jE+EVrS1qHYBdZ5nktNPMjsMKgUYLTLODVHbPKsRaz&#10;a5WN83yateAq64AL71H72BvpKuWXUvDwLKUXgaiSYm0hnS6dh3hmqyVbHB2zdcOvZbB/qEKzxuCj&#10;t1SPLDBycs0fqXTDHXiQYcRBZyBlw0XqAbsp8g/d7GpmReoFwfH2BpP/f2n50/nFkaYq6WQ+nxTT&#10;+XRMiWEaqdqLLpCv0JFxRKm1foHOO4vuoUM1sj3oPSpj8510On6xLYJ2xPtywzgm46icIWs5Wjia&#10;iunsbpY4yN6CrfPhmwBNolBShxQmZNl56wMWgq6DS3zLwKZRKtGoDGlLOp3c5SngZsEIZTAwttCX&#10;GqXQHbrUeHHr4wDVBdtz0I+Jt3zTYBFb5sMLczgXWDfOenjGQyrAx+AqUVKD+/U3ffRHutBKSYtz&#10;VlL/88ScoER9N0hkHMpBcINwGARz0g+Ao1vgFlmeRAxwQQ2idKBfcQXW8RU0McPxrZLy4IbLQ+jn&#10;HZeIi/U6ueHwWRa2Zmd5TB6BjKDuu1fm7BX5gJQ9wTCDbPGBgN63p2B9CiCbxE6EtsfxijgObiLt&#10;umRxM97fk9fbr2D1GwAA//8DAFBLAwQUAAYACAAAACEA6yUKG+EAAAALAQAADwAAAGRycy9kb3du&#10;cmV2LnhtbEyPTU7DMBBG90jcwRokdtQxaaEKcSqERClIINFyADeeJmnicRS7abg9wwp28/P0zZt8&#10;NblOjDiExpMGNUtAIJXeNlRp+No93yxBhGjIms4TavjGAKvi8iI3mfVn+sRxGyvBIRQyo6GOsc+k&#10;DGWNzoSZ75F4d/CDM5HboZJ2MGcOd528TZI76UxDfKE2PT7VWLbbk9Owbg5q9zG2VV+3ry/rt837&#10;cXOMWl9fTY8PICJO8Q+GX31Wh4Kd9v5ENohOwzxdpoxqSFV6D4KJxUJxsefJPFEgi1z+/6H4AQAA&#10;//8DAFBLAQItABQABgAIAAAAIQC2gziS/gAAAOEBAAATAAAAAAAAAAAAAAAAAAAAAABbQ29udGVu&#10;dF9UeXBlc10ueG1sUEsBAi0AFAAGAAgAAAAhADj9If/WAAAAlAEAAAsAAAAAAAAAAAAAAAAALwEA&#10;AF9yZWxzLy5yZWxzUEsBAi0AFAAGAAgAAAAhAM+S8XwtAgAAUgQAAA4AAAAAAAAAAAAAAAAALgIA&#10;AGRycy9lMm9Eb2MueG1sUEsBAi0AFAAGAAgAAAAhAOslChvhAAAACwEAAA8AAAAAAAAAAAAAAAAA&#10;hwQAAGRycy9kb3ducmV2LnhtbFBLBQYAAAAABAAEAPMAAACVBQAAAAA=&#10;" filled="f" stroked="f" strokeweight=".5pt">
                      <v:textbox inset="0,0,0,0">
                        <w:txbxContent>
                          <w:p w14:paraId="35468C35" w14:textId="44886A3A" w:rsidR="00B06983" w:rsidRPr="009B6177" w:rsidRDefault="00B06983" w:rsidP="000828A3">
                            <w:pPr>
                              <w:spacing w:after="0" w:line="240" w:lineRule="auto"/>
                              <w:rPr>
                                <w:rFonts w:asciiTheme="majorHAnsi" w:hAnsiTheme="majorHAnsi" w:cstheme="majorHAnsi"/>
                                <w:sz w:val="16"/>
                                <w:szCs w:val="16"/>
                                <w:lang w:val="lv-LV"/>
                              </w:rPr>
                            </w:pPr>
                            <w:r>
                              <w:rPr>
                                <w:rFonts w:asciiTheme="majorHAnsi" w:hAnsiTheme="majorHAnsi" w:cstheme="majorHAnsi"/>
                                <w:sz w:val="16"/>
                                <w:szCs w:val="16"/>
                                <w:lang w:val="lv-LV"/>
                              </w:rPr>
                              <w:t>Investīcijas</w:t>
                            </w:r>
                          </w:p>
                        </w:txbxContent>
                      </v:textbox>
                    </v:shape>
                  </w:pict>
                </mc:Fallback>
              </mc:AlternateContent>
            </w:r>
            <w:r>
              <w:rPr>
                <w:noProof/>
                <w14:ligatures w14:val="standardContextual"/>
              </w:rPr>
              <mc:AlternateContent>
                <mc:Choice Requires="wps">
                  <w:drawing>
                    <wp:anchor distT="0" distB="0" distL="114300" distR="114300" simplePos="0" relativeHeight="251658292" behindDoc="0" locked="0" layoutInCell="1" allowOverlap="1" wp14:anchorId="476D8239" wp14:editId="54BC598E">
                      <wp:simplePos x="0" y="0"/>
                      <wp:positionH relativeFrom="column">
                        <wp:posOffset>1689735</wp:posOffset>
                      </wp:positionH>
                      <wp:positionV relativeFrom="paragraph">
                        <wp:posOffset>2212645</wp:posOffset>
                      </wp:positionV>
                      <wp:extent cx="720000" cy="167570"/>
                      <wp:effectExtent l="0" t="0" r="4445" b="4445"/>
                      <wp:wrapNone/>
                      <wp:docPr id="96681035" name="Text Box 2"/>
                      <wp:cNvGraphicFramePr/>
                      <a:graphic xmlns:a="http://schemas.openxmlformats.org/drawingml/2006/main">
                        <a:graphicData uri="http://schemas.microsoft.com/office/word/2010/wordprocessingShape">
                          <wps:wsp>
                            <wps:cNvSpPr txBox="1"/>
                            <wps:spPr>
                              <a:xfrm>
                                <a:off x="0" y="0"/>
                                <a:ext cx="720000" cy="167570"/>
                              </a:xfrm>
                              <a:prstGeom prst="rect">
                                <a:avLst/>
                              </a:prstGeom>
                              <a:noFill/>
                              <a:ln w="6350">
                                <a:noFill/>
                              </a:ln>
                            </wps:spPr>
                            <wps:txbx>
                              <w:txbxContent>
                                <w:p w14:paraId="1FE8CF5B" w14:textId="35F35CB1" w:rsidR="00B06983" w:rsidRPr="009B6177" w:rsidRDefault="00B06983" w:rsidP="000828A3">
                                  <w:pPr>
                                    <w:spacing w:after="0" w:line="240" w:lineRule="auto"/>
                                    <w:rPr>
                                      <w:rFonts w:asciiTheme="majorHAnsi" w:hAnsiTheme="majorHAnsi" w:cstheme="majorHAnsi"/>
                                      <w:sz w:val="16"/>
                                      <w:szCs w:val="16"/>
                                      <w:lang w:val="lv-LV"/>
                                    </w:rPr>
                                  </w:pPr>
                                  <w:r>
                                    <w:rPr>
                                      <w:rFonts w:asciiTheme="majorHAnsi" w:hAnsiTheme="majorHAnsi" w:cstheme="majorHAnsi"/>
                                      <w:sz w:val="16"/>
                                      <w:szCs w:val="16"/>
                                      <w:lang w:val="lv-LV"/>
                                    </w:rPr>
                                    <w:t>Fosilās susīdijas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76D8239" id="_x0000_s1038" type="#_x0000_t202" style="position:absolute;left:0;text-align:left;margin-left:133.05pt;margin-top:174.2pt;width:56.7pt;height:13.2pt;z-index:2516582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ANFLQIAAFEEAAAOAAAAZHJzL2Uyb0RvYy54bWysVE1v2zAMvQ/YfxB0X2ynSNIZcYqsRYYB&#10;RVsgGXpWZCk2IImapMTOfv0oOU6HbqdhF5nil8j3SC/veq3ISTjfgqloMckpEYZD3ZpDRb/vNp9u&#10;KfGBmZopMKKiZ+Hp3erjh2VnSzGFBlQtHMEkxpedrWgTgi2zzPNGaOYnYIVBowSnWcCrO2S1Yx1m&#10;1yqb5vk868DV1gEX3qP2YTDSVcovpeDhWUovAlEVxdpCOl069/HMVktWHhyzTcsvZbB/qEKz1uCj&#10;11QPLDBydO0fqXTLHXiQYcJBZyBly0XqAbsp8nfdbBtmReoFwfH2CpP/f2n50+nFkbau6Of5/LbI&#10;b2aUGKaRqZ3oA/kCPZlGkDrrS/TdWvQOPaqR7FHvURl776XT8YtdEbQj3OcrxDEZR+UCScvRwtFU&#10;zBezRaIgewu2zoevAjSJQkUdMpiAZadHH7AQdB1d4lsGNq1SiUVlSFfR+c0sTwFXC0Yog4GxhaHU&#10;KIV+36e+i2t/e6jP2J6DYUq85ZsWi3hkPrwwh2OBdeOoh2c8pAJ8DC4SJQ24n3/TR39kC62UdDhm&#10;FfU/jswJStQ3gzzGmRwFNwr7UTBHfQ84uQUukeVJxAAX1ChKB/oVN2AdX0ETMxzfqigPbrzch2Hc&#10;cYe4WK+TG86eZeHRbC2PySOQEdRd/8qcvSAfkLInGEeQle8IGHwHCtbHALJN7ERoBxwviOPcJtIu&#10;OxYX4/d78nr7E6x+AQAA//8DAFBLAwQUAAYACAAAACEA6FAy/OIAAAALAQAADwAAAGRycy9kb3du&#10;cmV2LnhtbEyPQU7DMBBF90jcwRokdtRJG0IIcSqERGmRQKLlAG48jdPE4yh203B73BXsZjRPf94v&#10;lpPp2IiDaywJiGcRMKTKqoZqAd+717sMmPOSlOwsoYAfdLAsr68KmSt7pi8ct75mIYRcLgVo7/uc&#10;c1dpNNLNbI8Ubgc7GOnDOtRcDfIcwk3H51GUciMbCh+07PFFY9VuT0bAqjnEu8+xrXvdbt5W7+uP&#10;4/rohbi9mZ6fgHmc/B8MF/2gDmVw2tsTKcc6AfM0jQMqYJFkCbBALB4e74HtL0OSAS8L/r9D+QsA&#10;AP//AwBQSwECLQAUAAYACAAAACEAtoM4kv4AAADhAQAAEwAAAAAAAAAAAAAAAAAAAAAAW0NvbnRl&#10;bnRfVHlwZXNdLnhtbFBLAQItABQABgAIAAAAIQA4/SH/1gAAAJQBAAALAAAAAAAAAAAAAAAAAC8B&#10;AABfcmVscy8ucmVsc1BLAQItABQABgAIAAAAIQAFfANFLQIAAFEEAAAOAAAAAAAAAAAAAAAAAC4C&#10;AABkcnMvZTJvRG9jLnhtbFBLAQItABQABgAIAAAAIQDoUDL84gAAAAsBAAAPAAAAAAAAAAAAAAAA&#10;AIcEAABkcnMvZG93bnJldi54bWxQSwUGAAAAAAQABADzAAAAlgUAAAAA&#10;" filled="f" stroked="f" strokeweight=".5pt">
                      <v:textbox inset="0,0,0,0">
                        <w:txbxContent>
                          <w:p w14:paraId="1FE8CF5B" w14:textId="35F35CB1" w:rsidR="00B06983" w:rsidRPr="009B6177" w:rsidRDefault="00B06983" w:rsidP="000828A3">
                            <w:pPr>
                              <w:spacing w:after="0" w:line="240" w:lineRule="auto"/>
                              <w:rPr>
                                <w:rFonts w:asciiTheme="majorHAnsi" w:hAnsiTheme="majorHAnsi" w:cstheme="majorHAnsi"/>
                                <w:sz w:val="16"/>
                                <w:szCs w:val="16"/>
                                <w:lang w:val="lv-LV"/>
                              </w:rPr>
                            </w:pPr>
                            <w:r>
                              <w:rPr>
                                <w:rFonts w:asciiTheme="majorHAnsi" w:hAnsiTheme="majorHAnsi" w:cstheme="majorHAnsi"/>
                                <w:sz w:val="16"/>
                                <w:szCs w:val="16"/>
                                <w:lang w:val="lv-LV"/>
                              </w:rPr>
                              <w:t>Fosilās susīdijas</w:t>
                            </w:r>
                          </w:p>
                        </w:txbxContent>
                      </v:textbox>
                    </v:shape>
                  </w:pict>
                </mc:Fallback>
              </mc:AlternateContent>
            </w:r>
            <w:r>
              <w:rPr>
                <w:noProof/>
                <w14:ligatures w14:val="standardContextual"/>
              </w:rPr>
              <mc:AlternateContent>
                <mc:Choice Requires="wps">
                  <w:drawing>
                    <wp:anchor distT="0" distB="0" distL="114300" distR="114300" simplePos="0" relativeHeight="251658291" behindDoc="0" locked="0" layoutInCell="1" allowOverlap="1" wp14:anchorId="0754354A" wp14:editId="69388C7C">
                      <wp:simplePos x="0" y="0"/>
                      <wp:positionH relativeFrom="column">
                        <wp:posOffset>1220470</wp:posOffset>
                      </wp:positionH>
                      <wp:positionV relativeFrom="paragraph">
                        <wp:posOffset>2549195</wp:posOffset>
                      </wp:positionV>
                      <wp:extent cx="1044000" cy="167570"/>
                      <wp:effectExtent l="0" t="0" r="3810" b="4445"/>
                      <wp:wrapNone/>
                      <wp:docPr id="861456261" name="Text Box 2"/>
                      <wp:cNvGraphicFramePr/>
                      <a:graphic xmlns:a="http://schemas.openxmlformats.org/drawingml/2006/main">
                        <a:graphicData uri="http://schemas.microsoft.com/office/word/2010/wordprocessingShape">
                          <wps:wsp>
                            <wps:cNvSpPr txBox="1"/>
                            <wps:spPr>
                              <a:xfrm>
                                <a:off x="0" y="0"/>
                                <a:ext cx="1044000" cy="167570"/>
                              </a:xfrm>
                              <a:prstGeom prst="rect">
                                <a:avLst/>
                              </a:prstGeom>
                              <a:noFill/>
                              <a:ln w="6350">
                                <a:noFill/>
                              </a:ln>
                            </wps:spPr>
                            <wps:txbx>
                              <w:txbxContent>
                                <w:p w14:paraId="5988D084" w14:textId="799A1C47" w:rsidR="00B06983" w:rsidRPr="009B6177" w:rsidRDefault="00B06983" w:rsidP="000828A3">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Ekosistēmu atjaunošana</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754354A" id="_x0000_s1039" type="#_x0000_t202" style="position:absolute;left:0;text-align:left;margin-left:96.1pt;margin-top:200.7pt;width:82.2pt;height:13.2pt;z-index:25165829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mpuLgIAAFMEAAAOAAAAZHJzL2Uyb0RvYy54bWysVN9r2zAQfh/sfxB6X2yniVtMnJK1ZAxC&#10;W0hGnxVZjg2STpOU2Nlfv5Mcp6Xb09iLfLrf930nL+57JclJWNeCLmk2SSkRmkPV6kNJf+zWX+4o&#10;cZ7piknQoqRn4ej98vOnRWcKMYUGZCUswSTaFZ0paeO9KZLE8UYo5iZghEZjDVYxj1d7SCrLOsyu&#10;ZDJN0zzpwFbGAhfOofZxMNJlzF/XgvvnunbCE1lS7M3H08ZzH85kuWDFwTLTtPzSBvuHLhRrNRa9&#10;pnpknpGjbf9IpVpuwUHtJxxUAnXdchFnwGmy9MM024YZEWdBcJy5wuT+X1r+dHqxpK1Kepdns3k+&#10;zTNKNFNI1U70nnyFnkwDSp1xBTpvDbr7HtXI9qh3qAzD97VV4YtjEbQj3ucrxiEZD0HpbJamaOJo&#10;y/Lb+W0kIXmLNtb5bwIUCUJJLXIYoWWnjfPYCbqOLqGYhnUrZeRRatKVNL+ZpzHgasEIqTEwzDD0&#10;GiTf7/s4eXYzDrKH6ozzWRj2xBm+brGJDXP+hVlcDOwbl90/41FLwGJwkShpwP76mz74I19opaTD&#10;RSup+3lkVlAiv2tkMmzlKNhR2I+CPqoHwN1FVrCbKGKA9XIUawvqFd/AKlRBE9Mca5WUezteHvyw&#10;8PiKuFitohtun2F+o7eGh+QByADqrn9l1lyQ98jZE4xLyIoPBAy+AwWro4e6jewEaAccL4jj5kbS&#10;Lq8sPI339+j19i9Y/gYAAP//AwBQSwMEFAAGAAgAAAAhAAhj+I7hAAAACwEAAA8AAABkcnMvZG93&#10;bnJldi54bWxMj9FOwzAMRd+R+IfISLyxtGWUUZpOCImxIYHExgdkrdd0bZyqybry95gneLz20fVx&#10;vpxsJ0YcfONIQTyLQCCVrmqoVvC1e7lZgPBBU6U7R6jgGz0si8uLXGeVO9MnjttQCy4hn2kFJoQ+&#10;k9KXBq32M9cj8e7gBqsDx6GW1aDPXG47mURRKq1uiC8Y3eOzwbLdnqyCVXOIdx9jW/em3byu3tbv&#10;x/UxKHV9NT09ggg4hT8YfvVZHQp22rsTVV50nB+ShFEF8yieg2Di9i5NQex5ktwvQBa5/P9D8QMA&#10;AP//AwBQSwECLQAUAAYACAAAACEAtoM4kv4AAADhAQAAEwAAAAAAAAAAAAAAAAAAAAAAW0NvbnRl&#10;bnRfVHlwZXNdLnhtbFBLAQItABQABgAIAAAAIQA4/SH/1gAAAJQBAAALAAAAAAAAAAAAAAAAAC8B&#10;AABfcmVscy8ucmVsc1BLAQItABQABgAIAAAAIQBtYmpuLgIAAFMEAAAOAAAAAAAAAAAAAAAAAC4C&#10;AABkcnMvZTJvRG9jLnhtbFBLAQItABQABgAIAAAAIQAIY/iO4QAAAAsBAAAPAAAAAAAAAAAAAAAA&#10;AIgEAABkcnMvZG93bnJldi54bWxQSwUGAAAAAAQABADzAAAAlgUAAAAA&#10;" filled="f" stroked="f" strokeweight=".5pt">
                      <v:textbox inset="0,0,0,0">
                        <w:txbxContent>
                          <w:p w14:paraId="5988D084" w14:textId="799A1C47" w:rsidR="00B06983" w:rsidRPr="009B6177" w:rsidRDefault="00B06983" w:rsidP="000828A3">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Ekosistēmu atjaunošana</w:t>
                            </w:r>
                          </w:p>
                        </w:txbxContent>
                      </v:textbox>
                    </v:shape>
                  </w:pict>
                </mc:Fallback>
              </mc:AlternateContent>
            </w:r>
            <w:r>
              <w:rPr>
                <w:noProof/>
                <w14:ligatures w14:val="standardContextual"/>
              </w:rPr>
              <mc:AlternateContent>
                <mc:Choice Requires="wps">
                  <w:drawing>
                    <wp:anchor distT="0" distB="0" distL="114300" distR="114300" simplePos="0" relativeHeight="251658290" behindDoc="0" locked="0" layoutInCell="1" allowOverlap="1" wp14:anchorId="65388E06" wp14:editId="4C3D6DCF">
                      <wp:simplePos x="0" y="0"/>
                      <wp:positionH relativeFrom="column">
                        <wp:posOffset>1091921</wp:posOffset>
                      </wp:positionH>
                      <wp:positionV relativeFrom="paragraph">
                        <wp:posOffset>2808605</wp:posOffset>
                      </wp:positionV>
                      <wp:extent cx="1044000" cy="167570"/>
                      <wp:effectExtent l="0" t="0" r="3810" b="4445"/>
                      <wp:wrapNone/>
                      <wp:docPr id="1777248487" name="Text Box 2"/>
                      <wp:cNvGraphicFramePr/>
                      <a:graphic xmlns:a="http://schemas.openxmlformats.org/drawingml/2006/main">
                        <a:graphicData uri="http://schemas.microsoft.com/office/word/2010/wordprocessingShape">
                          <wps:wsp>
                            <wps:cNvSpPr txBox="1"/>
                            <wps:spPr>
                              <a:xfrm>
                                <a:off x="0" y="0"/>
                                <a:ext cx="1044000" cy="167570"/>
                              </a:xfrm>
                              <a:prstGeom prst="rect">
                                <a:avLst/>
                              </a:prstGeom>
                              <a:noFill/>
                              <a:ln w="6350">
                                <a:noFill/>
                              </a:ln>
                            </wps:spPr>
                            <wps:txbx>
                              <w:txbxContent>
                                <w:p w14:paraId="41B44923" w14:textId="3C7E97F2" w:rsidR="00B06983" w:rsidRPr="009B6177" w:rsidRDefault="00B06983" w:rsidP="000828A3">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Pieejamības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5388E06" id="_x0000_s1040" type="#_x0000_t202" style="position:absolute;left:0;text-align:left;margin-left:86pt;margin-top:221.15pt;width:82.2pt;height:13.2pt;z-index:25165829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vW/LgIAAFQEAAAOAAAAZHJzL2Uyb0RvYy54bWysVE2P2jAQvVfqf7B8LwmUBRQRVnRXVJXQ&#10;7kpQ7dk4Nolke1zbkNBf37FD2GrbU9WLM/Z8vzeT5X2nFTkL5xswJR2PckqE4VA15ljS7/vNpwUl&#10;PjBTMQVGlPQiPL1fffywbG0hJlCDqoQjGMT4orUlrUOwRZZ5XgvN/AisMKiU4DQLeHXHrHKsxeha&#10;ZZM8n2UtuMo64MJ7fH3slXSV4kspeHiW0otAVEmxtpBOl85DPLPVkhVHx2zd8GsZ7B+q0KwxmPQW&#10;6pEFRk6u+SOUbrgDDzKMOOgMpGy4SD1gN+P8XTe7mlmRekFwvL3B5P9fWP50fnGkqZC7+Xw+mS6m&#10;izklhmnkai+6QL5ARyYRptb6Aq13Fu1Dh8/oMrx7fIzdd9Lp+MW+COoR8MsN5BiMR6d8Os1zVHHU&#10;jWfzu3liIXvzts6HrwI0iUJJHZKYsGXnrQ9YCZoOJjGZgU2jVCJSGdKWdPb5Lk8ONw16KIOOsYe+&#10;1iiF7tD1rU+HRg5QXbA/B/2geMs3DRaxZT68MIeTgXXjtIdnPKQCTAZXiZIa3M+/vUd7JAy1lLQ4&#10;aSX1P07MCUrUN4NUxrEcBDcIh0EwJ/0AOLxj3CPLk4gOLqhBlA70Ky7BOmZBFTMcc5WUBzdcHkI/&#10;8bhGXKzXyQzHz7KwNTvLY/AIZAR1370yZ6/IB+TsCYYpZMU7AnrbnoL1KYBsEjsR2h7HK+I4uom0&#10;65rF3fj9nqzefgarXwAAAP//AwBQSwMEFAAGAAgAAAAhAERNbvXiAAAACwEAAA8AAABkcnMvZG93&#10;bnJldi54bWxMj8FOwzAQRO9I/IO1lbhRp0mUVmmcCiFRClKRaPkAN3bjNPE6it00/D3LCY4zO5p9&#10;U2wm27FRD75xKGAxj4BprJxqsBbwdXx5XAHzQaKSnUMt4Ft72JT3d4XMlbvhpx4PoWZUgj6XAkwI&#10;fc65r4y20s9dr5FuZzdYGUgONVeDvFG57XgcRRm3skH6YGSvn42u2sPVCtg258XxY2zr3rRvr9v3&#10;3f6yuwQhHmbT0xpY0FP4C8MvPqFDSUwnd0XlWUd6GdOWICBN4wQYJZIkS4GdyMlWS+Blwf9vKH8A&#10;AAD//wMAUEsBAi0AFAAGAAgAAAAhALaDOJL+AAAA4QEAABMAAAAAAAAAAAAAAAAAAAAAAFtDb250&#10;ZW50X1R5cGVzXS54bWxQSwECLQAUAAYACAAAACEAOP0h/9YAAACUAQAACwAAAAAAAAAAAAAAAAAv&#10;AQAAX3JlbHMvLnJlbHNQSwECLQAUAAYACAAAACEAxZ71vy4CAABUBAAADgAAAAAAAAAAAAAAAAAu&#10;AgAAZHJzL2Uyb0RvYy54bWxQSwECLQAUAAYACAAAACEARE1u9eIAAAALAQAADwAAAAAAAAAAAAAA&#10;AACIBAAAZHJzL2Rvd25yZXYueG1sUEsFBgAAAAAEAAQA8wAAAJcFAAAAAA==&#10;" filled="f" stroked="f" strokeweight=".5pt">
                      <v:textbox inset="0,0,0,0">
                        <w:txbxContent>
                          <w:p w14:paraId="41B44923" w14:textId="3C7E97F2" w:rsidR="00B06983" w:rsidRPr="009B6177" w:rsidRDefault="00B06983" w:rsidP="000828A3">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Pieejamības</w:t>
                            </w:r>
                          </w:p>
                        </w:txbxContent>
                      </v:textbox>
                    </v:shape>
                  </w:pict>
                </mc:Fallback>
              </mc:AlternateContent>
            </w:r>
            <w:r>
              <w:rPr>
                <w:noProof/>
                <w14:ligatures w14:val="standardContextual"/>
              </w:rPr>
              <mc:AlternateContent>
                <mc:Choice Requires="wps">
                  <w:drawing>
                    <wp:anchor distT="0" distB="0" distL="114300" distR="114300" simplePos="0" relativeHeight="251658289" behindDoc="0" locked="0" layoutInCell="1" allowOverlap="1" wp14:anchorId="252CCD3E" wp14:editId="787436D5">
                      <wp:simplePos x="0" y="0"/>
                      <wp:positionH relativeFrom="column">
                        <wp:posOffset>891235</wp:posOffset>
                      </wp:positionH>
                      <wp:positionV relativeFrom="paragraph">
                        <wp:posOffset>3329940</wp:posOffset>
                      </wp:positionV>
                      <wp:extent cx="1044000" cy="167570"/>
                      <wp:effectExtent l="0" t="0" r="3810" b="4445"/>
                      <wp:wrapNone/>
                      <wp:docPr id="644194694" name="Text Box 2"/>
                      <wp:cNvGraphicFramePr/>
                      <a:graphic xmlns:a="http://schemas.openxmlformats.org/drawingml/2006/main">
                        <a:graphicData uri="http://schemas.microsoft.com/office/word/2010/wordprocessingShape">
                          <wps:wsp>
                            <wps:cNvSpPr txBox="1"/>
                            <wps:spPr>
                              <a:xfrm>
                                <a:off x="0" y="0"/>
                                <a:ext cx="1044000" cy="167570"/>
                              </a:xfrm>
                              <a:prstGeom prst="rect">
                                <a:avLst/>
                              </a:prstGeom>
                              <a:noFill/>
                              <a:ln w="6350">
                                <a:noFill/>
                              </a:ln>
                            </wps:spPr>
                            <wps:txbx>
                              <w:txbxContent>
                                <w:p w14:paraId="69B0326B" w14:textId="6422EF98" w:rsidR="00B06983" w:rsidRPr="009B6177" w:rsidRDefault="00B06983" w:rsidP="000828A3">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Pielāgošanās klimatam</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52CCD3E" id="_x0000_s1041" type="#_x0000_t202" style="position:absolute;left:0;text-align:left;margin-left:70.2pt;margin-top:262.2pt;width:82.2pt;height:13.2pt;z-index:25165828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umrMAIAAFMEAAAOAAAAZHJzL2Uyb0RvYy54bWysVF1v2yAUfZ+0/4B4X2xnTtpacaqsVaZJ&#10;UVspmfpMMI4tAZcBiZ39+l1wnE7dnqa94Av3g3vOuXhx3ytJTsK6FnRJs0lKidAcqlYfSvp9t/50&#10;S4nzTFdMghYlPQtH75cfPyw6U4gpNCArYQkW0a7oTEkb702RJI43QjE3ASM0Omuwinnc2kNSWdZh&#10;dSWTaZrOkw5sZSxw4RyePg5Ouoz161pw/1zXTngiS4q9+bjauO7DmiwXrDhYZpqWX9pg/9CFYq3G&#10;S6+lHpln5GjbP0qplltwUPsJB5VAXbdcRAyIJkvfodk2zIiIBclx5kqT+39l+dPpxZK2Kuk8z7O7&#10;fH6XU6KZQql2ovfkC/RkGljqjCsweGsw3Pd4jGqP5w4PA/i+tip8ERZBP/J9vnIcivGQlOZ5mqKL&#10;oy+b38xuogjJW7axzn8VoEgwSmpRw0gtO22cx04wdAwJl2lYt1JGHaUmHQL5PEtjwtWDGVJjYsAw&#10;9Bos3+/7iDybjUD2UJ0Rn4VhTpzh6xab2DDnX5jFwcC+cdj9My61BLwMLhYlDdiffzsP8agXeinp&#10;cNBK6n4cmRWUyG8alQxTORp2NPajoY/qAXB2M3xGhkcTE6yXo1lbUK/4BlbhFnQxzfGuknJvx82D&#10;HwYeXxEXq1UMw+kzzG/01vBQPBAZSN31r8yaC/MeNXuCcQhZ8U6AIXaQYHX0ULdRnUDtwOOFcZzc&#10;KNrllYWn8fs+Rr39C5a/AAAA//8DAFBLAwQUAAYACAAAACEAle9cAuEAAAALAQAADwAAAGRycy9k&#10;b3ducmV2LnhtbEyPwU7DMBBE70j8g7WVuFG7JUVVGqdCSJSCVCRaPsCNt0maeB3Fbhr+nuUEt53d&#10;0eybbD26VgzYh9qThtlUgUAqvK2p1PB1eLlfggjRkDWtJ9TwjQHW+e1NZlLrr/SJwz6WgkMopEZD&#10;FWOXShmKCp0JU98h8e3ke2ciy76UtjdXDnetnCv1KJ2piT9UpsPnCotmf3EaNvVpdvgYmrKrmrfX&#10;zft2d96eo9Z3k/FpBSLiGP/M8IvP6JAz09FfyAbRsk5UwlYNi3nCAzseVMJljrxZqCXIPJP/O+Q/&#10;AAAA//8DAFBLAQItABQABgAIAAAAIQC2gziS/gAAAOEBAAATAAAAAAAAAAAAAAAAAAAAAABbQ29u&#10;dGVudF9UeXBlc10ueG1sUEsBAi0AFAAGAAgAAAAhADj9If/WAAAAlAEAAAsAAAAAAAAAAAAAAAAA&#10;LwEAAF9yZWxzLy5yZWxzUEsBAi0AFAAGAAgAAAAhAN+e6aswAgAAUwQAAA4AAAAAAAAAAAAAAAAA&#10;LgIAAGRycy9lMm9Eb2MueG1sUEsBAi0AFAAGAAgAAAAhAJXvXALhAAAACwEAAA8AAAAAAAAAAAAA&#10;AAAAigQAAGRycy9kb3ducmV2LnhtbFBLBQYAAAAABAAEAPMAAACYBQAAAAA=&#10;" filled="f" stroked="f" strokeweight=".5pt">
                      <v:textbox inset="0,0,0,0">
                        <w:txbxContent>
                          <w:p w14:paraId="69B0326B" w14:textId="6422EF98" w:rsidR="00B06983" w:rsidRPr="009B6177" w:rsidRDefault="00B06983" w:rsidP="000828A3">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Pielāgošanās klimatam</w:t>
                            </w:r>
                          </w:p>
                        </w:txbxContent>
                      </v:textbox>
                    </v:shape>
                  </w:pict>
                </mc:Fallback>
              </mc:AlternateContent>
            </w:r>
            <w:r>
              <w:rPr>
                <w:noProof/>
                <w14:ligatures w14:val="standardContextual"/>
              </w:rPr>
              <mc:AlternateContent>
                <mc:Choice Requires="wps">
                  <w:drawing>
                    <wp:anchor distT="0" distB="0" distL="114300" distR="114300" simplePos="0" relativeHeight="251658288" behindDoc="0" locked="0" layoutInCell="1" allowOverlap="1" wp14:anchorId="7F7EEB63" wp14:editId="37F9622D">
                      <wp:simplePos x="0" y="0"/>
                      <wp:positionH relativeFrom="column">
                        <wp:posOffset>43993</wp:posOffset>
                      </wp:positionH>
                      <wp:positionV relativeFrom="paragraph">
                        <wp:posOffset>3184525</wp:posOffset>
                      </wp:positionV>
                      <wp:extent cx="1044000" cy="167570"/>
                      <wp:effectExtent l="0" t="0" r="3810" b="4445"/>
                      <wp:wrapNone/>
                      <wp:docPr id="485551372" name="Text Box 2"/>
                      <wp:cNvGraphicFramePr/>
                      <a:graphic xmlns:a="http://schemas.openxmlformats.org/drawingml/2006/main">
                        <a:graphicData uri="http://schemas.microsoft.com/office/word/2010/wordprocessingShape">
                          <wps:wsp>
                            <wps:cNvSpPr txBox="1"/>
                            <wps:spPr>
                              <a:xfrm>
                                <a:off x="0" y="0"/>
                                <a:ext cx="1044000" cy="167570"/>
                              </a:xfrm>
                              <a:prstGeom prst="rect">
                                <a:avLst/>
                              </a:prstGeom>
                              <a:noFill/>
                              <a:ln w="6350">
                                <a:noFill/>
                              </a:ln>
                            </wps:spPr>
                            <wps:txbx>
                              <w:txbxContent>
                                <w:p w14:paraId="3A2C7AE8" w14:textId="2C3EF884" w:rsidR="00B06983" w:rsidRPr="009B6177" w:rsidRDefault="00B06983" w:rsidP="000828A3">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Pārtika-enerģija-ūdens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F7EEB63" id="_x0000_s1042" type="#_x0000_t202" style="position:absolute;left:0;text-align:left;margin-left:3.45pt;margin-top:250.75pt;width:82.2pt;height:13.2pt;z-index:251658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Z+TLwIAAFMEAAAOAAAAZHJzL2Uyb0RvYy54bWysVN9v2jAQfp+0/8Hy+0igQKuIULFWTJNQ&#10;WwmmPhvHJpFsn2cbEvbX7+wQWnV7mvbinH2/v+8ui/tOK3ISzjdgSjoe5ZQIw6FqzKGkP3brL3eU&#10;+MBMxRQYUdKz8PR++fnTorWFmEANqhKOYBDji9aWtA7BFlnmeS008yOwwqBSgtMs4NUdssqxFqNr&#10;lU3yfJ614CrrgAvv8fWxV9Jlii+l4OFZSi8CUSXF2kI6XTr38cyWC1YcHLN1wy9lsH+oQrPGYNJr&#10;qEcWGDm65o9QuuEOPMgw4qAzkLLhIvWA3YzzD91sa2ZF6gXB8fYKk/9/YfnT6cWRpirp9G42m41v&#10;bieUGKaRqp3oAvkKHZlElFrrCzTeWjQPHT4j28O7x8fYfCedjl9si6Ae8T5fMY7BeHTKp9M8RxVH&#10;3Xh+O7tNJGRv3tb58E2AJlEoqUMOE7TstPEBK0HTwSQmM7BulEo8KkPaks5vZnlyuGrQQxl0jD30&#10;tUYpdPsudT6eD43soTpjfw76OfGWrxssYsN8eGEOBwPrxmEPz3hIBZgMLhIlNbhff3uP9sgXailp&#10;cdBK6n8emROUqO8GmYxTOQhuEPaDYI76AXB2x7hGlicRHVxQgygd6FfcgVXMgipmOOYqKQ9uuDyE&#10;fuBxi7hYrZIZTp9lYWO2lsfgEcgI6q57Zc5ekA/I2RMMQ8iKDwT0tj0Fq2MA2SR2IrQ9jhfEcXIT&#10;aZcti6vx/p6s3v4Fy98AAAD//wMAUEsDBBQABgAIAAAAIQAeH/Fa4AAAAAkBAAAPAAAAZHJzL2Rv&#10;d25yZXYueG1sTI/BTsMwEETvSPyDtUjcqJOitjRkUyEkSkECiZYPcONtnCZeR7Gbhr/HPcFxdkYz&#10;b/PVaFsxUO9rxwjpJAFBXDpdc4XwvXu5ewDhg2KtWseE8EMeVsX1Va4y7c78RcM2VCKWsM8Uggmh&#10;y6T0pSGr/MR1xNE7uN6qEGVfSd2rcyy3rZwmyVxaVXNcMKqjZ0Nlsz1ZhHV9SHefQ1N1pnl7Xb9v&#10;Po6bY0C8vRmfHkEEGsNfGC74ER2KyLR3J9ZetAjzZQwizJJ0BuLiL9J7EPt4mS6WIItc/v+g+AUA&#10;AP//AwBQSwECLQAUAAYACAAAACEAtoM4kv4AAADhAQAAEwAAAAAAAAAAAAAAAAAAAAAAW0NvbnRl&#10;bnRfVHlwZXNdLnhtbFBLAQItABQABgAIAAAAIQA4/SH/1gAAAJQBAAALAAAAAAAAAAAAAAAAAC8B&#10;AABfcmVscy8ucmVsc1BLAQItABQABgAIAAAAIQARaZ+TLwIAAFMEAAAOAAAAAAAAAAAAAAAAAC4C&#10;AABkcnMvZTJvRG9jLnhtbFBLAQItABQABgAIAAAAIQAeH/Fa4AAAAAkBAAAPAAAAAAAAAAAAAAAA&#10;AIkEAABkcnMvZG93bnJldi54bWxQSwUGAAAAAAQABADzAAAAlgUAAAAA&#10;" filled="f" stroked="f" strokeweight=".5pt">
                      <v:textbox inset="0,0,0,0">
                        <w:txbxContent>
                          <w:p w14:paraId="3A2C7AE8" w14:textId="2C3EF884" w:rsidR="00B06983" w:rsidRPr="009B6177" w:rsidRDefault="00B06983" w:rsidP="000828A3">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Pārtika-enerģija-ūdens</w:t>
                            </w:r>
                          </w:p>
                        </w:txbxContent>
                      </v:textbox>
                    </v:shape>
                  </w:pict>
                </mc:Fallback>
              </mc:AlternateContent>
            </w:r>
            <w:r>
              <w:rPr>
                <w:noProof/>
                <w14:ligatures w14:val="standardContextual"/>
              </w:rPr>
              <mc:AlternateContent>
                <mc:Choice Requires="wps">
                  <w:drawing>
                    <wp:anchor distT="0" distB="0" distL="114300" distR="114300" simplePos="0" relativeHeight="251658287" behindDoc="0" locked="0" layoutInCell="1" allowOverlap="1" wp14:anchorId="65A38C5F" wp14:editId="2F3CB236">
                      <wp:simplePos x="0" y="0"/>
                      <wp:positionH relativeFrom="column">
                        <wp:posOffset>346101</wp:posOffset>
                      </wp:positionH>
                      <wp:positionV relativeFrom="paragraph">
                        <wp:posOffset>2782621</wp:posOffset>
                      </wp:positionV>
                      <wp:extent cx="565719" cy="167570"/>
                      <wp:effectExtent l="0" t="0" r="6350" b="4445"/>
                      <wp:wrapNone/>
                      <wp:docPr id="32837133" name="Text Box 2"/>
                      <wp:cNvGraphicFramePr/>
                      <a:graphic xmlns:a="http://schemas.openxmlformats.org/drawingml/2006/main">
                        <a:graphicData uri="http://schemas.microsoft.com/office/word/2010/wordprocessingShape">
                          <wps:wsp>
                            <wps:cNvSpPr txBox="1"/>
                            <wps:spPr>
                              <a:xfrm>
                                <a:off x="0" y="0"/>
                                <a:ext cx="565719" cy="167570"/>
                              </a:xfrm>
                              <a:prstGeom prst="rect">
                                <a:avLst/>
                              </a:prstGeom>
                              <a:noFill/>
                              <a:ln w="6350">
                                <a:noFill/>
                              </a:ln>
                            </wps:spPr>
                            <wps:txbx>
                              <w:txbxContent>
                                <w:p w14:paraId="62A1E242" w14:textId="2266B8AB" w:rsidR="00B06983" w:rsidRPr="009B6177" w:rsidRDefault="00B06983" w:rsidP="000828A3">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Atalgojums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65A38C5F" id="_x0000_s1043" type="#_x0000_t202" style="position:absolute;left:0;text-align:left;margin-left:27.25pt;margin-top:219.1pt;width:44.55pt;height:13.2pt;z-index:25165828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6HhMAIAAFEEAAAOAAAAZHJzL2Uyb0RvYy54bWysVMGO2jAQvVfqP1i+lxAQsI0IK7orqkpo&#10;dyWo9mwcm0SyPa5tSOjXd+wQttr2VPXijGfG43nvjbO877QiZ+F8A6ak+WhMiTAcqsYcS/p9v/l0&#10;R4kPzFRMgRElvQhP71cfPyxbW4gJ1KAq4QgWMb5obUnrEGyRZZ7XQjM/AisMBiU4zQJu3TGrHGux&#10;ulbZZDyeZy24yjrgwnv0PvZBukr1pRQ8PEvpRSCqpNhbSKtL6yGu2WrJiqNjtm74tQ32D11o1hi8&#10;9FbqkQVGTq75o5RuuAMPMow46AykbLhIGBBNPn6HZlczKxIWJMfbG03+/5XlT+cXR5qqpNPJ3XSR&#10;T6eUGKZRqb3oAvkCHZlEklrrC8zdWcwOHbpR7MHv0Rmxd9Lp+EVUBONI9+VGcSzG0Tmbzxb5Z0o4&#10;hvL5YrZIEmRvh63z4asATaJRUocKJmLZeesDNoKpQ0q8y8CmUSqpqAxpSzqfzsbpwC2CJ5TBgxFC&#10;32q0QnfoEu58MeA4QHVBeA76KfGWbxpsYst8eGEOxwIR4aiHZ1ykArwMrhYlNbiff/PHfFQLo5S0&#10;OGYl9T9OzAlK1DeDOsaZHAw3GIfBMCf9ADi5OT4iy5OJB1xQgykd6Fd8Aet4C4aY4XhXSXlww+Yh&#10;9OOOb4iL9Tql4exZFrZmZ3ksHomMpO67V+bslfmAkj3BMIKseCdAn9tLsD4FkE1SJ1Lb83hlHOc2&#10;iXZ9Y/Fh/L5PWW9/gtUvAAAA//8DAFBLAwQUAAYACAAAACEANJsESOEAAAAKAQAADwAAAGRycy9k&#10;b3ducmV2LnhtbEyPQW7CMBBF95W4gzVI3RUHCBFK4yCEVKCVWqnQA5h4iEPicRSbEG5fs2qXM/P0&#10;5/1sNZiG9di5ypKA6SQChlRYVVEp4Of49rIE5rwkJRtLKOCODlb56CmTqbI3+sb+4EsWQsilUoD2&#10;vk05d4VGI93EtkjhdradkT6MXclVJ28h3DR8FkUJN7Ki8EHLFjcai/pwNQK21Xl6/OrrstX1+277&#10;sf+87C9eiOfxsH4F5nHwfzA89IM65MHpZK+kHGsELOJFIAXE8+UM2AOI5wmwU9gkcQI8z/j/Cvkv&#10;AAAA//8DAFBLAQItABQABgAIAAAAIQC2gziS/gAAAOEBAAATAAAAAAAAAAAAAAAAAAAAAABbQ29u&#10;dGVudF9UeXBlc10ueG1sUEsBAi0AFAAGAAgAAAAhADj9If/WAAAAlAEAAAsAAAAAAAAAAAAAAAAA&#10;LwEAAF9yZWxzLy5yZWxzUEsBAi0AFAAGAAgAAAAhAJqvoeEwAgAAUQQAAA4AAAAAAAAAAAAAAAAA&#10;LgIAAGRycy9lMm9Eb2MueG1sUEsBAi0AFAAGAAgAAAAhADSbBEjhAAAACgEAAA8AAAAAAAAAAAAA&#10;AAAAigQAAGRycy9kb3ducmV2LnhtbFBLBQYAAAAABAAEAPMAAACYBQAAAAA=&#10;" filled="f" stroked="f" strokeweight=".5pt">
                      <v:textbox inset="0,0,0,0">
                        <w:txbxContent>
                          <w:p w14:paraId="62A1E242" w14:textId="2266B8AB" w:rsidR="00B06983" w:rsidRPr="009B6177" w:rsidRDefault="00B06983" w:rsidP="000828A3">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Atalgojums</w:t>
                            </w:r>
                          </w:p>
                        </w:txbxContent>
                      </v:textbox>
                    </v:shape>
                  </w:pict>
                </mc:Fallback>
              </mc:AlternateContent>
            </w:r>
            <w:r>
              <w:rPr>
                <w:noProof/>
                <w14:ligatures w14:val="standardContextual"/>
              </w:rPr>
              <mc:AlternateContent>
                <mc:Choice Requires="wps">
                  <w:drawing>
                    <wp:anchor distT="0" distB="0" distL="114300" distR="114300" simplePos="0" relativeHeight="251658286" behindDoc="0" locked="0" layoutInCell="1" allowOverlap="1" wp14:anchorId="004A6522" wp14:editId="021921E8">
                      <wp:simplePos x="0" y="0"/>
                      <wp:positionH relativeFrom="column">
                        <wp:posOffset>149124</wp:posOffset>
                      </wp:positionH>
                      <wp:positionV relativeFrom="paragraph">
                        <wp:posOffset>1918335</wp:posOffset>
                      </wp:positionV>
                      <wp:extent cx="565719" cy="167570"/>
                      <wp:effectExtent l="0" t="0" r="6350" b="4445"/>
                      <wp:wrapNone/>
                      <wp:docPr id="1748608450" name="Text Box 2"/>
                      <wp:cNvGraphicFramePr/>
                      <a:graphic xmlns:a="http://schemas.openxmlformats.org/drawingml/2006/main">
                        <a:graphicData uri="http://schemas.microsoft.com/office/word/2010/wordprocessingShape">
                          <wps:wsp>
                            <wps:cNvSpPr txBox="1"/>
                            <wps:spPr>
                              <a:xfrm>
                                <a:off x="0" y="0"/>
                                <a:ext cx="565719" cy="167570"/>
                              </a:xfrm>
                              <a:prstGeom prst="rect">
                                <a:avLst/>
                              </a:prstGeom>
                              <a:noFill/>
                              <a:ln w="6350">
                                <a:noFill/>
                              </a:ln>
                            </wps:spPr>
                            <wps:txbx>
                              <w:txbxContent>
                                <w:p w14:paraId="20A9075A" w14:textId="045F18C9" w:rsidR="00B06983" w:rsidRPr="009B6177" w:rsidRDefault="00B06983" w:rsidP="000828A3">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CCUS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004A6522" id="_x0000_s1044" type="#_x0000_t202" style="position:absolute;left:0;text-align:left;margin-left:11.75pt;margin-top:151.05pt;width:44.55pt;height:13.2pt;z-index:25165828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pVXLwIAAFMEAAAOAAAAZHJzL2Uyb0RvYy54bWysVE1v2zAMvQ/YfxB0X5xkzceMOEXWIsOA&#10;oi2QDD0rspwYsEVNUmJnv35Pcpxu3U7DLjJFUhTfe5QXt21dsZOyriSd8dFgyJnSkvJS7zP+bbv+&#10;MOfMeaFzUZFWGT8rx2+X798tGpOqMR2oypVlKKJd2piMH7w3aZI4eVC1cAMySiNYkK2Fx9buk9yK&#10;BtXrKhkPh9OkIZsbS1I5B+99F+TLWL8olPRPReGUZ1XG0ZuPq43rLqzJciHSvRXmUMpLG+IfuqhF&#10;qXHptdS98IIdbflHqbqUlhwVfiCpTqgoSqkiBqAZDd+g2RyEURELyHHmSpP7f2Xl4+nZsjKHdrOb&#10;+XQ4v5mAJi1qaLVVrWefqWXjQFNjXIrsjUG+b+HGkd7v4Azo28LW4QtcDHFUOl9JDsUknJPpZDb6&#10;xJlEaDSdTWZRhOT1sLHOf1FUs2Bk3ELDSK04PTiPRpDap4S7NK3Lqoo6Vpo1GZ9+BITfIjhRaRwM&#10;ELpWg+XbXdshn/c4dpSfAc9SNyfOyHWJJh6E88/CYjCACMPun7AUFeEyulicHcj++Js/5EMvRDlr&#10;MGgZd9+PwirOqq8aSoap7A3bG7ve0Mf6jjC7IzwjI6OJA9ZXvVlYql/wBlbhFoSElrgr49LbfnPn&#10;u4HHK5JqtYppmD4j/IPeGBmKB7oCqdv2RVhzYd5Dskfqh1CkbwTocjuiV0dPRRnVCdR2PF4Yx+RG&#10;0S6vLDyNX/cx6/VfsPwJAAD//wMAUEsDBBQABgAIAAAAIQAwy22Q4AAAAAoBAAAPAAAAZHJzL2Rv&#10;d25yZXYueG1sTI9BbsIwEEX3lXoHayp1V5wYgVAaB1VIUKjUSoUewMRDHBKPo9iEcPuaVbucmac/&#10;7+fL0bZswN7XjiSkkwQYUul0TZWEn8P6ZQHMB0VatY5Qwg09LIvHh1xl2l3pG4d9qFgMIZ8pCSaE&#10;LuPclwat8hPXIcXbyfVWhTj2Fde9usZw23KRJHNuVU3xg1EdrgyWzf5iJWzqU3r4GpqqM83uffOx&#10;/Txvz0HK56fx7RVYwDH8wXDXj+pQRKeju5D2rJUgprNISpgmIgV2B1IxB3aMG7GYAS9y/r9C8QsA&#10;AP//AwBQSwECLQAUAAYACAAAACEAtoM4kv4AAADhAQAAEwAAAAAAAAAAAAAAAAAAAAAAW0NvbnRl&#10;bnRfVHlwZXNdLnhtbFBLAQItABQABgAIAAAAIQA4/SH/1gAAAJQBAAALAAAAAAAAAAAAAAAAAC8B&#10;AABfcmVscy8ucmVsc1BLAQItABQABgAIAAAAIQDZGpVXLwIAAFMEAAAOAAAAAAAAAAAAAAAAAC4C&#10;AABkcnMvZTJvRG9jLnhtbFBLAQItABQABgAIAAAAIQAwy22Q4AAAAAoBAAAPAAAAAAAAAAAAAAAA&#10;AIkEAABkcnMvZG93bnJldi54bWxQSwUGAAAAAAQABADzAAAAlgUAAAAA&#10;" filled="f" stroked="f" strokeweight=".5pt">
                      <v:textbox inset="0,0,0,0">
                        <w:txbxContent>
                          <w:p w14:paraId="20A9075A" w14:textId="045F18C9" w:rsidR="00B06983" w:rsidRPr="009B6177" w:rsidRDefault="00B06983" w:rsidP="000828A3">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CCUS</w:t>
                            </w:r>
                          </w:p>
                        </w:txbxContent>
                      </v:textbox>
                    </v:shape>
                  </w:pict>
                </mc:Fallback>
              </mc:AlternateContent>
            </w:r>
            <w:r>
              <w:rPr>
                <w:noProof/>
                <w14:ligatures w14:val="standardContextual"/>
              </w:rPr>
              <mc:AlternateContent>
                <mc:Choice Requires="wps">
                  <w:drawing>
                    <wp:anchor distT="0" distB="0" distL="114300" distR="114300" simplePos="0" relativeHeight="251658284" behindDoc="0" locked="0" layoutInCell="1" allowOverlap="1" wp14:anchorId="21B03EED" wp14:editId="0913654A">
                      <wp:simplePos x="0" y="0"/>
                      <wp:positionH relativeFrom="column">
                        <wp:posOffset>-231547</wp:posOffset>
                      </wp:positionH>
                      <wp:positionV relativeFrom="paragraph">
                        <wp:posOffset>2330704</wp:posOffset>
                      </wp:positionV>
                      <wp:extent cx="1516126" cy="203581"/>
                      <wp:effectExtent l="0" t="0" r="8255" b="6350"/>
                      <wp:wrapNone/>
                      <wp:docPr id="1495458111" name="Text Box 2"/>
                      <wp:cNvGraphicFramePr/>
                      <a:graphic xmlns:a="http://schemas.openxmlformats.org/drawingml/2006/main">
                        <a:graphicData uri="http://schemas.microsoft.com/office/word/2010/wordprocessingShape">
                          <wps:wsp>
                            <wps:cNvSpPr txBox="1"/>
                            <wps:spPr>
                              <a:xfrm>
                                <a:off x="0" y="0"/>
                                <a:ext cx="1516126" cy="203581"/>
                              </a:xfrm>
                              <a:prstGeom prst="rect">
                                <a:avLst/>
                              </a:prstGeom>
                              <a:noFill/>
                              <a:ln w="6350">
                                <a:noFill/>
                              </a:ln>
                            </wps:spPr>
                            <wps:txbx>
                              <w:txbxContent>
                                <w:p w14:paraId="237365CD" w14:textId="547E4E72" w:rsidR="00B06983" w:rsidRPr="009B6177" w:rsidRDefault="00B06983" w:rsidP="000828A3">
                                  <w:pPr>
                                    <w:spacing w:after="0" w:line="240" w:lineRule="auto"/>
                                    <w:rPr>
                                      <w:rFonts w:asciiTheme="majorHAnsi" w:hAnsiTheme="majorHAnsi" w:cstheme="majorHAnsi"/>
                                      <w:sz w:val="16"/>
                                      <w:szCs w:val="16"/>
                                      <w:lang w:val="lv-LV"/>
                                    </w:rPr>
                                  </w:pPr>
                                  <w:r w:rsidRPr="000828A3">
                                    <w:rPr>
                                      <w:rFonts w:asciiTheme="majorHAnsi" w:hAnsiTheme="majorHAnsi" w:cstheme="majorHAnsi"/>
                                      <w:sz w:val="16"/>
                                      <w:szCs w:val="16"/>
                                      <w:lang w:val="lv-LV"/>
                                    </w:rPr>
                                    <w:t>Klimatu pārmaiņu seku mazināšana</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B03EED" id="_x0000_s1045" type="#_x0000_t202" style="position:absolute;left:0;text-align:left;margin-left:-18.25pt;margin-top:183.5pt;width:119.4pt;height:16.05pt;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MOrLgIAAFQEAAAOAAAAZHJzL2Uyb0RvYy54bWysVFFv2yAQfp+0/4B4X2ynTdRacaqsVaZJ&#10;VVspmfpMMMSWgGNAYme/fgeO06rb07QXfHDH3X3fd3hx12tFjsL5FkxFi0lOiTAc6tbsK/pju/5y&#10;Q4kPzNRMgREVPQlP75afPy06W4opNKBq4QgmMb7sbEWbEGyZZZ43QjM/ASsMOiU4zQJu3T6rHesw&#10;u1bZNM/nWQeutg648B5PHwYnXab8UgoenqX0IhBVUewtpNWldRfXbLlg5d4x27T83Ab7hy40aw0W&#10;vaR6YIGRg2v/SKVb7sCDDBMOOgMpWy4SBkRT5B/QbBpmRcKC5Hh7ocn/v7T86fjiSFujdte3s+vZ&#10;TVEUlBimUaut6AP5Cj2ZRpo660uM3liMDz0e45Xx3ONhRN9Lp+MXcRH0I+GnC8kxGY+XZsW8mM4p&#10;4eib5ldYMqbJ3m5b58M3AZpEo6IORUzcsuOjD0PoGBKLGVi3SiUhlSFdRedXszxduHgwuTJYI2IY&#10;eo1W6Hf9AP12BLKD+oT4HAyD4i1ft9jEI/PhhTmcDISE0x6ecZEKsBicLUoacL/+dh7jUTD0UtLh&#10;pFXU/zwwJyhR3w1KGcdyNNxo7EbDHPQ94PCiKthNMvGCC2o0pQP9io9gFaugixmOtSrKgxs392GY&#10;eHxGXKxWKQzHz7LwaDaWx+SRyEjqtn9lzp6ZD6jZE4xTyMoPAgyxgwSrQwDZJnUitQOPZ8ZxdJO+&#10;52cW38b7fYp6+xksfwMAAP//AwBQSwMEFAAGAAgAAAAhAC8nKWziAAAACwEAAA8AAABkcnMvZG93&#10;bnJldi54bWxMj8tOwzAQRfdI/IM1SOxa5yFCG+JUCIlSKoFE2w9wYzdOE4+j2E3D3zOsYDkzR3fO&#10;LVaT7dioB984FBDPI2AaK6carAUc9q+zBTAfJCrZOdQCvrWHVXl7U8hcuSt+6XEXakYh6HMpwITQ&#10;55z7ymgr/dz1Gul2coOVgcah5mqQVwq3HU+iKONWNkgfjOz1i9FVu7tYAevmFO8/x7buTfv+tt5u&#10;Ps6bcxDi/m56fgIW9BT+YPjVJ3UoyenoLqg86wTM0uyBUAFp9kiliEiiJAV2pM1yGQMvC/6/Q/kD&#10;AAD//wMAUEsBAi0AFAAGAAgAAAAhALaDOJL+AAAA4QEAABMAAAAAAAAAAAAAAAAAAAAAAFtDb250&#10;ZW50X1R5cGVzXS54bWxQSwECLQAUAAYACAAAACEAOP0h/9YAAACUAQAACwAAAAAAAAAAAAAAAAAv&#10;AQAAX3JlbHMvLnJlbHNQSwECLQAUAAYACAAAACEAqmjDqy4CAABUBAAADgAAAAAAAAAAAAAAAAAu&#10;AgAAZHJzL2Uyb0RvYy54bWxQSwECLQAUAAYACAAAACEALycpbOIAAAALAQAADwAAAAAAAAAAAAAA&#10;AACIBAAAZHJzL2Rvd25yZXYueG1sUEsFBgAAAAAEAAQA8wAAAJcFAAAAAA==&#10;" filled="f" stroked="f" strokeweight=".5pt">
                      <v:textbox inset="0,0,0,0">
                        <w:txbxContent>
                          <w:p w14:paraId="237365CD" w14:textId="547E4E72" w:rsidR="00B06983" w:rsidRPr="009B6177" w:rsidRDefault="00B06983" w:rsidP="000828A3">
                            <w:pPr>
                              <w:spacing w:after="0" w:line="240" w:lineRule="auto"/>
                              <w:rPr>
                                <w:rFonts w:asciiTheme="majorHAnsi" w:hAnsiTheme="majorHAnsi" w:cstheme="majorHAnsi"/>
                                <w:sz w:val="16"/>
                                <w:szCs w:val="16"/>
                                <w:lang w:val="lv-LV"/>
                              </w:rPr>
                            </w:pPr>
                            <w:r w:rsidRPr="000828A3">
                              <w:rPr>
                                <w:rFonts w:asciiTheme="majorHAnsi" w:hAnsiTheme="majorHAnsi" w:cstheme="majorHAnsi"/>
                                <w:sz w:val="16"/>
                                <w:szCs w:val="16"/>
                                <w:lang w:val="lv-LV"/>
                              </w:rPr>
                              <w:t>Klimatu pārmaiņu seku mazināšana</w:t>
                            </w:r>
                          </w:p>
                        </w:txbxContent>
                      </v:textbox>
                    </v:shape>
                  </w:pict>
                </mc:Fallback>
              </mc:AlternateContent>
            </w:r>
            <w:r>
              <w:rPr>
                <w:noProof/>
                <w14:ligatures w14:val="standardContextual"/>
              </w:rPr>
              <mc:AlternateContent>
                <mc:Choice Requires="wps">
                  <w:drawing>
                    <wp:anchor distT="0" distB="0" distL="114300" distR="114300" simplePos="0" relativeHeight="251658285" behindDoc="0" locked="0" layoutInCell="1" allowOverlap="1" wp14:anchorId="0342F60A" wp14:editId="54F29C2C">
                      <wp:simplePos x="0" y="0"/>
                      <wp:positionH relativeFrom="column">
                        <wp:posOffset>875259</wp:posOffset>
                      </wp:positionH>
                      <wp:positionV relativeFrom="paragraph">
                        <wp:posOffset>2126259</wp:posOffset>
                      </wp:positionV>
                      <wp:extent cx="565719" cy="167570"/>
                      <wp:effectExtent l="0" t="0" r="6350" b="4445"/>
                      <wp:wrapNone/>
                      <wp:docPr id="1004737216" name="Text Box 2"/>
                      <wp:cNvGraphicFramePr/>
                      <a:graphic xmlns:a="http://schemas.openxmlformats.org/drawingml/2006/main">
                        <a:graphicData uri="http://schemas.microsoft.com/office/word/2010/wordprocessingShape">
                          <wps:wsp>
                            <wps:cNvSpPr txBox="1"/>
                            <wps:spPr>
                              <a:xfrm>
                                <a:off x="0" y="0"/>
                                <a:ext cx="565719" cy="167570"/>
                              </a:xfrm>
                              <a:prstGeom prst="rect">
                                <a:avLst/>
                              </a:prstGeom>
                              <a:noFill/>
                              <a:ln w="6350">
                                <a:noFill/>
                              </a:ln>
                            </wps:spPr>
                            <wps:txbx>
                              <w:txbxContent>
                                <w:p w14:paraId="1A8217DB" w14:textId="36BCE384" w:rsidR="00B06983" w:rsidRPr="009B6177" w:rsidRDefault="00B06983" w:rsidP="000828A3">
                                  <w:pPr>
                                    <w:spacing w:after="0" w:line="240" w:lineRule="auto"/>
                                    <w:rPr>
                                      <w:rFonts w:asciiTheme="majorHAnsi" w:hAnsiTheme="majorHAnsi" w:cstheme="majorHAnsi"/>
                                      <w:sz w:val="16"/>
                                      <w:szCs w:val="16"/>
                                      <w:lang w:val="lv-LV"/>
                                    </w:rPr>
                                  </w:pPr>
                                  <w:r>
                                    <w:rPr>
                                      <w:rFonts w:asciiTheme="majorHAnsi" w:hAnsiTheme="majorHAnsi" w:cstheme="majorHAnsi"/>
                                      <w:sz w:val="16"/>
                                      <w:szCs w:val="16"/>
                                      <w:lang w:val="lv-LV"/>
                                    </w:rPr>
                                    <w:t>Cikliskums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0342F60A" id="_x0000_s1046" type="#_x0000_t202" style="position:absolute;left:0;text-align:left;margin-left:68.9pt;margin-top:167.4pt;width:44.55pt;height:13.2pt;z-index:25165828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CewLwIAAFMEAAAOAAAAZHJzL2Uyb0RvYy54bWysVE2P2jAQvVfqf7B8L0nYAi0irOiuqCqh&#10;3ZWg2rNxbBLJ9ri2IaG/vmOHQLXtqerFGc+XZ96byeK+04qchPMNmJIWo5wSYThUjTmU9Ptu/eET&#10;JT4wUzEFRpT0LDy9X75/t2jtXIyhBlUJRzCJ8fPWlrQOwc6zzPNaaOZHYIVBowSnWcCrO2SVYy1m&#10;1yob5/k0a8FV1gEX3qP2sTfSZcovpeDhWUovAlElxdpCOl069/HMlgs2Pzhm64ZfymD/UIVmjcFH&#10;r6keWWDk6Jo/UumGO/Agw4iDzkDKhovUA3ZT5G+62dbMitQLguPtFSb//9Lyp9OLI02F3OX5x9nd&#10;bFxMKTFMI1c70QXyBToyjjC11s/Re2vRP3SoxpBB71EZu++k0/GLfRG0I+DnK8gxGUflZDqZFZ8p&#10;4WgqprPJLJGQ3YKt8+GrAE2iUFKHHCZo2WnjAxaCroNLfMvAulEq8agMaUs6vZvkKeBqwQhlMDC2&#10;0JcapdDtu9T5OFUQVXuoztieg35OvOXrBovYMB9emMPBwI5w2MMzHlIBPgYXiZIa3M+/6aM/8oVW&#10;SloctJL6H0fmBCXqm0Em41QOghuE/SCYo34AnN0C18jyJGKAC2oQpQP9ijuwiq+giRmOb5WUBzdc&#10;HkI/8LhFXKxWyQ2nz7KwMVvLY/IIZAR1170yZy/IB6TsCYYhZPM3BPS+PQWrYwDZJHZuOF4Qx8lN&#10;pF22LK7G7/fkdfsXLH8BAAD//wMAUEsDBBQABgAIAAAAIQBR76oS4QAAAAsBAAAPAAAAZHJzL2Rv&#10;d25yZXYueG1sTI/NTsMwEITvSLyDtUjcqPODAoQ4FUKilEog0fIAbrKN08TrKHbT8PYsJ7jt7I5m&#10;vymWs+3FhKNvHSmIFxEIpMrVLTUKvnYvN/cgfNBU694RKvhGD8vy8qLQee3O9InTNjSCQ8jnWoEJ&#10;Ycil9JVBq/3CDUh8O7jR6sBybGQ96jOH214mUZRJq1viD0YP+Gyw6rYnq2DVHuLdx9Q1g+neXleb&#10;9ftxfQxKXV/NT48gAs7hzwy/+IwOJTPt3YlqL3rW6R2jBwVpessDO5IkewCx500WJyDLQv7vUP4A&#10;AAD//wMAUEsBAi0AFAAGAAgAAAAhALaDOJL+AAAA4QEAABMAAAAAAAAAAAAAAAAAAAAAAFtDb250&#10;ZW50X1R5cGVzXS54bWxQSwECLQAUAAYACAAAACEAOP0h/9YAAACUAQAACwAAAAAAAAAAAAAAAAAv&#10;AQAAX3JlbHMvLnJlbHNQSwECLQAUAAYACAAAACEAFTwnsC8CAABTBAAADgAAAAAAAAAAAAAAAAAu&#10;AgAAZHJzL2Uyb0RvYy54bWxQSwECLQAUAAYACAAAACEAUe+qEuEAAAALAQAADwAAAAAAAAAAAAAA&#10;AACJBAAAZHJzL2Rvd25yZXYueG1sUEsFBgAAAAAEAAQA8wAAAJcFAAAAAA==&#10;" filled="f" stroked="f" strokeweight=".5pt">
                      <v:textbox inset="0,0,0,0">
                        <w:txbxContent>
                          <w:p w14:paraId="1A8217DB" w14:textId="36BCE384" w:rsidR="00B06983" w:rsidRPr="009B6177" w:rsidRDefault="00B06983" w:rsidP="000828A3">
                            <w:pPr>
                              <w:spacing w:after="0" w:line="240" w:lineRule="auto"/>
                              <w:rPr>
                                <w:rFonts w:asciiTheme="majorHAnsi" w:hAnsiTheme="majorHAnsi" w:cstheme="majorHAnsi"/>
                                <w:sz w:val="16"/>
                                <w:szCs w:val="16"/>
                                <w:lang w:val="lv-LV"/>
                              </w:rPr>
                            </w:pPr>
                            <w:r>
                              <w:rPr>
                                <w:rFonts w:asciiTheme="majorHAnsi" w:hAnsiTheme="majorHAnsi" w:cstheme="majorHAnsi"/>
                                <w:sz w:val="16"/>
                                <w:szCs w:val="16"/>
                                <w:lang w:val="lv-LV"/>
                              </w:rPr>
                              <w:t>Cikliskums</w:t>
                            </w:r>
                          </w:p>
                        </w:txbxContent>
                      </v:textbox>
                    </v:shape>
                  </w:pict>
                </mc:Fallback>
              </mc:AlternateContent>
            </w:r>
            <w:r>
              <w:rPr>
                <w:noProof/>
                <w14:ligatures w14:val="standardContextual"/>
              </w:rPr>
              <mc:AlternateContent>
                <mc:Choice Requires="wps">
                  <w:drawing>
                    <wp:anchor distT="0" distB="0" distL="114300" distR="114300" simplePos="0" relativeHeight="251658244" behindDoc="0" locked="0" layoutInCell="1" allowOverlap="1" wp14:anchorId="072E49F3" wp14:editId="4D1802BD">
                      <wp:simplePos x="0" y="0"/>
                      <wp:positionH relativeFrom="column">
                        <wp:posOffset>2565400</wp:posOffset>
                      </wp:positionH>
                      <wp:positionV relativeFrom="paragraph">
                        <wp:posOffset>132410</wp:posOffset>
                      </wp:positionV>
                      <wp:extent cx="565719" cy="167570"/>
                      <wp:effectExtent l="0" t="0" r="6350" b="4445"/>
                      <wp:wrapNone/>
                      <wp:docPr id="23837288" name="Text Box 2"/>
                      <wp:cNvGraphicFramePr/>
                      <a:graphic xmlns:a="http://schemas.openxmlformats.org/drawingml/2006/main">
                        <a:graphicData uri="http://schemas.microsoft.com/office/word/2010/wordprocessingShape">
                          <wps:wsp>
                            <wps:cNvSpPr txBox="1"/>
                            <wps:spPr>
                              <a:xfrm>
                                <a:off x="0" y="0"/>
                                <a:ext cx="565719" cy="167570"/>
                              </a:xfrm>
                              <a:prstGeom prst="rect">
                                <a:avLst/>
                              </a:prstGeom>
                              <a:noFill/>
                              <a:ln w="6350">
                                <a:noFill/>
                              </a:ln>
                            </wps:spPr>
                            <wps:txbx>
                              <w:txbxContent>
                                <w:p w14:paraId="692E011C" w14:textId="77777777" w:rsidR="00B06983" w:rsidRPr="009B6177" w:rsidRDefault="00B06983" w:rsidP="000828A3">
                                  <w:pPr>
                                    <w:spacing w:after="0" w:line="240" w:lineRule="auto"/>
                                    <w:rPr>
                                      <w:rFonts w:asciiTheme="majorHAnsi" w:hAnsiTheme="majorHAnsi" w:cstheme="majorHAnsi"/>
                                      <w:sz w:val="16"/>
                                      <w:szCs w:val="16"/>
                                      <w:lang w:val="lv-LV"/>
                                    </w:rPr>
                                  </w:pPr>
                                  <w:r>
                                    <w:rPr>
                                      <w:rFonts w:asciiTheme="majorHAnsi" w:hAnsiTheme="majorHAnsi" w:cstheme="majorHAnsi"/>
                                      <w:sz w:val="16"/>
                                      <w:szCs w:val="16"/>
                                      <w:lang w:val="lv-LV"/>
                                    </w:rPr>
                                    <w:t>H2 un P2X</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072E49F3" id="_x0000_s1047" type="#_x0000_t202" style="position:absolute;left:0;text-align:left;margin-left:202pt;margin-top:10.45pt;width:44.55pt;height:13.2pt;z-index:2516582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5BQLgIAAFEEAAAOAAAAZHJzL2Uyb0RvYy54bWysVE1v2zAMvQ/YfxB0X5wPJOmMOEXWIsOA&#10;oC2QDD0rspQYsESNUmJnv36UHKdDt9Owi0yRFMX3HuXFfWtqdlboK7AFHw2GnCkroazsoeDfd+tP&#10;d5z5IGwparCq4Bfl+f3y44dF43I1hiPUpUJGRazPG1fwYwguzzIvj8oIPwCnLAU1oBGBtnjIShQN&#10;VTd1Nh4OZ1kDWDoEqbwn72MX5MtUX2slw7PWXgVWF5x6C2nFtO7jmi0XIj+gcMdKXtsQ/9CFEZWl&#10;S2+lHkUQ7ITVH6VMJRE86DCQYDLQupIqYSA0o+E7NNujcCphIXK8u9Hk/19Z+XR+QVaVBR9P7ibz&#10;8R3pZYUhpXaqDewLtGwcSWqczyl36yg7tOQmsXu/J2fE3mo08UuoGMWJ7suN4lhMknM6m85HnzmT&#10;FBrN5tN5kiB7O+zQh68KDItGwZEUTMSK88YHaoRS+5R4l4V1VddJxdqypuCzyXSYDtwidKK2dDBC&#10;6FqNVmj3bYf7hmMP5YXgIXRT4p1cV9TERvjwIpDGghDRqIdnWnQNdBlcLc6OgD//5o/5pBZFOWto&#10;zAruf5wEKs7qb5Z0jDPZG9gb+96wJ/MANLkjekROJpMOYKh7UyOYV3oBq3gLhYSVdFfBZcB+8xC6&#10;cac3JNVqldJo9pwIG7t1MhaPREZSd+2rQHdlPpBkT9CPoMjfCdDldhKsTgF0ldSJ1HY8XhmnuU2i&#10;Xd9YfBi/71PW259g+QsAAP//AwBQSwMEFAAGAAgAAAAhAG7PF7zhAAAACQEAAA8AAABkcnMvZG93&#10;bnJldi54bWxMj8FOwzAQRO9I/IO1SNyonTYCGuJUCIlSkECi5QPceJukiddR7Kbh71lOcJvVjGbf&#10;5KvJdWLEITSeNCQzBQKp9LahSsPX7vnmHkSIhqzpPKGGbwywKi4vcpNZf6ZPHLexElxCITMa6hj7&#10;TMpQ1uhMmPkeib2DH5yJfA6VtIM5c7nr5FypW+lMQ/yhNj0+1Vi225PTsG4Oye5jbKu+bl9f1m+b&#10;9+PmGLW+vpoeH0BEnOJfGH7xGR0KZtr7E9kgOg2pSnlL1DBXSxAcSJeLBMSexd0CZJHL/wuKHwAA&#10;AP//AwBQSwECLQAUAAYACAAAACEAtoM4kv4AAADhAQAAEwAAAAAAAAAAAAAAAAAAAAAAW0NvbnRl&#10;bnRfVHlwZXNdLnhtbFBLAQItABQABgAIAAAAIQA4/SH/1gAAAJQBAAALAAAAAAAAAAAAAAAAAC8B&#10;AABfcmVscy8ucmVsc1BLAQItABQABgAIAAAAIQChT5BQLgIAAFEEAAAOAAAAAAAAAAAAAAAAAC4C&#10;AABkcnMvZTJvRG9jLnhtbFBLAQItABQABgAIAAAAIQBuzxe84QAAAAkBAAAPAAAAAAAAAAAAAAAA&#10;AIgEAABkcnMvZG93bnJldi54bWxQSwUGAAAAAAQABADzAAAAlgUAAAAA&#10;" filled="f" stroked="f" strokeweight=".5pt">
                      <v:textbox inset="0,0,0,0">
                        <w:txbxContent>
                          <w:p w14:paraId="692E011C" w14:textId="77777777" w:rsidR="00B06983" w:rsidRPr="009B6177" w:rsidRDefault="00B06983" w:rsidP="000828A3">
                            <w:pPr>
                              <w:spacing w:after="0" w:line="240" w:lineRule="auto"/>
                              <w:rPr>
                                <w:rFonts w:asciiTheme="majorHAnsi" w:hAnsiTheme="majorHAnsi" w:cstheme="majorHAnsi"/>
                                <w:sz w:val="16"/>
                                <w:szCs w:val="16"/>
                                <w:lang w:val="lv-LV"/>
                              </w:rPr>
                            </w:pPr>
                            <w:r>
                              <w:rPr>
                                <w:rFonts w:asciiTheme="majorHAnsi" w:hAnsiTheme="majorHAnsi" w:cstheme="majorHAnsi"/>
                                <w:sz w:val="16"/>
                                <w:szCs w:val="16"/>
                                <w:lang w:val="lv-LV"/>
                              </w:rPr>
                              <w:t>H2 un P2X</w:t>
                            </w:r>
                          </w:p>
                        </w:txbxContent>
                      </v:textbox>
                    </v:shape>
                  </w:pict>
                </mc:Fallback>
              </mc:AlternateContent>
            </w:r>
            <w:r w:rsidR="00262896">
              <w:rPr>
                <w:rFonts w:ascii="Calibri Light" w:hAnsi="Calibri Light" w:cs="Calibri Light"/>
                <w:noProof/>
                <w:sz w:val="16"/>
                <w:szCs w:val="16"/>
                <w14:ligatures w14:val="standardContextual"/>
              </w:rPr>
              <mc:AlternateContent>
                <mc:Choice Requires="wpg">
                  <w:drawing>
                    <wp:anchor distT="0" distB="0" distL="114300" distR="114300" simplePos="0" relativeHeight="251658243" behindDoc="0" locked="0" layoutInCell="1" allowOverlap="1" wp14:anchorId="0CA576A0" wp14:editId="43F93424">
                      <wp:simplePos x="0" y="0"/>
                      <wp:positionH relativeFrom="column">
                        <wp:posOffset>2460422</wp:posOffset>
                      </wp:positionH>
                      <wp:positionV relativeFrom="paragraph">
                        <wp:posOffset>2626792</wp:posOffset>
                      </wp:positionV>
                      <wp:extent cx="3198231" cy="965606"/>
                      <wp:effectExtent l="0" t="0" r="2540" b="6350"/>
                      <wp:wrapNone/>
                      <wp:docPr id="1791874040" name="Group 3"/>
                      <wp:cNvGraphicFramePr/>
                      <a:graphic xmlns:a="http://schemas.openxmlformats.org/drawingml/2006/main">
                        <a:graphicData uri="http://schemas.microsoft.com/office/word/2010/wordprocessingGroup">
                          <wpg:wgp>
                            <wpg:cNvGrpSpPr/>
                            <wpg:grpSpPr>
                              <a:xfrm>
                                <a:off x="0" y="0"/>
                                <a:ext cx="3198231" cy="965606"/>
                                <a:chOff x="0" y="0"/>
                                <a:chExt cx="3198231" cy="965606"/>
                              </a:xfrm>
                            </wpg:grpSpPr>
                            <pic:pic xmlns:pic="http://schemas.openxmlformats.org/drawingml/2006/picture">
                              <pic:nvPicPr>
                                <pic:cNvPr id="1688675040" name="Picture 1"/>
                                <pic:cNvPicPr>
                                  <a:picLocks noChangeAspect="1"/>
                                </pic:cNvPicPr>
                              </pic:nvPicPr>
                              <pic:blipFill rotWithShape="1">
                                <a:blip r:embed="rId15">
                                  <a:extLst>
                                    <a:ext uri="{28A0092B-C50C-407E-A947-70E740481C1C}">
                                      <a14:useLocalDpi xmlns:a14="http://schemas.microsoft.com/office/drawing/2010/main" val="0"/>
                                    </a:ext>
                                  </a:extLst>
                                </a:blip>
                                <a:srcRect l="1064" t="11494" r="1240" b="17240"/>
                                <a:stretch/>
                              </pic:blipFill>
                              <pic:spPr bwMode="auto">
                                <a:xfrm>
                                  <a:off x="621792" y="314553"/>
                                  <a:ext cx="1979930" cy="11112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62727642" name="Picture 1"/>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607161" y="746150"/>
                                  <a:ext cx="2004695" cy="137160"/>
                                </a:xfrm>
                                <a:prstGeom prst="rect">
                                  <a:avLst/>
                                </a:prstGeom>
                              </pic:spPr>
                            </pic:pic>
                            <wps:wsp>
                              <wps:cNvPr id="762558733" name="Text Box 2"/>
                              <wps:cNvSpPr txBox="1"/>
                              <wps:spPr>
                                <a:xfrm>
                                  <a:off x="2601721" y="299922"/>
                                  <a:ext cx="596510" cy="234087"/>
                                </a:xfrm>
                                <a:prstGeom prst="rect">
                                  <a:avLst/>
                                </a:prstGeom>
                                <a:noFill/>
                                <a:ln w="6350">
                                  <a:noFill/>
                                </a:ln>
                              </wps:spPr>
                              <wps:txbx>
                                <w:txbxContent>
                                  <w:p w14:paraId="24ED736E" w14:textId="77777777" w:rsidR="00B06983" w:rsidRPr="009B6177" w:rsidRDefault="00B06983" w:rsidP="00262896">
                                    <w:pPr>
                                      <w:jc w:val="center"/>
                                      <w:rPr>
                                        <w:rFonts w:asciiTheme="majorHAnsi" w:hAnsiTheme="majorHAnsi" w:cstheme="majorHAnsi"/>
                                        <w:sz w:val="16"/>
                                        <w:szCs w:val="16"/>
                                        <w:lang w:val="lv-LV"/>
                                      </w:rPr>
                                    </w:pPr>
                                    <w:r>
                                      <w:rPr>
                                        <w:rFonts w:asciiTheme="majorHAnsi" w:hAnsiTheme="majorHAnsi" w:cstheme="majorHAnsi"/>
                                        <w:sz w:val="16"/>
                                        <w:szCs w:val="16"/>
                                        <w:lang w:val="lv-LV"/>
                                      </w:rPr>
                                      <w:t>ļ</w:t>
                                    </w:r>
                                    <w:r w:rsidRPr="009B6177">
                                      <w:rPr>
                                        <w:rFonts w:asciiTheme="majorHAnsi" w:hAnsiTheme="majorHAnsi" w:cstheme="majorHAnsi"/>
                                        <w:sz w:val="16"/>
                                        <w:szCs w:val="16"/>
                                        <w:lang w:val="lv-LV"/>
                                      </w:rPr>
                                      <w:t>oti augsts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393928725" name="Text Box 2"/>
                              <wps:cNvSpPr txBox="1"/>
                              <wps:spPr>
                                <a:xfrm>
                                  <a:off x="0" y="314553"/>
                                  <a:ext cx="565785" cy="167640"/>
                                </a:xfrm>
                                <a:prstGeom prst="rect">
                                  <a:avLst/>
                                </a:prstGeom>
                                <a:noFill/>
                                <a:ln w="6350">
                                  <a:noFill/>
                                </a:ln>
                              </wps:spPr>
                              <wps:txbx>
                                <w:txbxContent>
                                  <w:p w14:paraId="4471F7C9" w14:textId="77777777" w:rsidR="00B06983" w:rsidRPr="009B6177" w:rsidRDefault="00B06983" w:rsidP="00262896">
                                    <w:pPr>
                                      <w:jc w:val="center"/>
                                      <w:rPr>
                                        <w:rFonts w:asciiTheme="majorHAnsi" w:hAnsiTheme="majorHAnsi" w:cstheme="majorHAnsi"/>
                                        <w:sz w:val="16"/>
                                        <w:szCs w:val="16"/>
                                        <w:lang w:val="lv-LV"/>
                                      </w:rPr>
                                    </w:pPr>
                                    <w:r>
                                      <w:rPr>
                                        <w:rFonts w:asciiTheme="majorHAnsi" w:hAnsiTheme="majorHAnsi" w:cstheme="majorHAnsi"/>
                                        <w:sz w:val="16"/>
                                        <w:szCs w:val="16"/>
                                        <w:lang w:val="lv-LV"/>
                                      </w:rPr>
                                      <w:t>ļ</w:t>
                                    </w:r>
                                    <w:r w:rsidRPr="009B6177">
                                      <w:rPr>
                                        <w:rFonts w:asciiTheme="majorHAnsi" w:hAnsiTheme="majorHAnsi" w:cstheme="majorHAnsi"/>
                                        <w:sz w:val="16"/>
                                        <w:szCs w:val="16"/>
                                        <w:lang w:val="lv-LV"/>
                                      </w:rPr>
                                      <w:t xml:space="preserve">oti </w:t>
                                    </w:r>
                                    <w:r>
                                      <w:rPr>
                                        <w:rFonts w:asciiTheme="majorHAnsi" w:hAnsiTheme="majorHAnsi" w:cstheme="majorHAnsi"/>
                                        <w:sz w:val="16"/>
                                        <w:szCs w:val="16"/>
                                        <w:lang w:val="lv-LV"/>
                                      </w:rPr>
                                      <w:t>zems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743381353" name="Text Box 2"/>
                              <wps:cNvSpPr txBox="1"/>
                              <wps:spPr>
                                <a:xfrm>
                                  <a:off x="636422" y="0"/>
                                  <a:ext cx="1972310" cy="270510"/>
                                </a:xfrm>
                                <a:prstGeom prst="rect">
                                  <a:avLst/>
                                </a:prstGeom>
                                <a:noFill/>
                                <a:ln w="6350">
                                  <a:noFill/>
                                </a:ln>
                              </wps:spPr>
                              <wps:txbx>
                                <w:txbxContent>
                                  <w:p w14:paraId="633BB608" w14:textId="77777777" w:rsidR="00B06983" w:rsidRPr="009B6177" w:rsidRDefault="00B06983" w:rsidP="00262896">
                                    <w:pPr>
                                      <w:rPr>
                                        <w:rFonts w:asciiTheme="majorHAnsi" w:hAnsiTheme="majorHAnsi" w:cstheme="majorHAnsi"/>
                                        <w:sz w:val="16"/>
                                        <w:szCs w:val="16"/>
                                        <w:lang w:val="lv-LV"/>
                                      </w:rPr>
                                    </w:pPr>
                                    <w:r>
                                      <w:rPr>
                                        <w:rFonts w:asciiTheme="majorHAnsi" w:hAnsiTheme="majorHAnsi" w:cstheme="majorHAnsi"/>
                                        <w:sz w:val="16"/>
                                        <w:szCs w:val="16"/>
                                        <w:lang w:val="lv-LV"/>
                                      </w:rPr>
                                      <w:t>Kritiskās nenoteiktības:</w:t>
                                    </w:r>
                                    <w:r>
                                      <w:rPr>
                                        <w:rFonts w:asciiTheme="majorHAnsi" w:hAnsiTheme="majorHAnsi" w:cstheme="majorHAnsi"/>
                                        <w:sz w:val="16"/>
                                        <w:szCs w:val="16"/>
                                        <w:lang w:val="lv-LV"/>
                                      </w:rPr>
                                      <w:br/>
                                      <w:t>kas nosaka …</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458305809" name="Text Box 2"/>
                              <wps:cNvSpPr txBox="1"/>
                              <wps:spPr>
                                <a:xfrm>
                                  <a:off x="636422" y="438912"/>
                                  <a:ext cx="1972310" cy="270510"/>
                                </a:xfrm>
                                <a:prstGeom prst="rect">
                                  <a:avLst/>
                                </a:prstGeom>
                                <a:noFill/>
                                <a:ln w="6350">
                                  <a:noFill/>
                                </a:ln>
                              </wps:spPr>
                              <wps:txbx>
                                <w:txbxContent>
                                  <w:p w14:paraId="04C32CD9" w14:textId="77777777" w:rsidR="00B06983" w:rsidRPr="009B6177" w:rsidRDefault="00B06983" w:rsidP="00262896">
                                    <w:pPr>
                                      <w:rPr>
                                        <w:rFonts w:asciiTheme="majorHAnsi" w:hAnsiTheme="majorHAnsi" w:cstheme="majorHAnsi"/>
                                        <w:sz w:val="16"/>
                                        <w:szCs w:val="16"/>
                                        <w:lang w:val="lv-LV"/>
                                      </w:rPr>
                                    </w:pPr>
                                    <w:r>
                                      <w:rPr>
                                        <w:rFonts w:asciiTheme="majorHAnsi" w:hAnsiTheme="majorHAnsi" w:cstheme="majorHAnsi"/>
                                        <w:sz w:val="16"/>
                                        <w:szCs w:val="16"/>
                                        <w:lang w:val="lv-LV"/>
                                      </w:rPr>
                                      <w:t>Darbības prioritātes:</w:t>
                                    </w:r>
                                    <w:r>
                                      <w:rPr>
                                        <w:rFonts w:asciiTheme="majorHAnsi" w:hAnsiTheme="majorHAnsi" w:cstheme="majorHAnsi"/>
                                        <w:sz w:val="16"/>
                                        <w:szCs w:val="16"/>
                                        <w:lang w:val="lv-LV"/>
                                      </w:rPr>
                                      <w:br/>
                                      <w:t>kas nosaka …</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46061520" name="Text Box 2"/>
                              <wps:cNvSpPr txBox="1"/>
                              <wps:spPr>
                                <a:xfrm>
                                  <a:off x="0" y="731520"/>
                                  <a:ext cx="565785" cy="167640"/>
                                </a:xfrm>
                                <a:prstGeom prst="rect">
                                  <a:avLst/>
                                </a:prstGeom>
                                <a:noFill/>
                                <a:ln w="6350">
                                  <a:noFill/>
                                </a:ln>
                              </wps:spPr>
                              <wps:txbx>
                                <w:txbxContent>
                                  <w:p w14:paraId="4E9C2F70" w14:textId="77777777" w:rsidR="00B06983" w:rsidRPr="009B6177" w:rsidRDefault="00B06983" w:rsidP="00262896">
                                    <w:pPr>
                                      <w:jc w:val="center"/>
                                      <w:rPr>
                                        <w:rFonts w:asciiTheme="majorHAnsi" w:hAnsiTheme="majorHAnsi" w:cstheme="majorHAnsi"/>
                                        <w:sz w:val="16"/>
                                        <w:szCs w:val="16"/>
                                        <w:lang w:val="lv-LV"/>
                                      </w:rPr>
                                    </w:pPr>
                                    <w:r>
                                      <w:rPr>
                                        <w:rFonts w:asciiTheme="majorHAnsi" w:hAnsiTheme="majorHAnsi" w:cstheme="majorHAnsi"/>
                                        <w:sz w:val="16"/>
                                        <w:szCs w:val="16"/>
                                        <w:lang w:val="lv-LV"/>
                                      </w:rPr>
                                      <w:t>ļ</w:t>
                                    </w:r>
                                    <w:r w:rsidRPr="009B6177">
                                      <w:rPr>
                                        <w:rFonts w:asciiTheme="majorHAnsi" w:hAnsiTheme="majorHAnsi" w:cstheme="majorHAnsi"/>
                                        <w:sz w:val="16"/>
                                        <w:szCs w:val="16"/>
                                        <w:lang w:val="lv-LV"/>
                                      </w:rPr>
                                      <w:t xml:space="preserve">oti </w:t>
                                    </w:r>
                                    <w:r>
                                      <w:rPr>
                                        <w:rFonts w:asciiTheme="majorHAnsi" w:hAnsiTheme="majorHAnsi" w:cstheme="majorHAnsi"/>
                                        <w:sz w:val="16"/>
                                        <w:szCs w:val="16"/>
                                        <w:lang w:val="lv-LV"/>
                                      </w:rPr>
                                      <w:t>zems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388363810" name="Text Box 2"/>
                              <wps:cNvSpPr txBox="1"/>
                              <wps:spPr>
                                <a:xfrm>
                                  <a:off x="2601721" y="731519"/>
                                  <a:ext cx="596510" cy="234087"/>
                                </a:xfrm>
                                <a:prstGeom prst="rect">
                                  <a:avLst/>
                                </a:prstGeom>
                                <a:noFill/>
                                <a:ln w="6350">
                                  <a:noFill/>
                                </a:ln>
                              </wps:spPr>
                              <wps:txbx>
                                <w:txbxContent>
                                  <w:p w14:paraId="58D4B4C7" w14:textId="77777777" w:rsidR="00B06983" w:rsidRPr="009B6177" w:rsidRDefault="00B06983" w:rsidP="00262896">
                                    <w:pPr>
                                      <w:jc w:val="center"/>
                                      <w:rPr>
                                        <w:rFonts w:asciiTheme="majorHAnsi" w:hAnsiTheme="majorHAnsi" w:cstheme="majorHAnsi"/>
                                        <w:sz w:val="16"/>
                                        <w:szCs w:val="16"/>
                                        <w:lang w:val="lv-LV"/>
                                      </w:rPr>
                                    </w:pPr>
                                    <w:r>
                                      <w:rPr>
                                        <w:rFonts w:asciiTheme="majorHAnsi" w:hAnsiTheme="majorHAnsi" w:cstheme="majorHAnsi"/>
                                        <w:sz w:val="16"/>
                                        <w:szCs w:val="16"/>
                                        <w:lang w:val="lv-LV"/>
                                      </w:rPr>
                                      <w:t>ļ</w:t>
                                    </w:r>
                                    <w:r w:rsidRPr="009B6177">
                                      <w:rPr>
                                        <w:rFonts w:asciiTheme="majorHAnsi" w:hAnsiTheme="majorHAnsi" w:cstheme="majorHAnsi"/>
                                        <w:sz w:val="16"/>
                                        <w:szCs w:val="16"/>
                                        <w:lang w:val="lv-LV"/>
                                      </w:rPr>
                                      <w:t>oti augsts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CA576A0" id="Group 3" o:spid="_x0000_s1048" style="position:absolute;left:0;text-align:left;margin-left:193.75pt;margin-top:206.85pt;width:251.85pt;height:76.05pt;z-index:251658243;mso-width-relative:margin;mso-height-relative:margin" coordsize="31982,96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t/AQgQUAAKcaAAAOAAAAZHJzL2Uyb0RvYy54bWzsWW1v2zYQ/j5g/0HQ&#10;d9ei3mXUKRwnLQpkbbB26GdaliyhkqhRdOxs2H/fc6TkuLa3dU1SNEACROY7j3fPPXeUXr7a1pV1&#10;k8muFM3UZi8c28qaVCzLZjW1f/v4ehTbVqd4s+SVaLKpfZt19quzn396uWknmSsKUS0zaWGRppts&#10;2qldKNVOxuMuLbKady9EmzXozIWsuUJVrsZLyTdYva7GruOE442Qy1aKNOs6tF6YTvtMr5/nWare&#10;53mXKaua2pBN6afUzwU9x2cv+WQleVuUaS8G/wYpal422HS31AVX3FrL8mipukyl6ESuXqSiHos8&#10;L9NMnwGnYc7Bad5IsW71WVaTzardqQmqPdDTNy+bvru5lla5hO2ihMWR7/hQU8Nr2Epvb3mko027&#10;mmDoG9l+aK9l37AyNTr2Npc1/eJA1lZr93an3WyrrBSNHkti12O2laIvCYPQCY360wI2OpqWFpf/&#10;PnE8bDsm6XbCtGU6wX+vLJSOlPXfoMIstZaZ3S9Sf9UaNZef1+0Idm25KhdlVapbjVFYkIRqbq7L&#10;9Fqayp7ewzgOo2BP7xhGu1uM1EMzabCZyuloVyL93FmNmBe8WWWzrgXKYT8aPf5yuK5+se+iKtvX&#10;ZVVZUqhPpSo+FLyFqZkGL3X2R4aLHEDshNYMfC9Euq6zRhl/lFmF04umK8q2sy05yepFBnjJt0uz&#10;CeBw1SkCCwFD+8ifbjxznMQ9H80DZz7ynehyNEv8aBQ5l4TImM3Z/C8SkfmTdZdBAby6aMteVrQe&#10;SXvSIXrqMK6mXda64ZoYSHVaoOFXi4gmUgnJ2sn0V6iZaIQ5oa+ZhDE/QQmqYi55DQiFRVTCapih&#10;ZKbSYjDKoHhj0Q5eZC02v4gllM/XSmj9H3hR6MInXduCu3jMDwLtiUZt5E8siZLEw77kTwx/bqAh&#10;MLgFsCI79SYTtUUFmAAH0PvwGxzPHHkYQhJXDT0bQfgwvabllMUCL/RhsXA0m11EI9+/iEfn5yjN&#10;55eJ77HQDy53FusKvhSb94suBaqX9zeakQ1SfWksgj7ptfcCVI2uUej3ROkIKCdgfRBhMOv7kUEQ&#10;upEbhT7Mbkj4+juQAZn9kX3f1cA7haQn4PvGk0lLOVyDeMBAsHfxHnDHHk4zDn3aiViIGAiXjfyQ&#10;BT1ZEBWSTyOl8cMk6H3aw1g9YBfq/qdPa/4/9IlNi1SrG4getSOfOEmelGidSlJ0BIF1adm7qBaF&#10;bhDEkecNOP5IRzwXW8slkuoHUzJhqS2awWBDu5H3SHNu6IBdjercJElcvdAdHQZIKVjPhq7nO3F0&#10;Pzbc8SARo7WZ2qEHa51iSOQfXc88VFLbxVZnVEZCalqI5S1Oipirc6OuTV+XoOQr3qlrLpFwQm4k&#10;0eo9HnklsJnoS7ZVCPnHqXYaD8uh17Y2SGCndvf7mlPSUr1tYFMsqYaCHAqLodCs67mgYIb0vE11&#10;EROkqoZiLkX9CSaf0S7o4k2KvaZ2quRQmSvU0YXsPM1mM1022c9V86EF1ZqATyHm4/YTl20fhxSg&#10;8E4MuOGTg3BkxhpFzxAa81K7250e4W9UAYYNkB4dzF7iJW4cIb72pHxvMENr/xDVgzCI4oEAQkSC&#10;exHAXjj/dhj3N4BnGD9xGLPI97yYeUgkHwrHIdJA0ByB+SCSITvFZQ84p+zUjRziZhM1h4g4pJ5f&#10;mZ0+AB/7Q4h55uMnzce4DMWeE8RO8hhA9r04YQfJxY+IZn3bu4uKz9mFueU+uezCx4swFrigSnPj&#10;e6DkIvL0ouDcvRz5x0su9DvAZxQ/+RyZeXHshUgvHg7H+zc+QjNLKH7vofnHu/HpO+czmh8Tzfpt&#10;P76G6Jd//Zcb+tyyX9c3xLvvS2d/Aw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wQU&#10;AAYACAAAACEAdu3e9uMAAAALAQAADwAAAGRycy9kb3ducmV2LnhtbEyPwU7DMBBE70j8g7VI3Kjj&#10;hrQhxKmqCjhVSLRIVW9uvE2ixusodpP07zEnOK7maeZtvppMywbsXWNJgphFwJBKqxuqJHzv359S&#10;YM4r0qq1hBJu6GBV3N/lKtN2pC8cdr5ioYRcpiTU3ncZ566s0Sg3sx1SyM62N8qHs6+47tUYyk3L&#10;51G04EY1FBZq1eGmxvKyuxoJH6Ma17F4G7aX8+Z23Cefh61AKR8fpvUrMI+T/4PhVz+oQxGcTvZK&#10;2rFWQpwuk4BKeBbxElgg0hcxB3aSkCySFHiR8/8/FD8AAAD//wMAUEsDBAoAAAAAAAAAIQCDq/PF&#10;rRUAAK0VAAAUAAAAZHJzL21lZGlhL2ltYWdlMS5wbmeJUE5HDQoaCgAAAA1JSERSAAABeAAAAB0I&#10;AgAAAC+x4KwAAAABc1JHQgCuzhzpAAAVZ0lEQVR4Xu1da48cx3Wd7pnZBymJtEwylEjRVuIIDkAh&#10;MYIgCJIvQWDEQPI3gnwK8v/8xYb8wbGNBBBgkno4oGIIYWxR5kom1/uY7s455956dHfNY3cpiYan&#10;Vdydna6uuvfcR92qutWq2ratqmryIl1d171I5JCWLwiiIqfW12oQVtODZ2OFtusWi6Y7PZi2k+rS&#10;1+qq/iKwLdHToNeu2kV/JyeHzeHj2Xxvun+1rncg3a5dNIef1Lh2rtX1tKrPoIHLkDmrjJ6vmq3t&#10;/fl2t1qItB/8a0+b333aNEfV/vV69/IUWjE5A86xixWsGVNt1XQTyLmuuq6uFhX7nuFOB7sJrVQX&#10;czTkJjSFnjZjI7qRYnXQZxWqUA/4jK94N90CJWMPhWfP6rYSOBlHm7G2sq8ksIyi5cQtuWNorCEn&#10;74DK0NV11U66qoEu9LFEQ2PXU0QyyjcXemwsSd8dJTQDzUD10G0HLWHPdc1nJZIK9DRQ/LqaThb4&#10;UzxRWceiHo07yzDrgTIePTdrp+mDi76KEF3EXRfhLSC5cR/RBiMyAJrIdxO6l1kHpuoJwd9QjQv2&#10;VvyKzoTSNGgxXEA7G1kuxDuFWNEnVQCC7jvaoghXEIf64MGu6YiNtQpR7u68vh9DdkTcaSKDZ3Q0&#10;0evDO5cEs9ptrRJkaWQotLaO/SXueagIxWqmBPkF3YDgBlcBSVWzNlffTdHfOka8Zkcz4CV8xo5G&#10;Q+NZBwtvLQcB5Iyd7IBx6nMuJnVddn8be4FxxbEUsjoJ56U99BUp2WCCiTSbWHF3FXZVKcJdK7hM&#10;XuqDwGa9VBRoM5m29HEQqhwNIhqrijFPXmMQAuDPsSJGCOLgVlaRzA3FR2KD6HfoF9Q7ujOie1oy&#10;Qn1sSKsHirMqBtq3kjMrAJcrwEqsio+htbPa0Fjvc3cfeymaxxiiZYIbiCavtiaiOSvQ6+qfA6LY&#10;ZHSORYjGQ2NRvhuH6us4Cfe/iIhmWaBaZHxsjJuSXqpn+kBfY2NzN1nAFeJzi0j2+AQDyHQ+h6NZ&#10;YBiht+/a4+Oni4aVMj/IEc+D4WB09lvuE74qaGRy/GHqw7sls2Twb+GzRdH5FRSa38bBDSNAn0G2&#10;UAr4l8cT0eUCgTA3y7sYAqi4Jnc0GleNb/0sdQWsZhtIrGsdNIaVqakIRGpagvDu4qc6dR6pCHFK&#10;fCCMw0FWTlZAMpFfdQhv1baqRh5tNpM0EvMafWVAIqjJwHA8+voRGwtt8GHGLFF9nKOqggZaa7D8&#10;MKql3hcWiodmigt4vFtYaWSDpidgvO86yYzu9h4ja31Bg6qhy45zwwSPZge9K5KZVgCMEtQDeoH3&#10;gfoT3eD+JMuMOj7iI3D4Vt2aDepuL/LrSUgAjUTCp3dSoJqkHT6BUhlMhl4iI8YDWhMET6dtB5ey&#10;vztHmIT4pcZC3MP3P3h6ePTtP/+Lqu1OK63cfP75wXvv3z8+PprT/cAX5R6ANGJGbWi6YvYxCpYJ&#10;FNGH/ITAHxtk+MYdYT9OA+eQvQSSDC+E1kGa4LztFOIChUDnaNGGz8fe6dIkDQomxOrSoXRZ5aIH&#10;4UJDuENHhRX0cjjmDdaOAdoLNqnFieSlJC8KUW4DvzmV9cvsWRiIbvQVuzMXobr4NKS/FmscNRIb&#10;5hoGV7ydXBOtMdBgYKKRzKyTj+D6ii6uBKg7sgZaTAnhu4x61UqEyCa4akj+uoojnCokH2KtsBF4&#10;00hxzyg1Acp0QxSYwhRFl/gmmUazV5cE+8acoxStVysPy/BL32cROj2JU93WcSSOM4PEUJ9NEIhb&#10;HkB5l+4uwoAdCKHCSECBFxsCsNplzmakG0S5FBt2sGYQC4r9rmljfhHvqGhdG2l2v8Z+EYtQsM/2&#10;vv763b+78+ZbiGbA9vS0/ejBu//1/gd/9ff/WJ2cnDx69AjS3tvd/fDD9/Yv7e3v78PR5J2ZL3C0&#10;2aA+2peBIpOivsYStFXoU6yoCV+GHQa6CzOKTBloW45T+tpbBh6BKgjk1IdgTf34SDIofJJgtELj&#10;Ik+Ewg1G2fcQNUqwhOWMJMFQhwZVK5p0TnnvPpe+0I/bRG8szd2KvF6LjSGKqW9ZOSq0P3kQ1Ax6&#10;hGa4VtKrxsjV+oLGRlwVV6rxcRdsOYJBRyPwg+CcIimvNecbYoI3aWQgQnYSENc+hFxKYsydpKph&#10;1dCNSPc9QA701yTGjaYHM/1Xhx00v8ia0xY7YsjuV2+S0lIk0dGgp1NfkQFu4QlIP7Tj+qQ/+5Yn&#10;SeQ+ODDgKqHW7BH3bvpsjjWCSs2M44cJsm8LnYjRI5lnt1ZNRh7BGML8AUitndSRIYH2p3JFARn7&#10;TUsRfh5c4yvowyyA0MDUNWbF4RxfBB0L1NJX0O0d1Fc/ufmd1773r9fe/ofT6Xw6qeZt85vHH/3w&#10;J/95880/qw4OfvvOOz+4c+fO7du3fvHfH7z88uXdvX2IyuOKgBb7M3YolYHq2Nfyphp+jQTO0vqW&#10;aM7I2tFIrSElaw1OCqGKIcA1a8fCW8kcDcdahypzNJoV4Xtzz8I3jqjoWvqn4YkfqHb9qERW3M2i&#10;4VVURDVTGtMwx8zEJkXpKwTHJxHjTcRI0DH1dq0a9CD3GQ6LW7wQk+voQcoeB2Zs/shQTbfoj0gG&#10;d7jtNin3BjMR+azBRkuSJ2cRmopGi2reS5SvydTW+0zA9ix1IUOJzoX8UkPiwBjcjZmBkwNtpo2a&#10;dwsARuPNRsEFQiP4amdLrE3jfJ2TssgfPTpuR+01fLSa4NCjI0g/GJ57De6YxRA4dIP93CwCjZim&#10;QC/cxdPmX2itCXuhykA1eJBGLIjToDCwwSSbIFbFmIwgTTXMQsyxYmLSRkeD5nurFtQcbv/1xjzX&#10;BDUY51/UYlO/fDrY2CyFNhvjcnuEhsUlg+6gvfKrN/7m2j//29W7322rum6xz7g4bT790U8fHJ7s&#10;1I+fHHx+uLh589YMO41NMzmd1pzIQ3izrp1TKZAPwYmAGFSBsnDss5Wc0UX0OO/nz/SMQYG5G3kF&#10;1SzWngdH4XONSiggEstHLOwIxUZb+4wvm0lrhXM8KiRIBMxWRKEKoVWJxLt4MTTX00k9Q+mwwapE&#10;DusXsa4VMTGnf+dgYIXWQQOAP6zqtpqi2NCiaRwuWxTw2TiSVsKWbVhQjHCZVSmUwVPouIGTyEo7&#10;nbRTSjJwXXcgeEpqNSpr31BEZyGiNNeKxyUW0sGJgQs8C5qtAj7Apkg/QmEr4KGeTLHdjN90xipS&#10;fwboEXw0Uk3mVoCPQaQ2NTdkFEnRyztHNx/9QJjfOA0gI5/9aeqkQswns7qaa43AsNI/+0VDtxJ9&#10;GrfOVZwS6SfG5rkKQLNiU3yBJ1WzGJs86U5kPMw+QAwowUIGyjwIFyBBZMQzK2JZhfppoiQm5FH4&#10;CG2ITxqv1SoLZFlwEXaf8kiFhGIoeIp9BQLwJxSVhsCkBeovpYTkhYVKM63b2byZzhZAxRHF3Qm+&#10;t9LSD6hUs6aaNvw5DwWOWhpCnfTS4hEr+GaK9tkF9pRoHcBhuoOFtGoGksh7VTXAncFKW81nr7x+&#10;4/Xq4Fn93r17L127tXvl1RMwjr12rnzY3MjKkmvN/eHtfOAN4ii3vK7jOKZkBCYRF6hWgKo+6QsG&#10;nYYnw3JS/35q17EwRZA/yhoyL2P2mBXpkw1TOVNjYkPFAiADGWjszUKQMRih9SExRVkKjgJ4fUas&#10;k9UsFFop81nsL2M8h9wFVmqoVw3+XHY2LjlZ1OuoAT1cl6hcsd/Qi8f3RSb1ZYH4yGYeu40ENtSX&#10;zEfnJsnnLOowffBgcCUKY3DxTdDekmSWszcU+FB34afgiWYYufZeu3a5aj6p3713//Ybt3d24J+O&#10;usmxggbz3AWF1vDmNtYLzpc6JL9xpsrLvRtjhtVdKaxIVWL4XXwqUtXzg6HqmOZYbUyGgqreRGZz&#10;los1i72P6dy8lzECig/KbiuvrC6GjioPZNcJf839i7DgTrCkFdorWNp1Fll6Hd9e2YyZknQ2e/KL&#10;qBWEuMY2Sl1fBPykPJ6J3ht92+7w888+XhwfXX7pytduvFrv7F+6ee3qrEaASMFoumO7Dyi9tbRz&#10;QJTFfh4EKqK2bnxeUPZnw0H0HJ2vf8QmujbNKF2BVE1MbV5QuhSb2tLncmYi4yFaXO5ONV+2kofy&#10;6/n56mo4koPl/83oidO9VeAFJDjULauXTXuW9Cx/GecSZZmbTqymZTPGLlaL5ucLBYWG8rnxhfvJ&#10;I6zzNAYyEafgP8zatJgwxR/T9vTpZ79uTo5m00tvf+ev6299649ffmlPMfRUhsJNGToBYn0xR1M2&#10;S3zrZumrAEsN+Dw8n+kZ0mFrluUrxdQrdThxtK73OMdeVTGPV9c1+KLct6Xf82W2aUnHy2p+1ln/&#10;kjnQsNFzU/qlok3rN9NYEqg8JzYu6mUAiuaRnIVpAueRZD3duXHrGzt7u5jXvnLlav3G7Vu7M3yG&#10;bwmboFynWT04f6mIbzvbIrBF4EVGwLwhHJ9W3bECrjMWNRLyXqnnWP8+bdqm/uY372BrqsbODCPG&#10;sMztbMlL8TrH7O9FRmZL2xaBLQLPDQFLJ0VQOmsXcDS2m8pDlR1We7XZV09rJM5wC4WFaw3KNMc+&#10;ri+k+ZSBqUPba4vAFoEtAgUEsI3NgAS768yTckdjyy9Kppg12L+nh1m5l1Pal9jCvUVgi8AWAUeA&#10;iaBYn0EKzxRZPAhKmFEzaZrT42fN6bOTxfFJgySepZfvzD8/OL+KqCgkwtv0z2aAq9YMSWNYHuu5&#10;2Ji/FhfPxh9WQpVzn/cSuwtPq12vHWSQ+kqZh2FrUFU3WtIbZAuF+XC25i0aIqU5hzlvRQhs42CT&#10;kpNrfWWqNhJOTOlKuV0pjy3tyuV3e4BsIq9ljJ5J9wew2bMX0fkVz56x2UGwkCg9YztL8LCtACjA&#10;grl/cDvKCV+c/s/DD598+vGP/+NHP3/woJ7aWQdlXaIGwh8mxdpWDBL5maEA/bRU7oI2h3RMrf5k&#10;B0mIMatbWiIbYU40G9T5APuQTKtpqwWKDMy3ZmJn+dZp+Jxys5gi6TvUGXlBXe29S57O6yntyVSx&#10;+r2ou4XlH+sYKU3Rd99FtprkjqhOnlkaafyoJ/KCzlIO8kDbnbi4yF5wIerBT7HgxIl23kOmLxPt&#10;VZAt3dRWeLJFuaeWLaASsrGXaXjWhe1ogJ1YlIzv8DglJID5o8IhFAPG9hmsMG+Vp2SygpStkPaa&#10;VEcZ9DonZL9ZooeKm0+cvfNAE0tMj2Uqr6UY8EPMbOUHZDfjZ1A20AN1XfCEIY/FsACkadtMmwY/&#10;dawEhcnuoej4G4vyz1WUfx7y0j3PHNi7PCwpQjKifcFAkA6LhU4V5TW36LHlW6c8Nd1usRC8sU7b&#10;gRg/FsPPSFpWci1lDhZogwgXJkr9xU/loEjb8BSZJb9+jJudQq+p2jh4aFl96tPFkwxFJyW8GPsG&#10;jgAUdPahRTELrWCqoYQUf6XOmzShE8iTQYsN1oLf/NO39ndnzdHvjnEw8eP/e3zrxqt4/smTxzhU&#10;+dLl6/uXcKiShynsQGc6HjE6KGHOxTy3XjeROUjLrvfDNaACwlZetbm07AoHgqS66WyoNSh3p5FX&#10;NsQcbJ1RQuV4JMmb01mFQE00BOm0crGAOB/hFmwggOcJPXjITu7HlxZ4R9IKNWhNGVVNh+RGOx2v&#10;uLEf/vDgmR/qSazauSFjM8fK7S6eJySZRJ/b5uqaf+h4kR2LytETLKgWD7b4XZ0SiZw4l/1DlTr9&#10;lU4/sfVwaiCRZwRDGG4hFg/qO7ngcPH9fTrEFK8gfdUL53f8hJ4dzok08xSuJO3iUK6LP0KxGWiW&#10;iaSu5V39kkKZg1QbcFI4maATBb2MMlbJxjZjQZcf2BADzAcxB5R2QACjxqAAfC4CP9+ikTQqtpxU&#10;6MCGcZ2iMpp1UiwoalTFcGg24gfAQ4P0JpbDxR8CxIKIwGDgi6/UJBkhTyUjWg3E9CB/kLrleoX3&#10;m4S7ybiMU/4Lp3cVjYTu0JuI4omVtj2sLv/q9l9e/6d/f+Xt77X1jnJHFke/+eU7P/159fVvVA9+&#10;+ejbb9yE6zo4eHzv/r29nSt7e3syeKkCEYwCKyWsJcT6joaPcZizKz/2JrOMb/0QeuGFGma09gRe&#10;K2vQRp3yCM2GwPQeHO/CxnUCp7jDpGInkXQpdVdoxuki3bzd47jqJ5Kn4Txrdu4PaASjDYrQNOEQ&#10;aW5v4a7ORMWz1v4tB11dIVgKtcWvHwQlZ0m+0ZgVlUmxBmGwJCR1CbZqwucg7AoRDYwKEWgx88wp&#10;8ANKhoedSo0O1F1t3zzyAFYvFumdJQ+TVvMphAMRih+DonMQyy4YY0qBjMkNELkbiq+uiO5egs48&#10;mkQrCxTjJBqnYf20ZGDQjCdzFTnvnjrKutRYjwEiNnwwx6rvaBxTubHguex0XezbuEtYOyVyfV5N&#10;4Wn/yui1YYYsmgsJjsa+C3yZdms41PG1jACaEwmIRBl5jhpFgwN3CAN0LDYZF1Zx6YsISNIcb1kK&#10;jkwYNHNKaUED5p/cvPvad//l+t2/xSEnvO4HO1BHBx9//wc/uf/rp9WjZ0d/tL8DOp4dPn348IPD&#10;Z8ezWXwJoJHmfWyQWtMTf+ZAJTxdUSEGqJb+DHbiDwZJmZJF5xyedCpDfJNQ9k9J8Plg6PLTKGDk&#10;+dtUfIiMqjNczBpEFgP6zcNK5OmiqKNWJJkHXPQaMNLAaDJQO6a1DFyM74bqmlfP7vVcTIZQGHQN&#10;Xv4o1Ixf9RsstZk1DcmUVwT5XNILCxl7U8whGDS3nIa8Y4stAqb5nR55fVrTX/HozUi/ep1EAYlu&#10;B21ARqaBA2QKVBXEllQlndFLXZXFoqNO5L+neEZt3kX+2YSsU55B4oF5Ofe+BuS4cKD25QVbc2jm&#10;l9/4k7vXbt855euDp/PJ8cmThz/88b3P9q5XT06bK8gY1tW2Jy0msat0tazmX8W3vx9UfhXIfAl9&#10;jsE3xV8nlODHyiSue/osjC2j8Cxt/EHUvSDoYWC3uSVSaXDmfjY74cS1ntdHJ08+eudn9+sbb1XH&#10;TTe3iS8XIMJYsO7s4h+ECLZMbhHYIrASgf7sWxEOFwa4Ist3X1Snp7/933fv/YJrNHjjTvRpmKHh&#10;vRgcmLaOZqthWwS2CGyEQPI2tjtpL3jli7G5CYRXBi+a+cv+f0GwBreOZiNgt5W2CGwRyBCInsbW&#10;qvVONr6cjDs53JvHq9Twcppsy3Ybzmz1Z4vAFoHzIzBaouabA+1lettZ0vlh3T65RWCLQB7a5DtU&#10;YfnFjk1e8H+Ju4V5i8AWgS0CRCDmGnmqQrYRjpSR/wdEMD0Vchh5rwAAAABJRU5ErkJgglBLAwQK&#10;AAAAAAAAACEAj4T7HG0QAABtEAAAFAAAAGRycy9tZWRpYS9pbWFnZTIucG5niVBORw0KGgoAAAAN&#10;SUhEUgAAAW0AAAAZCAIAAAB1p+gWAAAAAXNSR0IArs4c6QAAECdJREFUeF7tXeuPHEcR35m9V5zY&#10;pwjEQyQhdh4SZ8TXxEmEFMH/HfE1IIsvhOCgAIEPgOxDOR93tm9nhqpfVVdXP+ZxuTjI9k72zO5s&#10;P6p+VfXr6p7upRmGYZVffMffb5oGReTf6tWvVv2wKpvKCzdFI7HW0K5W9Jq9hlVD3Q1lU0VNEtga&#10;nBF+vNdmYMH0ClDYjTGVtbsMXlRnrIrudmbVXl4AnRJK+C+5chC8eD0X9upkH9UDJnCckLDArSxL&#10;XXfseHNe1KwIq0yKKqTrWY8NXj3ldZX4KP1MA2QUgFqUVQrDbPMXKT9thTG0TYxqgdxXh27V0t+q&#10;GdqmCMyG7NTQiwTp2n5our5XkohYqEVThaatQlU4tucwqCIgtejfhTxChUk7Kr/EpaVxKknyj10i&#10;/Bg1eDKyMtZ11YOnu7s6j8zinGkkYhO8JWL+zmyz0k7ZyJKKFVYq7CFWmG2t5Fzx2EyXhTwy7bNi&#10;/VmVl7jiXHDkun9bbS7pt1qGo4yHoxXxiAkTkgxKG5qWRthNv/nPP//d9H039Pzvo0fnXd/pgNnw&#10;yECXhVczrCfH/56oK5NFek7yGjZIMSTGYtT5Wr1oyuvqnOVadkFOtCmuP6xJbS+hlR84k+qCtKEI&#10;1QhvTTOnobEYcJY+whuMYPoBg6c4iDHaPI+IbLHBKDfqzgYaJyOhUCxcJXELEmo2yZK8BZzNqF1C&#10;MjN1VaNQJiBEw1d6KeSlC0P54H9BEdOjaXa8F2nytaLhkOvwIAm8aRSN2ajrOuQXlH7ZABbd3HUs&#10;NylWdARyVo0WMD9oUvXU3DH6KBQXXBSK0Zvgdxj2zRYOMoPVmqXkQEFyQRfI1JuQNVeQcpmiwBxl&#10;VI64gfqn8GcshmGzZvz2m/XO3jXub4fu9f/44s/N0G3om/+enn72+R+IUVrSNwBGnXFLSBNaVqfM&#10;xk0M8vkRgugp6THc3dtQlRhIqw78DobhfwiLsWwwgp3AYAK4gEmiSEpz5PSUheGCx9EH9MXkq3Fl&#10;yRUZcx0asX5lYiV+tsKsx/yJ3hP05MXAXQ1A7zuBNbgTutMGEiW4NXYb6KAaRdy5XxKTiK9+ZeMG&#10;Cmto0FcDfJ2UZkXYQel/rG1BwDXr7J04IWe5onG4oCzZmXtjuVGAgMEd+lK9vyHp0xmEZxLHW4R5&#10;+Iba4CbRELpjE9GQJu0oF1ARC0DzsLG4LVDntkOkmud0BLLZN2WoBHkef9AiD83uQvXI5jpMjVgN&#10;aJkP4S3ZhlmBQwH6Mw5uECaFA/4MvupkVGaDiDgnN+jGxUhLgSK1jAIcagzDmhyl3fC8hQljvUNE&#10;sbM6ePLw6PDGu0e39/b2NsTW7er8/v2m7y5IygcP7n/6209vvfPWy9deBoA8ioJHMD+iZGQg4455&#10;L8MIh0kL4BNFrOlAUvH7tFQfQje5Dy+c5RFOvIAZSM7atSkM2C9ciBPxaqYNlzJIXEn/er83ryCL&#10;hg/UhfbBsBiPcHcQQr+EmmAN8q5gSPBITF7S3lREummTf1Y+0AV7oerB4g0I2cpVw2vTakAQR4si&#10;1Ie4NRpx4ZYSN31rvOktyxq5+Lc+QcOrDXcTZEWDbrqMrNBdKoDYSNhN+CgVKvi1yEzt7TEILH7I&#10;KXgckKEAY+j45fnI/AL+kCTOMjyoaja0SCjCyqa1I4iUR8REQZEn4g9kgYnlFh781VhILdjqpG0L&#10;RpI4UosMlCWZswFiuE6R8YkJuVMJvfzKcigJ2Fho2CGB2o5ykA0loUOz260u1psfnX71y2ubD4+O&#10;Dg/2VZ3NY+KRcxL5T/fu/e7u3ffv3Ll+/caqJ2NrbPRMRRTSLS2kTPIIV6mGPenPkqkOam8LV5Y7&#10;TDcYLrUFBkp2qLpPxLyA63AZuhNuUlVzVpfe8zowLiDrIUWhcCOwO+MOQClsSH3BlnlEC+b5SBIe&#10;6gTs9DYCK4+kliwRA+/I4DTQmIg33gM4NxyjV9EvkQR5UOA+zUc4RmKpJLDFVnZZkIAjAm+6lSbt&#10;UZInWDldZ+JKpJAiSWjU1yODgOhGAqbIbj2pyYhNpW0FpKXUD8RLcajKVcIGfuLuC5vSvwwpNxjT&#10;TFZGqHxow8w0ukTE2SAyNxb0DHR8YN/jbIIcY4pImN/FjZHJGh3D97COGQi8oQUI6QiEwrJ71ZwV&#10;uBgtXdRZhl0hhgJYn1ZNLeqIRzjwu3XfkdG7hhjtYn3x+unfP95//MHR28QjK7DC0FwQV51fPHry&#10;ySe/OT07++DDj9pmF9FsccWOSGLwOFiJah+P4v1I4FPmS/w7eHBvQ1MojMGl1bmG1KmRN485MVmI&#10;IREAiX1zrLvRKTg9Uq2sZZng1EYztlCQGVMBLtnFbN3Hnb537KWkprDUaFElMVhsjouwFJkjbyJy&#10;qrCIUvKVMSM0ErfmgZz9WBUXlGJO7NUQNvH8ZYTOLbucIvRYed5hRBxAGRkSMeoacEFfmkrqTU48&#10;RGZRRLhAKyTup3XzfBcwurWrQGptIDVlJfSSsjC8nmfb6SUyCEpEH/WxDlVKvtbeMTqXruO4wDAB&#10;A/XkhG44jqtfpBrPAgNE+sbIIaR45MKLHmJQH7oyKv7BrtQhMNeUUdCdzbr/8clff7V/9v7tdw4P&#10;DvCQtu/bjqay+12/e//B+d7uQcsz29pYEM0m31ZfAZYJEhFvyF4RzrRmCbPdSUww2pwkhoteiQxp&#10;g7Lyk6MygQO0SKtMYOpQC6VC3TEmnQDG6VEonlRbIJGULwtOq+4VdyWrKUauezCWFz2az/lNKFD3&#10;pmkfNYVqjSxyF/MqQWfSw0zCpBhwXVRRSlp5s0fFJScCazxoM/PmsRQiku/TEM8LX3wreYLFs6oW&#10;k692fePVw2uvvLLIQS9ZqBw8rxQel+y9LH7F3q9YPZNnLLOgYpyGpLOMK6v+/2nAI2Zr209JlHoC&#10;i4zm2zXc1BgXskIx4lPS9FLNLhRjFiKkRumiAIYaeoJGzDLs7KzffuvmwQEtx/J0R5Zz7IUZTfLK&#10;R9tZnXhyRrOuZNVztlIeckGkyZFtvFUVoJKBa5qaL0RVGf+yUs+Vl2lrdSofvuEvo/CLU7a5nu37&#10;70RPy22mxJJ5RT67QI2qjbyXyvsqkNUueUmM8nV7+JsX8uiPyszQyRzS0YW/eQVrRQH4oXqqnaGR&#10;TB4XibzYLRR10IQ8UMZTCpt/p1izgw677fqHP/j+3h7NvXWBxtzb8LkCIiSKzM2q+3kuodhE0M21&#10;QuKbDHnZCfeda/bpfu+CalT4K0rwHZLIvKRjJCI169+mCiwf/c0hxh/vLPLYslBseV7j6RLGSDrW&#10;eO2uEAuLxdKY582sRfhLdhEv3rHBz5baVbum5RFeqx3fnbBYgm3BLQJbBF4kBHheg7SsH7pu6JAb&#10;8o6l5PUiAbLVdYvAFoHLIUD0QQ/e9ekUZSY7tCI70NZ0fpQkL1oy4Udwy/PFywmwLb1FYIvAM48A&#10;T+XkubSuwmK3oF1XWxN55tHZKrBFYIvALAK8w+TJmZwN4WVY7NpKNvE85SykbD5b8fQfx95Pqnl5&#10;BardlH2km4iyx1nJx5FF3CXrm7Jglz3gj7IsR+dyMITSI6NIlGfk3GapWoqPPm+bRmCJcuyttvzq&#10;H1ZkkPnuq+5SQoydv9q+aznelA2+E0+XiqdO80aoxcN8LbcAPR0jsgP7Si9Tyh9K5Gc5/aNmg/3n&#10;Jycn97747I3X32jbPTqFYT7ED5z46TP00adq+iVv3K7t5YsxxkdyeLdburQb91yqUcODXHnerKcz&#10;eBcpenZXtkuP5MCpCpaH517pcV6pZ0HB+w6xJ7m+xSD04vYehwNOXEUfY2FHH//xT3UoDBLtycVa&#10;41tm5wAlehdxaDE7HCEt9heI82pd3nGJLv0mV+xKsC4SfMKecD4SRF+ga6Bku7TtYFE4gGCTVtcv&#10;HdfMNQot8LFumvji4tMi5Duy1VkvPOCH+HSiQu5BAT3XA0XKnZzRyrxrhv58VhwqWCF7Q37qt72y&#10;nVhV808+6hNlMGEKY0FIMzJk5no4dJMBgY+0c3yj+1lr1gfYOGVHe0PJJPBoO+4gjgFXjNuUDb6g&#10;j3uarBrJDljRhyPFTiDIVmw5lBT3KyvyvM9UDmRxaNWU0QaBZHQU7UXd2HyD21+9dvKXX++ev/fz&#10;d6+/tM/7WWkr/eMHDZ323Wz6P35+7+HDB7du3WyaXUSk7ozmdVeNvcrA2Nd+1ENcjv42qkO6TV42&#10;BXkD2ZFERJ38F3xCPYEruP7RgZhYt2kLB7mL+7AbHM8sKuqNnpUNMnHvVNByAYgLoS+wBTm3hhxQ&#10;VHFYetsRgn710vGLP2ErjdhvikfkDCu324VTXjmxKsmoonwCIxC+R0PEA/XYvng9P8U3TR91cRx1&#10;c2DCWiao/KoT4iwcWUoBCcKERqymY8NUD5WAmt0RnI1MEeA58ThC0YPBAjiTiBt6iITzAxqO3wsj&#10;xlORChRiZjzyMEAyheZxIboxyYo/R+1iY3IEteSROOqEXAsIYDyWqIoiRReSexA7IT6SrIOlxoZP&#10;E0jcWuM23LUx1UYKar9r+p+cfvnx3smdo58dHrwkZ0b6J8fMIxeb7u7d35+df/3mmz/lo709/zqJ&#10;SEYnWTD20V+5+6N+4MbQ3wDP0hJ58ISgkokVXwgfIUc5288e4hpTbLic7m1DXpKcEfNnYuHBevof&#10;+VH9ot5pnJHeg75KD7KK5GUIqRgJsCN5johOP7xgG6ISHkkOaLlDsFlMJaCqr2wwmtCuZL/Dlc9f&#10;y2ly2rCs7qKuLy4llzmekAxuM27sxyOBIrQVnQxH961B/2XhoDGosGdJMTE3iHESrWBVqA/NdDaR&#10;ttQLvDyWBONUnpNTSCgoji1mufthvCHNcwfIMg/EFc5D1qiEgoIO1IUBCZTqEiiTWHhEzNvyMBaF&#10;SQ+vOhVCITnAHL4gSZJDVbCffgkjIpid0UNFPRw0dj7cOgbn5pe5sTzOheNQZ5vvnf3ro5dX7/3i&#10;9g05X9M03eNj/j00eh0fH//tqy9p+whmPpHXRMYAQGYVVaAQQIvVTCBlfTvSPJihNK52ziNfUk+L&#10;omL0VdeAcp+2CH0kFMaFQln3dYUBTcDSQ00KbaTg2NQlSRRDKRUp6VZ5BMqbHSyiZaAR/Ny0RLSw&#10;duxNlCCErs0BUuTzcdJ5AASZxtCdoRTntHmrd/RKI7I4xyGZnq7M3cJc3rupxBUUV/FKEtGGMC5V&#10;nNYhD8+uDZNJNdOu8OhQDEhKX+VG6hqMbubinBGbM7yHBVj5ntcl91mfE075c31o9TU0/vjEdttd&#10;vPbq4c2bt67t7zNpUub16FinuB1tHhkuMIuqgTIlQ2GR5+TGQp1niOlZBGOh5iOqOd6KgTsBw3MI&#10;4LNo9GUy89IeUQftWV2vaZcIaJJymcdfa6qM7As70Oq/ELGsl22pLQJbBJ5rBMJP6oVsWqZt/DtG&#10;YaaKDEV/avC5hmKr3BaBLQLfEIHyyQCWUaf+HxW+YU/balsEtgi8QAhgbVvzke105gUy/FbVLQJX&#10;QEB/KDX+xByvSP8PmJqriLBsqR0AAAAASUVORK5CYIJQSwECLQAUAAYACAAAACEAsYJntgoBAAAT&#10;AgAAEwAAAAAAAAAAAAAAAAAAAAAAW0NvbnRlbnRfVHlwZXNdLnhtbFBLAQItABQABgAIAAAAIQA4&#10;/SH/1gAAAJQBAAALAAAAAAAAAAAAAAAAADsBAABfcmVscy8ucmVsc1BLAQItABQABgAIAAAAIQCf&#10;t/AQgQUAAKcaAAAOAAAAAAAAAAAAAAAAADoCAABkcnMvZTJvRG9jLnhtbFBLAQItABQABgAIAAAA&#10;IQAubPAAxQAAAKUBAAAZAAAAAAAAAAAAAAAAAOcHAABkcnMvX3JlbHMvZTJvRG9jLnhtbC5yZWxz&#10;UEsBAi0AFAAGAAgAAAAhAHbt3vbjAAAACwEAAA8AAAAAAAAAAAAAAAAA4wgAAGRycy9kb3ducmV2&#10;LnhtbFBLAQItAAoAAAAAAAAAIQCDq/PFrRUAAK0VAAAUAAAAAAAAAAAAAAAAAPMJAABkcnMvbWVk&#10;aWEvaW1hZ2UxLnBuZ1BLAQItAAoAAAAAAAAAIQCPhPscbRAAAG0QAAAUAAAAAAAAAAAAAAAAANIf&#10;AABkcnMvbWVkaWEvaW1hZ2UyLnBuZ1BLBQYAAAAABwAHAL4BAABxM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49" type="#_x0000_t75" style="position:absolute;left:6217;top:3145;width:19800;height:11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L0VywAAAOMAAAAPAAAAZHJzL2Rvd25yZXYueG1sRI9BT8Mw&#10;DIXvSPyHyEjcWLrBStUtmwAJCaZxYEM7W41pKhqnSrKt8OvxAYmj7ef33rdcj75XJ4qpC2xgOilA&#10;ETfBdtwa+Ng/31SgUka22AcmA9+UYL26vFhibcOZ3+m0y60SE041GnA5D7XWqXHkMU3CQCy3zxA9&#10;Zhljq23Es5j7Xs+KotQeO5YEhwM9OWq+dkdvYLN5dPvpELbzn3jbvr1WM3THgzHXV+PDAlSmMf+L&#10;/75frNQvq6q8nxd3QiFMsgC9+gUAAP//AwBQSwECLQAUAAYACAAAACEA2+H2y+4AAACFAQAAEwAA&#10;AAAAAAAAAAAAAAAAAAAAW0NvbnRlbnRfVHlwZXNdLnhtbFBLAQItABQABgAIAAAAIQBa9CxbvwAA&#10;ABUBAAALAAAAAAAAAAAAAAAAAB8BAABfcmVscy8ucmVsc1BLAQItABQABgAIAAAAIQAoRL0VywAA&#10;AOMAAAAPAAAAAAAAAAAAAAAAAAcCAABkcnMvZG93bnJldi54bWxQSwUGAAAAAAMAAwC3AAAA/wIA&#10;AAAA&#10;">
                        <v:imagedata r:id="rId17" o:title="" croptop="7533f" cropbottom="11298f" cropleft="697f" cropright="813f"/>
                        <v:path arrowok="t"/>
                      </v:shape>
                      <v:shape id="Picture 1" o:spid="_x0000_s1050" type="#_x0000_t75" style="position:absolute;left:6071;top:7461;width:20047;height:13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YlPxAAAAOMAAAAPAAAAZHJzL2Rvd25yZXYueG1sRE/NasJA&#10;EL4LfYdlCt5006BJG11FCkKvRi/ehuyYBLOzITtqfHu3UOhxvv9Zb0fXqTsNofVs4GOegCKuvG25&#10;NnA67mefoIIgW+w8k4EnBdhu3iZrLKx/8IHupdQqhnAo0EAj0hdah6ohh2Hue+LIXfzgUOI51NoO&#10;+IjhrtNpkmTaYcuxocGevhuqruXNGaiy68HdHO7yWvocj+VZvp5LY6bv424FSmiUf/Gf+8fG+css&#10;zdM8W6Tw+1MEQG9eAAAA//8DAFBLAQItABQABgAIAAAAIQDb4fbL7gAAAIUBAAATAAAAAAAAAAAA&#10;AAAAAAAAAABbQ29udGVudF9UeXBlc10ueG1sUEsBAi0AFAAGAAgAAAAhAFr0LFu/AAAAFQEAAAsA&#10;AAAAAAAAAAAAAAAAHwEAAF9yZWxzLy5yZWxzUEsBAi0AFAAGAAgAAAAhAE6FiU/EAAAA4wAAAA8A&#10;AAAAAAAAAAAAAAAABwIAAGRycy9kb3ducmV2LnhtbFBLBQYAAAAAAwADALcAAAD4AgAAAAA=&#10;">
                        <v:imagedata r:id="rId18" o:title=""/>
                        <v:path arrowok="t"/>
                      </v:shape>
                      <v:shape id="_x0000_s1051" type="#_x0000_t202" style="position:absolute;left:26017;top:2999;width:5965;height:23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ZBMywAAAOIAAAAPAAAAZHJzL2Rvd25yZXYueG1sRI/RasJA&#10;FETfhf7Dcgt9qxsVjaSuUgq1qaBQ7QdcstdsTPZuyG5j+vddoeDjMDNnmNVmsI3oqfOVYwWTcQKC&#10;uHC64lLB9+n9eQnCB2SNjWNS8EseNuuH0Qoz7a78Rf0xlCJC2GeowITQZlL6wpBFP3YtcfTOrrMY&#10;ouxKqTu8Rrht5DRJFtJixXHBYEtvhor6+GMVbKvz5HTo67I19efHdpfvL/klKPX0OLy+gAg0hHv4&#10;v51rBeliOp8v09kMbpfiHZDrPwAAAP//AwBQSwECLQAUAAYACAAAACEA2+H2y+4AAACFAQAAEwAA&#10;AAAAAAAAAAAAAAAAAAAAW0NvbnRlbnRfVHlwZXNdLnhtbFBLAQItABQABgAIAAAAIQBa9CxbvwAA&#10;ABUBAAALAAAAAAAAAAAAAAAAAB8BAABfcmVscy8ucmVsc1BLAQItABQABgAIAAAAIQCALZBMywAA&#10;AOIAAAAPAAAAAAAAAAAAAAAAAAcCAABkcnMvZG93bnJldi54bWxQSwUGAAAAAAMAAwC3AAAA/wIA&#10;AAAA&#10;" filled="f" stroked="f" strokeweight=".5pt">
                        <v:textbox inset="0,0,0,0">
                          <w:txbxContent>
                            <w:p w14:paraId="24ED736E" w14:textId="77777777" w:rsidR="00B06983" w:rsidRPr="009B6177" w:rsidRDefault="00B06983" w:rsidP="00262896">
                              <w:pPr>
                                <w:jc w:val="center"/>
                                <w:rPr>
                                  <w:rFonts w:asciiTheme="majorHAnsi" w:hAnsiTheme="majorHAnsi" w:cstheme="majorHAnsi"/>
                                  <w:sz w:val="16"/>
                                  <w:szCs w:val="16"/>
                                  <w:lang w:val="lv-LV"/>
                                </w:rPr>
                              </w:pPr>
                              <w:r>
                                <w:rPr>
                                  <w:rFonts w:asciiTheme="majorHAnsi" w:hAnsiTheme="majorHAnsi" w:cstheme="majorHAnsi"/>
                                  <w:sz w:val="16"/>
                                  <w:szCs w:val="16"/>
                                  <w:lang w:val="lv-LV"/>
                                </w:rPr>
                                <w:t>ļ</w:t>
                              </w:r>
                              <w:r w:rsidRPr="009B6177">
                                <w:rPr>
                                  <w:rFonts w:asciiTheme="majorHAnsi" w:hAnsiTheme="majorHAnsi" w:cstheme="majorHAnsi"/>
                                  <w:sz w:val="16"/>
                                  <w:szCs w:val="16"/>
                                  <w:lang w:val="lv-LV"/>
                                </w:rPr>
                                <w:t>oti augsts</w:t>
                              </w:r>
                            </w:p>
                          </w:txbxContent>
                        </v:textbox>
                      </v:shape>
                      <v:shape id="_x0000_s1052" type="#_x0000_t202" style="position:absolute;top:3145;width:5657;height:16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Cvr0ywAAAOIAAAAPAAAAZHJzL2Rvd25yZXYueG1sRI/RasJA&#10;FETfC/2H5Rb6VjdGWjW6igi1qWCh6gdcstdsTPZuyG5j+vfdQqGPw8ycYZbrwTaip85XjhWMRwkI&#10;4sLpiksF59Pr0wyED8gaG8ek4Js8rFf3d0vMtLvxJ/XHUIoIYZ+hAhNCm0npC0MW/ci1xNG7uM5i&#10;iLIrpe7wFuG2kWmSvEiLFccFgy1tDRX18csq2FWX8emjr8vW1O9vu31+uObXoNTjw7BZgAg0hP/w&#10;XzvXCibzyTydTdNn+L0U74Bc/QAAAP//AwBQSwECLQAUAAYACAAAACEA2+H2y+4AAACFAQAAEwAA&#10;AAAAAAAAAAAAAAAAAAAAW0NvbnRlbnRfVHlwZXNdLnhtbFBLAQItABQABgAIAAAAIQBa9CxbvwAA&#10;ABUBAAALAAAAAAAAAAAAAAAAAB8BAABfcmVscy8ucmVsc1BLAQItABQABgAIAAAAIQC3Cvr0ywAA&#10;AOIAAAAPAAAAAAAAAAAAAAAAAAcCAABkcnMvZG93bnJldi54bWxQSwUGAAAAAAMAAwC3AAAA/wIA&#10;AAAA&#10;" filled="f" stroked="f" strokeweight=".5pt">
                        <v:textbox inset="0,0,0,0">
                          <w:txbxContent>
                            <w:p w14:paraId="4471F7C9" w14:textId="77777777" w:rsidR="00B06983" w:rsidRPr="009B6177" w:rsidRDefault="00B06983" w:rsidP="00262896">
                              <w:pPr>
                                <w:jc w:val="center"/>
                                <w:rPr>
                                  <w:rFonts w:asciiTheme="majorHAnsi" w:hAnsiTheme="majorHAnsi" w:cstheme="majorHAnsi"/>
                                  <w:sz w:val="16"/>
                                  <w:szCs w:val="16"/>
                                  <w:lang w:val="lv-LV"/>
                                </w:rPr>
                              </w:pPr>
                              <w:r>
                                <w:rPr>
                                  <w:rFonts w:asciiTheme="majorHAnsi" w:hAnsiTheme="majorHAnsi" w:cstheme="majorHAnsi"/>
                                  <w:sz w:val="16"/>
                                  <w:szCs w:val="16"/>
                                  <w:lang w:val="lv-LV"/>
                                </w:rPr>
                                <w:t>ļ</w:t>
                              </w:r>
                              <w:r w:rsidRPr="009B6177">
                                <w:rPr>
                                  <w:rFonts w:asciiTheme="majorHAnsi" w:hAnsiTheme="majorHAnsi" w:cstheme="majorHAnsi"/>
                                  <w:sz w:val="16"/>
                                  <w:szCs w:val="16"/>
                                  <w:lang w:val="lv-LV"/>
                                </w:rPr>
                                <w:t xml:space="preserve">oti </w:t>
                              </w:r>
                              <w:r>
                                <w:rPr>
                                  <w:rFonts w:asciiTheme="majorHAnsi" w:hAnsiTheme="majorHAnsi" w:cstheme="majorHAnsi"/>
                                  <w:sz w:val="16"/>
                                  <w:szCs w:val="16"/>
                                  <w:lang w:val="lv-LV"/>
                                </w:rPr>
                                <w:t>zems</w:t>
                              </w:r>
                            </w:p>
                          </w:txbxContent>
                        </v:textbox>
                      </v:shape>
                      <v:shape id="_x0000_s1053" type="#_x0000_t202" style="position:absolute;left:6364;width:19723;height:27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A9yAAAAOMAAAAPAAAAZHJzL2Rvd25yZXYueG1sRE/dSsMw&#10;FL4X9g7hCN65tFbdqMvGEJx14GA/D3BozpquzUlpYlff3giCl+f7P4vVaFsxUO9rxwrSaQKCuHS6&#10;5krB6fh2PwfhA7LG1jEp+CYPq+XkZoG5dlfe03AIlYgh7HNUYELocil9aciin7qOOHJn11sM8ewr&#10;qXu8xnDbyockeZYWa44NBjt6NVQ2hy+rYFOf0+NuaKrONB/vm23xeSkuQam723H9AiLQGP7Ff+5C&#10;x/mzxyybp9lTBr8/RQDk8gcAAP//AwBQSwECLQAUAAYACAAAACEA2+H2y+4AAACFAQAAEwAAAAAA&#10;AAAAAAAAAAAAAAAAW0NvbnRlbnRfVHlwZXNdLnhtbFBLAQItABQABgAIAAAAIQBa9CxbvwAAABUB&#10;AAALAAAAAAAAAAAAAAAAAB8BAABfcmVscy8ucmVsc1BLAQItABQABgAIAAAAIQB/bIA9yAAAAOMA&#10;AAAPAAAAAAAAAAAAAAAAAAcCAABkcnMvZG93bnJldi54bWxQSwUGAAAAAAMAAwC3AAAA/AIAAAAA&#10;" filled="f" stroked="f" strokeweight=".5pt">
                        <v:textbox inset="0,0,0,0">
                          <w:txbxContent>
                            <w:p w14:paraId="633BB608" w14:textId="77777777" w:rsidR="00B06983" w:rsidRPr="009B6177" w:rsidRDefault="00B06983" w:rsidP="00262896">
                              <w:pPr>
                                <w:rPr>
                                  <w:rFonts w:asciiTheme="majorHAnsi" w:hAnsiTheme="majorHAnsi" w:cstheme="majorHAnsi"/>
                                  <w:sz w:val="16"/>
                                  <w:szCs w:val="16"/>
                                  <w:lang w:val="lv-LV"/>
                                </w:rPr>
                              </w:pPr>
                              <w:r>
                                <w:rPr>
                                  <w:rFonts w:asciiTheme="majorHAnsi" w:hAnsiTheme="majorHAnsi" w:cstheme="majorHAnsi"/>
                                  <w:sz w:val="16"/>
                                  <w:szCs w:val="16"/>
                                  <w:lang w:val="lv-LV"/>
                                </w:rPr>
                                <w:t>Kritiskās nenoteiktības:</w:t>
                              </w:r>
                              <w:r>
                                <w:rPr>
                                  <w:rFonts w:asciiTheme="majorHAnsi" w:hAnsiTheme="majorHAnsi" w:cstheme="majorHAnsi"/>
                                  <w:sz w:val="16"/>
                                  <w:szCs w:val="16"/>
                                  <w:lang w:val="lv-LV"/>
                                </w:rPr>
                                <w:br/>
                                <w:t>kas nosaka …</w:t>
                              </w:r>
                            </w:p>
                          </w:txbxContent>
                        </v:textbox>
                      </v:shape>
                      <v:shape id="_x0000_s1054" type="#_x0000_t202" style="position:absolute;left:6364;top:4389;width:19723;height:27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FP5yAAAAOMAAAAPAAAAZHJzL2Rvd25yZXYueG1sRE9fS8Mw&#10;EH8X/A7hBN9cMudGrcuGCJt1MMHND3A0t6ZrcylN7Oq3N4Lg4/3+33I9ulYM1Ifas4bpRIEgLr2p&#10;udLwedzcZSBCRDbYeiYN3xRgvbq+WmJu/IU/aDjESqQQDjlqsDF2uZShtOQwTHxHnLiT7x3GdPaV&#10;ND1eUrhr5b1SC+mw5tRgsaMXS2Vz+HIatvVpenwfmqqzzdvrdlfsz8U5an17Mz4/gYg0xn/xn7sw&#10;af7DPJupeaYe4fenBIBc/QAAAP//AwBQSwECLQAUAAYACAAAACEA2+H2y+4AAACFAQAAEwAAAAAA&#10;AAAAAAAAAAAAAAAAW0NvbnRlbnRfVHlwZXNdLnhtbFBLAQItABQABgAIAAAAIQBa9CxbvwAAABUB&#10;AAALAAAAAAAAAAAAAAAAAB8BAABfcmVscy8ucmVsc1BLAQItABQABgAIAAAAIQAwSFP5yAAAAOMA&#10;AAAPAAAAAAAAAAAAAAAAAAcCAABkcnMvZG93bnJldi54bWxQSwUGAAAAAAMAAwC3AAAA/AIAAAAA&#10;" filled="f" stroked="f" strokeweight=".5pt">
                        <v:textbox inset="0,0,0,0">
                          <w:txbxContent>
                            <w:p w14:paraId="04C32CD9" w14:textId="77777777" w:rsidR="00B06983" w:rsidRPr="009B6177" w:rsidRDefault="00B06983" w:rsidP="00262896">
                              <w:pPr>
                                <w:rPr>
                                  <w:rFonts w:asciiTheme="majorHAnsi" w:hAnsiTheme="majorHAnsi" w:cstheme="majorHAnsi"/>
                                  <w:sz w:val="16"/>
                                  <w:szCs w:val="16"/>
                                  <w:lang w:val="lv-LV"/>
                                </w:rPr>
                              </w:pPr>
                              <w:r>
                                <w:rPr>
                                  <w:rFonts w:asciiTheme="majorHAnsi" w:hAnsiTheme="majorHAnsi" w:cstheme="majorHAnsi"/>
                                  <w:sz w:val="16"/>
                                  <w:szCs w:val="16"/>
                                  <w:lang w:val="lv-LV"/>
                                </w:rPr>
                                <w:t>Darbības prioritātes:</w:t>
                              </w:r>
                              <w:r>
                                <w:rPr>
                                  <w:rFonts w:asciiTheme="majorHAnsi" w:hAnsiTheme="majorHAnsi" w:cstheme="majorHAnsi"/>
                                  <w:sz w:val="16"/>
                                  <w:szCs w:val="16"/>
                                  <w:lang w:val="lv-LV"/>
                                </w:rPr>
                                <w:br/>
                                <w:t>kas nosaka …</w:t>
                              </w:r>
                            </w:p>
                          </w:txbxContent>
                        </v:textbox>
                      </v:shape>
                      <v:shape id="_x0000_s1055" type="#_x0000_t202" style="position:absolute;top:7315;width:5657;height:16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CZayAAAAOEAAAAPAAAAZHJzL2Rvd25yZXYueG1sRI/fasIw&#10;FMbvhb1DOIPdaVqZZVSjyGDaCRtM9wCH5tjUNielibV7e3Mh7PLj+8dvtRltKwbqfe1YQTpLQBCX&#10;TtdcKfg9fUzfQPiArLF1TAr+yMNm/TRZYa7djX9oOIZKxBH2OSowIXS5lL40ZNHPXEccvbPrLYYo&#10;+0rqHm9x3LZyniSZtFhzfDDY0buhsjlerYJdfU5P30NTdab53O8OxdeluASlXp7H7RJEoDH8hx/t&#10;Qit4zZIsXcwjQySKNCDXdwAAAP//AwBQSwECLQAUAAYACAAAACEA2+H2y+4AAACFAQAAEwAAAAAA&#10;AAAAAAAAAAAAAAAAW0NvbnRlbnRfVHlwZXNdLnhtbFBLAQItABQABgAIAAAAIQBa9CxbvwAAABUB&#10;AAALAAAAAAAAAAAAAAAAAB8BAABfcmVscy8ucmVsc1BLAQItABQABgAIAAAAIQAxHCZayAAAAOEA&#10;AAAPAAAAAAAAAAAAAAAAAAcCAABkcnMvZG93bnJldi54bWxQSwUGAAAAAAMAAwC3AAAA/AIAAAAA&#10;" filled="f" stroked="f" strokeweight=".5pt">
                        <v:textbox inset="0,0,0,0">
                          <w:txbxContent>
                            <w:p w14:paraId="4E9C2F70" w14:textId="77777777" w:rsidR="00B06983" w:rsidRPr="009B6177" w:rsidRDefault="00B06983" w:rsidP="00262896">
                              <w:pPr>
                                <w:jc w:val="center"/>
                                <w:rPr>
                                  <w:rFonts w:asciiTheme="majorHAnsi" w:hAnsiTheme="majorHAnsi" w:cstheme="majorHAnsi"/>
                                  <w:sz w:val="16"/>
                                  <w:szCs w:val="16"/>
                                  <w:lang w:val="lv-LV"/>
                                </w:rPr>
                              </w:pPr>
                              <w:r>
                                <w:rPr>
                                  <w:rFonts w:asciiTheme="majorHAnsi" w:hAnsiTheme="majorHAnsi" w:cstheme="majorHAnsi"/>
                                  <w:sz w:val="16"/>
                                  <w:szCs w:val="16"/>
                                  <w:lang w:val="lv-LV"/>
                                </w:rPr>
                                <w:t>ļ</w:t>
                              </w:r>
                              <w:r w:rsidRPr="009B6177">
                                <w:rPr>
                                  <w:rFonts w:asciiTheme="majorHAnsi" w:hAnsiTheme="majorHAnsi" w:cstheme="majorHAnsi"/>
                                  <w:sz w:val="16"/>
                                  <w:szCs w:val="16"/>
                                  <w:lang w:val="lv-LV"/>
                                </w:rPr>
                                <w:t xml:space="preserve">oti </w:t>
                              </w:r>
                              <w:r>
                                <w:rPr>
                                  <w:rFonts w:asciiTheme="majorHAnsi" w:hAnsiTheme="majorHAnsi" w:cstheme="majorHAnsi"/>
                                  <w:sz w:val="16"/>
                                  <w:szCs w:val="16"/>
                                  <w:lang w:val="lv-LV"/>
                                </w:rPr>
                                <w:t>zems</w:t>
                              </w:r>
                            </w:p>
                          </w:txbxContent>
                        </v:textbox>
                      </v:shape>
                      <v:shape id="_x0000_s1056" type="#_x0000_t202" style="position:absolute;left:26017;top:7315;width:5965;height:23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GgeywAAAOMAAAAPAAAAZHJzL2Rvd25yZXYueG1sRI/RSsNA&#10;EEXfBf9hGcE3u4mBEmK3RQRrFBRs/YAhO82myc6G7JrGv3ceBB9n5s6992x2ix/UTFPsAhvIVxko&#10;4ibYjlsDX8fnuxJUTMgWh8Bk4Ici7LbXVxusbLjwJ82H1Cox4VihAZfSWGkdG0ce4yqMxHI7hclj&#10;knFqtZ3wIuZ+0PdZttYeO5YEhyM9OWr6w7c3sO9O+fFj7tvR9a8v+7f6/VyfkzG3N8vjA6hES/oX&#10;/33XVuoXZVmsizIXCmGSBejtLwAAAP//AwBQSwECLQAUAAYACAAAACEA2+H2y+4AAACFAQAAEwAA&#10;AAAAAAAAAAAAAAAAAAAAW0NvbnRlbnRfVHlwZXNdLnhtbFBLAQItABQABgAIAAAAIQBa9CxbvwAA&#10;ABUBAAALAAAAAAAAAAAAAAAAAB8BAABfcmVscy8ucmVsc1BLAQItABQABgAIAAAAIQCeIGgeywAA&#10;AOMAAAAPAAAAAAAAAAAAAAAAAAcCAABkcnMvZG93bnJldi54bWxQSwUGAAAAAAMAAwC3AAAA/wIA&#10;AAAA&#10;" filled="f" stroked="f" strokeweight=".5pt">
                        <v:textbox inset="0,0,0,0">
                          <w:txbxContent>
                            <w:p w14:paraId="58D4B4C7" w14:textId="77777777" w:rsidR="00B06983" w:rsidRPr="009B6177" w:rsidRDefault="00B06983" w:rsidP="00262896">
                              <w:pPr>
                                <w:jc w:val="center"/>
                                <w:rPr>
                                  <w:rFonts w:asciiTheme="majorHAnsi" w:hAnsiTheme="majorHAnsi" w:cstheme="majorHAnsi"/>
                                  <w:sz w:val="16"/>
                                  <w:szCs w:val="16"/>
                                  <w:lang w:val="lv-LV"/>
                                </w:rPr>
                              </w:pPr>
                              <w:r>
                                <w:rPr>
                                  <w:rFonts w:asciiTheme="majorHAnsi" w:hAnsiTheme="majorHAnsi" w:cstheme="majorHAnsi"/>
                                  <w:sz w:val="16"/>
                                  <w:szCs w:val="16"/>
                                  <w:lang w:val="lv-LV"/>
                                </w:rPr>
                                <w:t>ļ</w:t>
                              </w:r>
                              <w:r w:rsidRPr="009B6177">
                                <w:rPr>
                                  <w:rFonts w:asciiTheme="majorHAnsi" w:hAnsiTheme="majorHAnsi" w:cstheme="majorHAnsi"/>
                                  <w:sz w:val="16"/>
                                  <w:szCs w:val="16"/>
                                  <w:lang w:val="lv-LV"/>
                                </w:rPr>
                                <w:t>oti augsts</w:t>
                              </w:r>
                            </w:p>
                          </w:txbxContent>
                        </v:textbox>
                      </v:shape>
                    </v:group>
                  </w:pict>
                </mc:Fallback>
              </mc:AlternateContent>
            </w:r>
            <w:r w:rsidR="00262896" w:rsidRPr="009B6177">
              <w:rPr>
                <w:rFonts w:ascii="Calibri Light" w:hAnsi="Calibri Light" w:cs="Calibri Light"/>
                <w:noProof/>
                <w:sz w:val="16"/>
                <w:szCs w:val="16"/>
              </w:rPr>
              <w:drawing>
                <wp:inline distT="0" distB="0" distL="0" distR="0" wp14:anchorId="094C0333" wp14:editId="44236796">
                  <wp:extent cx="5512284" cy="3600000"/>
                  <wp:effectExtent l="0" t="0" r="0" b="635"/>
                  <wp:docPr id="6320101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512284" cy="3600000"/>
                          </a:xfrm>
                          <a:prstGeom prst="rect">
                            <a:avLst/>
                          </a:prstGeom>
                          <a:noFill/>
                          <a:ln>
                            <a:noFill/>
                          </a:ln>
                        </pic:spPr>
                      </pic:pic>
                    </a:graphicData>
                  </a:graphic>
                </wp:inline>
              </w:drawing>
            </w:r>
          </w:p>
        </w:tc>
      </w:tr>
      <w:tr w:rsidR="00262896" w:rsidRPr="009B6177" w14:paraId="21CC5FE9" w14:textId="77777777" w:rsidTr="000828A3">
        <w:tc>
          <w:tcPr>
            <w:tcW w:w="454" w:type="dxa"/>
          </w:tcPr>
          <w:p w14:paraId="40BE8703" w14:textId="77777777" w:rsidR="00262896" w:rsidRPr="009B6177" w:rsidRDefault="00262896" w:rsidP="0002297E">
            <w:pPr>
              <w:widowControl/>
              <w:spacing w:after="0" w:line="240" w:lineRule="auto"/>
              <w:jc w:val="center"/>
              <w:rPr>
                <w:rFonts w:ascii="Calibri Light" w:hAnsi="Calibri Light" w:cs="Calibri Light"/>
                <w:sz w:val="16"/>
                <w:szCs w:val="16"/>
                <w:lang w:val="lv-LV"/>
              </w:rPr>
            </w:pPr>
          </w:p>
        </w:tc>
        <w:tc>
          <w:tcPr>
            <w:tcW w:w="9184" w:type="dxa"/>
          </w:tcPr>
          <w:p w14:paraId="684E602C" w14:textId="77777777" w:rsidR="00262896" w:rsidRPr="009B6177" w:rsidRDefault="00262896" w:rsidP="0002297E">
            <w:pPr>
              <w:widowControl/>
              <w:spacing w:after="0" w:line="240" w:lineRule="auto"/>
              <w:jc w:val="center"/>
              <w:rPr>
                <w:rFonts w:ascii="Calibri Light" w:hAnsi="Calibri Light" w:cs="Calibri Light"/>
                <w:sz w:val="16"/>
                <w:szCs w:val="16"/>
                <w:lang w:val="lv-LV"/>
              </w:rPr>
            </w:pPr>
            <w:r>
              <w:rPr>
                <w:rFonts w:ascii="Calibri Light" w:hAnsi="Calibri Light" w:cs="Calibri Light"/>
                <w:sz w:val="16"/>
                <w:szCs w:val="16"/>
                <w:lang w:val="lv-LV"/>
              </w:rPr>
              <w:t>Ietekme</w:t>
            </w:r>
          </w:p>
        </w:tc>
      </w:tr>
    </w:tbl>
    <w:p w14:paraId="38884503" w14:textId="492CF686" w:rsidR="00262896" w:rsidRPr="00A93D72" w:rsidRDefault="00262896" w:rsidP="00262896">
      <w:pPr>
        <w:widowControl/>
        <w:spacing w:before="120" w:after="120" w:line="240" w:lineRule="auto"/>
        <w:jc w:val="both"/>
        <w:rPr>
          <w:rFonts w:ascii="Arial Nova Cond Light" w:hAnsi="Arial Nova Cond Light"/>
          <w:bCs/>
          <w:iCs/>
          <w:sz w:val="16"/>
          <w:lang w:val="lv-LV"/>
        </w:rPr>
      </w:pPr>
      <w:r w:rsidRPr="00A93D72">
        <w:rPr>
          <w:rFonts w:ascii="Arial Nova Cond Light" w:hAnsi="Arial Nova Cond Light"/>
          <w:bCs/>
          <w:iCs/>
          <w:sz w:val="16"/>
          <w:lang w:val="lv-LV"/>
        </w:rPr>
        <w:t>Avots:</w:t>
      </w:r>
      <w:r w:rsidRPr="00A93D72">
        <w:rPr>
          <w:rFonts w:ascii="Arial Nova Cond Light" w:hAnsi="Arial Nova Cond Light"/>
          <w:sz w:val="16"/>
          <w:lang w:val="sv-SE"/>
        </w:rPr>
        <w:t xml:space="preserve"> </w:t>
      </w:r>
      <w:r w:rsidRPr="00A93D72">
        <w:rPr>
          <w:rFonts w:ascii="Arial Nova Cond Light" w:hAnsi="Arial Nova Cond Light"/>
          <w:bCs/>
          <w:iCs/>
          <w:sz w:val="16"/>
          <w:lang w:val="lv-LV"/>
        </w:rPr>
        <w:t>Pasaules Enerģijas padomes 2024. gada aktuālo problēmu monitorings</w:t>
      </w:r>
    </w:p>
    <w:p w14:paraId="5ECC55FC" w14:textId="77777777" w:rsidR="00262896" w:rsidRPr="00102C7C" w:rsidRDefault="00262896" w:rsidP="00262896">
      <w:pPr>
        <w:widowControl/>
        <w:spacing w:after="120" w:line="240" w:lineRule="auto"/>
        <w:rPr>
          <w:rFonts w:ascii="Verdana Pro Cond Light" w:hAnsi="Verdana Pro Cond Light" w:cs="Arial"/>
          <w:b/>
          <w:bCs/>
          <w:lang w:val="lv-LV"/>
        </w:rPr>
      </w:pPr>
    </w:p>
    <w:p w14:paraId="600B92D7" w14:textId="77777777" w:rsidR="00262896" w:rsidRPr="00102C7C" w:rsidRDefault="00262896" w:rsidP="00262896">
      <w:pPr>
        <w:widowControl/>
        <w:spacing w:after="120" w:line="240" w:lineRule="auto"/>
        <w:rPr>
          <w:rFonts w:ascii="Verdana Pro Cond Light" w:hAnsi="Verdana Pro Cond Light" w:cs="Arial"/>
          <w:lang w:val="lv-LV"/>
        </w:rPr>
      </w:pPr>
      <w:r w:rsidRPr="00102C7C">
        <w:rPr>
          <w:rFonts w:ascii="Verdana Pro Cond Light" w:hAnsi="Verdana Pro Cond Light" w:cs="Arial"/>
          <w:b/>
          <w:bCs/>
          <w:lang w:val="lv-LV"/>
        </w:rPr>
        <w:t>Miera risks</w:t>
      </w:r>
    </w:p>
    <w:p w14:paraId="370D2A55" w14:textId="77777777" w:rsidR="00262896" w:rsidRPr="00102C7C" w:rsidRDefault="00262896" w:rsidP="00262896">
      <w:pPr>
        <w:widowControl/>
        <w:spacing w:after="120" w:line="240" w:lineRule="auto"/>
        <w:rPr>
          <w:rFonts w:ascii="Verdana Pro Cond Light" w:hAnsi="Verdana Pro Cond Light" w:cs="Arial"/>
          <w:lang w:val="lv-LV"/>
        </w:rPr>
      </w:pPr>
      <w:r w:rsidRPr="00102C7C">
        <w:rPr>
          <w:rFonts w:ascii="Verdana Pro Cond Light" w:hAnsi="Verdana Pro Cond Light" w:cs="Arial"/>
          <w:lang w:val="lv-LV"/>
        </w:rPr>
        <w:t>Kā lielākais nezināmais aptaujā tika norādīts “miera risks”, kas ir saistīts ar Krievijas uzsākto karu Ukrainā. Šobrīd nav zināms, cik ilgi kara darbība vēl varētu turpināties. Vienlaikus karš Ukrainā ietekmē ekonomiskos procesus un dzīvi Latvijā, ņemot vērā gan Latvijas ģeogrāfisko izvietojumu un ārējo robežu, gan atbalstu Ukrainai.</w:t>
      </w:r>
    </w:p>
    <w:p w14:paraId="0F1DCBC2" w14:textId="77777777" w:rsidR="00262896" w:rsidRDefault="00262896" w:rsidP="00262896">
      <w:pPr>
        <w:widowControl/>
        <w:spacing w:before="120" w:after="120" w:line="240" w:lineRule="auto"/>
        <w:ind w:left="357"/>
        <w:jc w:val="right"/>
        <w:rPr>
          <w:rFonts w:ascii="Verdana Pro Cond Light" w:hAnsi="Verdana Pro Cond Light"/>
          <w:szCs w:val="20"/>
          <w:lang w:val="lv-LV"/>
        </w:rPr>
      </w:pPr>
      <w:r w:rsidRPr="00102C7C">
        <w:rPr>
          <w:rFonts w:ascii="Verdana Pro Cond Light" w:hAnsi="Verdana Pro Cond Light"/>
          <w:szCs w:val="20"/>
          <w:lang w:val="lv-LV"/>
        </w:rPr>
        <w:t>1.</w:t>
      </w:r>
      <w:r>
        <w:rPr>
          <w:rFonts w:ascii="Verdana Pro Cond Light" w:hAnsi="Verdana Pro Cond Light"/>
          <w:szCs w:val="20"/>
          <w:lang w:val="lv-LV"/>
        </w:rPr>
        <w:t>2</w:t>
      </w:r>
      <w:r w:rsidRPr="00102C7C">
        <w:rPr>
          <w:rFonts w:ascii="Verdana Pro Cond Light" w:hAnsi="Verdana Pro Cond Light"/>
          <w:szCs w:val="20"/>
          <w:lang w:val="lv-LV"/>
        </w:rPr>
        <w:t>. attēls</w:t>
      </w:r>
    </w:p>
    <w:p w14:paraId="051E92E5" w14:textId="77777777" w:rsidR="00262896" w:rsidRDefault="00262896" w:rsidP="00262896">
      <w:pPr>
        <w:widowControl/>
        <w:spacing w:after="120" w:line="240" w:lineRule="auto"/>
        <w:jc w:val="center"/>
        <w:rPr>
          <w:rFonts w:ascii="Verdana Pro Cond Light" w:hAnsi="Verdana Pro Cond Light" w:cs="Arial"/>
          <w:b/>
          <w:bCs/>
          <w:lang w:val="lv-LV"/>
        </w:rPr>
      </w:pPr>
      <w:r>
        <w:rPr>
          <w:rFonts w:ascii="Verdana Pro Cond Light" w:hAnsi="Verdana Pro Cond Light" w:cs="Arial"/>
          <w:b/>
          <w:bCs/>
          <w:lang w:val="lv-LV"/>
        </w:rPr>
        <w:t>Latvijas TOP-5 kritiskās nenoteiktības un darbības prioritātes</w:t>
      </w:r>
    </w:p>
    <w:tbl>
      <w:tblPr>
        <w:tblStyle w:val="TableGrid"/>
        <w:tblW w:w="963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19"/>
      </w:tblGrid>
      <w:tr w:rsidR="00262896" w:rsidRPr="00A93D72" w14:paraId="3232BA15" w14:textId="77777777" w:rsidTr="0002297E">
        <w:trPr>
          <w:jc w:val="center"/>
        </w:trPr>
        <w:tc>
          <w:tcPr>
            <w:tcW w:w="4819" w:type="dxa"/>
            <w:shd w:val="clear" w:color="auto" w:fill="4472C4" w:themeFill="accent1"/>
          </w:tcPr>
          <w:p w14:paraId="00F5FE43" w14:textId="77777777" w:rsidR="00262896" w:rsidRPr="00A93D72" w:rsidRDefault="00262896" w:rsidP="0002297E">
            <w:pPr>
              <w:widowControl/>
              <w:spacing w:before="40" w:after="40" w:line="240" w:lineRule="auto"/>
              <w:jc w:val="center"/>
              <w:rPr>
                <w:rFonts w:asciiTheme="majorHAnsi" w:hAnsiTheme="majorHAnsi" w:cstheme="majorHAnsi"/>
                <w:b/>
                <w:bCs/>
                <w:color w:val="FFFFFF" w:themeColor="background1"/>
                <w:sz w:val="16"/>
                <w:szCs w:val="16"/>
                <w:lang w:val="lv-LV"/>
              </w:rPr>
            </w:pPr>
            <w:r>
              <w:rPr>
                <w:rFonts w:asciiTheme="majorHAnsi" w:hAnsiTheme="majorHAnsi" w:cstheme="majorHAnsi"/>
                <w:b/>
                <w:bCs/>
                <w:color w:val="FFFFFF" w:themeColor="background1"/>
                <w:sz w:val="16"/>
                <w:szCs w:val="16"/>
                <w:lang w:val="lv-LV"/>
              </w:rPr>
              <w:t>K</w:t>
            </w:r>
            <w:r w:rsidRPr="00A93D72">
              <w:rPr>
                <w:rFonts w:asciiTheme="majorHAnsi" w:hAnsiTheme="majorHAnsi" w:cstheme="majorHAnsi"/>
                <w:b/>
                <w:bCs/>
                <w:color w:val="FFFFFF" w:themeColor="background1"/>
                <w:sz w:val="16"/>
                <w:szCs w:val="16"/>
                <w:lang w:val="lv-LV"/>
              </w:rPr>
              <w:t>ritiskās nenoteiktības</w:t>
            </w:r>
          </w:p>
        </w:tc>
        <w:tc>
          <w:tcPr>
            <w:tcW w:w="4819" w:type="dxa"/>
            <w:shd w:val="clear" w:color="auto" w:fill="4472C4" w:themeFill="accent1"/>
          </w:tcPr>
          <w:p w14:paraId="7828041D" w14:textId="77777777" w:rsidR="00262896" w:rsidRPr="00A93D72" w:rsidRDefault="00262896" w:rsidP="0002297E">
            <w:pPr>
              <w:widowControl/>
              <w:spacing w:before="40" w:after="40" w:line="240" w:lineRule="auto"/>
              <w:jc w:val="center"/>
              <w:rPr>
                <w:rFonts w:asciiTheme="majorHAnsi" w:hAnsiTheme="majorHAnsi" w:cstheme="majorHAnsi"/>
                <w:b/>
                <w:bCs/>
                <w:color w:val="FFFFFF" w:themeColor="background1"/>
                <w:sz w:val="16"/>
                <w:szCs w:val="16"/>
                <w:lang w:val="lv-LV"/>
              </w:rPr>
            </w:pPr>
            <w:r>
              <w:rPr>
                <w:rFonts w:asciiTheme="majorHAnsi" w:hAnsiTheme="majorHAnsi" w:cstheme="majorHAnsi"/>
                <w:b/>
                <w:bCs/>
                <w:color w:val="FFFFFF" w:themeColor="background1"/>
                <w:sz w:val="16"/>
                <w:szCs w:val="16"/>
                <w:lang w:val="lv-LV"/>
              </w:rPr>
              <w:t>D</w:t>
            </w:r>
            <w:r w:rsidRPr="00A93D72">
              <w:rPr>
                <w:rFonts w:asciiTheme="majorHAnsi" w:hAnsiTheme="majorHAnsi" w:cstheme="majorHAnsi"/>
                <w:b/>
                <w:bCs/>
                <w:color w:val="FFFFFF" w:themeColor="background1"/>
                <w:sz w:val="16"/>
                <w:szCs w:val="16"/>
                <w:lang w:val="lv-LV"/>
              </w:rPr>
              <w:t>arbības prioritātes</w:t>
            </w:r>
          </w:p>
        </w:tc>
      </w:tr>
      <w:tr w:rsidR="00262896" w:rsidRPr="00A93D72" w14:paraId="3E0793F7" w14:textId="77777777" w:rsidTr="0002297E">
        <w:trPr>
          <w:jc w:val="center"/>
        </w:trPr>
        <w:tc>
          <w:tcPr>
            <w:tcW w:w="4819" w:type="dxa"/>
            <w:shd w:val="clear" w:color="auto" w:fill="D9E2F3" w:themeFill="accent1" w:themeFillTint="33"/>
          </w:tcPr>
          <w:p w14:paraId="5F198C12" w14:textId="77777777" w:rsidR="00262896" w:rsidRPr="00A93D72" w:rsidRDefault="00262896" w:rsidP="0002297E">
            <w:pPr>
              <w:widowControl/>
              <w:spacing w:before="40" w:after="40" w:line="240" w:lineRule="auto"/>
              <w:rPr>
                <w:rFonts w:asciiTheme="majorHAnsi" w:hAnsiTheme="majorHAnsi" w:cstheme="majorHAnsi"/>
                <w:sz w:val="16"/>
                <w:szCs w:val="16"/>
                <w:lang w:val="lv-LV"/>
              </w:rPr>
            </w:pPr>
            <w:r w:rsidRPr="00A93D72">
              <w:rPr>
                <w:rFonts w:asciiTheme="majorHAnsi" w:hAnsiTheme="majorHAnsi" w:cstheme="majorHAnsi"/>
                <w:sz w:val="16"/>
                <w:szCs w:val="16"/>
                <w:lang w:val="lv-LV"/>
              </w:rPr>
              <w:t>Riski mieram</w:t>
            </w:r>
          </w:p>
        </w:tc>
        <w:tc>
          <w:tcPr>
            <w:tcW w:w="4819" w:type="dxa"/>
            <w:shd w:val="clear" w:color="auto" w:fill="D9E2F3" w:themeFill="accent1" w:themeFillTint="33"/>
          </w:tcPr>
          <w:p w14:paraId="721F8393" w14:textId="77777777" w:rsidR="00262896" w:rsidRPr="00A93D72" w:rsidRDefault="00262896" w:rsidP="0002297E">
            <w:pPr>
              <w:widowControl/>
              <w:spacing w:before="40" w:after="40" w:line="240" w:lineRule="auto"/>
              <w:rPr>
                <w:rFonts w:asciiTheme="majorHAnsi" w:hAnsiTheme="majorHAnsi" w:cstheme="majorHAnsi"/>
                <w:sz w:val="16"/>
                <w:szCs w:val="16"/>
                <w:lang w:val="lv-LV"/>
              </w:rPr>
            </w:pPr>
            <w:r w:rsidRPr="00A93D72">
              <w:rPr>
                <w:rFonts w:asciiTheme="majorHAnsi" w:hAnsiTheme="majorHAnsi" w:cstheme="majorHAnsi"/>
                <w:sz w:val="16"/>
                <w:szCs w:val="16"/>
                <w:lang w:val="lv-LV"/>
              </w:rPr>
              <w:t>Pārvades tīkli</w:t>
            </w:r>
          </w:p>
        </w:tc>
      </w:tr>
      <w:tr w:rsidR="00262896" w:rsidRPr="00A93D72" w14:paraId="17EF59BA" w14:textId="77777777" w:rsidTr="0002297E">
        <w:trPr>
          <w:jc w:val="center"/>
        </w:trPr>
        <w:tc>
          <w:tcPr>
            <w:tcW w:w="4819" w:type="dxa"/>
            <w:shd w:val="clear" w:color="auto" w:fill="B4C6E7" w:themeFill="accent1" w:themeFillTint="66"/>
          </w:tcPr>
          <w:p w14:paraId="43C4446B" w14:textId="77777777" w:rsidR="00262896" w:rsidRPr="00A93D72" w:rsidRDefault="00262896" w:rsidP="0002297E">
            <w:pPr>
              <w:widowControl/>
              <w:spacing w:before="40" w:after="40" w:line="240" w:lineRule="auto"/>
              <w:rPr>
                <w:rFonts w:asciiTheme="majorHAnsi" w:hAnsiTheme="majorHAnsi" w:cstheme="majorHAnsi"/>
                <w:sz w:val="16"/>
                <w:szCs w:val="16"/>
                <w:lang w:val="lv-LV"/>
              </w:rPr>
            </w:pPr>
            <w:r w:rsidRPr="00A93D72">
              <w:rPr>
                <w:rFonts w:asciiTheme="majorHAnsi" w:hAnsiTheme="majorHAnsi" w:cstheme="majorHAnsi"/>
                <w:sz w:val="16"/>
                <w:szCs w:val="16"/>
                <w:lang w:val="lv-LV"/>
              </w:rPr>
              <w:t>Piegādes ķēdes</w:t>
            </w:r>
          </w:p>
        </w:tc>
        <w:tc>
          <w:tcPr>
            <w:tcW w:w="4819" w:type="dxa"/>
            <w:shd w:val="clear" w:color="auto" w:fill="B4C6E7" w:themeFill="accent1" w:themeFillTint="66"/>
          </w:tcPr>
          <w:p w14:paraId="5B81A6F8" w14:textId="77777777" w:rsidR="00262896" w:rsidRPr="00A93D72" w:rsidRDefault="00262896" w:rsidP="0002297E">
            <w:pPr>
              <w:widowControl/>
              <w:spacing w:before="40" w:after="40" w:line="240" w:lineRule="auto"/>
              <w:rPr>
                <w:rFonts w:asciiTheme="majorHAnsi" w:hAnsiTheme="majorHAnsi" w:cstheme="majorHAnsi"/>
                <w:sz w:val="16"/>
                <w:szCs w:val="16"/>
                <w:lang w:val="lv-LV"/>
              </w:rPr>
            </w:pPr>
            <w:r w:rsidRPr="00A93D72">
              <w:rPr>
                <w:rFonts w:asciiTheme="majorHAnsi" w:hAnsiTheme="majorHAnsi" w:cstheme="majorHAnsi"/>
                <w:sz w:val="16"/>
                <w:szCs w:val="16"/>
                <w:lang w:val="lv-LV"/>
              </w:rPr>
              <w:t>Starptautiskā sadarbība</w:t>
            </w:r>
          </w:p>
        </w:tc>
      </w:tr>
      <w:tr w:rsidR="00262896" w:rsidRPr="00A93D72" w14:paraId="58DA225B" w14:textId="77777777" w:rsidTr="0002297E">
        <w:trPr>
          <w:jc w:val="center"/>
        </w:trPr>
        <w:tc>
          <w:tcPr>
            <w:tcW w:w="4819" w:type="dxa"/>
            <w:shd w:val="clear" w:color="auto" w:fill="D9E2F3" w:themeFill="accent1" w:themeFillTint="33"/>
          </w:tcPr>
          <w:p w14:paraId="5452020C" w14:textId="77777777" w:rsidR="00262896" w:rsidRPr="00A93D72" w:rsidRDefault="00262896" w:rsidP="0002297E">
            <w:pPr>
              <w:widowControl/>
              <w:spacing w:before="40" w:after="40" w:line="240" w:lineRule="auto"/>
              <w:rPr>
                <w:rFonts w:asciiTheme="majorHAnsi" w:hAnsiTheme="majorHAnsi" w:cstheme="majorHAnsi"/>
                <w:sz w:val="16"/>
                <w:szCs w:val="16"/>
                <w:lang w:val="lv-LV"/>
              </w:rPr>
            </w:pPr>
            <w:r w:rsidRPr="00A93D72">
              <w:rPr>
                <w:rFonts w:asciiTheme="majorHAnsi" w:hAnsiTheme="majorHAnsi" w:cstheme="majorHAnsi"/>
                <w:sz w:val="16"/>
                <w:szCs w:val="16"/>
                <w:lang w:val="lv-LV"/>
              </w:rPr>
              <w:t>Infrastruktūra</w:t>
            </w:r>
          </w:p>
        </w:tc>
        <w:tc>
          <w:tcPr>
            <w:tcW w:w="4819" w:type="dxa"/>
            <w:shd w:val="clear" w:color="auto" w:fill="D9E2F3" w:themeFill="accent1" w:themeFillTint="33"/>
          </w:tcPr>
          <w:p w14:paraId="69255927" w14:textId="77777777" w:rsidR="00262896" w:rsidRPr="00A93D72" w:rsidRDefault="00262896" w:rsidP="0002297E">
            <w:pPr>
              <w:widowControl/>
              <w:spacing w:before="40" w:after="40" w:line="240" w:lineRule="auto"/>
              <w:rPr>
                <w:rFonts w:asciiTheme="majorHAnsi" w:hAnsiTheme="majorHAnsi" w:cstheme="majorHAnsi"/>
                <w:sz w:val="16"/>
                <w:szCs w:val="16"/>
                <w:lang w:val="lv-LV"/>
              </w:rPr>
            </w:pPr>
            <w:r w:rsidRPr="00A93D72">
              <w:rPr>
                <w:rFonts w:asciiTheme="majorHAnsi" w:hAnsiTheme="majorHAnsi" w:cstheme="majorHAnsi"/>
                <w:sz w:val="16"/>
                <w:szCs w:val="16"/>
                <w:lang w:val="lv-LV"/>
              </w:rPr>
              <w:t>Globālā izaugsme</w:t>
            </w:r>
          </w:p>
        </w:tc>
      </w:tr>
      <w:tr w:rsidR="00262896" w:rsidRPr="00A93D72" w14:paraId="7A5D48A5" w14:textId="77777777" w:rsidTr="0002297E">
        <w:trPr>
          <w:jc w:val="center"/>
        </w:trPr>
        <w:tc>
          <w:tcPr>
            <w:tcW w:w="4819" w:type="dxa"/>
            <w:shd w:val="clear" w:color="auto" w:fill="B4C6E7" w:themeFill="accent1" w:themeFillTint="66"/>
          </w:tcPr>
          <w:p w14:paraId="4364DA32" w14:textId="77777777" w:rsidR="00262896" w:rsidRPr="00A93D72" w:rsidRDefault="00262896" w:rsidP="0002297E">
            <w:pPr>
              <w:widowControl/>
              <w:spacing w:before="40" w:after="40" w:line="240" w:lineRule="auto"/>
              <w:rPr>
                <w:rFonts w:asciiTheme="majorHAnsi" w:hAnsiTheme="majorHAnsi" w:cstheme="majorHAnsi"/>
                <w:sz w:val="16"/>
                <w:szCs w:val="16"/>
                <w:lang w:val="lv-LV"/>
              </w:rPr>
            </w:pPr>
            <w:r w:rsidRPr="00A93D72">
              <w:rPr>
                <w:rFonts w:asciiTheme="majorHAnsi" w:hAnsiTheme="majorHAnsi" w:cstheme="majorHAnsi"/>
                <w:sz w:val="16"/>
                <w:szCs w:val="16"/>
                <w:lang w:val="lv-LV"/>
              </w:rPr>
              <w:t>Pieprasījuma pārvaldība</w:t>
            </w:r>
          </w:p>
        </w:tc>
        <w:tc>
          <w:tcPr>
            <w:tcW w:w="4819" w:type="dxa"/>
            <w:shd w:val="clear" w:color="auto" w:fill="B4C6E7" w:themeFill="accent1" w:themeFillTint="66"/>
          </w:tcPr>
          <w:p w14:paraId="0F13818A" w14:textId="77777777" w:rsidR="00262896" w:rsidRPr="00A93D72" w:rsidRDefault="00262896" w:rsidP="0002297E">
            <w:pPr>
              <w:widowControl/>
              <w:spacing w:before="40" w:after="40" w:line="240" w:lineRule="auto"/>
              <w:rPr>
                <w:rFonts w:asciiTheme="majorHAnsi" w:hAnsiTheme="majorHAnsi" w:cstheme="majorHAnsi"/>
                <w:sz w:val="16"/>
                <w:szCs w:val="16"/>
                <w:lang w:val="lv-LV"/>
              </w:rPr>
            </w:pPr>
            <w:r w:rsidRPr="00A93D72">
              <w:rPr>
                <w:rFonts w:asciiTheme="majorHAnsi" w:hAnsiTheme="majorHAnsi" w:cstheme="majorHAnsi"/>
                <w:sz w:val="16"/>
                <w:szCs w:val="16"/>
                <w:lang w:val="lv-LV"/>
              </w:rPr>
              <w:t>Infrastruktūra</w:t>
            </w:r>
          </w:p>
        </w:tc>
      </w:tr>
      <w:tr w:rsidR="00262896" w:rsidRPr="00A93D72" w14:paraId="376F4FD2" w14:textId="77777777" w:rsidTr="0002297E">
        <w:trPr>
          <w:jc w:val="center"/>
        </w:trPr>
        <w:tc>
          <w:tcPr>
            <w:tcW w:w="4819" w:type="dxa"/>
            <w:shd w:val="clear" w:color="auto" w:fill="D9E2F3" w:themeFill="accent1" w:themeFillTint="33"/>
          </w:tcPr>
          <w:p w14:paraId="67B8E703" w14:textId="77777777" w:rsidR="00262896" w:rsidRPr="00A93D72" w:rsidRDefault="00262896" w:rsidP="0002297E">
            <w:pPr>
              <w:widowControl/>
              <w:spacing w:before="40" w:after="40" w:line="240" w:lineRule="auto"/>
              <w:rPr>
                <w:rFonts w:asciiTheme="majorHAnsi" w:hAnsiTheme="majorHAnsi" w:cstheme="majorHAnsi"/>
                <w:sz w:val="16"/>
                <w:szCs w:val="16"/>
                <w:lang w:val="lv-LV"/>
              </w:rPr>
            </w:pPr>
            <w:r w:rsidRPr="00A93D72">
              <w:rPr>
                <w:rFonts w:asciiTheme="majorHAnsi" w:hAnsiTheme="majorHAnsi" w:cstheme="majorHAnsi"/>
                <w:sz w:val="16"/>
                <w:szCs w:val="16"/>
                <w:lang w:val="lv-LV"/>
              </w:rPr>
              <w:t>Ieinteresēto pušu koordinācija</w:t>
            </w:r>
          </w:p>
        </w:tc>
        <w:tc>
          <w:tcPr>
            <w:tcW w:w="4819" w:type="dxa"/>
            <w:shd w:val="clear" w:color="auto" w:fill="D9E2F3" w:themeFill="accent1" w:themeFillTint="33"/>
          </w:tcPr>
          <w:p w14:paraId="3B834EB5" w14:textId="77777777" w:rsidR="00262896" w:rsidRPr="00A93D72" w:rsidRDefault="00262896" w:rsidP="0002297E">
            <w:pPr>
              <w:widowControl/>
              <w:spacing w:before="40" w:after="40" w:line="240" w:lineRule="auto"/>
              <w:rPr>
                <w:rFonts w:asciiTheme="majorHAnsi" w:hAnsiTheme="majorHAnsi" w:cstheme="majorHAnsi"/>
                <w:sz w:val="16"/>
                <w:szCs w:val="16"/>
                <w:lang w:val="lv-LV"/>
              </w:rPr>
            </w:pPr>
            <w:r w:rsidRPr="00A93D72">
              <w:rPr>
                <w:rFonts w:asciiTheme="majorHAnsi" w:hAnsiTheme="majorHAnsi" w:cstheme="majorHAnsi"/>
                <w:sz w:val="16"/>
                <w:szCs w:val="16"/>
                <w:lang w:val="lv-LV"/>
              </w:rPr>
              <w:t>Pieprasījuma pārvaldība</w:t>
            </w:r>
          </w:p>
        </w:tc>
      </w:tr>
    </w:tbl>
    <w:p w14:paraId="4455EB81" w14:textId="77777777" w:rsidR="00262896" w:rsidRPr="00A93D72" w:rsidRDefault="00262896" w:rsidP="00262896">
      <w:pPr>
        <w:widowControl/>
        <w:spacing w:before="120" w:after="120" w:line="240" w:lineRule="auto"/>
        <w:jc w:val="both"/>
        <w:rPr>
          <w:rFonts w:ascii="Arial Nova Cond Light" w:hAnsi="Arial Nova Cond Light"/>
          <w:bCs/>
          <w:iCs/>
          <w:sz w:val="16"/>
          <w:lang w:val="lv-LV"/>
        </w:rPr>
      </w:pPr>
      <w:r w:rsidRPr="00A93D72">
        <w:rPr>
          <w:rFonts w:ascii="Arial Nova Cond Light" w:hAnsi="Arial Nova Cond Light"/>
          <w:bCs/>
          <w:iCs/>
          <w:sz w:val="16"/>
          <w:lang w:val="lv-LV"/>
        </w:rPr>
        <w:t>Avots: Pasaules Enerģijas padomes 2024. gada aktuālo problēmu monitorings</w:t>
      </w:r>
    </w:p>
    <w:p w14:paraId="2F3880E4" w14:textId="77777777" w:rsidR="00262896" w:rsidRPr="00102C7C" w:rsidRDefault="00262896" w:rsidP="00262896">
      <w:pPr>
        <w:widowControl/>
        <w:spacing w:after="120" w:line="240" w:lineRule="auto"/>
        <w:rPr>
          <w:rFonts w:ascii="Verdana Pro Cond Light" w:hAnsi="Verdana Pro Cond Light" w:cs="Arial"/>
          <w:lang w:val="lv-LV"/>
        </w:rPr>
      </w:pPr>
    </w:p>
    <w:p w14:paraId="25B57A2E" w14:textId="77777777" w:rsidR="00262896" w:rsidRPr="00102C7C" w:rsidRDefault="00262896" w:rsidP="00262896">
      <w:pPr>
        <w:widowControl/>
        <w:spacing w:after="120" w:line="240" w:lineRule="auto"/>
        <w:rPr>
          <w:rFonts w:ascii="Verdana Pro Cond Light" w:hAnsi="Verdana Pro Cond Light" w:cs="Arial"/>
          <w:b/>
          <w:bCs/>
          <w:lang w:val="lv-LV"/>
        </w:rPr>
      </w:pPr>
      <w:r w:rsidRPr="00102C7C">
        <w:rPr>
          <w:rFonts w:ascii="Verdana Pro Cond Light" w:hAnsi="Verdana Pro Cond Light" w:cs="Arial"/>
          <w:b/>
          <w:bCs/>
          <w:lang w:val="lv-LV"/>
        </w:rPr>
        <w:t>Piegāžu ķēdes</w:t>
      </w:r>
    </w:p>
    <w:p w14:paraId="3E1CF7E6" w14:textId="77777777" w:rsidR="00262896" w:rsidRDefault="00262896" w:rsidP="00262896">
      <w:pPr>
        <w:widowControl/>
        <w:spacing w:after="120" w:line="240" w:lineRule="auto"/>
        <w:rPr>
          <w:rFonts w:ascii="Verdana Pro Cond Light" w:hAnsi="Verdana Pro Cond Light" w:cs="Arial"/>
          <w:lang w:val="lv-LV"/>
        </w:rPr>
      </w:pPr>
      <w:r w:rsidRPr="00102C7C">
        <w:rPr>
          <w:rFonts w:ascii="Verdana Pro Cond Light" w:hAnsi="Verdana Pro Cond Light" w:cs="Arial"/>
          <w:lang w:val="lv-LV"/>
        </w:rPr>
        <w:t>Kopš 2022.gada sākuma, kad Krievija uzsāka kara darbību Ukrainā, Latvijas uzņēmējiem bija ievērojami jāpārskata uzņēmējdarbības piegāžu ķēdes. Tika būtiski mazināta ekonomiska sadarbība ar Krieviju, t.sk. darbojas sankciju ierobežojumi attiecībā uz darījumiem ar sankcionētām Krievijas personām. Monitoringā iezīmētās neskaidrības varētu būt saistītas ar to, ka vēl joprojām tirgus pielāgojas jaunajiem apstākļiem.</w:t>
      </w:r>
    </w:p>
    <w:p w14:paraId="785F0D71" w14:textId="77777777" w:rsidR="00262896" w:rsidRDefault="00262896" w:rsidP="00262896">
      <w:pPr>
        <w:widowControl/>
        <w:spacing w:after="120" w:line="240" w:lineRule="auto"/>
        <w:rPr>
          <w:rFonts w:ascii="Verdana Pro Cond Light" w:hAnsi="Verdana Pro Cond Light" w:cs="Arial"/>
          <w:b/>
          <w:bCs/>
          <w:lang w:val="lv-LV"/>
        </w:rPr>
      </w:pPr>
      <w:r w:rsidRPr="00102C7C">
        <w:rPr>
          <w:rFonts w:ascii="Verdana Pro Cond Light" w:hAnsi="Verdana Pro Cond Light" w:cs="Arial"/>
          <w:b/>
          <w:bCs/>
          <w:lang w:val="lv-LV"/>
        </w:rPr>
        <w:t>Infrastruktūra</w:t>
      </w:r>
    </w:p>
    <w:p w14:paraId="71938E8D" w14:textId="77777777" w:rsidR="00262896" w:rsidRDefault="00262896" w:rsidP="00262896">
      <w:pPr>
        <w:widowControl/>
        <w:spacing w:after="120" w:line="240" w:lineRule="auto"/>
        <w:rPr>
          <w:rFonts w:ascii="Verdana Pro Cond Light" w:hAnsi="Verdana Pro Cond Light" w:cs="Arial"/>
          <w:lang w:val="lv-LV"/>
        </w:rPr>
      </w:pPr>
      <w:r w:rsidRPr="00102C7C">
        <w:rPr>
          <w:rFonts w:ascii="Verdana Pro Cond Light" w:hAnsi="Verdana Pro Cond Light" w:cs="Arial"/>
          <w:lang w:val="lv-LV"/>
        </w:rPr>
        <w:lastRenderedPageBreak/>
        <w:t xml:space="preserve">Ņemot vērā ļoti lielu interesi un aktivitāti </w:t>
      </w:r>
      <w:r>
        <w:rPr>
          <w:rFonts w:ascii="Verdana Pro Cond Light" w:hAnsi="Verdana Pro Cond Light" w:cs="Arial"/>
          <w:lang w:val="lv-LV"/>
        </w:rPr>
        <w:t>atjaunojamo energoresursu (</w:t>
      </w:r>
      <w:r w:rsidRPr="00102C7C">
        <w:rPr>
          <w:rFonts w:ascii="Verdana Pro Cond Light" w:hAnsi="Verdana Pro Cond Light" w:cs="Arial"/>
          <w:lang w:val="lv-LV"/>
        </w:rPr>
        <w:t>AER</w:t>
      </w:r>
      <w:r>
        <w:rPr>
          <w:rFonts w:ascii="Verdana Pro Cond Light" w:hAnsi="Verdana Pro Cond Light" w:cs="Arial"/>
          <w:lang w:val="lv-LV"/>
        </w:rPr>
        <w:t>)</w:t>
      </w:r>
      <w:r w:rsidRPr="00102C7C">
        <w:rPr>
          <w:rFonts w:ascii="Verdana Pro Cond Light" w:hAnsi="Verdana Pro Cond Light" w:cs="Arial"/>
          <w:lang w:val="lv-LV"/>
        </w:rPr>
        <w:t xml:space="preserve"> projektu sakarā, kā arī to, ka pieteikto AER projektu kapacitāte būtiski pārsniedz pieejamas pieslēgumu jaudas, nozarē ir neskaidrības par pieslēgumu jautājuma turpmāku attīstību. Vienlaikus vēl notiek diskusijas par nākotnes starpsavienojumu projektu iespējamu attīstību.</w:t>
      </w:r>
    </w:p>
    <w:p w14:paraId="44D0A3A5" w14:textId="77777777" w:rsidR="00262896" w:rsidRPr="00102C7C" w:rsidRDefault="00262896" w:rsidP="00262896">
      <w:pPr>
        <w:widowControl/>
        <w:spacing w:after="120" w:line="240" w:lineRule="auto"/>
        <w:rPr>
          <w:rFonts w:ascii="Verdana Pro Cond Light" w:hAnsi="Verdana Pro Cond Light" w:cs="Arial"/>
          <w:lang w:val="lv-LV"/>
        </w:rPr>
      </w:pPr>
    </w:p>
    <w:p w14:paraId="1322C47D" w14:textId="77777777" w:rsidR="00262896" w:rsidRPr="00A93D72" w:rsidRDefault="00262896" w:rsidP="00262896">
      <w:pPr>
        <w:widowControl/>
        <w:spacing w:after="120" w:line="240" w:lineRule="auto"/>
        <w:rPr>
          <w:rFonts w:ascii="Verdana Pro Cond Light" w:hAnsi="Verdana Pro Cond Light" w:cs="Arial"/>
          <w:lang w:val="lv-LV"/>
        </w:rPr>
      </w:pPr>
      <w:r w:rsidRPr="00A93D72">
        <w:rPr>
          <w:rFonts w:ascii="Verdana Pro Cond Light" w:hAnsi="Verdana Pro Cond Light" w:cs="Arial"/>
          <w:b/>
          <w:bCs/>
          <w:lang w:val="lv-LV"/>
        </w:rPr>
        <w:t>Pieprasījuma vadība</w:t>
      </w:r>
    </w:p>
    <w:p w14:paraId="37D8B731" w14:textId="77777777" w:rsidR="00262896" w:rsidRDefault="00262896" w:rsidP="00262896">
      <w:pPr>
        <w:widowControl/>
        <w:spacing w:after="120" w:line="240" w:lineRule="auto"/>
        <w:rPr>
          <w:rFonts w:ascii="Verdana Pro Cond Light" w:hAnsi="Verdana Pro Cond Light" w:cs="Arial"/>
          <w:lang w:val="lv-LV"/>
        </w:rPr>
      </w:pPr>
      <w:r w:rsidRPr="00A93D72">
        <w:rPr>
          <w:rFonts w:ascii="Verdana Pro Cond Light" w:hAnsi="Verdana Pro Cond Light" w:cs="Arial"/>
          <w:lang w:val="lv-LV"/>
        </w:rPr>
        <w:t>Līdz ar straujāku AER attīstību, aizvien aktuālāks paliek jautājums par elektroenerģijas tirgus elastības nodrošināšanu un pieprasījuma apmierināšanu laikā, kad mainīgā ģenerācija no vēja un saules enerģijas nav pieejama pietiekamā daudzumā. Lai nodrošinātu energosistēmas papildu elastību, Baltijas valstīs notiek strauja elektroenerģijas tirgus attīstība, gan pārejot uz īsāku elektroenerģijas tirdzniecības periodu un organizējot biežākas izsoles, gan uzsākot darbību Baltijas balansēšanas rezervju jaudu tirgum. Vienlaikus šī situācija tirgū ir jauna, un joprojām ir atvērts jautājums kā nostabilizēsies jaunizveidotais balansēšanas tirgus.</w:t>
      </w:r>
    </w:p>
    <w:p w14:paraId="0FF8AD18" w14:textId="77777777" w:rsidR="00262896" w:rsidRPr="00A93D72" w:rsidRDefault="00262896" w:rsidP="00262896">
      <w:pPr>
        <w:widowControl/>
        <w:spacing w:after="120" w:line="240" w:lineRule="auto"/>
        <w:rPr>
          <w:rFonts w:ascii="Verdana Pro Cond Light" w:hAnsi="Verdana Pro Cond Light" w:cs="Arial"/>
          <w:lang w:val="lv-LV"/>
        </w:rPr>
      </w:pPr>
    </w:p>
    <w:p w14:paraId="52152079" w14:textId="77777777" w:rsidR="00262896" w:rsidRDefault="00262896" w:rsidP="00262896">
      <w:pPr>
        <w:widowControl/>
        <w:spacing w:after="120" w:line="240" w:lineRule="auto"/>
        <w:rPr>
          <w:rFonts w:ascii="Verdana Pro Cond Light" w:hAnsi="Verdana Pro Cond Light" w:cs="Arial"/>
          <w:b/>
          <w:bCs/>
          <w:lang w:val="lv-LV"/>
        </w:rPr>
      </w:pPr>
      <w:r w:rsidRPr="00A93D72">
        <w:rPr>
          <w:rFonts w:ascii="Verdana Pro Cond Light" w:hAnsi="Verdana Pro Cond Light" w:cs="Arial"/>
          <w:b/>
          <w:bCs/>
          <w:lang w:val="lv-LV"/>
        </w:rPr>
        <w:t>Iesaistīto pušu koordinācija</w:t>
      </w:r>
    </w:p>
    <w:p w14:paraId="0F8BA8FD" w14:textId="77777777" w:rsidR="00262896" w:rsidRPr="00A93D72" w:rsidRDefault="00262896" w:rsidP="00262896">
      <w:pPr>
        <w:widowControl/>
        <w:spacing w:after="120" w:line="240" w:lineRule="auto"/>
        <w:rPr>
          <w:rFonts w:ascii="Verdana Pro Cond Light" w:hAnsi="Verdana Pro Cond Light" w:cs="Arial"/>
          <w:lang w:val="lv-LV"/>
        </w:rPr>
      </w:pPr>
      <w:r w:rsidRPr="00A93D72">
        <w:rPr>
          <w:rFonts w:ascii="Verdana Pro Cond Light" w:hAnsi="Verdana Pro Cond Light" w:cs="Arial"/>
          <w:lang w:val="lv-LV"/>
        </w:rPr>
        <w:t>Latvijā notiek aktīvs darbs pie NEKP, kā arī tiek diskutēts par nepieciešamību noformulēt ilgtermiņa enerģētikas nozares stratēģiju, kas atvieglotu iesaistīto pušu savstarpēju koordināciju. Šobrīd nav skaidrības kā šī pušu koordinēšana tiks organizēta.</w:t>
      </w:r>
    </w:p>
    <w:p w14:paraId="7BDE9C04" w14:textId="77777777" w:rsidR="00262896" w:rsidRPr="00A93D72" w:rsidRDefault="00262896" w:rsidP="00262896">
      <w:pPr>
        <w:widowControl/>
        <w:spacing w:after="120" w:line="240" w:lineRule="auto"/>
        <w:rPr>
          <w:rFonts w:ascii="Verdana Pro Cond Light" w:hAnsi="Verdana Pro Cond Light" w:cs="Arial"/>
          <w:lang w:val="lv-LV"/>
        </w:rPr>
      </w:pPr>
      <w:r w:rsidRPr="00A93D72">
        <w:rPr>
          <w:rFonts w:ascii="Verdana Pro Cond Light" w:hAnsi="Verdana Pro Cond Light" w:cs="Arial"/>
          <w:b/>
          <w:bCs/>
          <w:u w:val="single"/>
          <w:lang w:val="lv-LV"/>
        </w:rPr>
        <w:t>Pie galvenajām top 5 darbību prioritātēm jeb virzieniem, kuros steidzami būtu nepieciešama rīcība un politikas veidotāju rīcība, no ekspertu puses</w:t>
      </w:r>
      <w:r w:rsidRPr="00A93D72">
        <w:rPr>
          <w:rFonts w:ascii="Verdana Pro Cond Light" w:hAnsi="Verdana Pro Cond Light" w:cs="Arial"/>
          <w:u w:val="single"/>
          <w:lang w:val="lv-LV"/>
        </w:rPr>
        <w:t xml:space="preserve"> </w:t>
      </w:r>
      <w:r w:rsidRPr="00A93D72">
        <w:rPr>
          <w:rFonts w:ascii="Verdana Pro Cond Light" w:hAnsi="Verdana Pro Cond Light" w:cs="Arial"/>
          <w:lang w:val="lv-LV"/>
        </w:rPr>
        <w:t>tika minēti: pārvades tīkls, starptautiskā sadarbība, pasaules izaugsme, infrastruktūra un pieprasījuma vadība</w:t>
      </w:r>
    </w:p>
    <w:p w14:paraId="261448CE" w14:textId="77777777" w:rsidR="00262896" w:rsidRDefault="00262896" w:rsidP="00262896">
      <w:pPr>
        <w:widowControl/>
        <w:spacing w:after="120" w:line="240" w:lineRule="auto"/>
        <w:rPr>
          <w:rFonts w:ascii="Verdana Pro Cond Light" w:hAnsi="Verdana Pro Cond Light" w:cs="Arial"/>
          <w:b/>
          <w:bCs/>
          <w:lang w:val="lv-LV"/>
        </w:rPr>
      </w:pPr>
      <w:r w:rsidRPr="00A93D72">
        <w:rPr>
          <w:rFonts w:ascii="Verdana Pro Cond Light" w:hAnsi="Verdana Pro Cond Light" w:cs="Arial"/>
          <w:b/>
          <w:bCs/>
          <w:lang w:val="lv-LV"/>
        </w:rPr>
        <w:t>Pārvades tīkls</w:t>
      </w:r>
    </w:p>
    <w:p w14:paraId="7339CA58" w14:textId="77777777" w:rsidR="00262896" w:rsidRDefault="00262896" w:rsidP="00262896">
      <w:pPr>
        <w:widowControl/>
        <w:spacing w:after="120" w:line="240" w:lineRule="auto"/>
        <w:rPr>
          <w:rFonts w:ascii="Verdana Pro Cond Light" w:hAnsi="Verdana Pro Cond Light" w:cs="Arial"/>
          <w:lang w:val="lv-LV"/>
        </w:rPr>
      </w:pPr>
      <w:r w:rsidRPr="00A93D72">
        <w:rPr>
          <w:rFonts w:ascii="Verdana Pro Cond Light" w:hAnsi="Verdana Pro Cond Light" w:cs="Arial"/>
          <w:lang w:val="lv-LV"/>
        </w:rPr>
        <w:t>Jautājums ir izcelts kā augsti prioritārs rīcības virziens dēļ plānotās Baltijas valstu elektroenerģijas sistēmas desinhronizācijas no BRELL tīkla projekta ieviešanas, kā arī straujas AER attīstības un tīkla kapacitātes attīstības.</w:t>
      </w:r>
    </w:p>
    <w:p w14:paraId="0B148510" w14:textId="77777777" w:rsidR="00262896" w:rsidRPr="00A93D72" w:rsidRDefault="00262896" w:rsidP="00262896">
      <w:pPr>
        <w:widowControl/>
        <w:spacing w:after="120" w:line="240" w:lineRule="auto"/>
        <w:rPr>
          <w:rFonts w:ascii="Verdana Pro Cond Light" w:hAnsi="Verdana Pro Cond Light" w:cs="Arial"/>
          <w:lang w:val="lv-LV"/>
        </w:rPr>
      </w:pPr>
    </w:p>
    <w:p w14:paraId="2D416A4A" w14:textId="77777777" w:rsidR="00262896" w:rsidRDefault="00262896" w:rsidP="00262896">
      <w:pPr>
        <w:widowControl/>
        <w:spacing w:after="120" w:line="240" w:lineRule="auto"/>
        <w:rPr>
          <w:rFonts w:ascii="Verdana Pro Cond Light" w:hAnsi="Verdana Pro Cond Light" w:cs="Arial"/>
          <w:lang w:val="lv-LV"/>
        </w:rPr>
      </w:pPr>
      <w:r w:rsidRPr="00A93D72">
        <w:rPr>
          <w:rFonts w:ascii="Verdana Pro Cond Light" w:hAnsi="Verdana Pro Cond Light" w:cs="Arial"/>
          <w:b/>
          <w:bCs/>
          <w:lang w:val="lv-LV"/>
        </w:rPr>
        <w:t>Starptautiskā sadarbība</w:t>
      </w:r>
    </w:p>
    <w:p w14:paraId="41976A8E" w14:textId="77777777" w:rsidR="00262896" w:rsidRDefault="00262896" w:rsidP="00262896">
      <w:pPr>
        <w:widowControl/>
        <w:spacing w:after="120" w:line="240" w:lineRule="auto"/>
        <w:rPr>
          <w:rFonts w:ascii="Verdana Pro Cond Light" w:hAnsi="Verdana Pro Cond Light" w:cs="Arial"/>
          <w:lang w:val="lv-LV"/>
        </w:rPr>
      </w:pPr>
      <w:r w:rsidRPr="00A93D72">
        <w:rPr>
          <w:rFonts w:ascii="Verdana Pro Cond Light" w:hAnsi="Verdana Pro Cond Light" w:cs="Arial"/>
          <w:lang w:val="lv-LV"/>
        </w:rPr>
        <w:t>Šī rīcības prioritāte ir saistīta ar Baltijas valstu sinhronizācijas projekta īstenošanu, kā arī ciešu sadarbību starp (primāri) Baltijas valstīm enerģētikas projektos, ņemot vērā ciešu savstarpēju sasaisti.</w:t>
      </w:r>
    </w:p>
    <w:p w14:paraId="68DFA2F9" w14:textId="77777777" w:rsidR="00262896" w:rsidRPr="00A93D72" w:rsidRDefault="00262896" w:rsidP="00262896">
      <w:pPr>
        <w:widowControl/>
        <w:spacing w:after="120" w:line="240" w:lineRule="auto"/>
        <w:rPr>
          <w:rFonts w:ascii="Verdana Pro Cond Light" w:hAnsi="Verdana Pro Cond Light" w:cs="Arial"/>
          <w:lang w:val="lv-LV"/>
        </w:rPr>
      </w:pPr>
    </w:p>
    <w:p w14:paraId="667C1F0B" w14:textId="77777777" w:rsidR="00262896" w:rsidRDefault="00262896" w:rsidP="00262896">
      <w:pPr>
        <w:widowControl/>
        <w:spacing w:after="120" w:line="240" w:lineRule="auto"/>
        <w:rPr>
          <w:rFonts w:ascii="Verdana Pro Cond Light" w:hAnsi="Verdana Pro Cond Light" w:cs="Arial"/>
          <w:b/>
          <w:bCs/>
          <w:lang w:val="lv-LV"/>
        </w:rPr>
      </w:pPr>
      <w:r w:rsidRPr="00A93D72">
        <w:rPr>
          <w:rFonts w:ascii="Verdana Pro Cond Light" w:hAnsi="Verdana Pro Cond Light" w:cs="Arial"/>
          <w:b/>
          <w:bCs/>
          <w:lang w:val="lv-LV"/>
        </w:rPr>
        <w:t>Pasaules izaugsme</w:t>
      </w:r>
    </w:p>
    <w:p w14:paraId="42BFDB1D" w14:textId="77777777" w:rsidR="00262896" w:rsidRDefault="00262896" w:rsidP="00262896">
      <w:pPr>
        <w:widowControl/>
        <w:spacing w:after="120" w:line="240" w:lineRule="auto"/>
        <w:rPr>
          <w:rFonts w:ascii="Verdana Pro Cond Light" w:hAnsi="Verdana Pro Cond Light" w:cs="Arial"/>
          <w:lang w:val="lv-LV"/>
        </w:rPr>
      </w:pPr>
      <w:r w:rsidRPr="00A93D72">
        <w:rPr>
          <w:rFonts w:ascii="Verdana Pro Cond Light" w:hAnsi="Verdana Pro Cond Light" w:cs="Arial"/>
          <w:lang w:val="lv-LV"/>
        </w:rPr>
        <w:t>Latvija kā maza atvērta ekonomika ļoti būtiski reaģē uz ārējiem signāliem. Pasaules ekonomikas izaugsme viennozīmīgi veicinās arī Latvijas izaugsmi.</w:t>
      </w:r>
    </w:p>
    <w:p w14:paraId="5545B383" w14:textId="77777777" w:rsidR="00262896" w:rsidRPr="00A93D72" w:rsidRDefault="00262896" w:rsidP="00262896">
      <w:pPr>
        <w:widowControl/>
        <w:spacing w:after="120" w:line="240" w:lineRule="auto"/>
        <w:rPr>
          <w:rFonts w:ascii="Verdana Pro Cond Light" w:hAnsi="Verdana Pro Cond Light" w:cs="Arial"/>
          <w:lang w:val="lv-LV"/>
        </w:rPr>
      </w:pPr>
    </w:p>
    <w:p w14:paraId="6E048978" w14:textId="77777777" w:rsidR="00262896" w:rsidRDefault="00262896" w:rsidP="00262896">
      <w:pPr>
        <w:widowControl/>
        <w:spacing w:after="120" w:line="240" w:lineRule="auto"/>
        <w:rPr>
          <w:rFonts w:ascii="Verdana Pro Cond Light" w:hAnsi="Verdana Pro Cond Light" w:cs="Arial"/>
          <w:b/>
          <w:bCs/>
          <w:lang w:val="lv-LV"/>
        </w:rPr>
      </w:pPr>
      <w:r w:rsidRPr="00A93D72">
        <w:rPr>
          <w:rFonts w:ascii="Verdana Pro Cond Light" w:hAnsi="Verdana Pro Cond Light" w:cs="Arial"/>
          <w:b/>
          <w:bCs/>
          <w:lang w:val="lv-LV"/>
        </w:rPr>
        <w:t>Infrastruktūra</w:t>
      </w:r>
    </w:p>
    <w:p w14:paraId="3F1ABB7A" w14:textId="77777777" w:rsidR="00262896" w:rsidRDefault="00262896" w:rsidP="00262896">
      <w:pPr>
        <w:widowControl/>
        <w:spacing w:after="120" w:line="240" w:lineRule="auto"/>
        <w:rPr>
          <w:rFonts w:ascii="Verdana Pro Cond Light" w:hAnsi="Verdana Pro Cond Light" w:cs="Arial"/>
          <w:lang w:val="lv-LV"/>
        </w:rPr>
      </w:pPr>
      <w:r w:rsidRPr="00A93D72">
        <w:rPr>
          <w:rFonts w:ascii="Verdana Pro Cond Light" w:hAnsi="Verdana Pro Cond Light" w:cs="Arial"/>
          <w:lang w:val="lv-LV"/>
        </w:rPr>
        <w:t>Infrastruktūras attīstība ir izcelta kā būtiska prioritāte gan AER plašākai integrēšanai tīklā, gan sinhronizācijai ar Eiropas tīkliem.</w:t>
      </w:r>
    </w:p>
    <w:p w14:paraId="7F970CF6" w14:textId="77777777" w:rsidR="00262896" w:rsidRPr="00A93D72" w:rsidRDefault="00262896" w:rsidP="00262896">
      <w:pPr>
        <w:widowControl/>
        <w:spacing w:after="120" w:line="240" w:lineRule="auto"/>
        <w:rPr>
          <w:rFonts w:ascii="Verdana Pro Cond Light" w:hAnsi="Verdana Pro Cond Light" w:cs="Arial"/>
          <w:lang w:val="lv-LV"/>
        </w:rPr>
      </w:pPr>
    </w:p>
    <w:p w14:paraId="60D92ACF" w14:textId="77777777" w:rsidR="00262896" w:rsidRDefault="00262896" w:rsidP="00262896">
      <w:pPr>
        <w:widowControl/>
        <w:spacing w:after="120" w:line="240" w:lineRule="auto"/>
        <w:rPr>
          <w:rFonts w:ascii="Verdana Pro Cond Light" w:hAnsi="Verdana Pro Cond Light" w:cs="Arial"/>
          <w:lang w:val="lv-LV"/>
        </w:rPr>
      </w:pPr>
      <w:r w:rsidRPr="00A93D72">
        <w:rPr>
          <w:rFonts w:ascii="Verdana Pro Cond Light" w:hAnsi="Verdana Pro Cond Light" w:cs="Arial"/>
          <w:b/>
          <w:bCs/>
          <w:lang w:val="lv-LV"/>
        </w:rPr>
        <w:t>Pieprasījuma vadība</w:t>
      </w:r>
    </w:p>
    <w:p w14:paraId="064C2158" w14:textId="77777777" w:rsidR="00262896" w:rsidRPr="00102C7C" w:rsidRDefault="00262896" w:rsidP="00262896">
      <w:pPr>
        <w:widowControl/>
        <w:spacing w:after="120" w:line="240" w:lineRule="auto"/>
        <w:rPr>
          <w:rFonts w:ascii="Verdana Pro Cond Light" w:hAnsi="Verdana Pro Cond Light" w:cs="Arial"/>
          <w:lang w:val="lv-LV"/>
        </w:rPr>
      </w:pPr>
      <w:r w:rsidRPr="00A93D72">
        <w:rPr>
          <w:rFonts w:ascii="Verdana Pro Cond Light" w:hAnsi="Verdana Pro Cond Light" w:cs="Arial"/>
          <w:lang w:val="lv-LV"/>
        </w:rPr>
        <w:t>Eksperti atzīst, ka elektroenerģijas tirgus elastības nodrošināšanai un efektīvai</w:t>
      </w:r>
      <w:r w:rsidRPr="00102C7C">
        <w:rPr>
          <w:rFonts w:ascii="Verdana Pro Cond Light" w:hAnsi="Verdana Pro Cond Light" w:cs="Arial"/>
          <w:lang w:val="lv-LV"/>
        </w:rPr>
        <w:t xml:space="preserve"> balansēšanas tirgus darbībai ir būtiska nozīme gan augstu elektroenerģijas cenu novēršanai pieprasījuma pīķa stundās, gan arī CO2 mazināšanai. Svarīgi nodrošināt labvēlīgu regulējuma ietvaru pieprasījuma vadības turpmākai attīstībai</w:t>
      </w:r>
    </w:p>
    <w:p w14:paraId="31A7CDCA" w14:textId="77777777" w:rsidR="00262896" w:rsidRPr="00102C7C" w:rsidRDefault="00262896" w:rsidP="00262896">
      <w:pPr>
        <w:widowControl/>
        <w:spacing w:after="120" w:line="240" w:lineRule="auto"/>
        <w:rPr>
          <w:rFonts w:ascii="Verdana Pro Cond Light" w:hAnsi="Verdana Pro Cond Light" w:cs="Arial"/>
          <w:lang w:val="lv-LV"/>
        </w:rPr>
      </w:pPr>
      <w:r w:rsidRPr="00102C7C">
        <w:rPr>
          <w:rFonts w:ascii="Verdana Pro Cond Light" w:hAnsi="Verdana Pro Cond Light" w:cs="Arial"/>
          <w:lang w:val="lv-LV"/>
        </w:rPr>
        <w:t xml:space="preserve">Runājot par situāciju Eiropas reģionā, nav pārsteidzoši, ka, izceļoties starp citiem pasaules reģioniem un pasaules vidējo rādītāju, ne tikai Latvijas, bet arī Eiropas monitoringa pētījumā iezīmētais augstākais kritiskais nenoteiktības faktors ir risks mieram (1.3. attēls). Vienlaikus šis </w:t>
      </w:r>
      <w:r w:rsidRPr="00102C7C">
        <w:rPr>
          <w:rFonts w:ascii="Verdana Pro Cond Light" w:hAnsi="Verdana Pro Cond Light" w:cs="Arial"/>
          <w:lang w:val="lv-LV"/>
        </w:rPr>
        <w:lastRenderedPageBreak/>
        <w:t>faktors ir cieši saistīts ar citām kritiskām nenoteiktībām, piemēram, piegādes ķēdēm un preču cenām. Kā nenoteiktība Eiropas reģionā ir minēta arī pielāgošanās klimata izaicinājumiem.</w:t>
      </w:r>
    </w:p>
    <w:p w14:paraId="0D8E874B" w14:textId="77777777" w:rsidR="00262896" w:rsidRPr="00A93D72" w:rsidRDefault="00262896" w:rsidP="00262896">
      <w:pPr>
        <w:widowControl/>
        <w:spacing w:before="120" w:after="120" w:line="240" w:lineRule="auto"/>
        <w:ind w:left="357"/>
        <w:jc w:val="right"/>
        <w:rPr>
          <w:rFonts w:ascii="Verdana Pro Cond Light" w:hAnsi="Verdana Pro Cond Light"/>
          <w:szCs w:val="20"/>
          <w:lang w:val="lv-LV"/>
        </w:rPr>
      </w:pPr>
      <w:r w:rsidRPr="00A93D72">
        <w:rPr>
          <w:rFonts w:ascii="Verdana Pro Cond Light" w:hAnsi="Verdana Pro Cond Light"/>
          <w:szCs w:val="20"/>
          <w:lang w:val="lv-LV"/>
        </w:rPr>
        <w:t>1.3. attēls</w:t>
      </w:r>
    </w:p>
    <w:p w14:paraId="2FE8F19C" w14:textId="4582B381" w:rsidR="00262896" w:rsidRDefault="00262896" w:rsidP="00262896">
      <w:pPr>
        <w:widowControl/>
        <w:spacing w:line="240" w:lineRule="auto"/>
        <w:jc w:val="center"/>
        <w:rPr>
          <w:rFonts w:ascii="Verdana Pro Cond Light" w:hAnsi="Verdana Pro Cond Light" w:cs="Arial"/>
          <w:b/>
          <w:bCs/>
          <w:lang w:val="lv-LV"/>
        </w:rPr>
      </w:pPr>
      <w:r>
        <w:rPr>
          <w:rFonts w:ascii="Verdana Pro Cond Light" w:hAnsi="Verdana Pro Cond Light" w:cs="Arial"/>
          <w:b/>
          <w:bCs/>
          <w:lang w:val="lv-LV"/>
        </w:rPr>
        <w:t>Eiropa</w:t>
      </w:r>
    </w:p>
    <w:tbl>
      <w:tblPr>
        <w:tblStyle w:val="TableGrid"/>
        <w:tblW w:w="96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
        <w:gridCol w:w="9184"/>
      </w:tblGrid>
      <w:tr w:rsidR="00262896" w:rsidRPr="009B6177" w14:paraId="329F62D7" w14:textId="77777777" w:rsidTr="00E2157A">
        <w:tc>
          <w:tcPr>
            <w:tcW w:w="454" w:type="dxa"/>
          </w:tcPr>
          <w:p w14:paraId="1689AB57" w14:textId="77777777" w:rsidR="00262896" w:rsidRPr="009B6177" w:rsidRDefault="00262896" w:rsidP="0002297E">
            <w:pPr>
              <w:widowControl/>
              <w:spacing w:after="0" w:line="240" w:lineRule="auto"/>
              <w:jc w:val="center"/>
              <w:rPr>
                <w:rFonts w:ascii="Calibri Light" w:hAnsi="Calibri Light" w:cs="Calibri Light"/>
                <w:sz w:val="16"/>
                <w:szCs w:val="16"/>
                <w:lang w:val="lv-LV"/>
              </w:rPr>
            </w:pPr>
          </w:p>
        </w:tc>
        <w:tc>
          <w:tcPr>
            <w:tcW w:w="9184" w:type="dxa"/>
          </w:tcPr>
          <w:p w14:paraId="3A7EEEE4" w14:textId="77777777" w:rsidR="00262896" w:rsidRPr="009B6177" w:rsidRDefault="00262896" w:rsidP="0002297E">
            <w:pPr>
              <w:widowControl/>
              <w:spacing w:after="0" w:line="240" w:lineRule="auto"/>
              <w:jc w:val="center"/>
              <w:rPr>
                <w:rFonts w:ascii="Calibri Light" w:hAnsi="Calibri Light" w:cs="Calibri Light"/>
                <w:sz w:val="16"/>
                <w:szCs w:val="16"/>
                <w:lang w:val="lv-LV"/>
              </w:rPr>
            </w:pPr>
          </w:p>
        </w:tc>
      </w:tr>
      <w:tr w:rsidR="00262896" w:rsidRPr="009B6177" w14:paraId="71459875" w14:textId="77777777" w:rsidTr="00E2157A">
        <w:trPr>
          <w:cantSplit/>
          <w:trHeight w:val="1134"/>
        </w:trPr>
        <w:tc>
          <w:tcPr>
            <w:tcW w:w="454" w:type="dxa"/>
            <w:textDirection w:val="btLr"/>
          </w:tcPr>
          <w:p w14:paraId="279FACEC" w14:textId="77777777" w:rsidR="00262896" w:rsidRPr="009B6177" w:rsidRDefault="00262896" w:rsidP="0002297E">
            <w:pPr>
              <w:widowControl/>
              <w:spacing w:after="0" w:line="240" w:lineRule="auto"/>
              <w:jc w:val="center"/>
              <w:rPr>
                <w:rFonts w:ascii="Calibri Light" w:hAnsi="Calibri Light" w:cs="Calibri Light"/>
                <w:sz w:val="16"/>
                <w:szCs w:val="16"/>
                <w:lang w:val="lv-LV"/>
              </w:rPr>
            </w:pPr>
            <w:r w:rsidRPr="009B6177">
              <w:rPr>
                <w:rFonts w:ascii="Calibri Light" w:hAnsi="Calibri Light" w:cs="Calibri Light"/>
                <w:sz w:val="16"/>
                <w:szCs w:val="16"/>
                <w:lang w:val="lv-LV"/>
              </w:rPr>
              <w:t>Nenoteiktība</w:t>
            </w:r>
          </w:p>
        </w:tc>
        <w:tc>
          <w:tcPr>
            <w:tcW w:w="9184" w:type="dxa"/>
          </w:tcPr>
          <w:p w14:paraId="33B992E8" w14:textId="69D0D207" w:rsidR="00262896" w:rsidRPr="009B6177" w:rsidRDefault="000F2E93" w:rsidP="0002297E">
            <w:pPr>
              <w:widowControl/>
              <w:spacing w:after="0" w:line="240" w:lineRule="auto"/>
              <w:rPr>
                <w:rFonts w:ascii="Calibri Light" w:hAnsi="Calibri Light" w:cs="Calibri Light"/>
                <w:sz w:val="16"/>
                <w:szCs w:val="16"/>
                <w:lang w:val="lv-LV"/>
              </w:rPr>
            </w:pPr>
            <w:r>
              <w:rPr>
                <w:noProof/>
                <w14:ligatures w14:val="standardContextual"/>
              </w:rPr>
              <mc:AlternateContent>
                <mc:Choice Requires="wps">
                  <w:drawing>
                    <wp:anchor distT="0" distB="0" distL="114300" distR="114300" simplePos="0" relativeHeight="251658332" behindDoc="0" locked="0" layoutInCell="1" allowOverlap="1" wp14:anchorId="0B163BED" wp14:editId="30F75616">
                      <wp:simplePos x="0" y="0"/>
                      <wp:positionH relativeFrom="column">
                        <wp:posOffset>645516</wp:posOffset>
                      </wp:positionH>
                      <wp:positionV relativeFrom="paragraph">
                        <wp:posOffset>1970786</wp:posOffset>
                      </wp:positionV>
                      <wp:extent cx="900000" cy="167570"/>
                      <wp:effectExtent l="0" t="0" r="14605" b="4445"/>
                      <wp:wrapNone/>
                      <wp:docPr id="32662582" name="Text Box 2"/>
                      <wp:cNvGraphicFramePr/>
                      <a:graphic xmlns:a="http://schemas.openxmlformats.org/drawingml/2006/main">
                        <a:graphicData uri="http://schemas.microsoft.com/office/word/2010/wordprocessingShape">
                          <wps:wsp>
                            <wps:cNvSpPr txBox="1"/>
                            <wps:spPr>
                              <a:xfrm>
                                <a:off x="0" y="0"/>
                                <a:ext cx="900000" cy="167570"/>
                              </a:xfrm>
                              <a:prstGeom prst="rect">
                                <a:avLst/>
                              </a:prstGeom>
                              <a:noFill/>
                              <a:ln w="6350">
                                <a:noFill/>
                              </a:ln>
                            </wps:spPr>
                            <wps:txbx>
                              <w:txbxContent>
                                <w:p w14:paraId="491C6326" w14:textId="15535FD0" w:rsidR="00B06983" w:rsidRPr="009B6177" w:rsidRDefault="00B06983" w:rsidP="001870B0">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Mākslīgais intelekts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B163BED" id="_x0000_s1057" type="#_x0000_t202" style="position:absolute;margin-left:50.85pt;margin-top:155.2pt;width:70.85pt;height:13.2pt;z-index:2516583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wpxLgIAAFEEAAAOAAAAZHJzL2Uyb0RvYy54bWysVN9v2jAQfp+0/8Hy+0hIBe0iQsVaMU1C&#10;bSWY+mwcm0SyfZ5tSNhfv7ND6NTtaRoP5ny/fPd9d1nc91qRk3C+BVPR6SSnRBgOdWsOFf2+W3+6&#10;o8QHZmqmwIiKnoWn98uPHxadLUUBDahaOIJJjC87W9EmBFtmmeeN0MxPwAqDRglOs4BXd8hqxzrM&#10;rlVW5Pk868DV1gEX3qP2cTDSZcovpeDhWUovAlEVxdpCOl069/HMlgtWHhyzTcsvZbB/qEKz1uCj&#10;11SPLDBydO0fqXTLHXiQYcJBZyBly0XqAbuZ5u+62TbMitQLguPtFSb//9Lyp9OLI21d0ZtiPi9m&#10;dwUlhmlkaif6QL5AT4oIUmd9ib5bi96hRzWSPeo9KmPvvXQ6/mNXBO0I9/kKcUzGUfk5jz9KOJqm&#10;89vZbaIgewu2zoevAjSJQkUdMpiAZaeND1gIuo4u8S0D61apxKIypKvo/GaWp4CrBSOUwcDYwlBq&#10;lEK/71Pfxd3Yxx7qM7bnYJgSb/m6xSI2zIcX5nAssG4c9fCMh1SAj8FFoqQB9/Nv+uiPbKGVkg7H&#10;rKL+x5E5QYn6ZpDHOJOj4EZhPwrmqB8AJ3eKS2R5EjHABTWK0oF+xQ1YxVfQxAzHtyrKgxsvD2EY&#10;d9whLlar5IazZ1nYmK3lMXkEMoK661+ZsxfkA1L2BOMIsvIdAYPvQMHqGEC2iZ0I7YDjBXGc20Ta&#10;ZcfiYvx+T15vX4LlLwAAAP//AwBQSwMEFAAGAAgAAAAhANbIf8bhAAAACwEAAA8AAABkcnMvZG93&#10;bnJldi54bWxMj8FOwzAQRO9I/IO1SNyonaYqVYhTISRKQQKJlg9w422SJl5HsZuGv2c5wW1ndzT7&#10;Jl9PrhMjDqHxpCGZKRBIpbcNVRq+9s93KxAhGrKm84QavjHAuri+yk1m/YU+cdzFSnAIhcxoqGPs&#10;MylDWaMzYeZ7JL4d/eBMZDlU0g7mwuGuk3OlltKZhvhDbXp8qrFsd2enYdMck/3H2FZ93b6+bN62&#10;76ftKWp9ezM9PoCIOMU/M/ziMzoUzHTwZ7JBdKxVcs9WDWmiFiDYMV+kPBx4ky5XIItc/u9Q/AAA&#10;AP//AwBQSwECLQAUAAYACAAAACEAtoM4kv4AAADhAQAAEwAAAAAAAAAAAAAAAAAAAAAAW0NvbnRl&#10;bnRfVHlwZXNdLnhtbFBLAQItABQABgAIAAAAIQA4/SH/1gAAAJQBAAALAAAAAAAAAAAAAAAAAC8B&#10;AABfcmVscy8ucmVsc1BLAQItABQABgAIAAAAIQCMYwpxLgIAAFEEAAAOAAAAAAAAAAAAAAAAAC4C&#10;AABkcnMvZTJvRG9jLnhtbFBLAQItABQABgAIAAAAIQDWyH/G4QAAAAsBAAAPAAAAAAAAAAAAAAAA&#10;AIgEAABkcnMvZG93bnJldi54bWxQSwUGAAAAAAQABADzAAAAlgUAAAAA&#10;" filled="f" stroked="f" strokeweight=".5pt">
                      <v:textbox inset="0,0,0,0">
                        <w:txbxContent>
                          <w:p w14:paraId="491C6326" w14:textId="15535FD0" w:rsidR="00B06983" w:rsidRPr="009B6177" w:rsidRDefault="00B06983" w:rsidP="001870B0">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Mākslīgais intelekts</w:t>
                            </w:r>
                          </w:p>
                        </w:txbxContent>
                      </v:textbox>
                    </v:shape>
                  </w:pict>
                </mc:Fallback>
              </mc:AlternateContent>
            </w:r>
            <w:r>
              <w:rPr>
                <w:noProof/>
                <w14:ligatures w14:val="standardContextual"/>
              </w:rPr>
              <mc:AlternateContent>
                <mc:Choice Requires="wps">
                  <w:drawing>
                    <wp:anchor distT="0" distB="0" distL="114300" distR="114300" simplePos="0" relativeHeight="251658331" behindDoc="0" locked="0" layoutInCell="1" allowOverlap="1" wp14:anchorId="24B3944F" wp14:editId="6E72422A">
                      <wp:simplePos x="0" y="0"/>
                      <wp:positionH relativeFrom="column">
                        <wp:posOffset>1619250</wp:posOffset>
                      </wp:positionH>
                      <wp:positionV relativeFrom="paragraph">
                        <wp:posOffset>1751965</wp:posOffset>
                      </wp:positionV>
                      <wp:extent cx="540000" cy="167570"/>
                      <wp:effectExtent l="0" t="0" r="12700" b="4445"/>
                      <wp:wrapNone/>
                      <wp:docPr id="78069306" name="Text Box 2"/>
                      <wp:cNvGraphicFramePr/>
                      <a:graphic xmlns:a="http://schemas.openxmlformats.org/drawingml/2006/main">
                        <a:graphicData uri="http://schemas.microsoft.com/office/word/2010/wordprocessingShape">
                          <wps:wsp>
                            <wps:cNvSpPr txBox="1"/>
                            <wps:spPr>
                              <a:xfrm>
                                <a:off x="0" y="0"/>
                                <a:ext cx="540000" cy="167570"/>
                              </a:xfrm>
                              <a:prstGeom prst="rect">
                                <a:avLst/>
                              </a:prstGeom>
                              <a:noFill/>
                              <a:ln w="6350">
                                <a:noFill/>
                              </a:ln>
                            </wps:spPr>
                            <wps:txbx>
                              <w:txbxContent>
                                <w:p w14:paraId="38425566" w14:textId="1C17AF9F" w:rsidR="00B06983" w:rsidRPr="009B6177" w:rsidRDefault="00B06983" w:rsidP="001870B0">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Darbaspēks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4B3944F" id="_x0000_s1058" type="#_x0000_t202" style="position:absolute;margin-left:127.5pt;margin-top:137.95pt;width:42.5pt;height:13.2pt;z-index:25165833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u/eLwIAAFEEAAAOAAAAZHJzL2Uyb0RvYy54bWysVN9v2jAQfp+0/8Hy+0igA9qIULFWTJNQ&#10;WwmmPhvHJpFsn2cbEvbX7+wQOnV7msaDOd8v333fXRb3nVbkJJxvwJR0PMopEYZD1ZhDSb/v1p9u&#10;KfGBmYopMKKkZ+Hp/fLjh0VrCzGBGlQlHMEkxhetLWkdgi2yzPNaaOZHYIVBowSnWcCrO2SVYy1m&#10;1yqb5Pksa8FV1gEX3qP2sTfSZcovpeDhWUovAlElxdpCOl069/HMlgtWHByzdcMvZbB/qEKzxuCj&#10;11SPLDBydM0fqXTDHXiQYcRBZyBlw0XqAbsZ5++62dbMitQLguPtFSb//9Lyp9OLI01V0vltPru7&#10;yWeUGKaRqZ3oAvkCHZlEkFrrC/TdWvQOHaqR7EHvURl776TT8R+7ImhHuM9XiGMyjsrp5xx/lHA0&#10;jWfz6TxRkL0FW+fDVwGaRKGkDhlMwLLTxgcsBF0Hl/iWgXWjVGJRGdKWdHYzzVPA1YIRymBgbKEv&#10;NUqh23ep78nd0MceqjO256CfEm/5usEiNsyHF+ZwLLBuHPXwjIdUgI/BRaKkBvfzb/roj2yhlZIW&#10;x6yk/seROUGJ+maQxziTg+AGYT8I5qgfACd3jEtkeRIxwAU1iNKBfsUNWMVX0MQMx7dKyoMbLg+h&#10;H3fcIS5Wq+SGs2dZ2Jit5TF5BDKCuutembMX5ANS9gTDCLLiHQG9b0/B6hhANomdCG2P4wVxnNtE&#10;2mXH4mL8fk9eb1+C5S8AAAD//wMAUEsDBBQABgAIAAAAIQC7ywqY4gAAAAsBAAAPAAAAZHJzL2Rv&#10;d25yZXYueG1sTI/NTsMwEITvSLyDtUjcqN2U8BPiVAiJUpBAouUB3HibpInXUeym4e1ZTnCb3R3N&#10;fpMvJ9eJEYfQeNIwnykQSKW3DVUavrbPV3cgQjRkTecJNXxjgGVxfpabzPoTfeK4iZXgEAqZ0VDH&#10;2GdShrJGZ8LM90h82/vBmcjjUEk7mBOHu04mSt1IZxriD7Xp8anGst0cnYZVs59vP8a26uv29WX1&#10;tn4/rA9R68uL6fEBRMQp/pnhF5/RoWCmnT+SDaLTkKQpd4ksbtN7EOxYXCve7FioZAGyyOX/DsUP&#10;AAAA//8DAFBLAQItABQABgAIAAAAIQC2gziS/gAAAOEBAAATAAAAAAAAAAAAAAAAAAAAAABbQ29u&#10;dGVudF9UeXBlc10ueG1sUEsBAi0AFAAGAAgAAAAhADj9If/WAAAAlAEAAAsAAAAAAAAAAAAAAAAA&#10;LwEAAF9yZWxzLy5yZWxzUEsBAi0AFAAGAAgAAAAhAOK+794vAgAAUQQAAA4AAAAAAAAAAAAAAAAA&#10;LgIAAGRycy9lMm9Eb2MueG1sUEsBAi0AFAAGAAgAAAAhALvLCpjiAAAACwEAAA8AAAAAAAAAAAAA&#10;AAAAiQQAAGRycy9kb3ducmV2LnhtbFBLBQYAAAAABAAEAPMAAACYBQAAAAA=&#10;" filled="f" stroked="f" strokeweight=".5pt">
                      <v:textbox inset="0,0,0,0">
                        <w:txbxContent>
                          <w:p w14:paraId="38425566" w14:textId="1C17AF9F" w:rsidR="00B06983" w:rsidRPr="009B6177" w:rsidRDefault="00B06983" w:rsidP="001870B0">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Darbaspēks</w:t>
                            </w:r>
                          </w:p>
                        </w:txbxContent>
                      </v:textbox>
                    </v:shape>
                  </w:pict>
                </mc:Fallback>
              </mc:AlternateContent>
            </w:r>
            <w:r>
              <w:rPr>
                <w:noProof/>
                <w14:ligatures w14:val="standardContextual"/>
              </w:rPr>
              <mc:AlternateContent>
                <mc:Choice Requires="wps">
                  <w:drawing>
                    <wp:anchor distT="0" distB="0" distL="114300" distR="114300" simplePos="0" relativeHeight="251658330" behindDoc="0" locked="0" layoutInCell="1" allowOverlap="1" wp14:anchorId="2AE16563" wp14:editId="5AFE61CC">
                      <wp:simplePos x="0" y="0"/>
                      <wp:positionH relativeFrom="column">
                        <wp:posOffset>1784020</wp:posOffset>
                      </wp:positionH>
                      <wp:positionV relativeFrom="paragraph">
                        <wp:posOffset>2086610</wp:posOffset>
                      </wp:positionV>
                      <wp:extent cx="1080000" cy="167570"/>
                      <wp:effectExtent l="0" t="0" r="6350" b="4445"/>
                      <wp:wrapNone/>
                      <wp:docPr id="50107937" name="Text Box 2"/>
                      <wp:cNvGraphicFramePr/>
                      <a:graphic xmlns:a="http://schemas.openxmlformats.org/drawingml/2006/main">
                        <a:graphicData uri="http://schemas.microsoft.com/office/word/2010/wordprocessingShape">
                          <wps:wsp>
                            <wps:cNvSpPr txBox="1"/>
                            <wps:spPr>
                              <a:xfrm>
                                <a:off x="0" y="0"/>
                                <a:ext cx="1080000" cy="167570"/>
                              </a:xfrm>
                              <a:prstGeom prst="rect">
                                <a:avLst/>
                              </a:prstGeom>
                              <a:noFill/>
                              <a:ln w="6350">
                                <a:noFill/>
                              </a:ln>
                            </wps:spPr>
                            <wps:txbx>
                              <w:txbxContent>
                                <w:p w14:paraId="7B3A282B" w14:textId="2545FF33" w:rsidR="00B06983" w:rsidRPr="009B6177" w:rsidRDefault="00B06983" w:rsidP="001870B0">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Iekšzemes izaugsme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AE16563" id="_x0000_s1059" type="#_x0000_t202" style="position:absolute;margin-left:140.45pt;margin-top:164.3pt;width:85.05pt;height:13.2pt;z-index:25165833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geoKwIAAFIEAAAOAAAAZHJzL2Uyb0RvYy54bWysVE2P2jAQvVfqf7B8LwkgYBsRVnRXVJVW&#10;uytBtWfj2CSS7XFtQ0J/fccOgWrbU1UOZjzf8944y/tOK3ISzjdgSjoe5ZQIw6FqzKGk33ebT3eU&#10;+MBMxRQYUdKz8PR+9fHDsrWFmEANqhKOYBLji9aWtA7BFlnmeS008yOwwqBRgtMs4NUdssqxFrNr&#10;lU3yfJ614CrrgAvvUfvYG+kq5ZdS8PAipReBqJJibyGdLp37eGarJSsOjtm64Zc22D90oVljsOg1&#10;1SMLjBxd80cq3XAHHmQYcdAZSNlwkWbAacb5u2m2NbMizYLgeHuFyf+/tPz59OpIU5V0hvUXn6cL&#10;SgzTyNROdIF8gY5MIkit9QX6bi16hw7VSPag96iMs3fS6fiPUxG0I9znK8QxGY9B+V2OP0o42sbz&#10;xWyROMhu0db58FWAJlEoqUMKE7Ls9OQDdoKug0ssZmDTKJVoVIa0JZ1PZ3kKuFowQhkMjDP0vUYp&#10;dPsuDT5NHUTVHqozzuegXxNv+abBJp6YD6/M4V5g37jr4QUPqQCLwUWipAb382/66I90oZWSFves&#10;pP7HkTlBifpmkMi4lIPgBmE/COaoHwBXd4yvyPIkYoALahClA/2GT2Adq6CJGY61SsqDGy4Pod93&#10;fERcrNfJDZfPsvBktpbH5BHICOque2POXpAPyNkzDDvIincE9L49BetjANkkdm44XhDHxU2kXR5Z&#10;fBm/35PX7VOw+gUAAP//AwBQSwMEFAAGAAgAAAAhAB4XvXThAAAACwEAAA8AAABkcnMvZG93bnJl&#10;di54bWxMj0FOwzAQRfdI3MEaJHbUTiBVCHEqhEQpSCDRcgA3duM08TiK3TTcnmEFy5l5+vN+uZpd&#10;zyYzhtajhGQhgBmsvW6xkfC1e77JgYWoUKveo5HwbQKsqsuLUhXan/HTTNvYMArBUCgJNsah4DzU&#10;1jgVFn4wSLeDH52KNI4N16M6U7jreSrEkjvVIn2wajBP1tTd9uQkrNtDsvuYumaw3evL+m3zftwc&#10;o5TXV/PjA7Bo5vgHw68+qUNFTnt/Qh1YLyHNxT2hEm7TfAmMiLssoXZ72mSZAF6V/H+H6gcAAP//&#10;AwBQSwECLQAUAAYACAAAACEAtoM4kv4AAADhAQAAEwAAAAAAAAAAAAAAAAAAAAAAW0NvbnRlbnRf&#10;VHlwZXNdLnhtbFBLAQItABQABgAIAAAAIQA4/SH/1gAAAJQBAAALAAAAAAAAAAAAAAAAAC8BAABf&#10;cmVscy8ucmVsc1BLAQItABQABgAIAAAAIQA8UgeoKwIAAFIEAAAOAAAAAAAAAAAAAAAAAC4CAABk&#10;cnMvZTJvRG9jLnhtbFBLAQItABQABgAIAAAAIQAeF7104QAAAAsBAAAPAAAAAAAAAAAAAAAAAIUE&#10;AABkcnMvZG93bnJldi54bWxQSwUGAAAAAAQABADzAAAAkwUAAAAA&#10;" filled="f" stroked="f" strokeweight=".5pt">
                      <v:textbox inset="0,0,0,0">
                        <w:txbxContent>
                          <w:p w14:paraId="7B3A282B" w14:textId="2545FF33" w:rsidR="00B06983" w:rsidRPr="009B6177" w:rsidRDefault="00B06983" w:rsidP="001870B0">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Iekšzemes izaugsme</w:t>
                            </w:r>
                          </w:p>
                        </w:txbxContent>
                      </v:textbox>
                    </v:shape>
                  </w:pict>
                </mc:Fallback>
              </mc:AlternateContent>
            </w:r>
            <w:r>
              <w:rPr>
                <w:noProof/>
                <w14:ligatures w14:val="standardContextual"/>
              </w:rPr>
              <mc:AlternateContent>
                <mc:Choice Requires="wps">
                  <w:drawing>
                    <wp:anchor distT="0" distB="0" distL="114300" distR="114300" simplePos="0" relativeHeight="251658329" behindDoc="0" locked="0" layoutInCell="1" allowOverlap="1" wp14:anchorId="5D4C973A" wp14:editId="3A0CA860">
                      <wp:simplePos x="0" y="0"/>
                      <wp:positionH relativeFrom="column">
                        <wp:posOffset>1881200</wp:posOffset>
                      </wp:positionH>
                      <wp:positionV relativeFrom="paragraph">
                        <wp:posOffset>2374265</wp:posOffset>
                      </wp:positionV>
                      <wp:extent cx="1080000" cy="167570"/>
                      <wp:effectExtent l="0" t="0" r="6350" b="4445"/>
                      <wp:wrapNone/>
                      <wp:docPr id="457537666" name="Text Box 2"/>
                      <wp:cNvGraphicFramePr/>
                      <a:graphic xmlns:a="http://schemas.openxmlformats.org/drawingml/2006/main">
                        <a:graphicData uri="http://schemas.microsoft.com/office/word/2010/wordprocessingShape">
                          <wps:wsp>
                            <wps:cNvSpPr txBox="1"/>
                            <wps:spPr>
                              <a:xfrm>
                                <a:off x="0" y="0"/>
                                <a:ext cx="1080000" cy="167570"/>
                              </a:xfrm>
                              <a:prstGeom prst="rect">
                                <a:avLst/>
                              </a:prstGeom>
                              <a:noFill/>
                              <a:ln w="6350">
                                <a:noFill/>
                              </a:ln>
                            </wps:spPr>
                            <wps:txbx>
                              <w:txbxContent>
                                <w:p w14:paraId="1D80615D" w14:textId="7C56ACD0" w:rsidR="00B06983" w:rsidRPr="009B6177" w:rsidRDefault="00B06983" w:rsidP="001870B0">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Pārtika-enerģija-ūdens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D4C973A" id="_x0000_s1060" type="#_x0000_t202" style="position:absolute;margin-left:148.15pt;margin-top:186.95pt;width:85.05pt;height:13.2pt;z-index:2516583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WBGLgIAAFMEAAAOAAAAZHJzL2Uyb0RvYy54bWysVE2P2jAQvVfqf7B8LwlQYBURVnRXVJXQ&#10;7kpQ7dk4Nolke1zbkNBf37FD2GrbU1UOZuz5fm8my/tOK3IWzjdgSjoe5ZQIw6FqzLGk3/ebT3eU&#10;+MBMxRQYUdKL8PR+9fHDsrWFmEANqhKOYBDji9aWtA7BFlnmeS008yOwwqBSgtMs4NUds8qxFqNr&#10;lU3yfJ614CrrgAvv8fWxV9JVii+l4OFZSi8CUSXF2kI6XToP8cxWS1YcHbN1w69lsH+oQrPGYNJb&#10;qEcWGDm55o9QuuEOPMgw4qAzkLLhIvWA3Yzzd93samZF6gXB8fYGk/9/YfnT+cWRpirp59liNl3M&#10;53NKDNNI1V50gXyBjkwiSq31BRrvLJqHDp+R7eHd42NsvpNOx39si6Ae8b7cMI7BeHTK73L8UcJR&#10;N54vZotEQvbmbZ0PXwVoEoWSOuQwQcvOWx+wEjQdTGIyA5tGqcSjMqQt6Xw6y5PDTYMeyqBj7KGv&#10;NUqhO3Sp8+mtkQNUF+zPQT8n3vJNg0VsmQ8vzOFgYN047OEZD6kAk8FVoqQG9/Nv79Ee+UItJS0O&#10;Wkn9jxNzghL1zSCTcSoHwQ3CYRDMST8Azu4Y18jyJKKDC2oQpQP9ijuwjllQxQzHXCXlwQ2Xh9AP&#10;PG4RF+t1MsPpsyxszc7yGDwCGUHdd6/M2SvyATl7gmEIWfGOgN62p2B9CiCbxE6EtsfxijhObiLt&#10;umVxNX6/J6u3b8HqFwAAAP//AwBQSwMEFAAGAAgAAAAhAP8LoT/jAAAACwEAAA8AAABkcnMvZG93&#10;bnJldi54bWxMj0FOwzAQRfdI3MEaJHbUblOFNsSpEBKlVAKJtgdw42mcJraj2E3D7RlWsJvRPP15&#10;P1+NtmUD9qH2TsJ0IoChK72uXSXhsH99WAALUTmtWu9QwjcGWBW3N7nKtL+6Lxx2sWIU4kKmJJgY&#10;u4zzUBq0Kkx8h45uJ99bFWntK657daVw2/KZECm3qnb0wagOXwyWze5iJazr03T/OTRVZ5r3t/V2&#10;83HenKOU93fj8xOwiGP8g+FXn9ShIKejvzgdWCthtkwTQiUkj8kSGBHzNJ0DO9IgRAK8yPn/DsUP&#10;AAAA//8DAFBLAQItABQABgAIAAAAIQC2gziS/gAAAOEBAAATAAAAAAAAAAAAAAAAAAAAAABbQ29u&#10;dGVudF9UeXBlc10ueG1sUEsBAi0AFAAGAAgAAAAhADj9If/WAAAAlAEAAAsAAAAAAAAAAAAAAAAA&#10;LwEAAF9yZWxzLy5yZWxzUEsBAi0AFAAGAAgAAAAhANo5YEYuAgAAUwQAAA4AAAAAAAAAAAAAAAAA&#10;LgIAAGRycy9lMm9Eb2MueG1sUEsBAi0AFAAGAAgAAAAhAP8LoT/jAAAACwEAAA8AAAAAAAAAAAAA&#10;AAAAiAQAAGRycy9kb3ducmV2LnhtbFBLBQYAAAAABAAEAPMAAACYBQAAAAA=&#10;" filled="f" stroked="f" strokeweight=".5pt">
                      <v:textbox inset="0,0,0,0">
                        <w:txbxContent>
                          <w:p w14:paraId="1D80615D" w14:textId="7C56ACD0" w:rsidR="00B06983" w:rsidRPr="009B6177" w:rsidRDefault="00B06983" w:rsidP="001870B0">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Pārtika-enerģija-ūdens</w:t>
                            </w:r>
                          </w:p>
                        </w:txbxContent>
                      </v:textbox>
                    </v:shape>
                  </w:pict>
                </mc:Fallback>
              </mc:AlternateContent>
            </w:r>
            <w:r>
              <w:rPr>
                <w:noProof/>
                <w14:ligatures w14:val="standardContextual"/>
              </w:rPr>
              <mc:AlternateContent>
                <mc:Choice Requires="wps">
                  <w:drawing>
                    <wp:anchor distT="0" distB="0" distL="114300" distR="114300" simplePos="0" relativeHeight="251658315" behindDoc="0" locked="0" layoutInCell="1" allowOverlap="1" wp14:anchorId="5A70BE4E" wp14:editId="35722B3E">
                      <wp:simplePos x="0" y="0"/>
                      <wp:positionH relativeFrom="column">
                        <wp:posOffset>-42519</wp:posOffset>
                      </wp:positionH>
                      <wp:positionV relativeFrom="paragraph">
                        <wp:posOffset>2166010</wp:posOffset>
                      </wp:positionV>
                      <wp:extent cx="576000" cy="167570"/>
                      <wp:effectExtent l="0" t="0" r="14605" b="4445"/>
                      <wp:wrapNone/>
                      <wp:docPr id="1872407272" name="Text Box 2"/>
                      <wp:cNvGraphicFramePr/>
                      <a:graphic xmlns:a="http://schemas.openxmlformats.org/drawingml/2006/main">
                        <a:graphicData uri="http://schemas.microsoft.com/office/word/2010/wordprocessingShape">
                          <wps:wsp>
                            <wps:cNvSpPr txBox="1"/>
                            <wps:spPr>
                              <a:xfrm>
                                <a:off x="0" y="0"/>
                                <a:ext cx="576000" cy="167570"/>
                              </a:xfrm>
                              <a:prstGeom prst="rect">
                                <a:avLst/>
                              </a:prstGeom>
                              <a:noFill/>
                              <a:ln w="6350">
                                <a:noFill/>
                              </a:ln>
                            </wps:spPr>
                            <wps:txbx>
                              <w:txbxContent>
                                <w:p w14:paraId="580F75F4" w14:textId="1ACA6746" w:rsidR="00B06983" w:rsidRPr="009B6177" w:rsidRDefault="00B06983" w:rsidP="001870B0">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Atalgojums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A70BE4E" id="_x0000_s1061" type="#_x0000_t202" style="position:absolute;margin-left:-3.35pt;margin-top:170.55pt;width:45.35pt;height:13.2pt;z-index:25165831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XqLwIAAFMEAAAOAAAAZHJzL2Uyb0RvYy54bWysVE1v2zAMvQ/YfxB0X+y4S1IYcYqsRYYB&#10;RVsgGXpWZCk2IImapMTOfv0oOU6HbqdhF5nil8j3SC/veq3ISTjfgqnodJJTIgyHujWHin7fbT7d&#10;UuIDMzVTYERFz8LTu9XHD8vOlqKABlQtHMEkxpedrWgTgi2zzPNGaOYnYIVBowSnWcCrO2S1Yx1m&#10;1yor8nyedeBq64AL71H7MBjpKuWXUvDwLKUXgaiKYm0hnS6d+3hmqyUrD47ZpuWXMtg/VKFZa/DR&#10;a6oHFhg5uvaPVLrlDjzIMOGgM5Cy5SL1gN1M83fdbBtmReoFwfH2CpP/f2n50+nFkbZG7m4Xxed8&#10;USwKSgzTyNVO9IF8gZ4UEabO+hK9txb9Q49qDBn1HpWx+146Hb/YF0E7An6+ghyTcVTOFvM8RwtH&#10;03S+mC0SCdlbsHU+fBWgSRQq6pDDBC07PfqAhaDr6BLfMrBplUo8KkO6is5vZnkKuFowQhkMjC0M&#10;pUYp9Ps+dX5z7W8P9RnbczDMibd802IRj8yHF+ZwMLBuHPbwjIdUgI/BRaKkAffzb/roj3yhlZIO&#10;B62i/seROUGJ+maQyTiVo+BGYT8K5qjvAWd3imtkeRIxwAU1itKBfsUdWMdX0MQMx7cqyoMbL/dh&#10;GHjcIi7W6+SG02dZeDRby2PyCGQEdde/MmcvyAek7AnGIWTlOwIG34GC9TGAbBM7EdoBxwviOLmJ&#10;tMuWxdX4/Z683v4Fq18AAAD//wMAUEsDBBQABgAIAAAAIQCKKjfR4AAAAAkBAAAPAAAAZHJzL2Rv&#10;d25yZXYueG1sTI/RTsJAEEXfTfyHzZj4BtsqFlK6JcZERBJNBD5g6Q5taXe26S6l/r3jkz7OzMmd&#10;c7PVaFsxYO9rRwriaQQCqXCmplLBYf86WYDwQZPRrSNU8I0eVvntTaZT4670hcMulIJDyKdaQRVC&#10;l0rpiwqt9lPXIfHt5HqrA499KU2vrxxuW/kQRYm0uib+UOkOXyosmt3FKljXp3j/OTRlVzXvb+vt&#10;5uO8OQel7u/G5yWIgGP4g+FXn9UhZ6eju5DxolUwSeZMKnicxTEIBhYz7nbkRTJ/Apln8n+D/AcA&#10;AP//AwBQSwECLQAUAAYACAAAACEAtoM4kv4AAADhAQAAEwAAAAAAAAAAAAAAAAAAAAAAW0NvbnRl&#10;bnRfVHlwZXNdLnhtbFBLAQItABQABgAIAAAAIQA4/SH/1gAAAJQBAAALAAAAAAAAAAAAAAAAAC8B&#10;AABfcmVscy8ucmVsc1BLAQItABQABgAIAAAAIQDEa+XqLwIAAFMEAAAOAAAAAAAAAAAAAAAAAC4C&#10;AABkcnMvZTJvRG9jLnhtbFBLAQItABQABgAIAAAAIQCKKjfR4AAAAAkBAAAPAAAAAAAAAAAAAAAA&#10;AIkEAABkcnMvZG93bnJldi54bWxQSwUGAAAAAAQABADzAAAAlgUAAAAA&#10;" filled="f" stroked="f" strokeweight=".5pt">
                      <v:textbox inset="0,0,0,0">
                        <w:txbxContent>
                          <w:p w14:paraId="580F75F4" w14:textId="1ACA6746" w:rsidR="00B06983" w:rsidRPr="009B6177" w:rsidRDefault="00B06983" w:rsidP="001870B0">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Atalgojums</w:t>
                            </w:r>
                          </w:p>
                        </w:txbxContent>
                      </v:textbox>
                    </v:shape>
                  </w:pict>
                </mc:Fallback>
              </mc:AlternateContent>
            </w:r>
            <w:r>
              <w:rPr>
                <w:noProof/>
                <w14:ligatures w14:val="standardContextual"/>
              </w:rPr>
              <mc:AlternateContent>
                <mc:Choice Requires="wps">
                  <w:drawing>
                    <wp:anchor distT="0" distB="0" distL="114300" distR="114300" simplePos="0" relativeHeight="251658328" behindDoc="0" locked="0" layoutInCell="1" allowOverlap="1" wp14:anchorId="00217A5F" wp14:editId="44AABCE9">
                      <wp:simplePos x="0" y="0"/>
                      <wp:positionH relativeFrom="column">
                        <wp:posOffset>716661</wp:posOffset>
                      </wp:positionH>
                      <wp:positionV relativeFrom="paragraph">
                        <wp:posOffset>2334260</wp:posOffset>
                      </wp:positionV>
                      <wp:extent cx="576000" cy="167570"/>
                      <wp:effectExtent l="0" t="0" r="14605" b="4445"/>
                      <wp:wrapNone/>
                      <wp:docPr id="503440168" name="Text Box 2"/>
                      <wp:cNvGraphicFramePr/>
                      <a:graphic xmlns:a="http://schemas.openxmlformats.org/drawingml/2006/main">
                        <a:graphicData uri="http://schemas.microsoft.com/office/word/2010/wordprocessingShape">
                          <wps:wsp>
                            <wps:cNvSpPr txBox="1"/>
                            <wps:spPr>
                              <a:xfrm>
                                <a:off x="0" y="0"/>
                                <a:ext cx="576000" cy="167570"/>
                              </a:xfrm>
                              <a:prstGeom prst="rect">
                                <a:avLst/>
                              </a:prstGeom>
                              <a:noFill/>
                              <a:ln w="6350">
                                <a:noFill/>
                              </a:ln>
                            </wps:spPr>
                            <wps:txbx>
                              <w:txbxContent>
                                <w:p w14:paraId="3AF83FD2" w14:textId="3B314094" w:rsidR="00B06983" w:rsidRPr="009B6177" w:rsidRDefault="00B06983" w:rsidP="001870B0">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Cikliskums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0217A5F" id="_x0000_s1062" type="#_x0000_t202" style="position:absolute;margin-left:56.45pt;margin-top:183.8pt;width:45.35pt;height:13.2pt;z-index:2516583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fUnLwIAAFIEAAAOAAAAZHJzL2Uyb0RvYy54bWysVE2P2jAQvVfqf7B8LwmwQBURVnRXVJXQ&#10;7kpQ7dk4Nolke1zbkNBf37FD2GrbU9WLM54vz7w3k+V9pxU5C+cbMCUdj3JKhOFQNeZY0u/7zafP&#10;lPjATMUUGFHSi/D0fvXxw7K1hZhADaoSjmAS44vWlrQOwRZZ5nktNPMjsMKgUYLTLODVHbPKsRaz&#10;a5VN8nyeteAq64AL71H72BvpKuWXUvDwLKUXgaiSYm0hnS6dh3hmqyUrjo7ZuuHXMtg/VKFZY/DR&#10;W6pHFhg5ueaPVLrhDjzIMOKgM5Cy4SL1gN2M83fd7GpmReoFwfH2BpP/f2n50/nFkaYq6Syf3t3l&#10;4zkSZphGqvaiC+QLdGQSUWqtL9B5Z9E9dKhGtge9R2VsvpNOxy+2RdCOeF9uGMdkHJWzxTzP0cLR&#10;NJ4vZovEQfYWbJ0PXwVoEoWSOqQwIcvOWx+wEHQdXOJbBjaNUolGZUhb0vl0lqeAmwUjlMHA2EJf&#10;apRCd+hS49Pp0McBqgu256AfE2/5psEitsyHF+ZwLrBunPXwjIdUgI/BVaKkBvfzb/roj3ShlZIW&#10;56yk/seJOUGJ+maQyDiUg+AG4TAI5qQfAEd3jFtkeRIxwAU1iNKBfsUVWMdX0MQMx7dKyoMbLg+h&#10;n3dcIi7W6+SGw2dZ2Jqd5TF5BDKCuu9embNX5ANS9gTDDLLiHQG9b0/B+hRANomdCG2P4xVxHNxE&#10;2nXJ4mb8fk9eb7+C1S8AAAD//wMAUEsDBBQABgAIAAAAIQDBQpnd4QAAAAsBAAAPAAAAZHJzL2Rv&#10;d25yZXYueG1sTI/BTsMwEETvSPyDtUjcqJ0UBZrGqRASpSCBRNsPcONtnCa2o9hNw9+znOC2szua&#10;fVOsJtuxEYfQeCchmQlg6CqvG1dL2O9e7h6BhaicVp13KOEbA6zK66tC5dpf3BeO21gzCnEhVxJM&#10;jH3OeagMWhVmvkdHt6MfrIokh5rrQV0o3HY8FSLjVjWOPhjV47PBqt2erYR1c0x2n2Nb96Z9e12/&#10;bz5Om1OU8vZmeloCizjFPzP84hM6lMR08GenA+tIJ+mCrBLm2UMGjBypmNNwoM3iXgAvC/6/Q/kD&#10;AAD//wMAUEsBAi0AFAAGAAgAAAAhALaDOJL+AAAA4QEAABMAAAAAAAAAAAAAAAAAAAAAAFtDb250&#10;ZW50X1R5cGVzXS54bWxQSwECLQAUAAYACAAAACEAOP0h/9YAAACUAQAACwAAAAAAAAAAAAAAAAAv&#10;AQAAX3JlbHMvLnJlbHNQSwECLQAUAAYACAAAACEA6mH1Jy8CAABSBAAADgAAAAAAAAAAAAAAAAAu&#10;AgAAZHJzL2Uyb0RvYy54bWxQSwECLQAUAAYACAAAACEAwUKZ3eEAAAALAQAADwAAAAAAAAAAAAAA&#10;AACJBAAAZHJzL2Rvd25yZXYueG1sUEsFBgAAAAAEAAQA8wAAAJcFAAAAAA==&#10;" filled="f" stroked="f" strokeweight=".5pt">
                      <v:textbox inset="0,0,0,0">
                        <w:txbxContent>
                          <w:p w14:paraId="3AF83FD2" w14:textId="3B314094" w:rsidR="00B06983" w:rsidRPr="009B6177" w:rsidRDefault="00B06983" w:rsidP="001870B0">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Cikliskums</w:t>
                            </w:r>
                          </w:p>
                        </w:txbxContent>
                      </v:textbox>
                    </v:shape>
                  </w:pict>
                </mc:Fallback>
              </mc:AlternateContent>
            </w:r>
            <w:r>
              <w:rPr>
                <w:noProof/>
                <w14:ligatures w14:val="standardContextual"/>
              </w:rPr>
              <mc:AlternateContent>
                <mc:Choice Requires="wps">
                  <w:drawing>
                    <wp:anchor distT="0" distB="0" distL="114300" distR="114300" simplePos="0" relativeHeight="251658327" behindDoc="0" locked="0" layoutInCell="1" allowOverlap="1" wp14:anchorId="472EC22F" wp14:editId="10BDF88A">
                      <wp:simplePos x="0" y="0"/>
                      <wp:positionH relativeFrom="column">
                        <wp:posOffset>283515</wp:posOffset>
                      </wp:positionH>
                      <wp:positionV relativeFrom="paragraph">
                        <wp:posOffset>2604135</wp:posOffset>
                      </wp:positionV>
                      <wp:extent cx="900000" cy="167570"/>
                      <wp:effectExtent l="0" t="0" r="14605" b="4445"/>
                      <wp:wrapNone/>
                      <wp:docPr id="299109534" name="Text Box 2"/>
                      <wp:cNvGraphicFramePr/>
                      <a:graphic xmlns:a="http://schemas.openxmlformats.org/drawingml/2006/main">
                        <a:graphicData uri="http://schemas.microsoft.com/office/word/2010/wordprocessingShape">
                          <wps:wsp>
                            <wps:cNvSpPr txBox="1"/>
                            <wps:spPr>
                              <a:xfrm>
                                <a:off x="0" y="0"/>
                                <a:ext cx="900000" cy="167570"/>
                              </a:xfrm>
                              <a:prstGeom prst="rect">
                                <a:avLst/>
                              </a:prstGeom>
                              <a:noFill/>
                              <a:ln w="6350">
                                <a:noFill/>
                              </a:ln>
                            </wps:spPr>
                            <wps:txbx>
                              <w:txbxContent>
                                <w:p w14:paraId="317CCDA8" w14:textId="645646F9" w:rsidR="00B06983" w:rsidRPr="009B6177" w:rsidRDefault="00B06983" w:rsidP="001870B0">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Globālā izaugsme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72EC22F" id="_x0000_s1063" type="#_x0000_t202" style="position:absolute;margin-left:22.3pt;margin-top:205.05pt;width:70.85pt;height:13.2pt;z-index:25165832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dMXLwIAAFIEAAAOAAAAZHJzL2Uyb0RvYy54bWysVFFv2jAQfp+0/2D5fSTQQUtEqFgrpkmo&#10;rQRTn41jk0i2z7MNCfv1OzuETt2epvFgznfn833fd87ivtOKnITzDZiSjkc5JcJwqBpzKOn33frT&#10;HSU+MFMxBUaU9Cw8vV9+/LBobSEmUIOqhCNYxPiitSWtQ7BFlnleC838CKwwGJTgNAu4dYescqzF&#10;6lplkzyfZS24yjrgwnv0PvZBukz1pRQ8PEvpRSCqpNhbSKtL6z6u2XLBioNjtm74pQ32D11o1hi8&#10;9FrqkQVGjq75o5RuuAMPMow46AykbLhIGBDNOH+HZlszKxIWJMfbK03+/5XlT6cXR5qqpJP5fJzP&#10;pzefKTFMo1Q70QXyBToyiSy11heYvLWYHjp0o9qD36Mzgu+k0/EfYRGMI9/nK8exGEfnPI8/SjiG&#10;xrPb6W3SIHs7bJ0PXwVoEo2SOpQwMctOGx+wEUwdUuJdBtaNUklGZUhb0tnNNE8HrhE8oQwejBD6&#10;VqMVun2XgCPiC749VGeE56AfE2/5usEmNsyHF+ZwLrBvnPXwjItUgJfBxaKkBvfzb/6Yj3JhlJIW&#10;56yk/seROUGJ+mZQyDiUg+EGYz8Y5qgfAEd3jK/I8mTiARfUYEoH+hWfwCregiFmON5VUh7csHkI&#10;/bzjI+JitUppOHyWhY3ZWh6LRyIjqbvulTl7YT6gZE8wzCAr3gnQ5/YSrI4BZJPUidT2PF4Yx8FN&#10;ol0eWXwZv+9T1tunYPkLAAD//wMAUEsDBBQABgAIAAAAIQBEXrib4AAAAAoBAAAPAAAAZHJzL2Rv&#10;d25yZXYueG1sTI/BTsMwDIbvSLxDZCRuLC0b1VSaTgiJMZBAYuMBssZrujZO1WRdeXu8E5ws259+&#10;fy5Wk+vEiENoPClIZwkIpMqbhmoF37uXuyWIEDUZ3XlCBT8YYFVeXxU6N/5MXzhuYy04hEKuFdgY&#10;+1zKUFl0Osx8j8S7gx+cjtwOtTSDPnO46+R9kmTS6Yb4gtU9Plus2u3JKVg3h3T3ObZ1b9u31/X7&#10;5uO4OUalbm+mp0cQEaf4B8NFn9WhZKe9P5EJolOwWGRMck2TFMQFWGZzEHuezLMHkGUh/79Q/gIA&#10;AP//AwBQSwECLQAUAAYACAAAACEAtoM4kv4AAADhAQAAEwAAAAAAAAAAAAAAAAAAAAAAW0NvbnRl&#10;bnRfVHlwZXNdLnhtbFBLAQItABQABgAIAAAAIQA4/SH/1gAAAJQBAAALAAAAAAAAAAAAAAAAAC8B&#10;AABfcmVscy8ucmVsc1BLAQItABQABgAIAAAAIQBW2dMXLwIAAFIEAAAOAAAAAAAAAAAAAAAAAC4C&#10;AABkcnMvZTJvRG9jLnhtbFBLAQItABQABgAIAAAAIQBEXrib4AAAAAoBAAAPAAAAAAAAAAAAAAAA&#10;AIkEAABkcnMvZG93bnJldi54bWxQSwUGAAAAAAQABADzAAAAlgUAAAAA&#10;" filled="f" stroked="f" strokeweight=".5pt">
                      <v:textbox inset="0,0,0,0">
                        <w:txbxContent>
                          <w:p w14:paraId="317CCDA8" w14:textId="645646F9" w:rsidR="00B06983" w:rsidRPr="009B6177" w:rsidRDefault="00B06983" w:rsidP="001870B0">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Globālā izaugsme</w:t>
                            </w:r>
                          </w:p>
                        </w:txbxContent>
                      </v:textbox>
                    </v:shape>
                  </w:pict>
                </mc:Fallback>
              </mc:AlternateContent>
            </w:r>
            <w:r>
              <w:rPr>
                <w:noProof/>
                <w14:ligatures w14:val="standardContextual"/>
              </w:rPr>
              <mc:AlternateContent>
                <mc:Choice Requires="wps">
                  <w:drawing>
                    <wp:anchor distT="0" distB="0" distL="114300" distR="114300" simplePos="0" relativeHeight="251658326" behindDoc="0" locked="0" layoutInCell="1" allowOverlap="1" wp14:anchorId="574EA739" wp14:editId="5A191A3C">
                      <wp:simplePos x="0" y="0"/>
                      <wp:positionH relativeFrom="column">
                        <wp:posOffset>1442720</wp:posOffset>
                      </wp:positionH>
                      <wp:positionV relativeFrom="paragraph">
                        <wp:posOffset>2604440</wp:posOffset>
                      </wp:positionV>
                      <wp:extent cx="720000" cy="167570"/>
                      <wp:effectExtent l="0" t="0" r="4445" b="4445"/>
                      <wp:wrapNone/>
                      <wp:docPr id="1913608646" name="Text Box 2"/>
                      <wp:cNvGraphicFramePr/>
                      <a:graphic xmlns:a="http://schemas.openxmlformats.org/drawingml/2006/main">
                        <a:graphicData uri="http://schemas.microsoft.com/office/word/2010/wordprocessingShape">
                          <wps:wsp>
                            <wps:cNvSpPr txBox="1"/>
                            <wps:spPr>
                              <a:xfrm>
                                <a:off x="0" y="0"/>
                                <a:ext cx="720000" cy="167570"/>
                              </a:xfrm>
                              <a:prstGeom prst="rect">
                                <a:avLst/>
                              </a:prstGeom>
                              <a:noFill/>
                              <a:ln w="6350">
                                <a:noFill/>
                              </a:ln>
                            </wps:spPr>
                            <wps:txbx>
                              <w:txbxContent>
                                <w:p w14:paraId="54A27F55" w14:textId="462F9B81" w:rsidR="00B06983" w:rsidRPr="009B6177" w:rsidRDefault="00B06983" w:rsidP="001870B0">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Dzīves cikls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74EA739" id="_x0000_s1064" type="#_x0000_t202" style="position:absolute;margin-left:113.6pt;margin-top:205.05pt;width:56.7pt;height:13.2pt;z-index:25165832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OugLwIAAFMEAAAOAAAAZHJzL2Uyb0RvYy54bWysVN9v2jAQfp+0/8Hy+0iAQTtEqFgrpkmo&#10;rQRTn43jQKTE59mGhP31++wQWnV7mvbinO+X777vLvO7tq7YSVlXks74cJByprSkvNT7jP/Yrj7d&#10;cua80LmoSKuMn5Xjd4uPH+aNmakRHajKlWVIot2sMRk/eG9mSeLkQdXCDcgoDWNBthYeV7tPcisa&#10;ZK+rZJSm06QhmxtLUjkH7UNn5IuYvyiU9E9F4ZRnVcZRm4+njecunMliLmZ7K8yhlJcyxD9UUYtS&#10;49FrqgfhBTva8o9UdSktOSr8QFKdUFGUUsUe0M0wfdfN5iCMir0AHGeuMLn/l1Y+np4tK3Nw92U4&#10;nqa3089TzrSowdVWtZ59pZaNAkyNcTN4bwz8fQs1Qnq9gzJ03xa2Dl/0xWAH4OcryCGZhPIGtKWw&#10;SJiG05vJTSQheQ021vlvimoWhIxbcBihFae18ygErr1LeEvTqqyqyGOlWZPx6XiSxoCrBRGVRmBo&#10;oSs1SL7dtbHz8aTvY0f5Ge1Z6ubEGbkqUcRaOP8sLAYDdWPY/ROOoiI8RheJswPZX3/TB3/wBStn&#10;DQYt4+7nUVjFWfVdg8kwlb1ge2HXC/pY3xNmd4g1MjKKCLC+6sXCUv2CHViGV2ASWuKtjEtv+8u9&#10;7wYeWyTVchndMH1G+LXeGBmSByADqNv2RVhzQd6Dskfqh1DM3hHQ+XYULI+eijKyE6DtcLwgjsmN&#10;pF22LKzG23v0ev0XLH4DAAD//wMAUEsDBBQABgAIAAAAIQCUzZTu4gAAAAsBAAAPAAAAZHJzL2Rv&#10;d25yZXYueG1sTI9BTsMwEEX3SNzBGiR21E5aAgpxKoREaZFAouUAbuzGaeJxFLtpuD3TFSxn5unP&#10;+8Vych0bzRAajxKSmQBmsPK6wVrC9+717hFYiAq16jwaCT8mwLK8vipUrv0Zv8y4jTWjEAy5kmBj&#10;7HPOQ2WNU2Hme4N0O/jBqUjjUHM9qDOFu46nQmTcqQbpg1W9ebGmarcnJ2HVHJLd59jWvW03b6v3&#10;9cdxfYxS3t5Mz0/AopniHwwXfVKHkpz2/oQ6sE5Cmj6khEpYJCIBRsR8ITJge9rMs3vgZcH/dyh/&#10;AQAA//8DAFBLAQItABQABgAIAAAAIQC2gziS/gAAAOEBAAATAAAAAAAAAAAAAAAAAAAAAABbQ29u&#10;dGVudF9UeXBlc10ueG1sUEsBAi0AFAAGAAgAAAAhADj9If/WAAAAlAEAAAsAAAAAAAAAAAAAAAAA&#10;LwEAAF9yZWxzLy5yZWxzUEsBAi0AFAAGAAgAAAAhAAGc66AvAgAAUwQAAA4AAAAAAAAAAAAAAAAA&#10;LgIAAGRycy9lMm9Eb2MueG1sUEsBAi0AFAAGAAgAAAAhAJTNlO7iAAAACwEAAA8AAAAAAAAAAAAA&#10;AAAAiQQAAGRycy9kb3ducmV2LnhtbFBLBQYAAAAABAAEAPMAAACYBQAAAAA=&#10;" filled="f" stroked="f" strokeweight=".5pt">
                      <v:textbox inset="0,0,0,0">
                        <w:txbxContent>
                          <w:p w14:paraId="54A27F55" w14:textId="462F9B81" w:rsidR="00B06983" w:rsidRPr="009B6177" w:rsidRDefault="00B06983" w:rsidP="001870B0">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Dzīves cikls</w:t>
                            </w:r>
                          </w:p>
                        </w:txbxContent>
                      </v:textbox>
                    </v:shape>
                  </w:pict>
                </mc:Fallback>
              </mc:AlternateContent>
            </w:r>
            <w:r>
              <w:rPr>
                <w:noProof/>
                <w14:ligatures w14:val="standardContextual"/>
              </w:rPr>
              <mc:AlternateContent>
                <mc:Choice Requires="wps">
                  <w:drawing>
                    <wp:anchor distT="0" distB="0" distL="114300" distR="114300" simplePos="0" relativeHeight="251658325" behindDoc="0" locked="0" layoutInCell="1" allowOverlap="1" wp14:anchorId="4552E470" wp14:editId="666EA609">
                      <wp:simplePos x="0" y="0"/>
                      <wp:positionH relativeFrom="column">
                        <wp:posOffset>161696</wp:posOffset>
                      </wp:positionH>
                      <wp:positionV relativeFrom="paragraph">
                        <wp:posOffset>1798040</wp:posOffset>
                      </wp:positionV>
                      <wp:extent cx="1080000" cy="167570"/>
                      <wp:effectExtent l="0" t="0" r="6350" b="4445"/>
                      <wp:wrapNone/>
                      <wp:docPr id="1774067172" name="Text Box 2"/>
                      <wp:cNvGraphicFramePr/>
                      <a:graphic xmlns:a="http://schemas.openxmlformats.org/drawingml/2006/main">
                        <a:graphicData uri="http://schemas.microsoft.com/office/word/2010/wordprocessingShape">
                          <wps:wsp>
                            <wps:cNvSpPr txBox="1"/>
                            <wps:spPr>
                              <a:xfrm>
                                <a:off x="0" y="0"/>
                                <a:ext cx="1080000" cy="167570"/>
                              </a:xfrm>
                              <a:prstGeom prst="rect">
                                <a:avLst/>
                              </a:prstGeom>
                              <a:noFill/>
                              <a:ln w="6350">
                                <a:noFill/>
                              </a:ln>
                            </wps:spPr>
                            <wps:txbx>
                              <w:txbxContent>
                                <w:p w14:paraId="37AA5FDF" w14:textId="462BDA0A" w:rsidR="00B06983" w:rsidRPr="009B6177" w:rsidRDefault="00B06983" w:rsidP="001870B0">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Ekosistēmu atjaunošana</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552E470" id="_x0000_s1065" type="#_x0000_t202" style="position:absolute;margin-left:12.75pt;margin-top:141.6pt;width:85.05pt;height:13.2pt;z-index:25165832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z/LgIAAFQEAAAOAAAAZHJzL2Uyb0RvYy54bWysVN9v2jAQfp+0/8Hy+0igK6kiQsVaMU1C&#10;bSWY+mwcm0SyfZ5tSNhfv7ND6NTtaRoP5uz7/X13Wdz3WpGTcL4FU9HpJKdEGA51aw4V/b5bf7qj&#10;xAdmaqbAiIqehaf3y48fFp0txQwaULVwBIMYX3a2ok0ItswyzxuhmZ+AFQaVEpxmAa/ukNWOdRhd&#10;q2yW5/OsA1dbB1x4j6+Pg5IuU3wpBQ/PUnoRiKoo1hbS6dK5j2e2XLDy4JhtWn4pg/1DFZq1BpNe&#10;Qz2ywMjRtX+E0i134EGGCQedgZQtF6kH7Gaav+tm2zArUi8IjrdXmPz/C8ufTi+OtDVyVxSf83kx&#10;LWaUGKaRq53oA/kCPZlFmDrrS7TeWrQPPT6jy/ju8TF230un4z/2RVCPgJ+vIMdgPDrldzn+KOGo&#10;m86L2yKxkL15W+fDVwGaRKGiDklM2LLTxgesBE1Hk5jMwLpVKhGpDOkqOr+5zZPDVYMeyqBj7GGo&#10;NUqh3/ep9Zv52Mge6jP252AYFG/5usUiNsyHF+ZwMrBunPbwjIdUgMngIlHSgPv5t/doj4ShlpIO&#10;J62i/seROUGJ+maQyjiWo+BGYT8K5qgfAId3intkeRLRwQU1itKBfsUlWMUsqGKGY66K8uDGy0MY&#10;Jh7XiIvVKpnh+FkWNmZreQwegYyg7vpX5uwF+YCcPcE4hax8R8BgO1CwOgaQbWInQjvgeEEcRzeR&#10;dlmzuBu/35PV28dg+QsAAP//AwBQSwMEFAAGAAgAAAAhAE9ambXhAAAACgEAAA8AAABkcnMvZG93&#10;bnJldi54bWxMj9FqwkAQRd8L/YdlCn2rGyMJmmYjIlRtoYVqP2DNjtmY7GzIrjH+fden9mkY5nDn&#10;3Hw5mpYN2LvakoDpJAKGVFpVUyXg5/D2MgfmvCQlW0so4IYOlsXjQy4zZa/0jcPeVyyEkMukAO19&#10;l3HuSo1GuontkMLtZHsjfVj7iqteXkO4aXkcRSk3sqbwQcsO1xrLZn8xAjb1aXr4Gpqq0837dvOx&#10;+zzvzl6I56dx9QrM4+j/YLjrB3UogtPRXkg51gqIkySQYc5nMbA7sEhSYEcBs2iRAi9y/r9C8QsA&#10;AP//AwBQSwECLQAUAAYACAAAACEAtoM4kv4AAADhAQAAEwAAAAAAAAAAAAAAAAAAAAAAW0NvbnRl&#10;bnRfVHlwZXNdLnhtbFBLAQItABQABgAIAAAAIQA4/SH/1gAAAJQBAAALAAAAAAAAAAAAAAAAAC8B&#10;AABfcmVscy8ucmVsc1BLAQItABQABgAIAAAAIQB/Mgz/LgIAAFQEAAAOAAAAAAAAAAAAAAAAAC4C&#10;AABkcnMvZTJvRG9jLnhtbFBLAQItABQABgAIAAAAIQBPWpm14QAAAAoBAAAPAAAAAAAAAAAAAAAA&#10;AIgEAABkcnMvZG93bnJldi54bWxQSwUGAAAAAAQABADzAAAAlgUAAAAA&#10;" filled="f" stroked="f" strokeweight=".5pt">
                      <v:textbox inset="0,0,0,0">
                        <w:txbxContent>
                          <w:p w14:paraId="37AA5FDF" w14:textId="462BDA0A" w:rsidR="00B06983" w:rsidRPr="009B6177" w:rsidRDefault="00B06983" w:rsidP="001870B0">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Ekosistēmu atjaunošana</w:t>
                            </w:r>
                          </w:p>
                        </w:txbxContent>
                      </v:textbox>
                    </v:shape>
                  </w:pict>
                </mc:Fallback>
              </mc:AlternateContent>
            </w:r>
            <w:r>
              <w:rPr>
                <w:noProof/>
                <w14:ligatures w14:val="standardContextual"/>
              </w:rPr>
              <mc:AlternateContent>
                <mc:Choice Requires="wps">
                  <w:drawing>
                    <wp:anchor distT="0" distB="0" distL="114300" distR="114300" simplePos="0" relativeHeight="251658324" behindDoc="0" locked="0" layoutInCell="1" allowOverlap="1" wp14:anchorId="16D4E448" wp14:editId="2D02F41C">
                      <wp:simplePos x="0" y="0"/>
                      <wp:positionH relativeFrom="column">
                        <wp:posOffset>1370330</wp:posOffset>
                      </wp:positionH>
                      <wp:positionV relativeFrom="paragraph">
                        <wp:posOffset>1146175</wp:posOffset>
                      </wp:positionV>
                      <wp:extent cx="1440000" cy="167570"/>
                      <wp:effectExtent l="0" t="0" r="8255" b="4445"/>
                      <wp:wrapNone/>
                      <wp:docPr id="1098965891" name="Text Box 2"/>
                      <wp:cNvGraphicFramePr/>
                      <a:graphic xmlns:a="http://schemas.openxmlformats.org/drawingml/2006/main">
                        <a:graphicData uri="http://schemas.microsoft.com/office/word/2010/wordprocessingShape">
                          <wps:wsp>
                            <wps:cNvSpPr txBox="1"/>
                            <wps:spPr>
                              <a:xfrm>
                                <a:off x="0" y="0"/>
                                <a:ext cx="1440000" cy="167570"/>
                              </a:xfrm>
                              <a:prstGeom prst="rect">
                                <a:avLst/>
                              </a:prstGeom>
                              <a:noFill/>
                              <a:ln w="6350">
                                <a:noFill/>
                              </a:ln>
                            </wps:spPr>
                            <wps:txbx>
                              <w:txbxContent>
                                <w:p w14:paraId="210C7D02" w14:textId="7DE88C43" w:rsidR="00B06983" w:rsidRPr="009B6177" w:rsidRDefault="00B06983" w:rsidP="001870B0">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Klimata ietekmes mazināšana</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6D4E448" id="_x0000_s1066" type="#_x0000_t202" style="position:absolute;margin-left:107.9pt;margin-top:90.25pt;width:113.4pt;height:13.2pt;z-index:2516583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hmOLwIAAFQEAAAOAAAAZHJzL2Uyb0RvYy54bWysVN9v2jAQfp+0/8Hy+0ighQIiVKwV0yTU&#10;VoKpz8axSSTb59mGhP31OzuEVt2epvFgzvf7vu+cxX2rFTkJ52swBR0OckqE4VDW5lDQH7v1lykl&#10;PjBTMgVGFPQsPL1ffv60aOxcjKACVQpHMInx88YWtArBzrPM80po5gdghUGjBKdZwKs7ZKVjDWbX&#10;Khvl+SRrwJXWARfeo/axM9Jlyi+l4OFZSi8CUQXF3kI6XTr38cyWCzY/OGarml/aYP/QhWa1waLX&#10;VI8sMHJ09R+pdM0deJBhwEFnIGXNRZoBpxnmH6bZVsyKNAuC4+0VJv//0vKn04sjdYnc5bPpbDKe&#10;zoaUGKaRq51oA/kKLRlFmBrr5+i9tegfWlRjSK/3qIzTt9Lp+I9zEbQj4OcryDEZj0G3tzn+KOFo&#10;G07uxneJhewt2jofvgnQJAoFdUhiwpadNj5gJ+jau8RiBta1UolIZUhT0MnNOE8BVwtGKIOBcYau&#10;1yiFdt+m0W/u+kH2UJ5xPgfdonjL1zU2sWE+vDCHm4F947aHZzykAiwGF4mSCtyvv+mjPxKGVkoa&#10;3LSC+p9H5gQl6rtBKuNa9oLrhX0vmKN+AFxeZAW7SSIGuKB6UTrQr/gIVrEKmpjhWKugPLj+8hC6&#10;jcdnxMVqldxw/SwLG7O1PCaPQEZQd+0rc/aCfEDOnqDfQjb/QEDn21GwOgaQdWInQtvheEEcVzeR&#10;dnlm8W28vyevt4/B8jcAAAD//wMAUEsDBBQABgAIAAAAIQB4MtOM4QAAAAsBAAAPAAAAZHJzL2Rv&#10;d25yZXYueG1sTI/RSsMwFIbvBd8hnIF3LmnZyuyaDhGcU1Bw8wGyJmu6Nielybr69h6v9PLw/fz/&#10;d4rN5Do2miE0HiUkcwHMYOV1g7WEr8Pz/QpYiAq16jwaCd8mwKa8vSlUrv0VP824jzWjEgy5kmBj&#10;7HPOQ2WNU2Hue4PETn5wKtI51FwP6krlruOpEBl3qkFasKo3T9ZU7f7iJGybU3L4GNu6t+3ry/Zt&#10;937enaOUd7PpcQ0smin+heFXn9ShJKejv6AOrJOQJktSjwRWYgmMEotFmgE7EhLZA/Cy4P9/KH8A&#10;AAD//wMAUEsBAi0AFAAGAAgAAAAhALaDOJL+AAAA4QEAABMAAAAAAAAAAAAAAAAAAAAAAFtDb250&#10;ZW50X1R5cGVzXS54bWxQSwECLQAUAAYACAAAACEAOP0h/9YAAACUAQAACwAAAAAAAAAAAAAAAAAv&#10;AQAAX3JlbHMvLnJlbHNQSwECLQAUAAYACAAAACEAHCYZji8CAABUBAAADgAAAAAAAAAAAAAAAAAu&#10;AgAAZHJzL2Uyb0RvYy54bWxQSwECLQAUAAYACAAAACEAeDLTjOEAAAALAQAADwAAAAAAAAAAAAAA&#10;AACJBAAAZHJzL2Rvd25yZXYueG1sUEsFBgAAAAAEAAQA8wAAAJcFAAAAAA==&#10;" filled="f" stroked="f" strokeweight=".5pt">
                      <v:textbox inset="0,0,0,0">
                        <w:txbxContent>
                          <w:p w14:paraId="210C7D02" w14:textId="7DE88C43" w:rsidR="00B06983" w:rsidRPr="009B6177" w:rsidRDefault="00B06983" w:rsidP="001870B0">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Klimata ietekmes mazināšana</w:t>
                            </w:r>
                          </w:p>
                        </w:txbxContent>
                      </v:textbox>
                    </v:shape>
                  </w:pict>
                </mc:Fallback>
              </mc:AlternateContent>
            </w:r>
            <w:r w:rsidR="001870B0">
              <w:rPr>
                <w:noProof/>
                <w14:ligatures w14:val="standardContextual"/>
              </w:rPr>
              <mc:AlternateContent>
                <mc:Choice Requires="wps">
                  <w:drawing>
                    <wp:anchor distT="0" distB="0" distL="114300" distR="114300" simplePos="0" relativeHeight="251658323" behindDoc="0" locked="0" layoutInCell="1" allowOverlap="1" wp14:anchorId="31463ABE" wp14:editId="38E4B59C">
                      <wp:simplePos x="0" y="0"/>
                      <wp:positionH relativeFrom="column">
                        <wp:posOffset>2658415</wp:posOffset>
                      </wp:positionH>
                      <wp:positionV relativeFrom="paragraph">
                        <wp:posOffset>1604645</wp:posOffset>
                      </wp:positionV>
                      <wp:extent cx="900000" cy="167570"/>
                      <wp:effectExtent l="0" t="0" r="14605" b="4445"/>
                      <wp:wrapNone/>
                      <wp:docPr id="170724080" name="Text Box 2"/>
                      <wp:cNvGraphicFramePr/>
                      <a:graphic xmlns:a="http://schemas.openxmlformats.org/drawingml/2006/main">
                        <a:graphicData uri="http://schemas.microsoft.com/office/word/2010/wordprocessingShape">
                          <wps:wsp>
                            <wps:cNvSpPr txBox="1"/>
                            <wps:spPr>
                              <a:xfrm>
                                <a:off x="0" y="0"/>
                                <a:ext cx="900000" cy="167570"/>
                              </a:xfrm>
                              <a:prstGeom prst="rect">
                                <a:avLst/>
                              </a:prstGeom>
                              <a:noFill/>
                              <a:ln w="6350">
                                <a:noFill/>
                              </a:ln>
                            </wps:spPr>
                            <wps:txbx>
                              <w:txbxContent>
                                <w:p w14:paraId="7A21CC13" w14:textId="143A3832" w:rsidR="00B06983" w:rsidRPr="009B6177" w:rsidRDefault="00B06983" w:rsidP="001870B0">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Kritiskie minerāli</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1463ABE" id="_x0000_s1067" type="#_x0000_t202" style="position:absolute;margin-left:209.3pt;margin-top:126.35pt;width:70.85pt;height:13.2pt;z-index:25165832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GFZLQIAAFIEAAAOAAAAZHJzL2Uyb0RvYy54bWysVN9v2jAQfp+0/8Hy+0igKzBEqFgrpkmo&#10;rQRTn43jQKTE59mGhP31++wQWnV7msaDOd8v333fXeZ3bV2xk7KuJJ3x4SDlTGlJean3Gf+xXX2a&#10;cua80LmoSKuMn5Xjd4uPH+aNmakRHajKlWVIot2sMRk/eG9mSeLkQdXCDcgoDWNBthYeV7tPcisa&#10;ZK+rZJSm46QhmxtLUjkH7UNn5IuYvyiU9E9F4ZRnVcZRm4+njecunMliLmZ7K8yhlJcyxD9UUYtS&#10;49FrqgfhBTva8o9UdSktOSr8QFKdUFGUUsUe0M0wfdfN5iCMir0AHGeuMLn/l1Y+np4tK3NwN0kn&#10;o8/pFChpUYOqrWo9+0otGwWUGuNmcN4YuPsWakT0egdlaL4tbB3+0RaDHZnOV4xDMgnllzT8OJMw&#10;DceT20nkIHkNNtb5b4pqFoSMW1AYkRWntfMoBK69S3hL06qsqkhjpVmT8fHNbRoDrhZEVBqBoYWu&#10;1CD5dtfGxm+mfR87ys9oz1I3Js7IVYki1sL5Z2ExF6gbs+6fcBQV4TG6SJwdyP76mz74gy5YOWsw&#10;Zxl3P4/CKs6q7xpEIqXvBdsLu17Qx/qeMLpDbJGRUUSA9VUvFpbqF6zAMrwCk9ASb2Vcettf7n03&#10;71giqZbL6IbhM8Kv9cbIkDwAGUDdti/CmgvyHpQ9Uj+DYvaOgM63o2B59FSUkZ0AbYfjBXEMbiTt&#10;smRhM97eo9frp2DxGwAA//8DAFBLAwQUAAYACAAAACEAEkuVTeIAAAALAQAADwAAAGRycy9kb3du&#10;cmV2LnhtbEyP0U7DMAxF35H4h8hIvLG0hXWjNJ0QEmMggcTGB2SN13ZtnKrJuvL3mCd4tH10fW6+&#10;mmwnRhx840hBPItAIJXONFQp+No93yxB+KDJ6M4RKvhGD6vi8iLXmXFn+sRxGyrBIeQzraAOoc+k&#10;9GWNVvuZ65H4dnCD1YHHoZJm0GcOt51MoiiVVjfEH2rd41ONZbs9WQXr5hDvPsa26uv29WX9tnk/&#10;bo5Bqeur6fEBRMAp/MHwq8/qULDT3p3IeNEpuIuXKaMKknmyAMHEPI1uQex5s7iPQRa5/N+h+AEA&#10;AP//AwBQSwECLQAUAAYACAAAACEAtoM4kv4AAADhAQAAEwAAAAAAAAAAAAAAAAAAAAAAW0NvbnRl&#10;bnRfVHlwZXNdLnhtbFBLAQItABQABgAIAAAAIQA4/SH/1gAAAJQBAAALAAAAAAAAAAAAAAAAAC8B&#10;AABfcmVscy8ucmVsc1BLAQItABQABgAIAAAAIQDwiGFZLQIAAFIEAAAOAAAAAAAAAAAAAAAAAC4C&#10;AABkcnMvZTJvRG9jLnhtbFBLAQItABQABgAIAAAAIQASS5VN4gAAAAsBAAAPAAAAAAAAAAAAAAAA&#10;AIcEAABkcnMvZG93bnJldi54bWxQSwUGAAAAAAQABADzAAAAlgUAAAAA&#10;" filled="f" stroked="f" strokeweight=".5pt">
                      <v:textbox inset="0,0,0,0">
                        <w:txbxContent>
                          <w:p w14:paraId="7A21CC13" w14:textId="143A3832" w:rsidR="00B06983" w:rsidRPr="009B6177" w:rsidRDefault="00B06983" w:rsidP="001870B0">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Kritiskie minerāli</w:t>
                            </w:r>
                          </w:p>
                        </w:txbxContent>
                      </v:textbox>
                    </v:shape>
                  </w:pict>
                </mc:Fallback>
              </mc:AlternateContent>
            </w:r>
            <w:r w:rsidR="001870B0">
              <w:rPr>
                <w:noProof/>
                <w14:ligatures w14:val="standardContextual"/>
              </w:rPr>
              <mc:AlternateContent>
                <mc:Choice Requires="wps">
                  <w:drawing>
                    <wp:anchor distT="0" distB="0" distL="114300" distR="114300" simplePos="0" relativeHeight="251658322" behindDoc="0" locked="0" layoutInCell="1" allowOverlap="1" wp14:anchorId="1013326F" wp14:editId="1CACDA55">
                      <wp:simplePos x="0" y="0"/>
                      <wp:positionH relativeFrom="column">
                        <wp:posOffset>2001266</wp:posOffset>
                      </wp:positionH>
                      <wp:positionV relativeFrom="paragraph">
                        <wp:posOffset>1920875</wp:posOffset>
                      </wp:positionV>
                      <wp:extent cx="540000" cy="167570"/>
                      <wp:effectExtent l="0" t="0" r="12700" b="4445"/>
                      <wp:wrapNone/>
                      <wp:docPr id="332462882" name="Text Box 2"/>
                      <wp:cNvGraphicFramePr/>
                      <a:graphic xmlns:a="http://schemas.openxmlformats.org/drawingml/2006/main">
                        <a:graphicData uri="http://schemas.microsoft.com/office/word/2010/wordprocessingShape">
                          <wps:wsp>
                            <wps:cNvSpPr txBox="1"/>
                            <wps:spPr>
                              <a:xfrm>
                                <a:off x="0" y="0"/>
                                <a:ext cx="540000" cy="167570"/>
                              </a:xfrm>
                              <a:prstGeom prst="rect">
                                <a:avLst/>
                              </a:prstGeom>
                              <a:noFill/>
                              <a:ln w="6350">
                                <a:noFill/>
                              </a:ln>
                            </wps:spPr>
                            <wps:txbx>
                              <w:txbxContent>
                                <w:p w14:paraId="0DB4505A" w14:textId="79E8FB73" w:rsidR="00B06983" w:rsidRPr="009B6177" w:rsidRDefault="00B06983" w:rsidP="001870B0">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Akcionāri</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013326F" id="_x0000_s1068" type="#_x0000_t202" style="position:absolute;margin-left:157.6pt;margin-top:151.25pt;width:42.5pt;height:13.2pt;z-index:25165832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TwpLwIAAFIEAAAOAAAAZHJzL2Uyb0RvYy54bWysVN9v2jAQfp+0/8Hy+0gIhTJEqFgrpklV&#10;WwmmPhvHJpFsn2cbEvbX7+wQOnV7msaDOd8v333fXZZ3nVbkJJxvwJR0PMopEYZD1ZhDSb/vNp/m&#10;lPjATMUUGFHSs/D0bvXxw7K1C1FADaoSjmAS4xetLWkdgl1kmee10MyPwAqDRglOs4BXd8gqx1rM&#10;rlVW5Pksa8FV1gEX3qP2oTfSVcovpeDhWUovAlElxdpCOl069/HMVku2ODhm64ZfymD/UIVmjcFH&#10;r6keWGDk6Jo/UumGO/Agw4iDzkDKhovUA3Yzzt91s62ZFakXBMfbK0z+/6XlT6cXR5qqpJNJcTMr&#10;5vOCEsM0UrUTXSBfoCNFRKm1foHOW4vuoUM1sj3oPSpj8510Ov5jWwTtiPf5inFMxlE5vcnxRwlH&#10;03h2O71NHGRvwdb58FWAJlEoqUMKE7Ls9OgDFoKug0t8y8CmUSrRqAxpSzqbTPMUcLVghDIYGFvo&#10;S41S6PZd3/jnoY89VGdsz0E/Jt7yTYNFPDIfXpjDucC6cdbDMx5SAT4GF4mSGtzPv+mjP9KFVkpa&#10;nLOS+h9H5gQl6ptBIuNQDoIbhP0gmKO+BxzdMW6R5UnEABfUIEoH+hVXYB1fQRMzHN8qKQ9uuNyH&#10;ft5xibhYr5MbDp9l4dFsLY/JI5AR1F33ypy9IB+QsicYZpAt3hHQ+/YUrI8BZJPYidD2OF4Qx8FN&#10;pF2WLG7G7/fk9fYpWP0CAAD//wMAUEsDBBQABgAIAAAAIQBQlroz4QAAAAsBAAAPAAAAZHJzL2Rv&#10;d25yZXYueG1sTI/BTsMwEETvSPyDtUjcqJ1AUQlxKoREKZVAouUD3HibpInXUeym4e9ZTnDbnRnN&#10;vs2Xk+vEiENoPGlIZgoEUultQ5WGr93LzQJEiIas6Tyhhm8MsCwuL3KTWX+mTxy3sRJcQiEzGuoY&#10;+0zKUNboTJj5Hom9gx+cibwOlbSDOXO562Sq1L10piG+UJsen2ss2+3JaVg1h2T3MbZVX7dvr6vN&#10;+v24Pkatr6+mp0cQEaf4F4ZffEaHgpn2/kQ2iE7DbTJPOcqDSucgOHGnFCt7VtLFA8gil/9/KH4A&#10;AAD//wMAUEsBAi0AFAAGAAgAAAAhALaDOJL+AAAA4QEAABMAAAAAAAAAAAAAAAAAAAAAAFtDb250&#10;ZW50X1R5cGVzXS54bWxQSwECLQAUAAYACAAAACEAOP0h/9YAAACUAQAACwAAAAAAAAAAAAAAAAAv&#10;AQAAX3JlbHMvLnJlbHNQSwECLQAUAAYACAAAACEA2h08KS8CAABSBAAADgAAAAAAAAAAAAAAAAAu&#10;AgAAZHJzL2Uyb0RvYy54bWxQSwECLQAUAAYACAAAACEAUJa6M+EAAAALAQAADwAAAAAAAAAAAAAA&#10;AACJBAAAZHJzL2Rvd25yZXYueG1sUEsFBgAAAAAEAAQA8wAAAJcFAAAAAA==&#10;" filled="f" stroked="f" strokeweight=".5pt">
                      <v:textbox inset="0,0,0,0">
                        <w:txbxContent>
                          <w:p w14:paraId="0DB4505A" w14:textId="79E8FB73" w:rsidR="00B06983" w:rsidRPr="009B6177" w:rsidRDefault="00B06983" w:rsidP="001870B0">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Akcionāri</w:t>
                            </w:r>
                          </w:p>
                        </w:txbxContent>
                      </v:textbox>
                    </v:shape>
                  </w:pict>
                </mc:Fallback>
              </mc:AlternateContent>
            </w:r>
            <w:r w:rsidR="001870B0">
              <w:rPr>
                <w:noProof/>
                <w14:ligatures w14:val="standardContextual"/>
              </w:rPr>
              <mc:AlternateContent>
                <mc:Choice Requires="wps">
                  <w:drawing>
                    <wp:anchor distT="0" distB="0" distL="114300" distR="114300" simplePos="0" relativeHeight="251658321" behindDoc="0" locked="0" layoutInCell="1" allowOverlap="1" wp14:anchorId="4729EB02" wp14:editId="1004ADCF">
                      <wp:simplePos x="0" y="0"/>
                      <wp:positionH relativeFrom="column">
                        <wp:posOffset>2541397</wp:posOffset>
                      </wp:positionH>
                      <wp:positionV relativeFrom="paragraph">
                        <wp:posOffset>1920875</wp:posOffset>
                      </wp:positionV>
                      <wp:extent cx="540000" cy="167570"/>
                      <wp:effectExtent l="0" t="0" r="12700" b="4445"/>
                      <wp:wrapNone/>
                      <wp:docPr id="1136973492" name="Text Box 2"/>
                      <wp:cNvGraphicFramePr/>
                      <a:graphic xmlns:a="http://schemas.openxmlformats.org/drawingml/2006/main">
                        <a:graphicData uri="http://schemas.microsoft.com/office/word/2010/wordprocessingShape">
                          <wps:wsp>
                            <wps:cNvSpPr txBox="1"/>
                            <wps:spPr>
                              <a:xfrm>
                                <a:off x="0" y="0"/>
                                <a:ext cx="540000" cy="167570"/>
                              </a:xfrm>
                              <a:prstGeom prst="rect">
                                <a:avLst/>
                              </a:prstGeom>
                              <a:noFill/>
                              <a:ln w="6350">
                                <a:noFill/>
                              </a:ln>
                            </wps:spPr>
                            <wps:txbx>
                              <w:txbxContent>
                                <w:p w14:paraId="27B7192C" w14:textId="06CF42C3" w:rsidR="00B06983" w:rsidRPr="009B6177" w:rsidRDefault="00B06983" w:rsidP="001870B0">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Trilemmas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729EB02" id="_x0000_s1069" type="#_x0000_t202" style="position:absolute;margin-left:200.1pt;margin-top:151.25pt;width:42.5pt;height:13.2pt;z-index:25165832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WLRLgIAAFMEAAAOAAAAZHJzL2Uyb0RvYy54bWysVEuP2jAQvlfqf7B8LwnP7SLCiu6KqhLa&#10;XQmqPRvHJpFsj2sbEvrrO3YIVNueqnIw43l55vtmsnhotSIn4XwNpqDDQU6JMBzK2hwK+n23/vSZ&#10;Eh+YKZkCIwp6Fp4+LD9+WDR2LkZQgSqFI5jE+HljC1qFYOdZ5nklNPMDsMKgUYLTLODVHbLSsQaz&#10;a5WN8nyWNeBK64AL71H71BnpMuWXUvDwIqUXgaiCYm0hnS6d+3hmywWbHxyzVc0vZbB/qEKz2uCj&#10;11RPLDBydPUfqXTNHXiQYcBBZyBlzUXqAbsZ5u+62VbMitQLguPtFSb//9Ly59OrI3WJ3A3Hs/u7&#10;8eR+RIlhGrnaiTaQL9CSUYSpsX6O3luL/qFFNYb0eo/K2H0rnY7/2BdBOwJ+voIck3FUTic5/ijh&#10;aBrO7qZ3iYTsFmydD18FaBKFgjrkMEHLThsfsBB07V3iWwbWtVKJR2VIU9DZeJqngKsFI5TBwNhC&#10;V2qUQrtvU+eTVEFU7aE8Y3sOujnxlq9rLGLDfHhlDgcD68ZhDy94SAX4GFwkSipwP/+mj/7IF1op&#10;aXDQCup/HJkTlKhvBpmMU9kLrhf2vWCO+hFwdoe4RpYnEQNcUL0oHeg33IFVfAVNzHB8q6A8uP7y&#10;GLqBxy3iYrVKbjh9loWN2Voek0cgI6i79o05e0E+IGXP0A8hm78joPPtKFgdA8g6sXPD8YI4Tm4i&#10;7bJlcTV+vyev27dg+QsAAP//AwBQSwMEFAAGAAgAAAAhADM+kg/hAAAACwEAAA8AAABkcnMvZG93&#10;bnJldi54bWxMj9FOwzAMRd+R+IfISLyxZGVDpTSdEBJjIIHExgdkjdd2bZyqybry95gnePT10fVx&#10;vppcJ0YcQuNJw3ymQCCV3jZUafjaPd+kIEI0ZE3nCTV8Y4BVcXmRm8z6M33iuI2V4BIKmdFQx9hn&#10;UoayRmfCzPdIvDv4wZnI41BJO5gzl7tOJkrdSWca4gu16fGpxrLdnpyGdXOY7z7Gturr9vVl/bZ5&#10;P26OUevrq+nxAUTEKf7B8KvP6lCw096fyAbRaVgolTCq4VYlSxBMLNIlJ3tOkvQeZJHL/z8UPwAA&#10;AP//AwBQSwECLQAUAAYACAAAACEAtoM4kv4AAADhAQAAEwAAAAAAAAAAAAAAAAAAAAAAW0NvbnRl&#10;bnRfVHlwZXNdLnhtbFBLAQItABQABgAIAAAAIQA4/SH/1gAAAJQBAAALAAAAAAAAAAAAAAAAAC8B&#10;AABfcmVscy8ucmVsc1BLAQItABQABgAIAAAAIQDFHWLRLgIAAFMEAAAOAAAAAAAAAAAAAAAAAC4C&#10;AABkcnMvZTJvRG9jLnhtbFBLAQItABQABgAIAAAAIQAzPpIP4QAAAAsBAAAPAAAAAAAAAAAAAAAA&#10;AIgEAABkcnMvZG93bnJldi54bWxQSwUGAAAAAAQABADzAAAAlgUAAAAA&#10;" filled="f" stroked="f" strokeweight=".5pt">
                      <v:textbox inset="0,0,0,0">
                        <w:txbxContent>
                          <w:p w14:paraId="27B7192C" w14:textId="06CF42C3" w:rsidR="00B06983" w:rsidRPr="009B6177" w:rsidRDefault="00B06983" w:rsidP="001870B0">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Trilemmas</w:t>
                            </w:r>
                          </w:p>
                        </w:txbxContent>
                      </v:textbox>
                    </v:shape>
                  </w:pict>
                </mc:Fallback>
              </mc:AlternateContent>
            </w:r>
            <w:r w:rsidR="001870B0">
              <w:rPr>
                <w:noProof/>
                <w14:ligatures w14:val="standardContextual"/>
              </w:rPr>
              <mc:AlternateContent>
                <mc:Choice Requires="wps">
                  <w:drawing>
                    <wp:anchor distT="0" distB="0" distL="114300" distR="114300" simplePos="0" relativeHeight="251658320" behindDoc="0" locked="0" layoutInCell="1" allowOverlap="1" wp14:anchorId="135112F0" wp14:editId="16712C16">
                      <wp:simplePos x="0" y="0"/>
                      <wp:positionH relativeFrom="column">
                        <wp:posOffset>3053385</wp:posOffset>
                      </wp:positionH>
                      <wp:positionV relativeFrom="paragraph">
                        <wp:posOffset>1505585</wp:posOffset>
                      </wp:positionV>
                      <wp:extent cx="540000" cy="167570"/>
                      <wp:effectExtent l="0" t="0" r="12700" b="4445"/>
                      <wp:wrapNone/>
                      <wp:docPr id="1598153935" name="Text Box 2"/>
                      <wp:cNvGraphicFramePr/>
                      <a:graphic xmlns:a="http://schemas.openxmlformats.org/drawingml/2006/main">
                        <a:graphicData uri="http://schemas.microsoft.com/office/word/2010/wordprocessingShape">
                          <wps:wsp>
                            <wps:cNvSpPr txBox="1"/>
                            <wps:spPr>
                              <a:xfrm>
                                <a:off x="0" y="0"/>
                                <a:ext cx="540000" cy="167570"/>
                              </a:xfrm>
                              <a:prstGeom prst="rect">
                                <a:avLst/>
                              </a:prstGeom>
                              <a:noFill/>
                              <a:ln w="6350">
                                <a:noFill/>
                              </a:ln>
                            </wps:spPr>
                            <wps:txbx>
                              <w:txbxContent>
                                <w:p w14:paraId="19B1A02A" w14:textId="36566C37" w:rsidR="00B06983" w:rsidRPr="009B6177" w:rsidRDefault="00B06983" w:rsidP="001870B0">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Populisms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35112F0" id="_x0000_s1070" type="#_x0000_t202" style="position:absolute;margin-left:240.4pt;margin-top:118.55pt;width:42.5pt;height:13.2pt;z-index:251658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8/TMAIAAFMEAAAOAAAAZHJzL2Uyb0RvYy54bWysVN9v2jAQfp+0/8Hy+0iAhraIULFWTJOq&#10;thJMfTaOTSLZPs82JOyv39khtOr2NI0Hc75fvvu+uyzuOq3IUTjfgCnpeJRTIgyHqjH7kv7Yrr/c&#10;UOIDMxVTYERJT8LTu+XnT4vWzsUEalCVcASTGD9vbUnrEOw8yzyvhWZ+BFYYNEpwmgW8un1WOdZi&#10;dq2ySZ7PshZcZR1w4T1qH3ojXab8UgoenqX0IhBVUqwtpNOlcxfPbLlg871jtm74uQz2D1Vo1hh8&#10;9JLqgQVGDq75I5VuuAMPMow46AykbLhIPWA34/xDN5uaWZF6QXC8vcDk/19a/nR8caSpkLvi9mZc&#10;TG+nBSWGaeRqK7pAvkJHJhGm1vo5em8s+ocO1Rgy6D0qY/eddDr+Y18E7Qj46QJyTMZRWVzl+KOE&#10;o2k8uy6uEwnZW7B1PnwToEkUSuqQwwQtOz76gIWg6+AS3zKwbpRKPCpD2pLOpkWeAi4WjFAGA2ML&#10;falRCt2uS51fXfrYQXXC9hz0c+ItXzdYxCPz4YU5HAysG4c9POMhFeBjcJYoqcH9+ps++iNfaKWk&#10;xUErqf95YE5Qor4bZDJO5SC4QdgNgjnoe8DZHeMaWZ5EDHBBDaJ0oF9xB1bxFTQxw/GtkvLghst9&#10;6Acet4iL1Sq54fRZFh7NxvKYPAIZQd12r8zZM/IBKXuCYQjZ/AMBvW9PweoQQDaJnQhtj+MZcZzc&#10;RNp5y+JqvL8nr7dvwfI3AAAA//8DAFBLAwQUAAYACAAAACEAUiSYLOEAAAALAQAADwAAAGRycy9k&#10;b3ducmV2LnhtbEyP3U6DQBCF7018h82YeGcXWsEGWRpjYq1NNLH1AbYwZSnsLGG3FN/e8Uovz0/O&#10;fJOvJtuJEQffOFIQzyIQSKWrGqoVfO1f7pYgfNBU6c4RKvhGD6vi+irXWeUu9InjLtSCR8hnWoEJ&#10;oc+k9KVBq/3M9UicHd1gdWA51LIa9IXHbSfnUZRKqxviC0b3+GywbHdnq2DdHOP9x9jWvWnfXtfb&#10;zftpcwpK3d5MT48gAk7hrwy/+IwOBTMd3JkqLzoF98uI0YOC+eIhBsGNJE3YObCTLhKQRS7//1D8&#10;AAAA//8DAFBLAQItABQABgAIAAAAIQC2gziS/gAAAOEBAAATAAAAAAAAAAAAAAAAAAAAAABbQ29u&#10;dGVudF9UeXBlc10ueG1sUEsBAi0AFAAGAAgAAAAhADj9If/WAAAAlAEAAAsAAAAAAAAAAAAAAAAA&#10;LwEAAF9yZWxzLy5yZWxzUEsBAi0AFAAGAAgAAAAhAFe/z9MwAgAAUwQAAA4AAAAAAAAAAAAAAAAA&#10;LgIAAGRycy9lMm9Eb2MueG1sUEsBAi0AFAAGAAgAAAAhAFIkmCzhAAAACwEAAA8AAAAAAAAAAAAA&#10;AAAAigQAAGRycy9kb3ducmV2LnhtbFBLBQYAAAAABAAEAPMAAACYBQAAAAA=&#10;" filled="f" stroked="f" strokeweight=".5pt">
                      <v:textbox inset="0,0,0,0">
                        <w:txbxContent>
                          <w:p w14:paraId="19B1A02A" w14:textId="36566C37" w:rsidR="00B06983" w:rsidRPr="009B6177" w:rsidRDefault="00B06983" w:rsidP="001870B0">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Populisms</w:t>
                            </w:r>
                          </w:p>
                        </w:txbxContent>
                      </v:textbox>
                    </v:shape>
                  </w:pict>
                </mc:Fallback>
              </mc:AlternateContent>
            </w:r>
            <w:r w:rsidR="001870B0">
              <w:rPr>
                <w:noProof/>
                <w14:ligatures w14:val="standardContextual"/>
              </w:rPr>
              <mc:AlternateContent>
                <mc:Choice Requires="wps">
                  <w:drawing>
                    <wp:anchor distT="0" distB="0" distL="114300" distR="114300" simplePos="0" relativeHeight="251658319" behindDoc="0" locked="0" layoutInCell="1" allowOverlap="1" wp14:anchorId="2DEEEF0A" wp14:editId="23DEEF3A">
                      <wp:simplePos x="0" y="0"/>
                      <wp:positionH relativeFrom="column">
                        <wp:posOffset>3107716</wp:posOffset>
                      </wp:positionH>
                      <wp:positionV relativeFrom="paragraph">
                        <wp:posOffset>1296289</wp:posOffset>
                      </wp:positionV>
                      <wp:extent cx="1080000" cy="167570"/>
                      <wp:effectExtent l="0" t="0" r="6350" b="4445"/>
                      <wp:wrapNone/>
                      <wp:docPr id="2013864113" name="Text Box 2"/>
                      <wp:cNvGraphicFramePr/>
                      <a:graphic xmlns:a="http://schemas.openxmlformats.org/drawingml/2006/main">
                        <a:graphicData uri="http://schemas.microsoft.com/office/word/2010/wordprocessingShape">
                          <wps:wsp>
                            <wps:cNvSpPr txBox="1"/>
                            <wps:spPr>
                              <a:xfrm>
                                <a:off x="0" y="0"/>
                                <a:ext cx="1080000" cy="167570"/>
                              </a:xfrm>
                              <a:prstGeom prst="rect">
                                <a:avLst/>
                              </a:prstGeom>
                              <a:noFill/>
                              <a:ln w="6350">
                                <a:noFill/>
                              </a:ln>
                            </wps:spPr>
                            <wps:txbx>
                              <w:txbxContent>
                                <w:p w14:paraId="307FCB79" w14:textId="4BC76EA0" w:rsidR="00B06983" w:rsidRPr="009B6177" w:rsidRDefault="00B06983" w:rsidP="001870B0">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Starptautiskā sadarbība</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DEEEF0A" id="_x0000_s1071" type="#_x0000_t202" style="position:absolute;margin-left:244.7pt;margin-top:102.05pt;width:85.05pt;height:13.2pt;z-index:25165831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ulTLgIAAFQEAAAOAAAAZHJzL2Uyb0RvYy54bWysVN9v2jAQfp+0/8Hy+0iAlqKIULFWTJNQ&#10;WwmmPhvHJpFsn2cbEvbX7+wQWnV7msaDOft+f99dFvedVuQknG/AlHQ8yikRhkPVmENJf+zWX+aU&#10;+MBMxRQYUdKz8PR++fnTorWFmEANqhKOYBDji9aWtA7BFlnmeS008yOwwqBSgtMs4NUdssqxFqNr&#10;lU3yfJa14CrrgAvv8fWxV9Jlii+l4OFZSi8CUSXF2kI6XTr38cyWC1YcHLN1wy9lsH+oQrPGYNJr&#10;qEcWGDm65o9QuuEOPMgw4qAzkLLhIvWA3YzzD91sa2ZF6gXB8fYKk/9/YfnT6cWRpiop5p/OZzfj&#10;8ZQSwzRytRNdIF+hI5MIU2t9gdZbi/ahw2eke3j3+Bi776TT8R/7IqhHwM9XkGMwHp3yeY4/Sjjq&#10;xrO727vEQvbmbZ0P3wRoEoWSOiQxYctOGx+wEjQdTGIyA+tGqUSkMqQt6Wx6myeHqwY9lEHH2ENf&#10;a5RCt+9S6zfXBvdQnbE/B/2geMvXDRaxYT68MIeTgXXjtIdnPKQCTAYXiZIa3K+/vUd7JAy1lLQ4&#10;aSX1P4/MCUrUd4NUxrEcBDcI+0EwR/0AOLxj3CPLk4gOLqhBlA70Ky7BKmZBFTMcc5WUBzdcHkI/&#10;8bhGXKxWyQzHz7KwMVvLY/AIZAR1170yZy/IB+TsCYYpZMUHAnrbnoLVMYBsEjsR2h7HC+I4uom0&#10;y5rF3Xh/T1ZvH4PlbwAAAP//AwBQSwMEFAAGAAgAAAAhAGBMPcziAAAACwEAAA8AAABkcnMvZG93&#10;bnJldi54bWxMj0FOwzAQRfdI3MEaJHbUTkmqNsSpEBKlIIFEywHc2I3TxOModtNwe4YVLGfm6c/7&#10;xXpyHRvNEBqPEpKZAGaw8rrBWsLX/vluCSxEhVp1Ho2EbxNgXV5fFSrX/oKfZtzFmlEIhlxJsDH2&#10;OeehssapMPO9Qbod/eBUpHGouR7UhcJdx+dCLLhTDdIHq3rzZE3V7s5OwqY5JvuPsa17276+bN62&#10;76ftKUp5ezM9PgCLZop/MPzqkzqU5HTwZ9SBdRLS5SolVMJcpAkwIhbZKgN2oM29yICXBf/fofwB&#10;AAD//wMAUEsBAi0AFAAGAAgAAAAhALaDOJL+AAAA4QEAABMAAAAAAAAAAAAAAAAAAAAAAFtDb250&#10;ZW50X1R5cGVzXS54bWxQSwECLQAUAAYACAAAACEAOP0h/9YAAACUAQAACwAAAAAAAAAAAAAAAAAv&#10;AQAAX3JlbHMvLnJlbHNQSwECLQAUAAYACAAAACEAH5bpUy4CAABUBAAADgAAAAAAAAAAAAAAAAAu&#10;AgAAZHJzL2Uyb0RvYy54bWxQSwECLQAUAAYACAAAACEAYEw9zOIAAAALAQAADwAAAAAAAAAAAAAA&#10;AACIBAAAZHJzL2Rvd25yZXYueG1sUEsFBgAAAAAEAAQA8wAAAJcFAAAAAA==&#10;" filled="f" stroked="f" strokeweight=".5pt">
                      <v:textbox inset="0,0,0,0">
                        <w:txbxContent>
                          <w:p w14:paraId="307FCB79" w14:textId="4BC76EA0" w:rsidR="00B06983" w:rsidRPr="009B6177" w:rsidRDefault="00B06983" w:rsidP="001870B0">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Starptautiskā sadarbība</w:t>
                            </w:r>
                          </w:p>
                        </w:txbxContent>
                      </v:textbox>
                    </v:shape>
                  </w:pict>
                </mc:Fallback>
              </mc:AlternateContent>
            </w:r>
            <w:r w:rsidR="001870B0">
              <w:rPr>
                <w:noProof/>
                <w14:ligatures w14:val="standardContextual"/>
              </w:rPr>
              <mc:AlternateContent>
                <mc:Choice Requires="wps">
                  <w:drawing>
                    <wp:anchor distT="0" distB="0" distL="114300" distR="114300" simplePos="0" relativeHeight="251658318" behindDoc="0" locked="0" layoutInCell="1" allowOverlap="1" wp14:anchorId="3ADAE08F" wp14:editId="5A6B18AF">
                      <wp:simplePos x="0" y="0"/>
                      <wp:positionH relativeFrom="column">
                        <wp:posOffset>2025866</wp:posOffset>
                      </wp:positionH>
                      <wp:positionV relativeFrom="paragraph">
                        <wp:posOffset>945616</wp:posOffset>
                      </wp:positionV>
                      <wp:extent cx="1080000" cy="167570"/>
                      <wp:effectExtent l="0" t="0" r="6350" b="4445"/>
                      <wp:wrapNone/>
                      <wp:docPr id="2016015143" name="Text Box 2"/>
                      <wp:cNvGraphicFramePr/>
                      <a:graphic xmlns:a="http://schemas.openxmlformats.org/drawingml/2006/main">
                        <a:graphicData uri="http://schemas.microsoft.com/office/word/2010/wordprocessingShape">
                          <wps:wsp>
                            <wps:cNvSpPr txBox="1"/>
                            <wps:spPr>
                              <a:xfrm>
                                <a:off x="0" y="0"/>
                                <a:ext cx="1080000" cy="167570"/>
                              </a:xfrm>
                              <a:prstGeom prst="rect">
                                <a:avLst/>
                              </a:prstGeom>
                              <a:noFill/>
                              <a:ln w="6350">
                                <a:noFill/>
                              </a:ln>
                            </wps:spPr>
                            <wps:txbx>
                              <w:txbxContent>
                                <w:p w14:paraId="7C8AC840" w14:textId="767BBF75" w:rsidR="00B06983" w:rsidRPr="009B6177" w:rsidRDefault="00B06983" w:rsidP="001870B0">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Pielāgošanās klimatam</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ADAE08F" id="_x0000_s1072" type="#_x0000_t202" style="position:absolute;margin-left:159.5pt;margin-top:74.45pt;width:85.05pt;height:13.2pt;z-index:25165831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a3LgIAAFQEAAAOAAAAZHJzL2Uyb0RvYy54bWysVN9v2jAQfp+0/8Hy+0hCB60iQsVaMU1C&#10;bSWY+mwcm0SyfZ5tSNhfv7ND6NTtaRoP5uz7/X13Wdz3WpGTcL4FU9FiklMiDIe6NYeKft+tP91R&#10;4gMzNVNgREXPwtP75ccPi86WYgoNqFo4gkGMLztb0SYEW2aZ543QzE/ACoNKCU6zgFd3yGrHOoyu&#10;VTbN83nWgautAy68x9fHQUmXKb6UgodnKb0IRFUUawvpdOncxzNbLlh5cMw2Lb+Uwf6hCs1ag0mv&#10;oR5ZYOTo2j9C6ZY78CDDhIPOQMqWi9QDdlPk77rZNsyK1AuC4+0VJv//wvKn04sjbV1RzD/Pi1nx&#10;+YYSwzRytRN9IF+gJ9MIU2d9idZbi/ahx2eke3z3+Bi776XT8R/7IqhHwM9XkGMwHp3yuxx/lHDU&#10;FfPb2W1iIXvzts6HrwI0iUJFHZKYsGWnjQ9YCZqOJjGZgXWrVCJSGdJVdH4zy5PDVYMeyqBj7GGo&#10;NUqh3/epdWz50uAe6jP252AYFG/5usUiNsyHF+ZwMrBunPbwjIdUgMngIlHSgPv5t/doj4ShlpIO&#10;J62i/seROUGJ+maQyjiWo+BGYT8K5qgfAIe3wD2yPIno4IIaRelAv+ISrGIWVDHDMVdFeXDj5SEM&#10;E49rxMVqlcxw/CwLG7O1PAaPQEZQd/0rc/aCfEDOnmCcQla+I2CwHShYHQPINrEToR1wvCCOo5tI&#10;u6xZ3I3f78nq7WOw/AUAAP//AwBQSwMEFAAGAAgAAAAhAC19i3HiAAAACwEAAA8AAABkcnMvZG93&#10;bnJldi54bWxMj81OwzAQhO9IvIO1SNyoE8pPG+JUCIlSkEDqzwO48TZOE6+j2E3D27Oc4LTandHs&#10;N/lidK0YsA+1JwXpJAGBVHpTU6Vgt329mYEIUZPRrSdU8I0BFsXlRa4z48+0xmETK8EhFDKtwMbY&#10;ZVKG0qLTYeI7JNYOvnc68tpX0vT6zOGulbdJ8iCdrok/WN3hi8Wy2ZycgmV9SLdfQ1N1tnl/W36s&#10;Po+rY1Tq+mp8fgIRcYx/ZvjFZ3QomGnvT2SCaBVM0zl3iSzczeYg2MEzBbHny+P9FGSRy/8dih8A&#10;AAD//wMAUEsBAi0AFAAGAAgAAAAhALaDOJL+AAAA4QEAABMAAAAAAAAAAAAAAAAAAAAAAFtDb250&#10;ZW50X1R5cGVzXS54bWxQSwECLQAUAAYACAAAACEAOP0h/9YAAACUAQAACwAAAAAAAAAAAAAAAAAv&#10;AQAAX3JlbHMvLnJlbHNQSwECLQAUAAYACAAAACEAGTv2ty4CAABUBAAADgAAAAAAAAAAAAAAAAAu&#10;AgAAZHJzL2Uyb0RvYy54bWxQSwECLQAUAAYACAAAACEALX2LceIAAAALAQAADwAAAAAAAAAAAAAA&#10;AACIBAAAZHJzL2Rvd25yZXYueG1sUEsFBgAAAAAEAAQA8wAAAJcFAAAAAA==&#10;" filled="f" stroked="f" strokeweight=".5pt">
                      <v:textbox inset="0,0,0,0">
                        <w:txbxContent>
                          <w:p w14:paraId="7C8AC840" w14:textId="767BBF75" w:rsidR="00B06983" w:rsidRPr="009B6177" w:rsidRDefault="00B06983" w:rsidP="001870B0">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Pielāgošanās klimatam</w:t>
                            </w:r>
                          </w:p>
                        </w:txbxContent>
                      </v:textbox>
                    </v:shape>
                  </w:pict>
                </mc:Fallback>
              </mc:AlternateContent>
            </w:r>
            <w:r w:rsidR="001870B0">
              <w:rPr>
                <w:noProof/>
                <w14:ligatures w14:val="standardContextual"/>
              </w:rPr>
              <mc:AlternateContent>
                <mc:Choice Requires="wps">
                  <w:drawing>
                    <wp:anchor distT="0" distB="0" distL="114300" distR="114300" simplePos="0" relativeHeight="251658317" behindDoc="0" locked="0" layoutInCell="1" allowOverlap="1" wp14:anchorId="64EDB636" wp14:editId="4236E4A5">
                      <wp:simplePos x="0" y="0"/>
                      <wp:positionH relativeFrom="column">
                        <wp:posOffset>3502025</wp:posOffset>
                      </wp:positionH>
                      <wp:positionV relativeFrom="paragraph">
                        <wp:posOffset>721665</wp:posOffset>
                      </wp:positionV>
                      <wp:extent cx="719455" cy="167005"/>
                      <wp:effectExtent l="0" t="0" r="4445" b="4445"/>
                      <wp:wrapNone/>
                      <wp:docPr id="1213245174" name="Text Box 2"/>
                      <wp:cNvGraphicFramePr/>
                      <a:graphic xmlns:a="http://schemas.openxmlformats.org/drawingml/2006/main">
                        <a:graphicData uri="http://schemas.microsoft.com/office/word/2010/wordprocessingShape">
                          <wps:wsp>
                            <wps:cNvSpPr txBox="1"/>
                            <wps:spPr>
                              <a:xfrm>
                                <a:off x="0" y="0"/>
                                <a:ext cx="719455" cy="167005"/>
                              </a:xfrm>
                              <a:prstGeom prst="rect">
                                <a:avLst/>
                              </a:prstGeom>
                              <a:noFill/>
                              <a:ln w="6350">
                                <a:noFill/>
                              </a:ln>
                            </wps:spPr>
                            <wps:txbx>
                              <w:txbxContent>
                                <w:p w14:paraId="4677548D" w14:textId="3A63DDD6" w:rsidR="00B06983" w:rsidRPr="009B6177" w:rsidRDefault="00B06983" w:rsidP="001870B0">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Preču cenas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4EDB636" id="_x0000_s1073" type="#_x0000_t202" style="position:absolute;margin-left:275.75pt;margin-top:56.8pt;width:56.65pt;height:13.15pt;z-index:25165831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CbWMQIAAFMEAAAOAAAAZHJzL2Uyb0RvYy54bWysVFFv2yAQfp+0/4B4X2ynSdpFcaqsVaZJ&#10;UVspmfpMMMSWgGNAYme/fgeO06nb07QXfNwdd3zfd3hx32lFTsL5BkxJi1FOiTAcqsYcSvp9t/50&#10;R4kPzFRMgRElPQtP75cfPyxaOxdjqEFVwhEsYvy8tSWtQ7DzLPO8Fpr5EVhhMCjBaRZw6w5Z5ViL&#10;1bXKxnk+y1pwlXXAhffofeyDdJnqSyl4eJbSi0BUSfFuIa0urfu4ZssFmx8cs3XDL9dg/3ALzRqD&#10;Ta+lHllg5OiaP0rphjvwIMOIg85AyoaLhAHRFPk7NNuaWZGwIDneXmny/68sfzq9ONJUqN24uBlP&#10;psXthBLDNGq1E10gX6Aj40hTa/0cs7cW80OHbjwy+D06I/pOOh2/iItgHAk/X0mOxTg6b4vPk+mU&#10;Eo6hYnab59NYJXs7bJ0PXwVoEo2SOtQwUctOGx/61CEl9jKwbpRKOipD2pLObqZ5OnCNYHFlsEeE&#10;0F81WqHbdwn5ZDLg2EN1RngO+jnxlq8bvMSG+fDCHA4GIsJhD8+4SAXYDC4WJTW4n3/zx3zUC6OU&#10;tDhoJfU/jswJStQ3g0rGqRwMNxj7wTBH/QA4uwU+I8uTiQdcUIMpHehXfAOr2AVDzHDsVVIe3LB5&#10;CP3A4yviYrVKaTh9loWN2Voei0ciI6m77pU5e2E+oGRPMAwhm78ToM/tJVgdA8gmqROp7Xm8MI6T&#10;m/S9vLL4NH7fp6y3f8HyFwAAAP//AwBQSwMEFAAGAAgAAAAhAIhVhY/hAAAACwEAAA8AAABkcnMv&#10;ZG93bnJldi54bWxMj8FOwzAQRO9I/IO1SNyoE0oiGuJUCInSIoFEywe4yTZOE6+j2E3D37OcynFn&#10;nmZn8uVkOzHi4BtHCuJZBAKpdFVDtYLv3evdIwgfNFW6c4QKftDDsri+ynVWuTN94bgNteAQ8plW&#10;YELoMyl9adBqP3M9EnsHN1gd+BxqWQ36zOG2k/dRlEqrG+IPRvf4YrBstyerYNUc4t3n2Na9aTdv&#10;q/f1x3F9DErd3kzPTyACTuECw199rg4Fd9q7E1VedAqSJE4YZSOepyCYSNMHHrNnZb5YgCxy+X9D&#10;8QsAAP//AwBQSwECLQAUAAYACAAAACEAtoM4kv4AAADhAQAAEwAAAAAAAAAAAAAAAAAAAAAAW0Nv&#10;bnRlbnRfVHlwZXNdLnhtbFBLAQItABQABgAIAAAAIQA4/SH/1gAAAJQBAAALAAAAAAAAAAAAAAAA&#10;AC8BAABfcmVscy8ucmVsc1BLAQItABQABgAIAAAAIQDFwCbWMQIAAFMEAAAOAAAAAAAAAAAAAAAA&#10;AC4CAABkcnMvZTJvRG9jLnhtbFBLAQItABQABgAIAAAAIQCIVYWP4QAAAAsBAAAPAAAAAAAAAAAA&#10;AAAAAIsEAABkcnMvZG93bnJldi54bWxQSwUGAAAAAAQABADzAAAAmQUAAAAA&#10;" filled="f" stroked="f" strokeweight=".5pt">
                      <v:textbox inset="0,0,0,0">
                        <w:txbxContent>
                          <w:p w14:paraId="4677548D" w14:textId="3A63DDD6" w:rsidR="00B06983" w:rsidRPr="009B6177" w:rsidRDefault="00B06983" w:rsidP="001870B0">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Preču cenas</w:t>
                            </w:r>
                          </w:p>
                        </w:txbxContent>
                      </v:textbox>
                    </v:shape>
                  </w:pict>
                </mc:Fallback>
              </mc:AlternateContent>
            </w:r>
            <w:r w:rsidR="001870B0">
              <w:rPr>
                <w:noProof/>
                <w14:ligatures w14:val="standardContextual"/>
              </w:rPr>
              <mc:AlternateContent>
                <mc:Choice Requires="wps">
                  <w:drawing>
                    <wp:anchor distT="0" distB="0" distL="114300" distR="114300" simplePos="0" relativeHeight="251658305" behindDoc="0" locked="0" layoutInCell="1" allowOverlap="1" wp14:anchorId="59B5E984" wp14:editId="6907A2A8">
                      <wp:simplePos x="0" y="0"/>
                      <wp:positionH relativeFrom="column">
                        <wp:posOffset>4217340</wp:posOffset>
                      </wp:positionH>
                      <wp:positionV relativeFrom="paragraph">
                        <wp:posOffset>203200</wp:posOffset>
                      </wp:positionV>
                      <wp:extent cx="719455" cy="167005"/>
                      <wp:effectExtent l="0" t="0" r="4445" b="4445"/>
                      <wp:wrapNone/>
                      <wp:docPr id="1599804727" name="Text Box 2"/>
                      <wp:cNvGraphicFramePr/>
                      <a:graphic xmlns:a="http://schemas.openxmlformats.org/drawingml/2006/main">
                        <a:graphicData uri="http://schemas.microsoft.com/office/word/2010/wordprocessingShape">
                          <wps:wsp>
                            <wps:cNvSpPr txBox="1"/>
                            <wps:spPr>
                              <a:xfrm>
                                <a:off x="0" y="0"/>
                                <a:ext cx="719455" cy="167005"/>
                              </a:xfrm>
                              <a:prstGeom prst="rect">
                                <a:avLst/>
                              </a:prstGeom>
                              <a:noFill/>
                              <a:ln w="6350">
                                <a:noFill/>
                              </a:ln>
                            </wps:spPr>
                            <wps:txbx>
                              <w:txbxContent>
                                <w:p w14:paraId="169F7102" w14:textId="77777777" w:rsidR="00B06983" w:rsidRPr="009B6177" w:rsidRDefault="00B06983" w:rsidP="001870B0">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Riski mieram</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9B5E984" id="_x0000_s1074" type="#_x0000_t202" style="position:absolute;margin-left:332.05pt;margin-top:16pt;width:56.65pt;height:13.15pt;z-index:25165830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C2YMAIAAFMEAAAOAAAAZHJzL2Uyb0RvYy54bWysVEuP2jAQvlfqf7B8LwmUx4IIK7orqkqr&#10;3ZWg2rNxbBLJ9ri2IaG/vmOHQLXtqerFGc+M5/F9M1net1qRk3C+BlPQ4SCnRBgOZW0OBf2+23y6&#10;o8QHZkqmwIiCnoWn96uPH5aNXYgRVKBK4QgGMX7R2IJWIdhFlnleCc38AKwwaJTgNAt4dYesdKzB&#10;6FplozyfZg240jrgwnvUPnZGukrxpRQ8vEjpRSCqoFhbSKdL5z6e2WrJFgfHbFXzSxnsH6rQrDaY&#10;9BrqkQVGjq7+I5SuuQMPMgw46AykrLlIPWA3w/xdN9uKWZF6QXC8vcLk/19Y/nx6daQukbvJfH6X&#10;j2ejGSWGaeRqJ9pAvkBLRhGmxvoFem8t+ocW1fik13tUxu5b6XT8Yl8E7Qj4+QpyDMZRORvOx5MJ&#10;JRxNw+kszycxSnZ7bJ0PXwVoEoWCOuQwQctOTz50rr1LzGVgUyuVeFSGNAWdfp7k6cHVgsGVwRyx&#10;ha7UKIV236bOx6mCqNpDecb2HHRz4i3f1FjEE/PhlTkcDOwIhz284CEVYDK4SJRU4H7+TR/9kS+0&#10;UtLgoBXU/zgyJyhR3wwyGaeyF1wv7HvBHPUD4OwOcY0sTyI+cEH1onSg33AH1jELmpjhmKugPLj+&#10;8hC6gcct4mK9Tm44fZaFJ7O1PAaPQEZQd+0bc/aCfEDKnqEfQrZ4R0Dn21GwPgaQdWLnhuMFcZzc&#10;xO9ly+Jq/H5PXrd/weoXAAAA//8DAFBLAwQUAAYACAAAACEAJ0mDvOEAAAAJAQAADwAAAGRycy9k&#10;b3ducmV2LnhtbEyP0UrDQBBF3wX/YRnBN7tJW5MSMykiWKugYOsHbJNpNk12NmS3afx71yd9HOZw&#10;77n5ejKdGGlwjWWEeBaBIC5t1XCN8LV/vluBcF5xpTrLhPBNDtbF9VWusspe+JPGna9FCGGXKQTt&#10;fZ9J6UpNRrmZ7YnD72gHo3w4h1pWg7qEcNPJeRQl0qiGQ4NWPT1pKtvd2SBsmmO8/xjbutft68vm&#10;bft+2p484u3N9PgAwtPk/2D41Q/qUASngz1z5USHkCTLOKAIi3nYFIA0TZcgDgj3qwXIIpf/FxQ/&#10;AAAA//8DAFBLAQItABQABgAIAAAAIQC2gziS/gAAAOEBAAATAAAAAAAAAAAAAAAAAAAAAABbQ29u&#10;dGVudF9UeXBlc10ueG1sUEsBAi0AFAAGAAgAAAAhADj9If/WAAAAlAEAAAsAAAAAAAAAAAAAAAAA&#10;LwEAAF9yZWxzLy5yZWxzUEsBAi0AFAAGAAgAAAAhAN6QLZgwAgAAUwQAAA4AAAAAAAAAAAAAAAAA&#10;LgIAAGRycy9lMm9Eb2MueG1sUEsBAi0AFAAGAAgAAAAhACdJg7zhAAAACQEAAA8AAAAAAAAAAAAA&#10;AAAAigQAAGRycy9kb3ducmV2LnhtbFBLBQYAAAAABAAEAPMAAACYBQAAAAA=&#10;" filled="f" stroked="f" strokeweight=".5pt">
                      <v:textbox inset="0,0,0,0">
                        <w:txbxContent>
                          <w:p w14:paraId="169F7102" w14:textId="77777777" w:rsidR="00B06983" w:rsidRPr="009B6177" w:rsidRDefault="00B06983" w:rsidP="001870B0">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Riski mieram</w:t>
                            </w:r>
                          </w:p>
                        </w:txbxContent>
                      </v:textbox>
                    </v:shape>
                  </w:pict>
                </mc:Fallback>
              </mc:AlternateContent>
            </w:r>
            <w:r w:rsidR="001870B0">
              <w:rPr>
                <w:noProof/>
                <w14:ligatures w14:val="standardContextual"/>
              </w:rPr>
              <mc:AlternateContent>
                <mc:Choice Requires="wps">
                  <w:drawing>
                    <wp:anchor distT="0" distB="0" distL="114300" distR="114300" simplePos="0" relativeHeight="251658316" behindDoc="0" locked="0" layoutInCell="1" allowOverlap="1" wp14:anchorId="15C5470D" wp14:editId="1C359A72">
                      <wp:simplePos x="0" y="0"/>
                      <wp:positionH relativeFrom="column">
                        <wp:posOffset>270510</wp:posOffset>
                      </wp:positionH>
                      <wp:positionV relativeFrom="paragraph">
                        <wp:posOffset>948690</wp:posOffset>
                      </wp:positionV>
                      <wp:extent cx="360000" cy="167570"/>
                      <wp:effectExtent l="0" t="0" r="2540" b="4445"/>
                      <wp:wrapNone/>
                      <wp:docPr id="574722339" name="Text Box 2"/>
                      <wp:cNvGraphicFramePr/>
                      <a:graphic xmlns:a="http://schemas.openxmlformats.org/drawingml/2006/main">
                        <a:graphicData uri="http://schemas.microsoft.com/office/word/2010/wordprocessingShape">
                          <wps:wsp>
                            <wps:cNvSpPr txBox="1"/>
                            <wps:spPr>
                              <a:xfrm>
                                <a:off x="0" y="0"/>
                                <a:ext cx="360000" cy="167570"/>
                              </a:xfrm>
                              <a:prstGeom prst="rect">
                                <a:avLst/>
                              </a:prstGeom>
                              <a:noFill/>
                              <a:ln w="6350">
                                <a:noFill/>
                              </a:ln>
                            </wps:spPr>
                            <wps:txbx>
                              <w:txbxContent>
                                <w:p w14:paraId="33108A01" w14:textId="64EA88C5" w:rsidR="00B06983" w:rsidRPr="009B6177" w:rsidRDefault="00B06983" w:rsidP="001870B0">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CCUS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5C5470D" id="_x0000_s1075" type="#_x0000_t202" style="position:absolute;margin-left:21.3pt;margin-top:74.7pt;width:28.35pt;height:13.2pt;z-index:2516583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LkOMAIAAFIEAAAOAAAAZHJzL2Uyb0RvYy54bWysVN9v2jAQfp+0/8Hy+0iAAl1EqFgrpklV&#10;WwmmPhvHJpFsn2cbEvbX7+wQOnV7msaDOd8v333fXZZ3nVbkJJxvwJR0PMopEYZD1ZhDSb/vNp9u&#10;KfGBmYopMKKkZ+Hp3erjh2VrCzGBGlQlHMEkxhetLWkdgi2yzPNaaOZHYIVBowSnWcCrO2SVYy1m&#10;1yqb5Pk8a8FV1gEX3qP2oTfSVcovpeDhWUovAlElxdpCOl069/HMVktWHByzdcMvZbB/qEKzxuCj&#10;11QPLDBydM0fqXTDHXiQYcRBZyBlw0XqAbsZ5++62dbMitQLguPtFSb//9Lyp9OLI01V0tniZjGZ&#10;TKefKTFMI1U70QXyBToyiSi11hfovLXoHjpUI9uD3qMyNt9Jp+M/tkXQjnifrxjHZByV03mOP0o4&#10;msbzxWyROMjegq3z4asATaJQUocUJmTZ6dEHLARdB5f4loFNo1SiURnSlnQ+neUp4GrBCGUwMLbQ&#10;lxql0O271PjNfOhjD9UZ23PQj4m3fNNgEY/MhxfmcC6wbpz18IyHVICPwUWipAb382/66I90oZWS&#10;FuespP7HkTlBifpmkMg4lIPgBmE/COao7wFHd4xbZHkSMcAFNYjSgX7FFVjHV9DEDMe3SsqDGy73&#10;oZ93XCIu1uvkhsNnWXg0W8tj8ghkBHXXvTJnL8gHpOwJhhlkxTsCet+egvUxgGwSOxHaHscL4ji4&#10;ibTLksXN+P2evN4+BatfAAAA//8DAFBLAwQUAAYACAAAACEA6p9w5+AAAAAJAQAADwAAAGRycy9k&#10;b3ducmV2LnhtbEyP0U7DMAxF35H4h8hIvG3pRjfW0nRCSIyBBBIbH5A1Xtu1caom68rfY57g0ddH&#10;18fZerStGLD3tSMFs2kEAqlwpqZSwdf+ebIC4YMmo1tHqOAbPazz66tMp8Zd6BOHXSgFl5BPtYIq&#10;hC6V0hcVWu2nrkPi3dH1Vgce+1KaXl+43LZyHkVLaXVNfKHSHT5VWDS7s1WwqY+z/cfQlF3VvL5s&#10;3rbvp+0pKHV7Mz4+gAg4hj8YfvVZHXJ2OrgzGS9aBfF8ySTncRKDYCBJ7kAcOLhfrEDmmfz/Qf4D&#10;AAD//wMAUEsBAi0AFAAGAAgAAAAhALaDOJL+AAAA4QEAABMAAAAAAAAAAAAAAAAAAAAAAFtDb250&#10;ZW50X1R5cGVzXS54bWxQSwECLQAUAAYACAAAACEAOP0h/9YAAACUAQAACwAAAAAAAAAAAAAAAAAv&#10;AQAAX3JlbHMvLnJlbHNQSwECLQAUAAYACAAAACEAXFy5DjACAABSBAAADgAAAAAAAAAAAAAAAAAu&#10;AgAAZHJzL2Uyb0RvYy54bWxQSwECLQAUAAYACAAAACEA6p9w5+AAAAAJAQAADwAAAAAAAAAAAAAA&#10;AACKBAAAZHJzL2Rvd25yZXYueG1sUEsFBgAAAAAEAAQA8wAAAJcFAAAAAA==&#10;" filled="f" stroked="f" strokeweight=".5pt">
                      <v:textbox inset="0,0,0,0">
                        <w:txbxContent>
                          <w:p w14:paraId="33108A01" w14:textId="64EA88C5" w:rsidR="00B06983" w:rsidRPr="009B6177" w:rsidRDefault="00B06983" w:rsidP="001870B0">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CCUS</w:t>
                            </w:r>
                          </w:p>
                        </w:txbxContent>
                      </v:textbox>
                    </v:shape>
                  </w:pict>
                </mc:Fallback>
              </mc:AlternateContent>
            </w:r>
            <w:r w:rsidR="001870B0">
              <w:rPr>
                <w:noProof/>
                <w14:ligatures w14:val="standardContextual"/>
              </w:rPr>
              <mc:AlternateContent>
                <mc:Choice Requires="wps">
                  <w:drawing>
                    <wp:anchor distT="0" distB="0" distL="114300" distR="114300" simplePos="0" relativeHeight="251658314" behindDoc="0" locked="0" layoutInCell="1" allowOverlap="1" wp14:anchorId="002E5A7E" wp14:editId="7E600FE5">
                      <wp:simplePos x="0" y="0"/>
                      <wp:positionH relativeFrom="column">
                        <wp:posOffset>586740</wp:posOffset>
                      </wp:positionH>
                      <wp:positionV relativeFrom="paragraph">
                        <wp:posOffset>3141675</wp:posOffset>
                      </wp:positionV>
                      <wp:extent cx="900000" cy="167570"/>
                      <wp:effectExtent l="0" t="0" r="14605" b="4445"/>
                      <wp:wrapNone/>
                      <wp:docPr id="1938776563" name="Text Box 2"/>
                      <wp:cNvGraphicFramePr/>
                      <a:graphic xmlns:a="http://schemas.openxmlformats.org/drawingml/2006/main">
                        <a:graphicData uri="http://schemas.microsoft.com/office/word/2010/wordprocessingShape">
                          <wps:wsp>
                            <wps:cNvSpPr txBox="1"/>
                            <wps:spPr>
                              <a:xfrm>
                                <a:off x="0" y="0"/>
                                <a:ext cx="900000" cy="167570"/>
                              </a:xfrm>
                              <a:prstGeom prst="rect">
                                <a:avLst/>
                              </a:prstGeom>
                              <a:noFill/>
                              <a:ln w="6350">
                                <a:noFill/>
                              </a:ln>
                            </wps:spPr>
                            <wps:txbx>
                              <w:txbxContent>
                                <w:p w14:paraId="1C2F7BB9" w14:textId="4376C942" w:rsidR="00B06983" w:rsidRPr="009B6177" w:rsidRDefault="00B06983" w:rsidP="001870B0">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Sociālās vajadzības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02E5A7E" id="_x0000_s1076" type="#_x0000_t202" style="position:absolute;margin-left:46.2pt;margin-top:247.4pt;width:70.85pt;height:13.2pt;z-index:25165831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m4LwIAAFMEAAAOAAAAZHJzL2Uyb0RvYy54bWysVN9v2jAQfp+0/8Hy+0iAAW1EqFgrpklV&#10;WwmmPhvHJpFsn2cbEvbX7+wQOnV7msaDOd8v333fXZZ3nVbkJJxvwJR0PMopEYZD1ZhDSb/vNp9u&#10;KPGBmYopMKKkZ+Hp3erjh2VrCzGBGlQlHMEkxhetLWkdgi2yzPNaaOZHYIVBowSnWcCrO2SVYy1m&#10;1yqb5Pk8a8FV1gEX3qP2oTfSVcovpeDhWUovAlElxdpCOl069/HMVktWHByzdcMvZbB/qEKzxuCj&#10;11QPLDBydM0fqXTDHXiQYcRBZyBlw0XqAbsZ5++62dbMitQLguPtFSb//9Lyp9OLI02F3N1ObxaL&#10;+Ww+pcQwjVztRBfIF+jIJMLUWl+g99aif+hQjSGD3qMydt9Jp+M/9kXQjoCfryDHZByVt3n8UcLR&#10;NJ4vZotEQvYWbJ0PXwVoEoWSOuQwQctOjz5gIeg6uMS3DGwapRKPypC2pPPpLE8BVwtGKIOBsYW+&#10;1CiFbt+lzj8vhj72UJ2xPQf9nHjLNw0W8ch8eGEOBwPrxmEPz3hIBfgYXCRKanA//6aP/sgXWilp&#10;cdBK6n8cmROUqG8GmYxTOQhuEPaDYI76HnB2x7hGlicRA1xQgygd6FfcgXV8BU3McHyrpDy44XIf&#10;+oHHLeJivU5uOH2WhUeztTwmj0BGUHfdK3P2gnxAyp5gGEJWvCOg9+0pWB8DyCaxE6HtcbwgjpOb&#10;SLtsWVyN3+/J6+1bsPoFAAD//wMAUEsDBBQABgAIAAAAIQBP++qi4QAAAAoBAAAPAAAAZHJzL2Rv&#10;d25yZXYueG1sTI9BTsMwEEX3SNzBGiR21IkJqA1xKoREKZVAou0B3Hgap4nHUeym4faYFSxH8/T/&#10;+8Vysh0bcfCNIwnpLAGGVDndUC1hv3u9mwPzQZFWnSOU8I0eluX1VaFy7S70heM21CyGkM+VBBNC&#10;n3PuK4NW+ZnrkeLv6AarQjyHmutBXWK47bhIkkduVUOxwageXwxW7fZsJayaY7r7HNu6N+3722qz&#10;/jitT0HK25vp+QlYwCn8wfCrH9WhjE4HdybtWSdhIbJISsgWWZwQAXGfpcAOEh5EKoCXBf8/ofwB&#10;AAD//wMAUEsBAi0AFAAGAAgAAAAhALaDOJL+AAAA4QEAABMAAAAAAAAAAAAAAAAAAAAAAFtDb250&#10;ZW50X1R5cGVzXS54bWxQSwECLQAUAAYACAAAACEAOP0h/9YAAACUAQAACwAAAAAAAAAAAAAAAAAv&#10;AQAAX3JlbHMvLnJlbHNQSwECLQAUAAYACAAAACEAvl9ZuC8CAABTBAAADgAAAAAAAAAAAAAAAAAu&#10;AgAAZHJzL2Uyb0RvYy54bWxQSwECLQAUAAYACAAAACEAT/vqouEAAAAKAQAADwAAAAAAAAAAAAAA&#10;AACJBAAAZHJzL2Rvd25yZXYueG1sUEsFBgAAAAAEAAQA8wAAAJcFAAAAAA==&#10;" filled="f" stroked="f" strokeweight=".5pt">
                      <v:textbox inset="0,0,0,0">
                        <w:txbxContent>
                          <w:p w14:paraId="1C2F7BB9" w14:textId="4376C942" w:rsidR="00B06983" w:rsidRPr="009B6177" w:rsidRDefault="00B06983" w:rsidP="001870B0">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Sociālās vajadzības</w:t>
                            </w:r>
                          </w:p>
                        </w:txbxContent>
                      </v:textbox>
                    </v:shape>
                  </w:pict>
                </mc:Fallback>
              </mc:AlternateContent>
            </w:r>
            <w:r w:rsidR="001870B0">
              <w:rPr>
                <w:noProof/>
                <w14:ligatures w14:val="standardContextual"/>
              </w:rPr>
              <mc:AlternateContent>
                <mc:Choice Requires="wps">
                  <w:drawing>
                    <wp:anchor distT="0" distB="0" distL="114300" distR="114300" simplePos="0" relativeHeight="251658313" behindDoc="0" locked="0" layoutInCell="1" allowOverlap="1" wp14:anchorId="7C18AFD2" wp14:editId="4F6D9C78">
                      <wp:simplePos x="0" y="0"/>
                      <wp:positionH relativeFrom="column">
                        <wp:posOffset>1658620</wp:posOffset>
                      </wp:positionH>
                      <wp:positionV relativeFrom="paragraph">
                        <wp:posOffset>3485845</wp:posOffset>
                      </wp:positionV>
                      <wp:extent cx="720000" cy="167570"/>
                      <wp:effectExtent l="0" t="0" r="4445" b="4445"/>
                      <wp:wrapNone/>
                      <wp:docPr id="462771223" name="Text Box 2"/>
                      <wp:cNvGraphicFramePr/>
                      <a:graphic xmlns:a="http://schemas.openxmlformats.org/drawingml/2006/main">
                        <a:graphicData uri="http://schemas.microsoft.com/office/word/2010/wordprocessingShape">
                          <wps:wsp>
                            <wps:cNvSpPr txBox="1"/>
                            <wps:spPr>
                              <a:xfrm>
                                <a:off x="0" y="0"/>
                                <a:ext cx="720000" cy="167570"/>
                              </a:xfrm>
                              <a:prstGeom prst="rect">
                                <a:avLst/>
                              </a:prstGeom>
                              <a:noFill/>
                              <a:ln w="6350">
                                <a:noFill/>
                              </a:ln>
                            </wps:spPr>
                            <wps:txbx>
                              <w:txbxContent>
                                <w:p w14:paraId="633C9958" w14:textId="77777777" w:rsidR="00B06983" w:rsidRPr="009B6177" w:rsidRDefault="00B06983" w:rsidP="001870B0">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Pieejamība</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C18AFD2" id="_x0000_s1077" type="#_x0000_t202" style="position:absolute;margin-left:130.6pt;margin-top:274.5pt;width:56.7pt;height:13.2pt;z-index:25165831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sg8LgIAAFIEAAAOAAAAZHJzL2Uyb0RvYy54bWysVE1v2zAMvQ/YfxB0X+y4a1IYcYqsRYYB&#10;QVsgGXpWZCk2IImapMTOfv0oOU6HbqdhF5nil8j3SC/ue63ISTjfgqnodJJTIgyHujWHin7frT/d&#10;UeIDMzVTYERFz8LT++XHD4vOlqKABlQtHMEkxpedrWgTgi2zzPNGaOYnYIVBowSnWcCrO2S1Yx1m&#10;1yor8nyWdeBq64AL71H7OBjpMuWXUvDwLKUXgaiKYm0hnS6d+3hmywUrD47ZpuWXMtg/VKFZa/DR&#10;a6pHFhg5uvaPVLrlDjzIMOGgM5Cy5SL1gN1M83fdbBtmReoFwfH2CpP/f2n50+nFkbau6OdZMZ9P&#10;i+KGEsM0UrUTfSBfoCdFRKmzvkTnrUX30KMa2R71HpWx+V46Hb/YFkE74n2+YhyTcVTOkbUcLRxN&#10;09n8dp44yN6CrfPhqwBNolBRhxQmZNlp4wMWgq6jS3zLwLpVKtGoDOkqOru5zVPA1YIRymBgbGEo&#10;NUqh3/dD43djH3uoz9ieg2FMvOXrFovYMB9emMO5wLpx1sMzHlIBPgYXiZIG3M+/6aM/0oVWSjqc&#10;s4r6H0fmBCXqm0Ei41COghuF/SiYo34AHN0pbpHlScQAF9QoSgf6FVdgFV9BEzMc36ooD268PIRh&#10;3nGJuFitkhsOn2VhY7aWx+QRyAjqrn9lzl6QD0jZE4wzyMp3BAy+AwWrYwDZJnYitAOOF8RxcBNp&#10;lyWLm/H7PXm9/QqWvwAAAP//AwBQSwMEFAAGAAgAAAAhALsI4GDiAAAACwEAAA8AAABkcnMvZG93&#10;bnJldi54bWxMj0FOwzAQRfeVuIM1SOxaJyFNIcSpEBKlIIFEywHc2I3TxOModtNwe4YVLGfm6c/7&#10;xXqyHRv14BuHAuJFBExj5VSDtYCv/fP8DpgPEpXsHGoB39rDuryaFTJX7oKfetyFmlEI+lwKMCH0&#10;Oee+MtpKv3C9Rrod3WBloHGouRrkhcJtx5MoyriVDdIHI3v9ZHTV7s5WwKY5xvuPsa17076+bN62&#10;76ftKQhxcz09PgALegp/MPzqkzqU5HRwZ1SedQKSLE4IFbBM76kUEberNAN2oM1qmQIvC/6/Q/kD&#10;AAD//wMAUEsBAi0AFAAGAAgAAAAhALaDOJL+AAAA4QEAABMAAAAAAAAAAAAAAAAAAAAAAFtDb250&#10;ZW50X1R5cGVzXS54bWxQSwECLQAUAAYACAAAACEAOP0h/9YAAACUAQAACwAAAAAAAAAAAAAAAAAv&#10;AQAAX3JlbHMvLnJlbHNQSwECLQAUAAYACAAAACEAu77IPC4CAABSBAAADgAAAAAAAAAAAAAAAAAu&#10;AgAAZHJzL2Uyb0RvYy54bWxQSwECLQAUAAYACAAAACEAuwjgYOIAAAALAQAADwAAAAAAAAAAAAAA&#10;AACIBAAAZHJzL2Rvd25yZXYueG1sUEsFBgAAAAAEAAQA8wAAAJcFAAAAAA==&#10;" filled="f" stroked="f" strokeweight=".5pt">
                      <v:textbox inset="0,0,0,0">
                        <w:txbxContent>
                          <w:p w14:paraId="633C9958" w14:textId="77777777" w:rsidR="00B06983" w:rsidRPr="009B6177" w:rsidRDefault="00B06983" w:rsidP="001870B0">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Pieejamība</w:t>
                            </w:r>
                          </w:p>
                        </w:txbxContent>
                      </v:textbox>
                    </v:shape>
                  </w:pict>
                </mc:Fallback>
              </mc:AlternateContent>
            </w:r>
            <w:r w:rsidR="001870B0">
              <w:rPr>
                <w:noProof/>
                <w14:ligatures w14:val="standardContextual"/>
              </w:rPr>
              <mc:AlternateContent>
                <mc:Choice Requires="wps">
                  <w:drawing>
                    <wp:anchor distT="0" distB="0" distL="114300" distR="114300" simplePos="0" relativeHeight="251658312" behindDoc="0" locked="0" layoutInCell="1" allowOverlap="1" wp14:anchorId="3A94643E" wp14:editId="07F11F7F">
                      <wp:simplePos x="0" y="0"/>
                      <wp:positionH relativeFrom="column">
                        <wp:posOffset>3662604</wp:posOffset>
                      </wp:positionH>
                      <wp:positionV relativeFrom="paragraph">
                        <wp:posOffset>1771574</wp:posOffset>
                      </wp:positionV>
                      <wp:extent cx="720000" cy="167570"/>
                      <wp:effectExtent l="0" t="0" r="4445" b="4445"/>
                      <wp:wrapNone/>
                      <wp:docPr id="125573425" name="Text Box 2"/>
                      <wp:cNvGraphicFramePr/>
                      <a:graphic xmlns:a="http://schemas.openxmlformats.org/drawingml/2006/main">
                        <a:graphicData uri="http://schemas.microsoft.com/office/word/2010/wordprocessingShape">
                          <wps:wsp>
                            <wps:cNvSpPr txBox="1"/>
                            <wps:spPr>
                              <a:xfrm>
                                <a:off x="0" y="0"/>
                                <a:ext cx="720000" cy="167570"/>
                              </a:xfrm>
                              <a:prstGeom prst="rect">
                                <a:avLst/>
                              </a:prstGeom>
                              <a:noFill/>
                              <a:ln w="6350">
                                <a:noFill/>
                              </a:ln>
                            </wps:spPr>
                            <wps:txbx>
                              <w:txbxContent>
                                <w:p w14:paraId="6C7C8EBE" w14:textId="762DA505" w:rsidR="00B06983" w:rsidRPr="009B6177" w:rsidRDefault="00B06983" w:rsidP="001870B0">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Pieņemamība</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A94643E" id="_x0000_s1078" type="#_x0000_t202" style="position:absolute;margin-left:288.4pt;margin-top:139.5pt;width:56.7pt;height:13.2pt;z-index:251658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icsLgIAAFIEAAAOAAAAZHJzL2Uyb0RvYy54bWysVN9v2jAQfp+0/8Hy+wjQAh0iVKwV0yTU&#10;VoKpz8ZxSKTE59mGhP31++wQOnV7mvbinO+X777vLov7tq7YSVlXkk75aDDkTGlJWakPKf++W3+6&#10;48x5oTNRkVYpPyvH75cfPywaM1djKqjKlGVIot28MSkvvDfzJHGyULVwAzJKw5iTrYXH1R6SzIoG&#10;2esqGQ+H06QhmxlLUjkH7WNn5MuYP8+V9M957pRnVcpRm4+njec+nMlyIeYHK0xRyksZ4h+qqEWp&#10;8eg11aPwgh1t+UequpSWHOV+IKlOKM9LqWIP6GY0fNfNthBGxV4AjjNXmNz/SyufTi+WlRm4G08m&#10;s5vb8YQzLWpQtVOtZ1+oZeOAUmPcHM5bA3ffQo2IXu+gDM23ua3DF20x2IH3+YpxSCahnIG1ISwS&#10;ptF0NplFDpK3YGOd/6qoZkFIuQWFEVlx2jiPQuDau4S3NK3Lqoo0Vpo1KZ/eTIYx4GpBRKURGFro&#10;Sg2Sb/dtbPz2c9/HnrIz2rPUjYkzcl2iiI1w/kVYzAXqxqz7Zxx5RXiMLhJnBdmff9MHf9AFK2cN&#10;5izl7sdRWMVZ9U2DyDCUvWB7Yd8L+lg/EEZ3hC0yMooIsL7qxdxS/YoVWIVXYBJa4q2US2/7y4Pv&#10;5h1LJNVqFd0wfEb4jd4aGZIHIAOou/ZVWHNB3oOyJ+pnUMzfEdD5dhSsjp7yMrIToO1wvCCOwY2k&#10;XZYsbMbv9+j19itY/gIAAP//AwBQSwMEFAAGAAgAAAAhAK9OXdLjAAAACwEAAA8AAABkcnMvZG93&#10;bnJldi54bWxMj8FOwzAQRO9I/IO1SNyo3UDTNsSpEBKlIIHUlg9wYzdOE6+j2E3D37Oc4Dia0cyb&#10;fDW6lg2mD7VHCdOJAGaw9LrGSsLX/uVuASxEhVq1Ho2EbxNgVVxf5SrT/oJbM+xixagEQ6Yk2Bi7&#10;jPNQWuNUmPjOIHlH3zsVSfYV1726ULlreSJEyp2qkRas6syzNWWzOzsJ6/o43X8OTdXZ5u11/b75&#10;OG1OUcrbm/HpEVg0Y/wLwy8+oUNBTAd/Rh1YK2E2Twk9SkjmSzpFiXQpEmAHCfdi9gC8yPn/D8UP&#10;AAAA//8DAFBLAQItABQABgAIAAAAIQC2gziS/gAAAOEBAAATAAAAAAAAAAAAAAAAAAAAAABbQ29u&#10;dGVudF9UeXBlc10ueG1sUEsBAi0AFAAGAAgAAAAhADj9If/WAAAAlAEAAAsAAAAAAAAAAAAAAAAA&#10;LwEAAF9yZWxzLy5yZWxzUEsBAi0AFAAGAAgAAAAhAEmiJywuAgAAUgQAAA4AAAAAAAAAAAAAAAAA&#10;LgIAAGRycy9lMm9Eb2MueG1sUEsBAi0AFAAGAAgAAAAhAK9OXdLjAAAACwEAAA8AAAAAAAAAAAAA&#10;AAAAiAQAAGRycy9kb3ducmV2LnhtbFBLBQYAAAAABAAEAPMAAACYBQAAAAA=&#10;" filled="f" stroked="f" strokeweight=".5pt">
                      <v:textbox inset="0,0,0,0">
                        <w:txbxContent>
                          <w:p w14:paraId="6C7C8EBE" w14:textId="762DA505" w:rsidR="00B06983" w:rsidRPr="009B6177" w:rsidRDefault="00B06983" w:rsidP="001870B0">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Pieņemamība</w:t>
                            </w:r>
                          </w:p>
                        </w:txbxContent>
                      </v:textbox>
                    </v:shape>
                  </w:pict>
                </mc:Fallback>
              </mc:AlternateContent>
            </w:r>
            <w:r w:rsidR="001870B0">
              <w:rPr>
                <w:noProof/>
                <w14:ligatures w14:val="standardContextual"/>
              </w:rPr>
              <mc:AlternateContent>
                <mc:Choice Requires="wps">
                  <w:drawing>
                    <wp:anchor distT="0" distB="0" distL="114300" distR="114300" simplePos="0" relativeHeight="251658311" behindDoc="0" locked="0" layoutInCell="1" allowOverlap="1" wp14:anchorId="267C9223" wp14:editId="0A6978BB">
                      <wp:simplePos x="0" y="0"/>
                      <wp:positionH relativeFrom="column">
                        <wp:posOffset>3224530</wp:posOffset>
                      </wp:positionH>
                      <wp:positionV relativeFrom="paragraph">
                        <wp:posOffset>1947240</wp:posOffset>
                      </wp:positionV>
                      <wp:extent cx="720000" cy="167570"/>
                      <wp:effectExtent l="0" t="0" r="4445" b="4445"/>
                      <wp:wrapNone/>
                      <wp:docPr id="1221265674" name="Text Box 2"/>
                      <wp:cNvGraphicFramePr/>
                      <a:graphic xmlns:a="http://schemas.openxmlformats.org/drawingml/2006/main">
                        <a:graphicData uri="http://schemas.microsoft.com/office/word/2010/wordprocessingShape">
                          <wps:wsp>
                            <wps:cNvSpPr txBox="1"/>
                            <wps:spPr>
                              <a:xfrm>
                                <a:off x="0" y="0"/>
                                <a:ext cx="720000" cy="167570"/>
                              </a:xfrm>
                              <a:prstGeom prst="rect">
                                <a:avLst/>
                              </a:prstGeom>
                              <a:noFill/>
                              <a:ln w="6350">
                                <a:noFill/>
                              </a:ln>
                            </wps:spPr>
                            <wps:txbx>
                              <w:txbxContent>
                                <w:p w14:paraId="7C28A9BC" w14:textId="162E548B" w:rsidR="00B06983" w:rsidRPr="009B6177" w:rsidRDefault="00B06983" w:rsidP="001870B0">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Kapitāla izmaksas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67C9223" id="_x0000_s1079" type="#_x0000_t202" style="position:absolute;margin-left:253.9pt;margin-top:153.35pt;width:56.7pt;height:13.2pt;z-index:25165831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liBLgIAAFMEAAAOAAAAZHJzL2Uyb0RvYy54bWysVE2P2jAQvVfqf7B8Lwm0QIUIK7orqkpo&#10;dyWo9mwch0RKPK5tSOiv77ND2GrbU9WLM54vz7w3k+Vd19TsrKyrSGd8PEo5U1pSXuljxr/vNx8+&#10;c+a80LmoSauMX5Tjd6v375atWagJlVTnyjIk0W7RmoyX3ptFkjhZqka4ERmlYSzINsLjao9JbkWL&#10;7E2dTNJ0lrRkc2NJKuegfeiNfBXzF4WS/qkonPKszjhq8/G08TyEM1ktxeJohSkreS1D/EMVjag0&#10;Hr2lehBesJOt/kjVVNKSo8KPJDUJFUUlVewB3YzTN93sSmFU7AXgOHODyf2/tPLx/GxZlYO7yWQ8&#10;mU1n80+cadGAq73qPPtCHZsEmFrjFvDeGfj7DmqEDHoHZei+K2wTvuiLwQ7ALzeQQzIJ5Ry0pbBI&#10;mMaz+XQeSUheg411/quihgUh4xYcRmjFees8CoHr4BLe0rSp6jryWGvWZnz2cZrGgJsFEbVGYGih&#10;LzVIvjt0sXO4X/s7UH5Be5b6OXFGbioUsRXOPwuLwUDdGHb/hKOoCY/RVeKsJPvzb/rgD75g5azF&#10;oGXc/TgJqzirv2kwGaZyEOwgHAZBn5p7wuyOsUZGRhEB1teDWFhqXrAD6/AKTEJLvJVx6e1wuff9&#10;wGOLpFqvoxumzwi/1TsjQ/IAZAB1370Ia67Ie1D2SMMQisUbAnrfnoL1yVNRRXYCtD2OV8QxuZG0&#10;65aF1fj9Hr1e/wWrXwAAAP//AwBQSwMEFAAGAAgAAAAhAFN7193iAAAACwEAAA8AAABkcnMvZG93&#10;bnJldi54bWxMj8FOwzAQRO9I/IO1SNyonUSkKMSpEBKlIBWJlg9w422cJraj2E3D37Oc4Lizo5k3&#10;5Wq2PZtwDK13EpKFAIau9rp1jYSv/cvdA7AQldOq9w4lfGOAVXV9VapC+4v7xGkXG0YhLhRKgolx&#10;KDgPtUGrwsIP6Oh39KNVkc6x4XpUFwq3PU+FyLlVraMGowZ8Nlh3u7OVsG6Pyf5j6prBdG+v6/fN&#10;9rQ5RSlvb+anR2AR5/hnhl98QoeKmA7+7HRgvYR7sST0KCET+RIYOfI0SYEdSMmyBHhV8v8bqh8A&#10;AAD//wMAUEsBAi0AFAAGAAgAAAAhALaDOJL+AAAA4QEAABMAAAAAAAAAAAAAAAAAAAAAAFtDb250&#10;ZW50X1R5cGVzXS54bWxQSwECLQAUAAYACAAAACEAOP0h/9YAAACUAQAACwAAAAAAAAAAAAAAAAAv&#10;AQAAX3JlbHMvLnJlbHNQSwECLQAUAAYACAAAACEAU0JYgS4CAABTBAAADgAAAAAAAAAAAAAAAAAu&#10;AgAAZHJzL2Uyb0RvYy54bWxQSwECLQAUAAYACAAAACEAU3vX3eIAAAALAQAADwAAAAAAAAAAAAAA&#10;AACIBAAAZHJzL2Rvd25yZXYueG1sUEsFBgAAAAAEAAQA8wAAAJcFAAAAAA==&#10;" filled="f" stroked="f" strokeweight=".5pt">
                      <v:textbox inset="0,0,0,0">
                        <w:txbxContent>
                          <w:p w14:paraId="7C28A9BC" w14:textId="162E548B" w:rsidR="00B06983" w:rsidRPr="009B6177" w:rsidRDefault="00B06983" w:rsidP="001870B0">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Kapitāla izmaksas</w:t>
                            </w:r>
                          </w:p>
                        </w:txbxContent>
                      </v:textbox>
                    </v:shape>
                  </w:pict>
                </mc:Fallback>
              </mc:AlternateContent>
            </w:r>
            <w:r w:rsidR="001870B0">
              <w:rPr>
                <w:noProof/>
                <w14:ligatures w14:val="standardContextual"/>
              </w:rPr>
              <mc:AlternateContent>
                <mc:Choice Requires="wps">
                  <w:drawing>
                    <wp:anchor distT="0" distB="0" distL="114300" distR="114300" simplePos="0" relativeHeight="251658310" behindDoc="0" locked="0" layoutInCell="1" allowOverlap="1" wp14:anchorId="1CC45068" wp14:editId="2D120910">
                      <wp:simplePos x="0" y="0"/>
                      <wp:positionH relativeFrom="column">
                        <wp:posOffset>3386277</wp:posOffset>
                      </wp:positionH>
                      <wp:positionV relativeFrom="paragraph">
                        <wp:posOffset>2352065</wp:posOffset>
                      </wp:positionV>
                      <wp:extent cx="720000" cy="167570"/>
                      <wp:effectExtent l="0" t="0" r="4445" b="4445"/>
                      <wp:wrapNone/>
                      <wp:docPr id="134517197" name="Text Box 2"/>
                      <wp:cNvGraphicFramePr/>
                      <a:graphic xmlns:a="http://schemas.openxmlformats.org/drawingml/2006/main">
                        <a:graphicData uri="http://schemas.microsoft.com/office/word/2010/wordprocessingShape">
                          <wps:wsp>
                            <wps:cNvSpPr txBox="1"/>
                            <wps:spPr>
                              <a:xfrm>
                                <a:off x="0" y="0"/>
                                <a:ext cx="720000" cy="167570"/>
                              </a:xfrm>
                              <a:prstGeom prst="rect">
                                <a:avLst/>
                              </a:prstGeom>
                              <a:noFill/>
                              <a:ln w="6350">
                                <a:noFill/>
                              </a:ln>
                            </wps:spPr>
                            <wps:txbx>
                              <w:txbxContent>
                                <w:p w14:paraId="5ACE0E27" w14:textId="2D8A93EB" w:rsidR="00B06983" w:rsidRPr="009B6177" w:rsidRDefault="00B06983" w:rsidP="001870B0">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Pieejamība</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CC45068" id="_x0000_s1080" type="#_x0000_t202" style="position:absolute;margin-left:266.65pt;margin-top:185.2pt;width:56.7pt;height:13.2pt;z-index:25165831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8pMLQIAAFIEAAAOAAAAZHJzL2Uyb0RvYy54bWysVE2P2jAQvVfqf7B8LwG2QBsRVnRXVJVW&#10;uytBtWfjOCRS4nFtQ0J/fZ8dwlbbnqpenPF8eea9mSxvu6ZmJ2VdRTrjk9GYM6Ul5ZU+ZPz7bvPh&#10;E2fOC52LmrTK+Fk5frt6/27ZmlRNqaQ6V5YhiXZpazJeem/SJHGyVI1wIzJKw1iQbYTH1R6S3IoW&#10;2Zs6mY7H86QlmxtLUjkH7X1v5KuYvyiU9E9F4ZRndcZRm4+njec+nMlqKdKDFaas5KUM8Q9VNKLS&#10;ePSa6l54wY62+iNVU0lLjgo/ktQkVBSVVLEHdDMZv+lmWwqjYi8Ax5krTO7/pZWPp2fLqhzc3Xyc&#10;TRaTzwvOtGhA1U51nn2hjk0DSq1xKZy3Bu6+gxoRg95BGZrvCtuEL9pisAPv8xXjkExCuQBrY1gk&#10;TJP5YraIHCSvwcY6/1VRw4KQcQsKI7Li9OA8CoHr4BLe0rSp6jrSWGvWZnx+MxvHgKsFEbVGYGih&#10;LzVIvtt3sfHZtY895We0Z6kfE2fkpkIRD8L5Z2ExF6gbs+6fcBQ14TG6SJyVZH/+TR/8QResnLWY&#10;s4y7H0dhFWf1Nw0iw1AOgh2E/SDoY3NHGN0JtsjIKCLA+noQC0vNC1ZgHV6BSWiJtzIuvR0ud76f&#10;dyyRVOt1dMPwGeEf9NbIkDwAGUDddS/CmgvyHpQ90jCDIn1DQO/bU7A+eiqqyE6AtsfxgjgGN5J2&#10;WbKwGb/fo9frr2D1CwAA//8DAFBLAwQUAAYACAAAACEA0B2iluMAAAALAQAADwAAAGRycy9kb3du&#10;cmV2LnhtbEyP3U7DMAxG75F4h8hI3LF0dHSjNJ0QEmMggbSfB8har+naOFWTdeXtMVdwafvo8/my&#10;5WhbMWDva0cKppMIBFLhypoqBfvd690ChA+aSt06QgXf6GGZX19lOi3dhTY4bEMlOIR8qhWYELpU&#10;Sl8YtNpPXIfEt6PrrQ489pUse33hcNvK+yhKpNU18QejO3wxWDTbs1Wwqo/T3dfQVJ1p3t9WH+vP&#10;0/oUlLq9GZ+fQAQcwx8Mv/qsDjk7HdyZSi9aBQ9xHDOqIJ5HMxBMJLNkDuLAm8dkATLP5P8O+Q8A&#10;AAD//wMAUEsBAi0AFAAGAAgAAAAhALaDOJL+AAAA4QEAABMAAAAAAAAAAAAAAAAAAAAAAFtDb250&#10;ZW50X1R5cGVzXS54bWxQSwECLQAUAAYACAAAACEAOP0h/9YAAACUAQAACwAAAAAAAAAAAAAAAAAv&#10;AQAAX3JlbHMvLnJlbHNQSwECLQAUAAYACAAAACEAORfKTC0CAABSBAAADgAAAAAAAAAAAAAAAAAu&#10;AgAAZHJzL2Uyb0RvYy54bWxQSwECLQAUAAYACAAAACEA0B2iluMAAAALAQAADwAAAAAAAAAAAAAA&#10;AACHBAAAZHJzL2Rvd25yZXYueG1sUEsFBgAAAAAEAAQA8wAAAJcFAAAAAA==&#10;" filled="f" stroked="f" strokeweight=".5pt">
                      <v:textbox inset="0,0,0,0">
                        <w:txbxContent>
                          <w:p w14:paraId="5ACE0E27" w14:textId="2D8A93EB" w:rsidR="00B06983" w:rsidRPr="009B6177" w:rsidRDefault="00B06983" w:rsidP="001870B0">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Pieejamība</w:t>
                            </w:r>
                          </w:p>
                        </w:txbxContent>
                      </v:textbox>
                    </v:shape>
                  </w:pict>
                </mc:Fallback>
              </mc:AlternateContent>
            </w:r>
            <w:r w:rsidR="001870B0">
              <w:rPr>
                <w:noProof/>
                <w14:ligatures w14:val="standardContextual"/>
              </w:rPr>
              <mc:AlternateContent>
                <mc:Choice Requires="wps">
                  <w:drawing>
                    <wp:anchor distT="0" distB="0" distL="114300" distR="114300" simplePos="0" relativeHeight="251658309" behindDoc="0" locked="0" layoutInCell="1" allowOverlap="1" wp14:anchorId="286A4597" wp14:editId="621B1081">
                      <wp:simplePos x="0" y="0"/>
                      <wp:positionH relativeFrom="column">
                        <wp:posOffset>4624070</wp:posOffset>
                      </wp:positionH>
                      <wp:positionV relativeFrom="paragraph">
                        <wp:posOffset>1630680</wp:posOffset>
                      </wp:positionV>
                      <wp:extent cx="720000" cy="167570"/>
                      <wp:effectExtent l="0" t="0" r="4445" b="4445"/>
                      <wp:wrapNone/>
                      <wp:docPr id="2029246954" name="Text Box 2"/>
                      <wp:cNvGraphicFramePr/>
                      <a:graphic xmlns:a="http://schemas.openxmlformats.org/drawingml/2006/main">
                        <a:graphicData uri="http://schemas.microsoft.com/office/word/2010/wordprocessingShape">
                          <wps:wsp>
                            <wps:cNvSpPr txBox="1"/>
                            <wps:spPr>
                              <a:xfrm>
                                <a:off x="0" y="0"/>
                                <a:ext cx="720000" cy="167570"/>
                              </a:xfrm>
                              <a:prstGeom prst="rect">
                                <a:avLst/>
                              </a:prstGeom>
                              <a:noFill/>
                              <a:ln w="6350">
                                <a:noFill/>
                              </a:ln>
                            </wps:spPr>
                            <wps:txbx>
                              <w:txbxContent>
                                <w:p w14:paraId="321B274A" w14:textId="5837FFC1" w:rsidR="00B06983" w:rsidRPr="009B6177" w:rsidRDefault="00B06983" w:rsidP="001870B0">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Infrastruktūra</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86A4597" id="_x0000_s1081" type="#_x0000_t202" style="position:absolute;margin-left:364.1pt;margin-top:128.4pt;width:56.7pt;height:13.2pt;z-index:25165830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ACLwIAAFMEAAAOAAAAZHJzL2Uyb0RvYy54bWysVN9v2jAQfp+0/8Hy+0jICrSIULFWTJNQ&#10;WwmmPhvHJpFsn2cbEvbX7+wQOnV7mvbinO+X777vLov7TityEs43YEo6HuWUCMOhasyhpN9360+3&#10;lPjATMUUGFHSs/D0fvnxw6K1c1FADaoSjmAS4+etLWkdgp1nmee10MyPwAqDRglOs4BXd8gqx1rM&#10;rlVW5Pk0a8FV1gEX3qP2sTfSZcovpeDhWUovAlElxdpCOl069/HMlgs2Pzhm64ZfymD/UIVmjcFH&#10;r6keWWDk6Jo/UumGO/Agw4iDzkDKhovUA3Yzzt91s62ZFakXBMfbK0z+/6XlT6cXR5qqpEVe3BU3&#10;07vJDSWGaeRqJ7pAvkBHighTa/0cvbcW/UOHaqR70HtUxu476XT8Yl8E7Qj4+QpyTMZROUPacrRw&#10;NI2ns8kskZC9BVvnw1cBmkShpA45TNCy08YHLARdB5f4loF1o1TiURnSlnT6eZKngKsFI5TBwNhC&#10;X2qUQrfvUueTa397qM7YnoN+Trzl6waL2DAfXpjDwcC6cdjDMx5SAT4GF4mSGtzPv+mjP/KFVkpa&#10;HLSS+h9H5gQl6ptBJuNUDoIbhP0gmKN+AJzdMa6R5UnEABfUIEoH+hV3YBVfQRMzHN8qKQ9uuDyE&#10;fuBxi7hYrZIbTp9lYWO2lsfkEcgI6q57Zc5ekA9I2RMMQ8jm7wjofXsKVscAsknsRGh7HC+I4+Qm&#10;0i5bFlfj93vyevsXLH8BAAD//wMAUEsDBBQABgAIAAAAIQAc6hgw4QAAAAsBAAAPAAAAZHJzL2Rv&#10;d25yZXYueG1sTI9BTsMwEEX3SNzBGiR21ImBEIU4FUKilEog0XIAN57GaWI7it003J5hBcuZefrz&#10;frmcbc8mHEPrnYR0kQBDV3vdukbC1+7lJgcWonJa9d6hhG8MsKwuL0pVaH92nzhtY8MoxIVCSTAx&#10;DgXnoTZoVVj4AR3dDn60KtI4NlyP6kzhtuciSTJuVevog1EDPhusu+3JSli1h3T3MXXNYLq319Vm&#10;/X5cH6OU11fz0yOwiHP8g+FXn9ShIqe9PzkdWC/hQeSCUAniPqMOROR3aQZsT5v8VgCvSv6/Q/UD&#10;AAD//wMAUEsBAi0AFAAGAAgAAAAhALaDOJL+AAAA4QEAABMAAAAAAAAAAAAAAAAAAAAAAFtDb250&#10;ZW50X1R5cGVzXS54bWxQSwECLQAUAAYACAAAACEAOP0h/9YAAACUAQAACwAAAAAAAAAAAAAAAAAv&#10;AQAAX3JlbHMvLnJlbHNQSwECLQAUAAYACAAAACEAs9fwAi8CAABTBAAADgAAAAAAAAAAAAAAAAAu&#10;AgAAZHJzL2Uyb0RvYy54bWxQSwECLQAUAAYACAAAACEAHOoYMOEAAAALAQAADwAAAAAAAAAAAAAA&#10;AACJBAAAZHJzL2Rvd25yZXYueG1sUEsFBgAAAAAEAAQA8wAAAJcFAAAAAA==&#10;" filled="f" stroked="f" strokeweight=".5pt">
                      <v:textbox inset="0,0,0,0">
                        <w:txbxContent>
                          <w:p w14:paraId="321B274A" w14:textId="5837FFC1" w:rsidR="00B06983" w:rsidRPr="009B6177" w:rsidRDefault="00B06983" w:rsidP="001870B0">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Infrastruktūra</w:t>
                            </w:r>
                          </w:p>
                        </w:txbxContent>
                      </v:textbox>
                    </v:shape>
                  </w:pict>
                </mc:Fallback>
              </mc:AlternateContent>
            </w:r>
            <w:r w:rsidR="001870B0">
              <w:rPr>
                <w:noProof/>
                <w14:ligatures w14:val="standardContextual"/>
              </w:rPr>
              <mc:AlternateContent>
                <mc:Choice Requires="wps">
                  <w:drawing>
                    <wp:anchor distT="0" distB="0" distL="114300" distR="114300" simplePos="0" relativeHeight="251658307" behindDoc="0" locked="0" layoutInCell="1" allowOverlap="1" wp14:anchorId="28D0E8B3" wp14:editId="13ADC411">
                      <wp:simplePos x="0" y="0"/>
                      <wp:positionH relativeFrom="column">
                        <wp:posOffset>4757039</wp:posOffset>
                      </wp:positionH>
                      <wp:positionV relativeFrom="paragraph">
                        <wp:posOffset>1934413</wp:posOffset>
                      </wp:positionV>
                      <wp:extent cx="900000" cy="167570"/>
                      <wp:effectExtent l="0" t="0" r="14605" b="4445"/>
                      <wp:wrapNone/>
                      <wp:docPr id="994884461" name="Text Box 2"/>
                      <wp:cNvGraphicFramePr/>
                      <a:graphic xmlns:a="http://schemas.openxmlformats.org/drawingml/2006/main">
                        <a:graphicData uri="http://schemas.microsoft.com/office/word/2010/wordprocessingShape">
                          <wps:wsp>
                            <wps:cNvSpPr txBox="1"/>
                            <wps:spPr>
                              <a:xfrm>
                                <a:off x="0" y="0"/>
                                <a:ext cx="900000" cy="167570"/>
                              </a:xfrm>
                              <a:prstGeom prst="rect">
                                <a:avLst/>
                              </a:prstGeom>
                              <a:noFill/>
                              <a:ln w="6350">
                                <a:noFill/>
                              </a:ln>
                            </wps:spPr>
                            <wps:txbx>
                              <w:txbxContent>
                                <w:p w14:paraId="14995963" w14:textId="6B0A90C4" w:rsidR="00B06983" w:rsidRPr="009B6177" w:rsidRDefault="00B06983" w:rsidP="001870B0">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Enerģijas uzkrāšana</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8D0E8B3" id="_x0000_s1082" type="#_x0000_t202" style="position:absolute;margin-left:374.55pt;margin-top:152.3pt;width:70.85pt;height:13.2pt;z-index:25165830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WmyLgIAAFIEAAAOAAAAZHJzL2Uyb0RvYy54bWysVN9v2jAQfp+0/8Hy+0igQAERKtaKaVLV&#10;VoKpz8axSSTb59mGhP31OzuEVt2epvFgzvf7vu+c5V2rFTkJ52swBR0OckqE4VDW5lDQH7vNlxkl&#10;PjBTMgVGFPQsPL1bff60bOxCjKACVQpHMInxi8YWtArBLrLM80po5gdghUGjBKdZwKs7ZKVjDWbX&#10;Khvl+TRrwJXWARfeo/ahM9JVyi+l4OFZSi8CUQXF3kI6XTr38cxWS7Y4OGarml/aYP/QhWa1waLX&#10;VA8sMHJ09R+pdM0deJBhwEFnIGXNRZoBpxnmH6bZVsyKNAuC4+0VJv//0vKn04sjdVnQ+Xw8m43H&#10;0yElhmmkaifaQL5CS0YRpcb6BTpvLbqHFtXIdq/3qIzDt9Lp+I9jEbQj3ucrxjEZR+U8jz9KOJqG&#10;09vJbeIgewu2zodvAjSJQkEdUpiQZadHH7ARdO1dYi0Dm1qpRKMypCno9GaSp4CrBSOUwcA4Qtdq&#10;lEK7b9Pgk5t+jj2UZxzPQbcm3vJNjU08Mh9emMO9wL5x18MzHlIBFoOLREkF7tff9NEf6UIrJQ3u&#10;WUH9zyNzghL13SCRcSl7wfXCvhfMUd8Dri6Sgt0kEQNcUL0oHehXfALrWAVNzHCsVVAeXH+5D92+&#10;4yPiYr1Obrh8loVHs7U8Jo9ARlB37Stz9oJ8QMqeoN9BtvhAQOfbUbA+BpB1YidC2+F4QRwXN5F2&#10;eWTxZby/J6+3T8HqNwAAAP//AwBQSwMEFAAGAAgAAAAhALdpPJXiAAAACwEAAA8AAABkcnMvZG93&#10;bnJldi54bWxMj9FOwzAMRd+R+IfISLyxpGwaW2k6ISTGmAQSGx+QNV7btXGqJuvK32Oe4NH20fW5&#10;2Wp0rRiwD7UnDclEgUAqvK2p1PC1f7lbgAjRkDWtJ9TwjQFW+fVVZlLrL/SJwy6WgkMopEZDFWOX&#10;ShmKCp0JE98h8e3oe2cij30pbW8uHO5aea/UXDpTE3+oTIfPFRbN7uw0rOtjsv8YmrKrmrfX9Xbz&#10;ftqcota3N+PTI4iIY/yD4Vef1SFnp4M/kw2i1fAwWyaMapiq2RwEE4ul4jIH3kwTBTLP5P8O+Q8A&#10;AAD//wMAUEsBAi0AFAAGAAgAAAAhALaDOJL+AAAA4QEAABMAAAAAAAAAAAAAAAAAAAAAAFtDb250&#10;ZW50X1R5cGVzXS54bWxQSwECLQAUAAYACAAAACEAOP0h/9YAAACUAQAACwAAAAAAAAAAAAAAAAAv&#10;AQAAX3JlbHMvLnJlbHNQSwECLQAUAAYACAAAACEA+FVpsi4CAABSBAAADgAAAAAAAAAAAAAAAAAu&#10;AgAAZHJzL2Uyb0RvYy54bWxQSwECLQAUAAYACAAAACEAt2k8leIAAAALAQAADwAAAAAAAAAAAAAA&#10;AACIBAAAZHJzL2Rvd25yZXYueG1sUEsFBgAAAAAEAAQA8wAAAJcFAAAAAA==&#10;" filled="f" stroked="f" strokeweight=".5pt">
                      <v:textbox inset="0,0,0,0">
                        <w:txbxContent>
                          <w:p w14:paraId="14995963" w14:textId="6B0A90C4" w:rsidR="00B06983" w:rsidRPr="009B6177" w:rsidRDefault="00B06983" w:rsidP="001870B0">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Enerģijas uzkrāšana</w:t>
                            </w:r>
                          </w:p>
                        </w:txbxContent>
                      </v:textbox>
                    </v:shape>
                  </w:pict>
                </mc:Fallback>
              </mc:AlternateContent>
            </w:r>
            <w:r w:rsidR="001870B0">
              <w:rPr>
                <w:noProof/>
                <w14:ligatures w14:val="standardContextual"/>
              </w:rPr>
              <mc:AlternateContent>
                <mc:Choice Requires="wps">
                  <w:drawing>
                    <wp:anchor distT="0" distB="0" distL="114300" distR="114300" simplePos="0" relativeHeight="251658308" behindDoc="0" locked="0" layoutInCell="1" allowOverlap="1" wp14:anchorId="1A2FDE51" wp14:editId="76944DE5">
                      <wp:simplePos x="0" y="0"/>
                      <wp:positionH relativeFrom="column">
                        <wp:posOffset>4506849</wp:posOffset>
                      </wp:positionH>
                      <wp:positionV relativeFrom="paragraph">
                        <wp:posOffset>704215</wp:posOffset>
                      </wp:positionV>
                      <wp:extent cx="900000" cy="167570"/>
                      <wp:effectExtent l="0" t="0" r="14605" b="4445"/>
                      <wp:wrapNone/>
                      <wp:docPr id="1915741533" name="Text Box 2"/>
                      <wp:cNvGraphicFramePr/>
                      <a:graphic xmlns:a="http://schemas.openxmlformats.org/drawingml/2006/main">
                        <a:graphicData uri="http://schemas.microsoft.com/office/word/2010/wordprocessingShape">
                          <wps:wsp>
                            <wps:cNvSpPr txBox="1"/>
                            <wps:spPr>
                              <a:xfrm>
                                <a:off x="0" y="0"/>
                                <a:ext cx="900000" cy="167570"/>
                              </a:xfrm>
                              <a:prstGeom prst="rect">
                                <a:avLst/>
                              </a:prstGeom>
                              <a:noFill/>
                              <a:ln w="6350">
                                <a:noFill/>
                              </a:ln>
                            </wps:spPr>
                            <wps:txbx>
                              <w:txbxContent>
                                <w:p w14:paraId="047A03CD" w14:textId="7BDBA6BC" w:rsidR="00B06983" w:rsidRPr="009B6177" w:rsidRDefault="00B06983" w:rsidP="001870B0">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Pieprasījuma vadība</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A2FDE51" id="_x0000_s1083" type="#_x0000_t202" style="position:absolute;margin-left:354.85pt;margin-top:55.45pt;width:70.85pt;height:13.2pt;z-index:2516583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T6+LwIAAFMEAAAOAAAAZHJzL2Uyb0RvYy54bWysVN9v2jAQfp+0/8Hy+0gCha6IULFWTJNQ&#10;WwmmPhvHJpFsn2cbEvbX7+wQOnV7msaDOd8v333fXRb3nVbkJJxvwJS0GOWUCMOhasyhpN9360+f&#10;KfGBmYopMKKkZ+Hp/fLjh0Vr52IMNahKOIJJjJ+3tqR1CHaeZZ7XQjM/AisMGiU4zQJe3SGrHGsx&#10;u1bZOM9nWQuusg648B61j72RLlN+KQUPz1J6EYgqKdYW0unSuY9ntlyw+cExWzf8Ugb7hyo0aww+&#10;ek31yAIjR9f8kUo33IEHGUYcdAZSNlykHrCbIn/XzbZmVqReEBxvrzD5/5eWP51eHGkq5O6umN7e&#10;FNPJhBLDNHK1E10gX6Aj4whTa/0cvbcW/UOHagwZ9B6VsftOOh3/sS+CdgT8fAU5JuOovMvjjxKO&#10;pmJ2O71NJGRvwdb58FWAJlEoqUMOE7TstPEBC0HXwSW+ZWDdKJV4VIa0JZ1NpnkKuFowQhkMjC30&#10;pUYpdPsudT69GfrYQ3XG9hz0c+ItXzdYxIb58MIcDgbWjcMenvGQCvAxuEiU1OB+/k0f/ZEvtFLS&#10;4qCV1P84MicoUd8MMhmnchDcIOwHwRz1A+DsFrhGlicRA1xQgygd6FfcgVV8BU3McHyrpDy44fIQ&#10;+oHHLeJitUpuOH2WhY3ZWh6TRyAjqLvulTl7QT4gZU8wDCGbvyOg9+0pWB0DyCaxE6HtcbwgjpOb&#10;SLtsWVyN3+/J6+1bsPwFAAD//wMAUEsDBBQABgAIAAAAIQAFEMVo4gAAAAsBAAAPAAAAZHJzL2Rv&#10;d25yZXYueG1sTI9BTsMwEEX3SNzBGiR21A4F0oY4FUKitEhUassB3Hgap4ntKHbTcHuGFSxn/tOf&#10;N/litC0bsA+1dxKSiQCGrvS6dpWEr/3b3QxYiMpp1XqHEr4xwKK4vspVpv3FbXHYxYpRiQuZkmBi&#10;7DLOQ2nQqjDxHTrKjr63KtLYV1z36kLltuX3Qjxxq2pHF4zq8NVg2ezOVsKyPib7zdBUnWnW78uP&#10;1edpdYpS3t6ML8/AIo7xD4ZffVKHgpwO/ux0YK2EVMxTQilIxBwYEbPH5AHYgTbTdAq8yPn/H4of&#10;AAAA//8DAFBLAQItABQABgAIAAAAIQC2gziS/gAAAOEBAAATAAAAAAAAAAAAAAAAAAAAAABbQ29u&#10;dGVudF9UeXBlc10ueG1sUEsBAi0AFAAGAAgAAAAhADj9If/WAAAAlAEAAAsAAAAAAAAAAAAAAAAA&#10;LwEAAF9yZWxzLy5yZWxzUEsBAi0AFAAGAAgAAAAhAM0NPr4vAgAAUwQAAA4AAAAAAAAAAAAAAAAA&#10;LgIAAGRycy9lMm9Eb2MueG1sUEsBAi0AFAAGAAgAAAAhAAUQxWjiAAAACwEAAA8AAAAAAAAAAAAA&#10;AAAAiQQAAGRycy9kb3ducmV2LnhtbFBLBQYAAAAABAAEAPMAAACYBQAAAAA=&#10;" filled="f" stroked="f" strokeweight=".5pt">
                      <v:textbox inset="0,0,0,0">
                        <w:txbxContent>
                          <w:p w14:paraId="047A03CD" w14:textId="7BDBA6BC" w:rsidR="00B06983" w:rsidRPr="009B6177" w:rsidRDefault="00B06983" w:rsidP="001870B0">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Pieprasījuma vadība</w:t>
                            </w:r>
                          </w:p>
                        </w:txbxContent>
                      </v:textbox>
                    </v:shape>
                  </w:pict>
                </mc:Fallback>
              </mc:AlternateContent>
            </w:r>
            <w:r w:rsidR="001870B0">
              <w:rPr>
                <w:noProof/>
                <w14:ligatures w14:val="standardContextual"/>
              </w:rPr>
              <mc:AlternateContent>
                <mc:Choice Requires="wps">
                  <w:drawing>
                    <wp:anchor distT="0" distB="0" distL="114300" distR="114300" simplePos="0" relativeHeight="251658306" behindDoc="0" locked="0" layoutInCell="1" allowOverlap="1" wp14:anchorId="166C9529" wp14:editId="1F90C803">
                      <wp:simplePos x="0" y="0"/>
                      <wp:positionH relativeFrom="column">
                        <wp:posOffset>3391307</wp:posOffset>
                      </wp:positionH>
                      <wp:positionV relativeFrom="paragraph">
                        <wp:posOffset>969137</wp:posOffset>
                      </wp:positionV>
                      <wp:extent cx="720000" cy="167570"/>
                      <wp:effectExtent l="0" t="0" r="4445" b="4445"/>
                      <wp:wrapNone/>
                      <wp:docPr id="859664234" name="Text Box 2"/>
                      <wp:cNvGraphicFramePr/>
                      <a:graphic xmlns:a="http://schemas.openxmlformats.org/drawingml/2006/main">
                        <a:graphicData uri="http://schemas.microsoft.com/office/word/2010/wordprocessingShape">
                          <wps:wsp>
                            <wps:cNvSpPr txBox="1"/>
                            <wps:spPr>
                              <a:xfrm>
                                <a:off x="0" y="0"/>
                                <a:ext cx="720000" cy="167570"/>
                              </a:xfrm>
                              <a:prstGeom prst="rect">
                                <a:avLst/>
                              </a:prstGeom>
                              <a:noFill/>
                              <a:ln w="6350">
                                <a:noFill/>
                              </a:ln>
                            </wps:spPr>
                            <wps:txbx>
                              <w:txbxContent>
                                <w:p w14:paraId="1CC29390" w14:textId="0039B6E7" w:rsidR="00B06983" w:rsidRPr="009B6177" w:rsidRDefault="00B06983" w:rsidP="001870B0">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Piegādes ķēdes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66C9529" id="_x0000_s1084" type="#_x0000_t202" style="position:absolute;margin-left:267.05pt;margin-top:76.3pt;width:56.7pt;height:13.2pt;z-index:25165830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mzYLwIAAFIEAAAOAAAAZHJzL2Uyb0RvYy54bWysVN9v2jAQfp+0/8Hy+0igBbqIULFWTJNQ&#10;WwmmPhvHJpFsn2cbEvbX7+wQOnV7mvbinO+X777vLov7TityEs43YEo6HuWUCMOhasyhpN936093&#10;lPjATMUUGFHSs/D0fvnxw6K1hZhADaoSjmAS44vWlrQOwRZZ5nktNPMjsMKgUYLTLODVHbLKsRaz&#10;a5VN8nyWteAq64AL71H72BvpMuWXUvDwLKUXgaiSYm0hnS6d+3hmywUrDo7ZuuGXMtg/VKFZY/DR&#10;a6pHFhg5uuaPVLrhDjzIMOKgM5Cy4SL1gN2M83fdbGtmReoFwfH2CpP/f2n50+nFkaYq6d3082x2&#10;O7m5pcQwjVTtRBfIF+jIJKLUWl+g89aie+hQjWwPeo/K2HwnnY5fbIugHfE+XzGOyTgq58hajhaO&#10;pvFsPp0nDrK3YOt8+CpAkyiU1CGFCVl22viAhaDr4BLfMrBulEo0KkPaks5upnkKuFowQhkMjC30&#10;pUYpdPsuNT6dDn3soTpjew76MfGWrxssYsN8eGEO5wLrxlkPz3hIBfgYXCRKanA//6aP/kgXWilp&#10;cc5K6n8cmROUqG8GiYxDOQhuEPaDYI76AXB0x7hFlicRA1xQgygd6FdcgVV8BU3McHyrpDy44fIQ&#10;+nnHJeJitUpuOHyWhY3ZWh6TRyAjqLvulTl7QT4gZU8wzCAr3hHQ+/YUrI4BZJPYidD2OF4Qx8FN&#10;pF2WLG7G7/fk9fYrWP4CAAD//wMAUEsDBBQABgAIAAAAIQBhd/lG4gAAAAsBAAAPAAAAZHJzL2Rv&#10;d25yZXYueG1sTI/RTsMwDEXfkfiHyEi8sbRj7aA0nRASYyCBxMYHZK3XdG2cqsm68veYJ3i079H1&#10;cb6abCdGHHzjSEE8i0Agla5qqFbwtXu+uQPhg6ZKd45QwTd6WBWXF7nOKnemTxy3oRZcQj7TCkwI&#10;fSalLw1a7WeuR+Ls4AarA49DLatBn7ncdnIeRam0uiG+YHSPTwbLdnuyCtbNId59jG3dm/b1Zf22&#10;eT9ujkGp66vp8QFEwCn8wfCrz+pQsNPenajyolOQ3C5iRjlI5ikIJtLFMgGx583yPgJZ5PL/D8UP&#10;AAAA//8DAFBLAQItABQABgAIAAAAIQC2gziS/gAAAOEBAAATAAAAAAAAAAAAAAAAAAAAAABbQ29u&#10;dGVudF9UeXBlc10ueG1sUEsBAi0AFAAGAAgAAAAhADj9If/WAAAAlAEAAAsAAAAAAAAAAAAAAAAA&#10;LwEAAF9yZWxzLy5yZWxzUEsBAi0AFAAGAAgAAAAhAEA+bNgvAgAAUgQAAA4AAAAAAAAAAAAAAAAA&#10;LgIAAGRycy9lMm9Eb2MueG1sUEsBAi0AFAAGAAgAAAAhAGF3+UbiAAAACwEAAA8AAAAAAAAAAAAA&#10;AAAAiQQAAGRycy9kb3ducmV2LnhtbFBLBQYAAAAABAAEAPMAAACYBQAAAAA=&#10;" filled="f" stroked="f" strokeweight=".5pt">
                      <v:textbox inset="0,0,0,0">
                        <w:txbxContent>
                          <w:p w14:paraId="1CC29390" w14:textId="0039B6E7" w:rsidR="00B06983" w:rsidRPr="009B6177" w:rsidRDefault="00B06983" w:rsidP="001870B0">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Piegādes ķēdes</w:t>
                            </w:r>
                          </w:p>
                        </w:txbxContent>
                      </v:textbox>
                    </v:shape>
                  </w:pict>
                </mc:Fallback>
              </mc:AlternateContent>
            </w:r>
            <w:r w:rsidR="00262896">
              <w:rPr>
                <w:noProof/>
                <w14:ligatures w14:val="standardContextual"/>
              </w:rPr>
              <mc:AlternateContent>
                <mc:Choice Requires="wps">
                  <w:drawing>
                    <wp:anchor distT="0" distB="0" distL="114300" distR="114300" simplePos="0" relativeHeight="251658246" behindDoc="0" locked="0" layoutInCell="1" allowOverlap="1" wp14:anchorId="1D49B7D7" wp14:editId="301E7E7C">
                      <wp:simplePos x="0" y="0"/>
                      <wp:positionH relativeFrom="column">
                        <wp:posOffset>1979752</wp:posOffset>
                      </wp:positionH>
                      <wp:positionV relativeFrom="paragraph">
                        <wp:posOffset>1557376</wp:posOffset>
                      </wp:positionV>
                      <wp:extent cx="565719" cy="167570"/>
                      <wp:effectExtent l="0" t="0" r="6350" b="4445"/>
                      <wp:wrapNone/>
                      <wp:docPr id="1023290966" name="Text Box 2"/>
                      <wp:cNvGraphicFramePr/>
                      <a:graphic xmlns:a="http://schemas.openxmlformats.org/drawingml/2006/main">
                        <a:graphicData uri="http://schemas.microsoft.com/office/word/2010/wordprocessingShape">
                          <wps:wsp>
                            <wps:cNvSpPr txBox="1"/>
                            <wps:spPr>
                              <a:xfrm>
                                <a:off x="0" y="0"/>
                                <a:ext cx="565719" cy="167570"/>
                              </a:xfrm>
                              <a:prstGeom prst="rect">
                                <a:avLst/>
                              </a:prstGeom>
                              <a:noFill/>
                              <a:ln w="6350">
                                <a:noFill/>
                              </a:ln>
                            </wps:spPr>
                            <wps:txbx>
                              <w:txbxContent>
                                <w:p w14:paraId="73280F01" w14:textId="77777777" w:rsidR="00B06983" w:rsidRPr="009B6177" w:rsidRDefault="00B06983" w:rsidP="00262896">
                                  <w:pPr>
                                    <w:rPr>
                                      <w:rFonts w:asciiTheme="majorHAnsi" w:hAnsiTheme="majorHAnsi" w:cstheme="majorHAnsi"/>
                                      <w:sz w:val="16"/>
                                      <w:szCs w:val="16"/>
                                      <w:lang w:val="lv-LV"/>
                                    </w:rPr>
                                  </w:pPr>
                                  <w:r>
                                    <w:rPr>
                                      <w:rFonts w:asciiTheme="majorHAnsi" w:hAnsiTheme="majorHAnsi" w:cstheme="majorHAnsi"/>
                                      <w:sz w:val="16"/>
                                      <w:szCs w:val="16"/>
                                      <w:lang w:val="lv-LV"/>
                                    </w:rPr>
                                    <w:t>H2 un P2X</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1D49B7D7" id="_x0000_s1085" type="#_x0000_t202" style="position:absolute;margin-left:155.9pt;margin-top:122.65pt;width:44.55pt;height:13.2pt;z-index:25165824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sCHMAIAAFMEAAAOAAAAZHJzL2Uyb0RvYy54bWysVE2P2jAQvVfqf7B8LwmsCCUirOiuqCqh&#10;3ZWg2rNxbIhke1zbkNBf37FD2GrbU9WLmcyX5703ZnHfaUXOwvkGTEXHo5wSYTjUjTlU9Ptu/ekz&#10;JT4wUzMFRlT0Ijy9X378sGhtKSZwBFULR7CJ8WVrK3oMwZZZ5vlRaOZHYIXBoASnWcBPd8hqx1rs&#10;rlU2yfMia8HV1gEX3qP3sQ/SZeovpeDhWUovAlEVxdlCOl069/HMlgtWHhyzx4Zfx2D/MIVmjcFL&#10;b60eWWDk5Jo/WumGO/Agw4iDzkDKhouEAdGM83dotkdmRcKC5Hh7o8n/v7b86fziSFOjdvnkbjLP&#10;50VBiWEatdqJLpAv0JFJpKm1vsTsrcX80KEbSwa/R2dE30mn4y/iIhhHwi83kmMzjs5pMZ2N55Rw&#10;DI2L2XSWRMjeiq3z4asATaJRUYcaJmrZeeMDDoKpQ0q8y8C6USrpqAxpK1rcTfNUcItghTJYGCH0&#10;o0YrdPsuIZ8WA4491BeE56DfE2/5usEhNsyHF+ZwMRARLnt4xkMqwMvgalFyBPfzb/6Yj3phlJIW&#10;F62i/seJOUGJ+mZQybiVg+EGYz8Y5qQfAHd3jM/I8mRigQtqMKUD/YpvYBVvwRAzHO+qKA9u+HgI&#10;/cLjK+JitUppuH2WhY3ZWh6bRyIjqbvulTl7ZT6gZE8wLCEr3wnQ5/YSrE4BZJPUidT2PF4Zx81N&#10;ol1fWXwav3+nrLf/guUvAAAA//8DAFBLAwQUAAYACAAAACEAv5Qi7+IAAAALAQAADwAAAGRycy9k&#10;b3ducmV2LnhtbEyPwU7DMBBE70j8g7VI3KjttlAIcSqERGmRQKLlA9x4G6eJ11HspuHvMSc47uxo&#10;5k2+HF3LBuxD7UmBnAhgSKU3NVUKvnYvN/fAQtRkdOsJFXxjgGVxeZHrzPgzfeKwjRVLIRQyrcDG&#10;2GWch9Ki02HiO6T0O/je6ZjOvuKm1+cU7lo+FeKOO11TarC6w2eLZbM9OQWr+iB3H0NTdbbZvK7e&#10;1u/H9TEqdX01Pj0CizjGPzP84id0KBLT3p/IBNYqmEmZ0KOC6fx2Biw55kI8ANsnZSEXwIuc/99Q&#10;/AAAAP//AwBQSwECLQAUAAYACAAAACEAtoM4kv4AAADhAQAAEwAAAAAAAAAAAAAAAAAAAAAAW0Nv&#10;bnRlbnRfVHlwZXNdLnhtbFBLAQItABQABgAIAAAAIQA4/SH/1gAAAJQBAAALAAAAAAAAAAAAAAAA&#10;AC8BAABfcmVscy8ucmVsc1BLAQItABQABgAIAAAAIQDWlsCHMAIAAFMEAAAOAAAAAAAAAAAAAAAA&#10;AC4CAABkcnMvZTJvRG9jLnhtbFBLAQItABQABgAIAAAAIQC/lCLv4gAAAAsBAAAPAAAAAAAAAAAA&#10;AAAAAIoEAABkcnMvZG93bnJldi54bWxQSwUGAAAAAAQABADzAAAAmQUAAAAA&#10;" filled="f" stroked="f" strokeweight=".5pt">
                      <v:textbox inset="0,0,0,0">
                        <w:txbxContent>
                          <w:p w14:paraId="73280F01" w14:textId="77777777" w:rsidR="00B06983" w:rsidRPr="009B6177" w:rsidRDefault="00B06983" w:rsidP="00262896">
                            <w:pPr>
                              <w:rPr>
                                <w:rFonts w:asciiTheme="majorHAnsi" w:hAnsiTheme="majorHAnsi" w:cstheme="majorHAnsi"/>
                                <w:sz w:val="16"/>
                                <w:szCs w:val="16"/>
                                <w:lang w:val="lv-LV"/>
                              </w:rPr>
                            </w:pPr>
                            <w:r>
                              <w:rPr>
                                <w:rFonts w:asciiTheme="majorHAnsi" w:hAnsiTheme="majorHAnsi" w:cstheme="majorHAnsi"/>
                                <w:sz w:val="16"/>
                                <w:szCs w:val="16"/>
                                <w:lang w:val="lv-LV"/>
                              </w:rPr>
                              <w:t>H2 un P2X</w:t>
                            </w:r>
                          </w:p>
                        </w:txbxContent>
                      </v:textbox>
                    </v:shape>
                  </w:pict>
                </mc:Fallback>
              </mc:AlternateContent>
            </w:r>
            <w:r w:rsidR="00262896">
              <w:rPr>
                <w:rFonts w:ascii="Calibri Light" w:hAnsi="Calibri Light" w:cs="Calibri Light"/>
                <w:noProof/>
                <w:sz w:val="16"/>
                <w:szCs w:val="16"/>
                <w14:ligatures w14:val="standardContextual"/>
              </w:rPr>
              <mc:AlternateContent>
                <mc:Choice Requires="wpg">
                  <w:drawing>
                    <wp:anchor distT="0" distB="0" distL="114300" distR="114300" simplePos="0" relativeHeight="251658245" behindDoc="0" locked="0" layoutInCell="1" allowOverlap="1" wp14:anchorId="1CE72A8C" wp14:editId="6B580BFB">
                      <wp:simplePos x="0" y="0"/>
                      <wp:positionH relativeFrom="column">
                        <wp:posOffset>2460422</wp:posOffset>
                      </wp:positionH>
                      <wp:positionV relativeFrom="paragraph">
                        <wp:posOffset>2626792</wp:posOffset>
                      </wp:positionV>
                      <wp:extent cx="3198231" cy="965606"/>
                      <wp:effectExtent l="0" t="0" r="2540" b="6350"/>
                      <wp:wrapNone/>
                      <wp:docPr id="924147085" name="Group 3"/>
                      <wp:cNvGraphicFramePr/>
                      <a:graphic xmlns:a="http://schemas.openxmlformats.org/drawingml/2006/main">
                        <a:graphicData uri="http://schemas.microsoft.com/office/word/2010/wordprocessingGroup">
                          <wpg:wgp>
                            <wpg:cNvGrpSpPr/>
                            <wpg:grpSpPr>
                              <a:xfrm>
                                <a:off x="0" y="0"/>
                                <a:ext cx="3198231" cy="965606"/>
                                <a:chOff x="0" y="0"/>
                                <a:chExt cx="3198231" cy="965606"/>
                              </a:xfrm>
                            </wpg:grpSpPr>
                            <pic:pic xmlns:pic="http://schemas.openxmlformats.org/drawingml/2006/picture">
                              <pic:nvPicPr>
                                <pic:cNvPr id="1328133557" name="Picture 1"/>
                                <pic:cNvPicPr>
                                  <a:picLocks noChangeAspect="1"/>
                                </pic:cNvPicPr>
                              </pic:nvPicPr>
                              <pic:blipFill rotWithShape="1">
                                <a:blip r:embed="rId15">
                                  <a:extLst>
                                    <a:ext uri="{28A0092B-C50C-407E-A947-70E740481C1C}">
                                      <a14:useLocalDpi xmlns:a14="http://schemas.microsoft.com/office/drawing/2010/main" val="0"/>
                                    </a:ext>
                                  </a:extLst>
                                </a:blip>
                                <a:srcRect l="1064" t="11494" r="1240" b="17240"/>
                                <a:stretch/>
                              </pic:blipFill>
                              <pic:spPr bwMode="auto">
                                <a:xfrm>
                                  <a:off x="621792" y="314553"/>
                                  <a:ext cx="1979930" cy="11112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731669225" name="Picture 1"/>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607161" y="746150"/>
                                  <a:ext cx="2004695" cy="137160"/>
                                </a:xfrm>
                                <a:prstGeom prst="rect">
                                  <a:avLst/>
                                </a:prstGeom>
                              </pic:spPr>
                            </pic:pic>
                            <wps:wsp>
                              <wps:cNvPr id="341988853" name="Text Box 2"/>
                              <wps:cNvSpPr txBox="1"/>
                              <wps:spPr>
                                <a:xfrm>
                                  <a:off x="2601721" y="299922"/>
                                  <a:ext cx="596510" cy="234087"/>
                                </a:xfrm>
                                <a:prstGeom prst="rect">
                                  <a:avLst/>
                                </a:prstGeom>
                                <a:noFill/>
                                <a:ln w="6350">
                                  <a:noFill/>
                                </a:ln>
                              </wps:spPr>
                              <wps:txbx>
                                <w:txbxContent>
                                  <w:p w14:paraId="62D49BF6" w14:textId="77777777" w:rsidR="00B06983" w:rsidRPr="009B6177" w:rsidRDefault="00B06983" w:rsidP="00262896">
                                    <w:pPr>
                                      <w:jc w:val="center"/>
                                      <w:rPr>
                                        <w:rFonts w:asciiTheme="majorHAnsi" w:hAnsiTheme="majorHAnsi" w:cstheme="majorHAnsi"/>
                                        <w:sz w:val="16"/>
                                        <w:szCs w:val="16"/>
                                        <w:lang w:val="lv-LV"/>
                                      </w:rPr>
                                    </w:pPr>
                                    <w:r>
                                      <w:rPr>
                                        <w:rFonts w:asciiTheme="majorHAnsi" w:hAnsiTheme="majorHAnsi" w:cstheme="majorHAnsi"/>
                                        <w:sz w:val="16"/>
                                        <w:szCs w:val="16"/>
                                        <w:lang w:val="lv-LV"/>
                                      </w:rPr>
                                      <w:t>ļ</w:t>
                                    </w:r>
                                    <w:r w:rsidRPr="009B6177">
                                      <w:rPr>
                                        <w:rFonts w:asciiTheme="majorHAnsi" w:hAnsiTheme="majorHAnsi" w:cstheme="majorHAnsi"/>
                                        <w:sz w:val="16"/>
                                        <w:szCs w:val="16"/>
                                        <w:lang w:val="lv-LV"/>
                                      </w:rPr>
                                      <w:t>oti augsts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926306972" name="Text Box 2"/>
                              <wps:cNvSpPr txBox="1"/>
                              <wps:spPr>
                                <a:xfrm>
                                  <a:off x="0" y="314553"/>
                                  <a:ext cx="565785" cy="167640"/>
                                </a:xfrm>
                                <a:prstGeom prst="rect">
                                  <a:avLst/>
                                </a:prstGeom>
                                <a:noFill/>
                                <a:ln w="6350">
                                  <a:noFill/>
                                </a:ln>
                              </wps:spPr>
                              <wps:txbx>
                                <w:txbxContent>
                                  <w:p w14:paraId="11701D4A" w14:textId="77777777" w:rsidR="00B06983" w:rsidRPr="009B6177" w:rsidRDefault="00B06983" w:rsidP="00262896">
                                    <w:pPr>
                                      <w:jc w:val="center"/>
                                      <w:rPr>
                                        <w:rFonts w:asciiTheme="majorHAnsi" w:hAnsiTheme="majorHAnsi" w:cstheme="majorHAnsi"/>
                                        <w:sz w:val="16"/>
                                        <w:szCs w:val="16"/>
                                        <w:lang w:val="lv-LV"/>
                                      </w:rPr>
                                    </w:pPr>
                                    <w:r>
                                      <w:rPr>
                                        <w:rFonts w:asciiTheme="majorHAnsi" w:hAnsiTheme="majorHAnsi" w:cstheme="majorHAnsi"/>
                                        <w:sz w:val="16"/>
                                        <w:szCs w:val="16"/>
                                        <w:lang w:val="lv-LV"/>
                                      </w:rPr>
                                      <w:t>ļ</w:t>
                                    </w:r>
                                    <w:r w:rsidRPr="009B6177">
                                      <w:rPr>
                                        <w:rFonts w:asciiTheme="majorHAnsi" w:hAnsiTheme="majorHAnsi" w:cstheme="majorHAnsi"/>
                                        <w:sz w:val="16"/>
                                        <w:szCs w:val="16"/>
                                        <w:lang w:val="lv-LV"/>
                                      </w:rPr>
                                      <w:t xml:space="preserve">oti </w:t>
                                    </w:r>
                                    <w:r>
                                      <w:rPr>
                                        <w:rFonts w:asciiTheme="majorHAnsi" w:hAnsiTheme="majorHAnsi" w:cstheme="majorHAnsi"/>
                                        <w:sz w:val="16"/>
                                        <w:szCs w:val="16"/>
                                        <w:lang w:val="lv-LV"/>
                                      </w:rPr>
                                      <w:t>zems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010017569" name="Text Box 2"/>
                              <wps:cNvSpPr txBox="1"/>
                              <wps:spPr>
                                <a:xfrm>
                                  <a:off x="636422" y="0"/>
                                  <a:ext cx="1972310" cy="270510"/>
                                </a:xfrm>
                                <a:prstGeom prst="rect">
                                  <a:avLst/>
                                </a:prstGeom>
                                <a:noFill/>
                                <a:ln w="6350">
                                  <a:noFill/>
                                </a:ln>
                              </wps:spPr>
                              <wps:txbx>
                                <w:txbxContent>
                                  <w:p w14:paraId="15204919" w14:textId="77777777" w:rsidR="00B06983" w:rsidRPr="009B6177" w:rsidRDefault="00B06983" w:rsidP="00262896">
                                    <w:pPr>
                                      <w:rPr>
                                        <w:rFonts w:asciiTheme="majorHAnsi" w:hAnsiTheme="majorHAnsi" w:cstheme="majorHAnsi"/>
                                        <w:sz w:val="16"/>
                                        <w:szCs w:val="16"/>
                                        <w:lang w:val="lv-LV"/>
                                      </w:rPr>
                                    </w:pPr>
                                    <w:r>
                                      <w:rPr>
                                        <w:rFonts w:asciiTheme="majorHAnsi" w:hAnsiTheme="majorHAnsi" w:cstheme="majorHAnsi"/>
                                        <w:sz w:val="16"/>
                                        <w:szCs w:val="16"/>
                                        <w:lang w:val="lv-LV"/>
                                      </w:rPr>
                                      <w:t>Kritiskās nenoteiktības:</w:t>
                                    </w:r>
                                    <w:r>
                                      <w:rPr>
                                        <w:rFonts w:asciiTheme="majorHAnsi" w:hAnsiTheme="majorHAnsi" w:cstheme="majorHAnsi"/>
                                        <w:sz w:val="16"/>
                                        <w:szCs w:val="16"/>
                                        <w:lang w:val="lv-LV"/>
                                      </w:rPr>
                                      <w:br/>
                                      <w:t>kas nosaka …</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568541749" name="Text Box 2"/>
                              <wps:cNvSpPr txBox="1"/>
                              <wps:spPr>
                                <a:xfrm>
                                  <a:off x="636422" y="438912"/>
                                  <a:ext cx="1972310" cy="270510"/>
                                </a:xfrm>
                                <a:prstGeom prst="rect">
                                  <a:avLst/>
                                </a:prstGeom>
                                <a:noFill/>
                                <a:ln w="6350">
                                  <a:noFill/>
                                </a:ln>
                              </wps:spPr>
                              <wps:txbx>
                                <w:txbxContent>
                                  <w:p w14:paraId="12A0F3D0" w14:textId="77777777" w:rsidR="00B06983" w:rsidRPr="009B6177" w:rsidRDefault="00B06983" w:rsidP="00262896">
                                    <w:pPr>
                                      <w:rPr>
                                        <w:rFonts w:asciiTheme="majorHAnsi" w:hAnsiTheme="majorHAnsi" w:cstheme="majorHAnsi"/>
                                        <w:sz w:val="16"/>
                                        <w:szCs w:val="16"/>
                                        <w:lang w:val="lv-LV"/>
                                      </w:rPr>
                                    </w:pPr>
                                    <w:r>
                                      <w:rPr>
                                        <w:rFonts w:asciiTheme="majorHAnsi" w:hAnsiTheme="majorHAnsi" w:cstheme="majorHAnsi"/>
                                        <w:sz w:val="16"/>
                                        <w:szCs w:val="16"/>
                                        <w:lang w:val="lv-LV"/>
                                      </w:rPr>
                                      <w:t>Darbības prioritātes:</w:t>
                                    </w:r>
                                    <w:r>
                                      <w:rPr>
                                        <w:rFonts w:asciiTheme="majorHAnsi" w:hAnsiTheme="majorHAnsi" w:cstheme="majorHAnsi"/>
                                        <w:sz w:val="16"/>
                                        <w:szCs w:val="16"/>
                                        <w:lang w:val="lv-LV"/>
                                      </w:rPr>
                                      <w:br/>
                                      <w:t>kas nosaka …</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016095671" name="Text Box 2"/>
                              <wps:cNvSpPr txBox="1"/>
                              <wps:spPr>
                                <a:xfrm>
                                  <a:off x="0" y="731520"/>
                                  <a:ext cx="565785" cy="167640"/>
                                </a:xfrm>
                                <a:prstGeom prst="rect">
                                  <a:avLst/>
                                </a:prstGeom>
                                <a:noFill/>
                                <a:ln w="6350">
                                  <a:noFill/>
                                </a:ln>
                              </wps:spPr>
                              <wps:txbx>
                                <w:txbxContent>
                                  <w:p w14:paraId="43B64116" w14:textId="77777777" w:rsidR="00B06983" w:rsidRPr="009B6177" w:rsidRDefault="00B06983" w:rsidP="00262896">
                                    <w:pPr>
                                      <w:jc w:val="center"/>
                                      <w:rPr>
                                        <w:rFonts w:asciiTheme="majorHAnsi" w:hAnsiTheme="majorHAnsi" w:cstheme="majorHAnsi"/>
                                        <w:sz w:val="16"/>
                                        <w:szCs w:val="16"/>
                                        <w:lang w:val="lv-LV"/>
                                      </w:rPr>
                                    </w:pPr>
                                    <w:r>
                                      <w:rPr>
                                        <w:rFonts w:asciiTheme="majorHAnsi" w:hAnsiTheme="majorHAnsi" w:cstheme="majorHAnsi"/>
                                        <w:sz w:val="16"/>
                                        <w:szCs w:val="16"/>
                                        <w:lang w:val="lv-LV"/>
                                      </w:rPr>
                                      <w:t>ļ</w:t>
                                    </w:r>
                                    <w:r w:rsidRPr="009B6177">
                                      <w:rPr>
                                        <w:rFonts w:asciiTheme="majorHAnsi" w:hAnsiTheme="majorHAnsi" w:cstheme="majorHAnsi"/>
                                        <w:sz w:val="16"/>
                                        <w:szCs w:val="16"/>
                                        <w:lang w:val="lv-LV"/>
                                      </w:rPr>
                                      <w:t xml:space="preserve">oti </w:t>
                                    </w:r>
                                    <w:r>
                                      <w:rPr>
                                        <w:rFonts w:asciiTheme="majorHAnsi" w:hAnsiTheme="majorHAnsi" w:cstheme="majorHAnsi"/>
                                        <w:sz w:val="16"/>
                                        <w:szCs w:val="16"/>
                                        <w:lang w:val="lv-LV"/>
                                      </w:rPr>
                                      <w:t>zems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953514288" name="Text Box 2"/>
                              <wps:cNvSpPr txBox="1"/>
                              <wps:spPr>
                                <a:xfrm>
                                  <a:off x="2601721" y="731519"/>
                                  <a:ext cx="596510" cy="234087"/>
                                </a:xfrm>
                                <a:prstGeom prst="rect">
                                  <a:avLst/>
                                </a:prstGeom>
                                <a:noFill/>
                                <a:ln w="6350">
                                  <a:noFill/>
                                </a:ln>
                              </wps:spPr>
                              <wps:txbx>
                                <w:txbxContent>
                                  <w:p w14:paraId="41EBD09E" w14:textId="77777777" w:rsidR="00B06983" w:rsidRPr="009B6177" w:rsidRDefault="00B06983" w:rsidP="00262896">
                                    <w:pPr>
                                      <w:jc w:val="center"/>
                                      <w:rPr>
                                        <w:rFonts w:asciiTheme="majorHAnsi" w:hAnsiTheme="majorHAnsi" w:cstheme="majorHAnsi"/>
                                        <w:sz w:val="16"/>
                                        <w:szCs w:val="16"/>
                                        <w:lang w:val="lv-LV"/>
                                      </w:rPr>
                                    </w:pPr>
                                    <w:r>
                                      <w:rPr>
                                        <w:rFonts w:asciiTheme="majorHAnsi" w:hAnsiTheme="majorHAnsi" w:cstheme="majorHAnsi"/>
                                        <w:sz w:val="16"/>
                                        <w:szCs w:val="16"/>
                                        <w:lang w:val="lv-LV"/>
                                      </w:rPr>
                                      <w:t>ļ</w:t>
                                    </w:r>
                                    <w:r w:rsidRPr="009B6177">
                                      <w:rPr>
                                        <w:rFonts w:asciiTheme="majorHAnsi" w:hAnsiTheme="majorHAnsi" w:cstheme="majorHAnsi"/>
                                        <w:sz w:val="16"/>
                                        <w:szCs w:val="16"/>
                                        <w:lang w:val="lv-LV"/>
                                      </w:rPr>
                                      <w:t>oti augsts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CE72A8C" id="_x0000_s1086" style="position:absolute;margin-left:193.75pt;margin-top:206.85pt;width:251.85pt;height:76.05pt;z-index:251658245;mso-width-relative:margin;mso-height-relative:margin" coordsize="31982,96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CIyDggUAAKYaAAAOAAAAZHJzL2Uyb0RvYy54bWzsWW1v2zYQ/j5g/0HQ&#10;d9ei3mXUKRwnLQZkbbB26GdalmyhkqiRdOxs2H/fc6TktLa3dW3StUUCROY7j3fPPXeUnj7bNbVz&#10;U0hViXbqsiee6xRtLpZVu5q6v755PkpdR2neLnkt2mLq3hbKfXb24w9Pt92k8MVa1MtCOlikVZNt&#10;N3XXWneT8Vjl66Lh6onoihadpZAN16jK1Xgp+RarN/XY97x4vBVy2UmRF0qh9cJ2umdm/bIscv2q&#10;LFWhnXrqQjZtntI8F/Qcnz3lk5Xk3brKezH4J0jR8KrFpvulLrjmzkZWR0s1VS6FEqV+kotmLMqy&#10;ygtzBpyGeQeneSHFpjNnWU22q26vJqj2QE+fvGz+8uZaOtVy6mZ+yMLESyPXaXkDU5ndnYBUtO1W&#10;E4x8IbvX3bXsG1a2RqfelbKhX5zH2Rnl3u6VW+y0k6MxYFnqB8x1cvRlcRR7sdV+voaJjqbl68t/&#10;njgeth2TdHthuiqf4L/XFUpHuvp3TGGW3sjC7RdpPmqNhst3m24Es3ZcV4uqrvStgSgMSEK1N9dV&#10;fi1t5U7tLPBTFgRRlAx6xzDa3WGkHppJg+1UTke7Evk75bRivubtqpipDiCH69Ho8YfDTfWDfRd1&#10;1T2v6tqRQr+t9Pr1mncwNTPYpc7+yPCQA4Sd0JpF74XIN03RauuOsqhxetGqddUp15GTolkUQJf8&#10;aWk3ARyulCawEDCMi/zhpzPPy/zz0Tzy5qPQSy5HsyxMRol3mYRemLI5m/9JIrJwslEFFMDri67q&#10;ZUXrkbQn/aFnDutpxmOdG254gVRnBBp+jYhoIpWQrErmv0DNxCLMi0NDJIyFGUpQFfNDcAv4hCVU&#10;wmqYoWWh8/VglEHx1qIKXuQstj+LJZTPN1oY/R94UeyzJPNdB+4SsDCKjCdatZE/sSzJsgD7kj8x&#10;/PmRgcDgFsCKVPpFIRqHCjABDmD24Tc4nj3yMIQkrlt6toLwYXttyymLRUEcwmLxaDa7SEZheJGO&#10;zs9Rms8vszBgcRhd7i2m1nwptq8WKgeql59vNCsbpPrQWAR90mvvBahaXaPQ74nSEVBOwPogwGDW&#10;FyODBKqLMx+W7Dn4+gtwAVn9gV3fN7g7BaRvwPWtI5OWSngG0YBFYO/hPd6OHZxmHLq0l7AYIRAe&#10;m4Qxi3quICYkl0ZCE8YZjG9cOsBYM2Af6f6jSxv6P3SJbYdESw08j9qRS5zkTkqzTqUoJoDAurTs&#10;XVALQgT7NAVl9Th+Q0c8FzvHJ47qB1Mu4egdmkFgQ7uV90hzfuyBXK3q/CyDj1iaHVQXIaNgPRn6&#10;QeilyeeR4Z4GiRed7dSNA1jrFEEi/VA98VBJ7xY7k08hoPdHXYjlLU6KkGtSI9Xlzysw8hVX+ppL&#10;pJuQGym0foVHWQtsJvqS66yF/P1UO42H5dDrOlukr1NX/bbhlLPUP7WwKZbUQ0EOhcVQaDfNXFAs&#10;Q3Le5aaICVLXQ7GUonkLk89oF3TxNsdeUzfXcqjMNeroQm6eF7OZKdvk56p93YFpbbynCPNm95bL&#10;rg9DGiZ7KQbc8MlBNLJjraJniIxlZdyNVGv1CH+jCjBsgfTgYEaYC7w4SxCKbWL82WCG1v4mqEdx&#10;lFAGbgggThBk/3cYp48wBpF/+zBmuF+CQ6M4uzccx8gCQcQE5oNIhuQUdz3gnIDsJx5xs42aQ0Qc&#10;Ms+PTE7vgY+zRyB/H0CO4jQKWRI+CJDDIM3YQXLxFaLZZoZ3UfExuyBCmbrfXHYBWo69LIoT5GL3&#10;ml7gLhn5B7T89aUXuA09ZsnfQ3qRRUHEQj/F+/57gvH7Vz4CMzMB/O4F2Nd35Yv3t9vHK99DXfnM&#10;2358DDEv//oPN/S15f26uSLefV46+ws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ME&#10;FAAGAAgAAAAhAHbt3vbjAAAACwEAAA8AAABkcnMvZG93bnJldi54bWxMj8FOwzAQRO9I/IO1SNyo&#10;44a0IcSpqgo4VUi0SFVvbrxNosbrKHaT9O8xJziu5mnmbb6aTMsG7F1jSYKYRcCQSqsbqiR879+f&#10;UmDOK9KqtYQSbuhgVdzf5SrTdqQvHHa+YqGEXKYk1N53GeeurNEoN7MdUsjOtjfKh7OvuO7VGMpN&#10;y+dRtOBGNRQWatXhpsbysrsaCR+jGtexeBu2l/Pmdtwnn4etQCkfH6b1KzCPk/+D4Vc/qEMRnE72&#10;StqxVkKcLpOASngW8RJYINIXMQd2kpAskhR4kfP/PxQ/AAAA//8DAFBLAwQKAAAAAAAAACEAg6vz&#10;xa0VAACtFQAAFAAAAGRycy9tZWRpYS9pbWFnZTEucG5niVBORw0KGgoAAAANSUhEUgAAAXgAAAAd&#10;CAIAAAAvseCsAAAAAXNSR0IArs4c6QAAFWdJREFUeF7tXWuPHMd1ne6Z2QcpibRMMpRI0VbiCA5A&#10;ITGCIAiSL0FgxEDyN4J8CvL//MWG/MGxjQQQYJJ6OKBiCGFsUeZKJtf7mO7OOefeenR3zWN3KYmG&#10;p1XcnZ2urrr33EfdqrrVqtq2rapq8iJdXde9SOSQli8IoiKn1tdqEFbTg2djhbbrFoumOz2YtpPq&#10;0tfqqv4isC3R06DXrtpFfycnh83h49l8b7p/ta53IN2uXTSHn9S4dq7V9bSqz6CBy5A5q4yer5qt&#10;7f35drdaiLQf/GtPm9992jRH1f71evfyFFoxOQPOsYsVrBlTbdV0E8i5rrqurhYV+57hTge7Ca1U&#10;F3M05CY0hZ42YyO6kWJ10GcVqlAP+IyveDfdAiVjD4Vnz+q2EjgZR5uxtrKvJLCMouXELbljaKwh&#10;J++AytDVddVOuqqBLvSxRENj11NEMso3F3psLEnfHSU0A81A9dBtBy1hz3XNZyWSCvQ0UPy6mk4W&#10;+FM8UVnHoh6NO8sw64EyHj03a6fpg4u+ihBdxF0X4S0guXEf0QYjMgCayHcTupdZB6bqCcHfUI0L&#10;9lb8is6E0jRoMVxAOxtZLsQ7hVjRJ1UAgu472qIIVxCH+uDBrumIjbUKUe7uvL4fQ3ZE3Gkig2d0&#10;NNHrwzuXBLPaba0SZGlkKLS2jv0l7nmoCMVqpgT5Bd2A4AZXAUlVszZX303R3zpGvGZHM+AlfMaO&#10;RkPjWQcLby0HAeSMneyAcepzLiZ1XXZ/G3uBccWxFLI6CeelPfQVKdlggok0m1hxdxV2VSnCXSu4&#10;TF7qg8BmvVQUaDOZtvRxEKocDSIaq4oxT15jEALgz7EiRgji4FZWkcwNxUdig+h36BfUO7ozonta&#10;MkJ9bEirB4qzKgbat5IzKwCXK8BKrIqPobWz2tBY73N3H3spmscYomWCG4gmr7Ymojkr0OvqnwOi&#10;2GR0jkWIxkNjUb4bh+rrOAn3v4iIZlmgWmR8bIybkl6qZ/pAX2NjczdZwBXic4tI9vgEA8h0Poej&#10;WWAYobfv2uPjp4uGlTI/yBHPg+FgdPZb7hO+Kmhkcvxh6sO7JbNk8G/hs0XR+RUUmt/GwQ0jQJ9B&#10;tlAK+JfHE9HlAoEwN8u7GAKouCZ3NBpXjW/9LHUFrGYbSKxrHTSGlampCERqWoLw7uKnOnUeqQhx&#10;SnwgjMNBVk5WQDKRX3UIb9W2qkYebTaTNBLzGn1lQCKoycBwPPr6ERsLbfBhxixRfZyjqoIGWmuw&#10;/DCqpd4XFoqHZooLeLxbWGlkg6YnYLzvOsmM7vYeI2t9QYOqocuOc8MEj2YHvSuSmVYAjBLUA3qB&#10;94H6E93g/iTLjDo+4iNw+Fbdmg3qbi/y60lIAI1Ewqd3UqCapB0+gVIZTIZeIiPGA1oTBE+nbQeX&#10;sr87R5iE+KXGQtzD9z94enj07T//i6rtTiut3Hz++cF7798/Pj6a0/3AF+UegDRiRm1oumL2MQqW&#10;CRTRh/yEwB8bZPjGHWE/TgPnkL0EkgwvhNZBmuC87RTiAoVA52jRhs/H3unSJA0KJsTq0qF0WeWi&#10;B+FCQ7hDR4UV9HI45g3WjgHaCzapxYnkpSQvClFuA785lfXL7FkYiG70FbszF6G6+DSkvxZrHDUS&#10;G+YaBle8nVwTrTHQYGCikcysk4/g+oourgSoO7IGWkwJ4buMetVKhMgmuGpI/rqKI5wqJB9irbAR&#10;eNNIcc8oNQHKdEMUmMIURZf4JplGs1eXBPvGnKMUrVcrD8vwS99nETo9iVPd1nEkjjODxFCfTRCI&#10;Wx5AeZfuLsKAHQihwkhAgRcbArDaZc5mpBtEuRQbdrBmEAuK/a5pY34R76hoXRtpdr/GfhGLULDP&#10;9r7++t2/u/PmW4hmwPb0tP3owbv/9f4Hf/X3/1idnJw8evQI0t7b3f3ww/f2L+3t7+/D0eSdmS9w&#10;tNmgPtqXgSKTor7GErRV6FOsqAlfhh0GugszikwZaFuOU/raWwYegSoI5NSHYE39+EgyKHySYLRC&#10;4yJPhMINRtn3EDVKsITljCTBUIcGVSuadE557z6XvtCP20RvLM3dirxei40hiqlvWTkqtD95ENQM&#10;eoRmuFbSq8bI1fqCxkZcFVeq8XEXbDmCQUcj8IPgnCIprzXnG2KCN2lkIEJ2EhDXPoRcSmLMnaSq&#10;YdXQjUj3PUAO9Nckxo2mBzP9V4cdNL/ImtMWO2LI7ldvktJSJNHRoKdTX5EBbuEJSD+04/qkP/uW&#10;J0nkPjgw4Cqh1uwR9276bI41gkrNjOOHCbJvC52I0SOZZ7dWTUYewRjC/AFIrZ3UkSGB9qdyRQEZ&#10;+01LEX4eXOMr6MMsgNDA1DVmxeEcXwQdC9TSV9DtHdRXP7n5nde+96/X3v6H0+l8OqnmbfObxx/9&#10;8Cf/efPNP6sODn77zjs/uHPnzu3bt37x3x+8/PLl3b19iMrjioAW+zN2KJWB6tjX8qYafo0EztL6&#10;lmjOyNrRSK0hJWsNTgqhiiHANWvHwlvJHA3HWocqczSaFeF7c8/CN46o6Fr6p+GJH6h2/ahEVtzN&#10;ouFVVEQ1UxrTMMfMxCZF6SsExycR403ESNAx9XatGvQg9xkOi1u8EJPr6EHKHgdmbP7IUE236I9I&#10;Bne47TYp9wYzEfmswUZLkidnEZqKRotq3kuUr8nU1vtMwPYsdSFDic6F/FJD4sAY3I2ZgZMDbaaN&#10;mncLAEbjzUbBBUIj+GpnS6xN43ydk7LIHz06bkftNXy0muDQoyNIPxieew3umMUQOHSD/dwsAo2Y&#10;pkAv3MXT5l9orQl7ocpANXiQRiyI06AwsMEkmyBWxZiMIE01zELMsWJi0kZHg+Z7qxbUHG7/9cY8&#10;1wQ1GOdf1GJTv3w62NgshTYb43J7hIbFJYPuoL3yqzf+5to//9vVu99tq7pusc+4OG0+/dFPHxye&#10;7NSPnxx8fri4efPWDDuNTTM5ndacyEN4s66dUymQD8GJgBhUgbJw7LOVnNFF9Djv58/0jEGBuRt5&#10;BdUs1p4HR+FzjUooIBLLRyzsCMVGW/uML5tJa4VzPCokSATMVkShCqFVicS7eDE019NJPUPpsMGq&#10;RA7rF7GuFTExp3/nYGCF1kEDgD+s6raaotjQomkcLlsU8Nk4klbClm1YUIxwmVUplMFT6LiBk8hK&#10;O520U0oycF13IHhKajUqa99QRGchojTXisclFtLBiYELPAuarQI+wKZIP0JhK+Chnkyx3YzfdMYq&#10;Un8G6BF8NFJN5laAj0GkNjU3ZBRJ0cs7Rzcf/UCY3zgNICOf/WnqpELMJ7O6mmuNwLDSP/tFQ7cS&#10;fRq3zlWcEuknxua5CkCzYlN8gSdVsxibPOlOZDzMPkAMKMFCBso8CBcgQWTEMytiWYX6aaIkJuRR&#10;+AhtiE8ar9UqC2RZcBF2n/JIhYRiKHiKfQUC8CcUlYbApAXqL6WE5IWFSjOt29m8mc4WQMURxd0J&#10;vrfS0g+oVLOmmjb8OQ8FjloaQp300uIRK/hmivbZBfaUaB3AYbqDhbRqBpLIe1U1wJ3BSlvNZ6+8&#10;fuP16uBZ/d69ey9du7V75dUTMI69dq582NzIypJrzf3h7XzgDeIot7yu4zimZAQmEReoVoCqPukL&#10;Bp2GJ8NyUv9+atexMEWQP8oaMi9j9pgV6ZMNUzlTY2JDxQIgAxlo7M1CkDEYofUhMUVZCo4CeH1G&#10;rJPVLBRaKfNZ7C9jPIfcBVZqqFcN/lx2Ni45WdTrqAE9XJeoXLHf0IvH90Um9WWB+MhmHruNBDbU&#10;l8xH5ybJ5yzqMH3wYHAlCmNw8U3Q3pJklrM3FPhQd+Gn4IlmGLn2Xrt2uWo+qd+9d//2G7d3duCf&#10;jrrJsYIG89wFhdbw5jbWC86XOiS/cabKy70bY4bVXSmsSFVi+F18KlLV84Oh6pjmWG1MhoKq3kRm&#10;c5aLNYu9j+ncvJcxAooPym4rr6wuho4qD2TXCX/N/Yuw4E6wpBXaK1jadRZZeh3fXtmMmZJ0Nnvy&#10;i6gVhLjGNkpdXwT8pDyeid4bfdvu8PPPPl4cH11+6crXbrxa7+xfunnt6qxGgEjBaLpjuw8ovbW0&#10;c0CUxX4eBCqitm58XlD2Z8NB9Bydr3/EJro2zShdgVRNTG1eULoUm9rS53JmIuMhWlzuTjVftpKH&#10;8uv5+epqOJKD5f/N6InTvVXgBSQ41C2rl017lvQsfxnnEmWZm06spmUzxi5Wi+bnCwWFhvK58YX7&#10;ySOs8zQGMhGn4D/M2rSYMMUf0/b06We/bk6OZtNLb3/nr+tvfeuPX35pTzH0VIbCTRk6AWJ9MUdT&#10;Nkt862bpqwBLDfg8PJ/pGdJha5blK8XUK3U4cbSu9zjHXlUxj1fXNfii3Lel3/NltmlJx8tqftZZ&#10;/5I50LDRc1P6paJN6zfTWBKoPCc2LuplAIrmkZyFaQLnkWQ93blx6xs7e7uY175y5Wr9xu1buzN8&#10;hm8Jm6Bcp1k9OH+piG872yKwReBFRsC8IRyfVt2xAq4zFjUS8l6p51j/Pm3apv7mN+9ga6rGzgwj&#10;xrDM7WzJS/E6x+zvRUZmS9sWgS0Czw0BSydFUDprF3A0tpvKQ5UdVnu12VdPayTOcAuFhWsNyjTH&#10;Pq4vpPmUgalD22uLwBaBLQIFBLCNzYAEu+vMk3JHY8svSqaYNdi/p4dZuZdT2pfYwr1FYIvAFgFH&#10;gImgWJ9BCs8UWTwISphRM2ma0+Nnzemzk8XxSYMknqWX78w/Pzi/iqgoJMLb9M9mgKvWDEljWB7r&#10;udiYvxYXz8YfVkKVc5/3ErsLT6tdrx1kkPpKmYdha1BVN1rSG2QLhflwtuYtGiKlOYc5b0UIbONg&#10;k5KTa31lqjYSTkzpSrldKY8t7crld3uAbCKvZYyeSfcHsNmzF9H5Fc+esdlBsJAoPWM7S/CwrQAo&#10;wIK5f3A7yglfnP7Pww+ffPrxj//jRz9/8KCe2lkHZV2iBsIfJsXaVgwS+ZmhAP20VO6CNod0TK3+&#10;ZAdJiDGrW1oiG2FONBvU+QD7kEyraasFigzMt2ZiZ/nWaficcrOYIuk71Bl5QV3tvUuezusp7clU&#10;sfq9qLuF5R/rGClN0XffRbaa5I6oTp5ZGmn8qCfygs5SDvJA2524uMhecCHqwU+x4MSJdt5Dpi8T&#10;7VWQLd3UVniyRbmnli2gErKxl2l41oXtaICdWJSM7/A4JSSA+aPCIRQDxvYZrDBvladksoKUrZD2&#10;mlRHGfQ6J2S/WaKHiptPnL3zQBNLTI9lKq+lGPBDzGzlB2Q342dQNtADdV3whCGPxbAApGnbTJsG&#10;P3WsBIXJ7qHo+BuL8s9VlH8e8tI9zxzYuzwsKUIyon3BQJAOi4VOFeU1t+ix5VunPDXdbrEQvLFO&#10;24EYPxbDz0haVnItZQ4WaIMIFyZK/cVP5aBI2/AUmSW/foybnUKvqdo4eGhZferTxZMMRSclvBj7&#10;Bo4AFHT2oUUxC61gqqGEFH+lzps0oRPIk0GLDdaC3/zTt/Z3Z83R745xMPHj/3t868areP7Jk8c4&#10;VPnS5ev7l3Cokocp7EBnOh4xOihhzsU8t143kTlIy673wzWgAsJWXrW5tOwKB4KkuulsqDUod6eR&#10;VzbEHGydUULleCTJm9NZhUBNNATptHKxgDgf4RZsIIDnCT14yE7ux5cWeEfSCjVoTRlVTYfkRjsd&#10;r7ixH/7w4Jkf6kms2rkhYzPHyu0unickmUSf2+bqmn/oeJEdi8rREyyoFg+2+F2dEomcOJf9Q5U6&#10;/ZVOP7H1cGogkWcEQxhuIRYP6ju54HDx/X06xBSvIH3VC+d3/ISeHc6JNPMUriTt4lCuiz9CsRlo&#10;lomkruVd/ZJCmYNUG3BSOJmgEwW9jDJWycY2Y0GXH9gQA8wHMQeUdkAAo8agAHwuAj/fopE0Krac&#10;VOjAhnGdojKadVIsKGpUxXBoNuIHwEOD9CaWw8UfAsSCiMBg4Iuv1CQZIU8lI1oNxPQgf5C65XqF&#10;95uEu8m4jFP+C6d3FY2E7tCbiOKJlbY9rC7/6vZfXv+nf3/l7e+19Y5yRxZHv/nlOz/9efX1b1QP&#10;fvno22/chOs6OHh87/69vZ0re3t7MnipAhGMAislrCXE+o6Gj3GYsys/9iazjG/9EHrhhRpmtPYE&#10;Xitr0Ead8gjNhsD0HhzvwsZ1Aqe4w6RiJ5F0KXVXaMbpIt283eO46ieSp+E8a3buD2gEow2K0DTh&#10;EGlub+GuzkTFs9b+LQddXSFYCrXFrx8EJWdJvtGYFZVJsQZhsCQkdQm2asLnIOwKEQ2MChFoMfPM&#10;KfADSoaHnUqNDtRdbd888gBWLxbpnSUPk1bzKYQDEYofg6JzEMsuGGNKgYzJDRC5G4qvrojuXoLO&#10;PJpEKwsU4yQap2H9tGRg0IwncxU57546yrrUWI8BIjZ8MMeq72gcU7mx4LnsdF3s27hLWDslcn1e&#10;TeFp/8rotWGGLJoLCY7Gvgt8mXZrONTxtYwAmhMJiEQZeY4aRYMDdwgDdCw2GRdWcemLCEjSHG9Z&#10;Co5MGDRzSmlBA+af3Lz72nf/5frdv8UhJ7zuBztQRwcff/8HP7n/66fVo2dHf7S/AzqeHT59+PCD&#10;w2fHs1l8CaCR5n1skFrTE3/mQCU8XVEhBqiW/gx24g8GSZmSReccnnQqQ3yTUPZPSfD5YOjy0yhg&#10;5PnbVHyIjKozXMwaRBYD+s3DSuTpoqijViSZB1z0GjDSwGgyUDumtQxcjO+G6ppXz+71XEyGUBh0&#10;DV7+KNSMX/UbLLWZNQ3JlFcE+VzSCwsZe1PMIRg0t5yGvGOLLQKm+Z0eeX1a01/x6M1Iv3qdRAGJ&#10;bgdtQEamgQNkClQVxJZUJZ3RS12VxaKjTuS/p3hGbd5F/tmErFOeQeKBeTn3vgbkuHCg9uUFW3No&#10;5pff+JO7127fOeXrg6fzyfHJk4c//PG9z/auV09OmyvIGNbVtictJrGrdLWs5l/Ft78fVH4VyHwJ&#10;fY7BN8VfJ5Tgx8okrnv6LIwto/AsbfxB1L0g6GFgt7klUmlw5n42O+HEtZ7XRydPPnrnZ/frG29V&#10;x003t4kvFyDCWLDu7OIfhAi2TG4R2CKwEoH+7FsRDhcGuCLLd19Up6e//d937/2CazR44070aZih&#10;4b0YHJi2jmarYVsEtghshEDyNrY7aS945YuxuQmEVwYvmvnL/n9BsAa3jmYjYLeVtghsEcgQiJ7G&#10;1qr1Tja+nIw7Odybx6vU8HKabMt2G85s9WeLwBaB8yMwWqLmmwPtZXrbWdL5Yd0+uUVgi0Ae2uQ7&#10;VGH5xY5NXvB/ibuFeYvAFoEtAkQg5hp5qkK2EY6Ukf8HRDA9FXIYea8AAAAASUVORK5CYIJQSwME&#10;CgAAAAAAAAAhAI+E+xxtEAAAbRAAABQAAABkcnMvbWVkaWEvaW1hZ2UyLnBuZ4lQTkcNChoKAAAA&#10;DUlIRFIAAAFtAAAAGQgCAAAAdafoFgAAAAFzUkdCAK7OHOkAABAnSURBVHhe7V3rjxxHEd+ZvVec&#10;2KcIxEMkIXYeEmfE18RJhBTB/x3xNSCLL4TgoACBD4DsQzkfd7ZvZ4aqX1VXVz/mcbk4yPZO9szu&#10;bD+qflX16+qe7qUZhmGVX3zH32+aBkXk3+rVr1b9sCqbygs3RSOx1tCuVvSavYZVQ90NZVNFTRLY&#10;GpwRfrzXZmDB9ApQ2I0xlbW7DF5UZ6yK7nZm1V5eAJ0SSvgvuXIQvHg9F/bqZB/VAyZwnJCwwK0s&#10;S1137HhzXtSsCKtMiiqk61mPDV495XWV+Cj9TANkFIBalFUKw2zzFyk/bYUxtE2MaoHcV4du1dLf&#10;qhnapgjMhuzU0IsE6dp+aLq+V5KIWKhFU4WmrUJVOLbnMKgiILXo34U8QoVJOyq/xKWlcSpJ8o9d&#10;IvwYNXgysjLWddWDp7u7Oo/M4pxpJGITvCVi/s5ss9JO2ciSihVWKuwhVphtreRc8dhMl4U8Mu2z&#10;Yv1ZlZe44lxw5Lp/W20u6bdahqOMh6MV8YgJE5IMShualkbYTb/5zz//3fR9N/T876NH513f6YDZ&#10;8MhAl4VXM6wnx/+eqCuTRXpO8ho2SDEkxmLU+Vq9aMrr6pzlWnZBTrQprj+sSW0voZUfOJPqgrSh&#10;CNUIb00zp6GxGHCWPsIbjGD6AYOnOIgx2jyPiGyxwSg36s4GGicjoVAsXCVxCxJqNsmSvAWczahd&#10;QjIzdVWjUCYgRMNXeinkpQtD+eB/QRHTo2l2vBdp8rWi4ZDr8CAJvGkUjdmo6zrkF5R+2QAW3dx1&#10;LDcpVnQEclaNFjA/aFL11Nwx+igUF1wUitGb4HcY9s0WDjKD1Zql5EBBckEXyNSbkDVXkHKZosAc&#10;ZVSOuIH6p/BnLIZhs2b89pv1zt417m+H7vX/+OLPzdBt6Jv/np5+9vkfiFFa0jcARp1xS0gTWlan&#10;zMZNDPL5EYLoKekx3N3bUJUYSKsO/A6G4X8Ii7FsMIKdwGACuIBJokhKc+T0lIXhgsfRB/TF5Ktx&#10;ZckVGXMdGrF+ZWIlfrbCrMf8id4T9OTFwF0NQO87gTW4E7rTBhIluDV2G+igGkXcuV8Sk4ivfmXj&#10;BgpraNBXA3ydlGZF2EHpf6xtQcA16+ydOCFnuaJxuKAs2Zl7Y7lRgIDBHfpSvb8h6dMZhGcSx1uE&#10;efiG2uAm0RC6YxPRkCbtKBdQEQtA87CxuC1Q57ZDpJrndASy2TdlqAR5Hn/QIg/N7kL1yOY6TI1Y&#10;DWiZD+Et2YZZgUMB+jMObhAmhQP+DL7qZFRmg4g4JzfoxsVIS4EitYwCHGoMw5ocpd3wvIUJY71D&#10;RLGzOnjy8OjwxrtHt/f29jbE1u3q/P79pu8uSMoHD+5/+ttPb73z1svXXgaAPIqCRzA/omRkIOOO&#10;eS/DCIdJC+ATRazpQFLx+7RUH0I3uQ8vnOURTryAGUjO2rUpDNgvXIgT8WqmDZcySFxJ/3q/N68g&#10;i4YP1IX2wbAYj3B3EEK/hJpgDfKuYEjwSExe0t5URLppk39WPtAFe6HqweINCNnKVcNr02pAEEeL&#10;ItSHuDUaceGWEjd9a7zpLcsaufi3PkHDqw13E2RFg266jKzQXSqA2EjYTfgoFSr4tchM7e0xCCx+&#10;yCl4HJChAGPo+OX5yPwC/pAkzjI8qGo2tEgowsqmtSOIlEfEREGRJ+IPZIGJ5RYe/NVYSC3Y6qRt&#10;C0aSOFKLDJQlmbMBYrhOkfGJCblTCb38ynIoCdhYaNghgdqOcpANJaFDs9utLtabH51+9ctrmw+P&#10;jg4P9lWdzWPikXMS+U/37v3u7t3379y5fv3Gqidja2z0TEUU0i0tpEzyCFephj3pz5KpDmpvC1eW&#10;O0w3GC61BQZKdqi6T8S8gOtwGboTblJVc1aX3vM6MC4g6yFFoXAjsDvjDkApbEh9wZZ5RAvm+UgS&#10;HuoE7PQ2AiuPpJYsEQPvyOA00JiIN94DODcco1fRL5EEeVDgPs1HOEZiqSSwxVZ2WZCAIwJvupUm&#10;7VGSJ1g5XWfiSqSQIklo1Ncjg4DoRgKmyG49qcmITaVtBaSl1A/ES3GoylXCBn7i7gub0r8MKTcY&#10;00xWRqh8aMPMNLpExNkgMjcW9Ax0fGDf42yCHGOKSJjfxY2RyRodw/ewjhkIvKEFCOkIhMKye9Wc&#10;FbgYLV3UWYZdIYYCWJ9WTS3qiEc48Lt135HRu4YY7WJ98frp3z/ef/zB0dvEIyuwwtBcEFedXzx6&#10;8sknvzk9O/vgw4/aZhfRbHHFjkhi8DhYiWofj+L9SOBT5kv8O3hwb0NTKIzBpdW5htSpkTePOTFZ&#10;iCERAIl9c6y70Sk4PVKtrGWZ4NRGM7ZQkBlTAS7ZxWzdx52+d+ylpKaw1GhRJTFYbI6LsBSZI28i&#10;cqqwiFLylTEjNBK35oGc/VgVF5RiTuzVEDbx/GWEzi27nCL0WHneYUQcQBkZEjHqGnBBX5pK6k1O&#10;PERmUUS4QCsk7qd183wXMLq1q0BqbSA1ZSX0krIwvJ5n2+klMghKRB/1sQ5VSr7W3jE6l67juMAw&#10;AQP15IRuOI6rX6QazwIDRPrGyCGkeOTCix5iUB+6Mir+wa7UITDXlFHQnc26//HJX3+1f/b+7XcO&#10;Dw7wkLbv246msvtdv3v/wfne7kHLM9vaWBDNJt9WXwGWCRIRb8heEc60Zgmz3UlMMNqcJIaLXokM&#10;aYOy8pOjMoEDtEirTGDqUAulQt0xJp0AxulRKJ5UWyCRlC8LTqvuFXclqylGrnswlhc9ms/5TShQ&#10;96ZpHzWFao0schfzKkFn0sNMwqQYcF1UUUpaebNHxSUnAms8aDPz5rEUIpLv0xDPC198K3mCxbOq&#10;FpOvdn3j1cNrr7yyyEEvWagcPK8UHpfsvSx+xd6vWD2TZyyzoGKchqSzjCur/v9pwCNma9tPSZR6&#10;AouM5ts13NQYF7JCMeJT0vRSzS4UYxYipEbpogCGGnqCRswy7Oys337r5sEBLcfydEeWc+yFGU3y&#10;ykfbWZ14ckazrmTVc7ZSHnJBpMmRbbxVFaCSgWuami9EVRn/slLPlZdpa3UqH77hL6Pwi1O2uZ7t&#10;++9ET8ttpsSSeUU+u0CNqo28l8r7KpDVLnlJjPJ1e/ibF/Loj8rM0Mkc0tGFv3kFa0UB+KF6qp2h&#10;kUweF4m82C0UddCEPFDGUwqbf6dYs4MOu+36hz/4/t4ezb11gcbc2/C5AiIkiszNqvt5LqHYRNDN&#10;tULimwx52Qn3nWv26X7vgmpU+CtK8B2SyLykYyQiNevfpgosH/3NIcYf7yzy2LJQbHle4+kSxkg6&#10;1njtrhALi8XSmOfNrEX4S3YRL96xwc+W2lW7puURXqsd352wWIJtwS0CWwReJAR4XoO0rB+6buiQ&#10;G/KOpeT1IgGy1XWLwBaByyFA9EEP3vXpFGUmO7QiO9DWdH6UJC9aMuFHcMvzxcsJsC29RWCLwDOP&#10;AE/l5Lm0rsJit6BdV1sTeebR2SqwRWCLwCwCvMPkyZmcDeFlWOzaSjbxPOUspGw+W/H0H8feT6p5&#10;eQWq3ZR9pJuIssdZyceRRdwl65uyYJc94I+yLEfncjCE0iOjSJRn5NxmqVqKjz5vm0ZgiXLsrbb8&#10;6h9WZJD57qvuUkKMnb/avms53pQNvhNPl4qnTvNGqMXDfC23AD0dI7ID+0ovU8ofSuRnOf2jZoP9&#10;5ycnJ/e++OyN199o2z06hWE+xA+c+Okz9NGnavolb9yu7eWLMcZHcni3W7q0G/dcqlHDg1x53qyn&#10;M3gXKXp2V7ZLj+TAqQqWh+de6XFeqWdBwfsOsSe5vsUg9OL2HocDTlxFH2NhRx//8U91KAwS7cnF&#10;WuNbZucAJXoXcWgxOxwhLfYXiPNqXd5xiS79JlfsSrAuEnzCnnA+EkRfoGugZLu07WBROIBgk1bX&#10;Lx3XzDUKLfCxbpr44uLTIuQ7stVZLzzgh/h0okLuQQE91wNFyp2c0cq8a4b+fFYcKlghe0N+6re9&#10;sp1YVfNPPuoTZTBhCmNBSDMyZOZ6OHSTAYGPtHN8o/tZa9YH2DhlR3tDySTwaDvuII4BV4zblA2+&#10;oI97mqwayQ5Y0YcjxU4gyFZsOZQU9ysr8rzPVA5kcWjVlNEGgWR0FO1F3dh8g9tfvXbyl1/vnr/3&#10;83evv7TP+1lpK/3jBw2d9t1s+j9+fu/hwwe3bt1sml1EpO6M5nVXjb3KwNjXftRDXI7+NqpDuk1e&#10;NgV5A9mRRESd/Bd8Qj2BK7j+0YGYWLdpCwe5i/uwGxzPLCrqjZ6VDTJx71TQcgGIC6EvsAU5t4Yc&#10;UFRxWHrbEYJ+9dLxiz9hK43Yb4pH5Awrt9uFU145sSrJqKJ8AiMQvkdDxAP12L54PT/FN00fdXEc&#10;dXNgwlomqPyqE+IsHFlKAQnChEaspmPDVA+VgJrdEZyNTBHgOfE4QtGDwQI4k4gbeoiE8wMajt8L&#10;I8ZTkQoUYmY88jBAMoXmcSG6McmKP0ftYmNyBLXkkTjqhFwLCGA8lqiKIkUXknsQOyE+kqyDpcaG&#10;TxNI3FrjNty1MdVGCmq/a/qfnH758d7JnaOfHR68JGdG+ifHzCMXm+7u3d+fnX/95ps/5aO9Pf86&#10;iUhGJ1kw9tFfufujfuDG0N8Az9ISefCEoJKJFV8IHyFHOdvPHuIaU2y4nO5tQ16SnBHzZ2LhwXr6&#10;H/lR/aLeaZyR3oO+Sg+yiuRlCKkYCbAjeY6ITj+8YBuiEh5JDmi5Q7BZTCWgqq9sMJrQrmS/w5XP&#10;X8tpctqwrO6iri8uJZc5npAMbjNu7McjgSK0FZ0MR/etQf9l4aAxqLBnSTExN4hxEq1gVagPzXQ2&#10;kbbUC7w8lgTjVJ6TU0goKI4tZrn7YbwhzXMHyDIPxBXOQ9aohIKCDtSFAQmU6hIok1h4RMzb8jAW&#10;hUkPrzoVQiE5wBy+IEmSQ1Wwn34JIyKYndFDRT0cNHY+3DoG5+aXubE8zoXjUGeb753966OXV+/9&#10;4vYNOV/TNN3jY/49NHodHx//7asvafsIZj6R10TGAEBmFVWgEECL1UwgZX070jyYoTSuds4jX1JP&#10;i6Ji9FXXgHKftgh9JBTGhUJZ93WFAU3A0kNNCm2k4NjUJUkUQykVKelWeQTKmx0somWgEfzctES0&#10;sHbsTZQghK7NAVLk83HSeQAEmcbQnaEU57R5q3f0SiOyOMchmZ6uzN3CXN67qcQVFFfxShLRhjAu&#10;VZzWIQ/Prg2TSTXTrvDoUAxISl/lRuoajG7m4pwRmzO8hwVY+Z7XJfdZnxNO+XN9aPU1NP74xHbb&#10;Xbz26uHNm7eu7e8zaVLm9ehYp7gdbR4ZLjCLqoEyJUNhkefkxkKdZ4jpWQRjoeYjqjneioE7AcNz&#10;COCzaPRlMvPSHlEH7Vldr2mXCGiScpnHX2uqjOwLO9DqvxCxrJdtqS0CWwSeawTCT+qFbFqmbfw7&#10;RmGmigxFf2rwuYZiq9wWgS0C3xCB8skAllGn/h8VvmFP22pbBLYIvEAIYG1b85HtdOYFMvxW1S0C&#10;V0BAfyg1/sQcr0j/D5iaq4iwbKkdAAAAAElFTkSuQmCCUEsBAi0AFAAGAAgAAAAhALGCZ7YKAQAA&#10;EwIAABMAAAAAAAAAAAAAAAAAAAAAAFtDb250ZW50X1R5cGVzXS54bWxQSwECLQAUAAYACAAAACEA&#10;OP0h/9YAAACUAQAACwAAAAAAAAAAAAAAAAA7AQAAX3JlbHMvLnJlbHNQSwECLQAUAAYACAAAACEA&#10;ZQiMg4IFAACmGgAADgAAAAAAAAAAAAAAAAA6AgAAZHJzL2Uyb0RvYy54bWxQSwECLQAUAAYACAAA&#10;ACEALmzwAMUAAAClAQAAGQAAAAAAAAAAAAAAAADoBwAAZHJzL19yZWxzL2Uyb0RvYy54bWwucmVs&#10;c1BLAQItABQABgAIAAAAIQB27d724wAAAAsBAAAPAAAAAAAAAAAAAAAAAOQIAABkcnMvZG93bnJl&#10;di54bWxQSwECLQAKAAAAAAAAACEAg6vzxa0VAACtFQAAFAAAAAAAAAAAAAAAAAD0CQAAZHJzL21l&#10;ZGlhL2ltYWdlMS5wbmdQSwECLQAKAAAAAAAAACEAj4T7HG0QAABtEAAAFAAAAAAAAAAAAAAAAADT&#10;HwAAZHJzL21lZGlhL2ltYWdlMi5wbmdQSwUGAAAAAAcABwC+AQAAcjAAAAAA&#10;">
                      <v:shape id="Picture 1" o:spid="_x0000_s1087" type="#_x0000_t75" style="position:absolute;left:6217;top:3145;width:19800;height:11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da4xwAAAOMAAAAPAAAAZHJzL2Rvd25yZXYueG1sRE9LSwMx&#10;EL4L/ocwgjebfbB2WZsWFQQt9tBWPA+bcbO4mSxJ2q7++qYgeJzvPYvVZAdxJB96xwryWQaCuHW6&#10;507Bx/7lrgYRIrLGwTEp+KEAq+X11QIb7U68peMudiKFcGhQgYlxbKQMrSGLYeZG4sR9OW8xptN3&#10;Uns8pXA7yCLL7qXFnlODwZGeDbXfu4NVsF4/mX0+uvfq15fd5q0u0Bw+lbq9mR4fQESa4r/4z/2q&#10;0/yyqPOyrKo5XH5KAMjlGQAA//8DAFBLAQItABQABgAIAAAAIQDb4fbL7gAAAIUBAAATAAAAAAAA&#10;AAAAAAAAAAAAAABbQ29udGVudF9UeXBlc10ueG1sUEsBAi0AFAAGAAgAAAAhAFr0LFu/AAAAFQEA&#10;AAsAAAAAAAAAAAAAAAAAHwEAAF9yZWxzLy5yZWxzUEsBAi0AFAAGAAgAAAAhABo11rjHAAAA4wAA&#10;AA8AAAAAAAAAAAAAAAAABwIAAGRycy9kb3ducmV2LnhtbFBLBQYAAAAAAwADALcAAAD7AgAAAAA=&#10;">
                        <v:imagedata r:id="rId17" o:title="" croptop="7533f" cropbottom="11298f" cropleft="697f" cropright="813f"/>
                        <v:path arrowok="t"/>
                      </v:shape>
                      <v:shape id="Picture 1" o:spid="_x0000_s1088" type="#_x0000_t75" style="position:absolute;left:6071;top:7461;width:20047;height:13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40ZxgAAAOIAAAAPAAAAZHJzL2Rvd25yZXYueG1sRI9Ba8JA&#10;FITvgv9heQVvujHFpKauIkLBq7GX3h7Z1ySYfRuyT43/3hUKPQ4z8w2z2Y2uUzcaQuvZwHKRgCKu&#10;vG25NvB9/pp/gAqCbLHzTAYeFGC3nU42WFh/5xPdSqlVhHAo0EAj0hdah6ohh2Hhe+Lo/frBoUQ5&#10;1NoOeI9w1+k0STLtsOW40GBPh4aqS3l1BqrscnJXh/u8lj7Hc/kj68fKmNnbuP8EJTTKf/ivfbQG&#10;8vdllq3TdAWvS/EO6O0TAAD//wMAUEsBAi0AFAAGAAgAAAAhANvh9svuAAAAhQEAABMAAAAAAAAA&#10;AAAAAAAAAAAAAFtDb250ZW50X1R5cGVzXS54bWxQSwECLQAUAAYACAAAACEAWvQsW78AAAAVAQAA&#10;CwAAAAAAAAAAAAAAAAAfAQAAX3JlbHMvLnJlbHNQSwECLQAUAAYACAAAACEAohONGcYAAADiAAAA&#10;DwAAAAAAAAAAAAAAAAAHAgAAZHJzL2Rvd25yZXYueG1sUEsFBgAAAAADAAMAtwAAAPoCAAAAAA==&#10;">
                        <v:imagedata r:id="rId18" o:title=""/>
                        <v:path arrowok="t"/>
                      </v:shape>
                      <v:shape id="_x0000_s1089" type="#_x0000_t202" style="position:absolute;left:26017;top:2999;width:5965;height:23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Gz2ywAAAOIAAAAPAAAAZHJzL2Rvd25yZXYueG1sRI/RSsNA&#10;FETfBf9huULf7CZWSxq7LSK0xkIF237AJXubTZO9G7JrGv/eFQQfh5k5wyzXo23FQL2vHStIpwkI&#10;4tLpmisFp+PmPgPhA7LG1jEp+CYP69XtzRJz7a78ScMhVCJC2OeowITQ5VL60pBFP3UdcfTOrrcY&#10;ouwrqXu8Rrht5UOSzKXFmuOCwY5eDZXN4csq2Nbn9PgxNFVnmve37a7YX4pLUGpyN748gwg0hv/w&#10;X7vQCmaP6SLLsqcZ/F6Kd0CufgAAAP//AwBQSwECLQAUAAYACAAAACEA2+H2y+4AAACFAQAAEwAA&#10;AAAAAAAAAAAAAAAAAAAAW0NvbnRlbnRfVHlwZXNdLnhtbFBLAQItABQABgAIAAAAIQBa9CxbvwAA&#10;ABUBAAALAAAAAAAAAAAAAAAAAB8BAABfcmVscy8ucmVsc1BLAQItABQABgAIAAAAIQBpXGz2ywAA&#10;AOIAAAAPAAAAAAAAAAAAAAAAAAcCAABkcnMvZG93bnJldi54bWxQSwUGAAAAAAMAAwC3AAAA/wIA&#10;AAAA&#10;" filled="f" stroked="f" strokeweight=".5pt">
                        <v:textbox inset="0,0,0,0">
                          <w:txbxContent>
                            <w:p w14:paraId="62D49BF6" w14:textId="77777777" w:rsidR="00B06983" w:rsidRPr="009B6177" w:rsidRDefault="00B06983" w:rsidP="00262896">
                              <w:pPr>
                                <w:jc w:val="center"/>
                                <w:rPr>
                                  <w:rFonts w:asciiTheme="majorHAnsi" w:hAnsiTheme="majorHAnsi" w:cstheme="majorHAnsi"/>
                                  <w:sz w:val="16"/>
                                  <w:szCs w:val="16"/>
                                  <w:lang w:val="lv-LV"/>
                                </w:rPr>
                              </w:pPr>
                              <w:r>
                                <w:rPr>
                                  <w:rFonts w:asciiTheme="majorHAnsi" w:hAnsiTheme="majorHAnsi" w:cstheme="majorHAnsi"/>
                                  <w:sz w:val="16"/>
                                  <w:szCs w:val="16"/>
                                  <w:lang w:val="lv-LV"/>
                                </w:rPr>
                                <w:t>ļ</w:t>
                              </w:r>
                              <w:r w:rsidRPr="009B6177">
                                <w:rPr>
                                  <w:rFonts w:asciiTheme="majorHAnsi" w:hAnsiTheme="majorHAnsi" w:cstheme="majorHAnsi"/>
                                  <w:sz w:val="16"/>
                                  <w:szCs w:val="16"/>
                                  <w:lang w:val="lv-LV"/>
                                </w:rPr>
                                <w:t>oti augsts</w:t>
                              </w:r>
                            </w:p>
                          </w:txbxContent>
                        </v:textbox>
                      </v:shape>
                      <v:shape id="_x0000_s1090" type="#_x0000_t202" style="position:absolute;top:3145;width:5657;height:16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TEXywAAAOIAAAAPAAAAZHJzL2Rvd25yZXYueG1sRI/RasJA&#10;FETfC/2H5Qq+1Y0RUo2uUgq1aUGh2g+4ZK/ZmOzdkN3G9O+7hUIfh5k5w2x2o23FQL2vHSuYzxIQ&#10;xKXTNVcKPs8vD0sQPiBrbB2Tgm/ysNve320w1+7GHzScQiUihH2OCkwIXS6lLw1Z9DPXEUfv4nqL&#10;Icq+krrHW4TbVqZJkkmLNccFgx09Gyqb05dVsK8v8/NxaKrONG+v+/ficC2uQanpZHxagwg0hv/w&#10;X7vQClZptkiy1WMKv5fiHZDbHwAAAP//AwBQSwECLQAUAAYACAAAACEA2+H2y+4AAACFAQAAEwAA&#10;AAAAAAAAAAAAAAAAAAAAW0NvbnRlbnRfVHlwZXNdLnhtbFBLAQItABQABgAIAAAAIQBa9CxbvwAA&#10;ABUBAAALAAAAAAAAAAAAAAAAAB8BAABfcmVscy8ucmVsc1BLAQItABQABgAIAAAAIQARvTEXywAA&#10;AOIAAAAPAAAAAAAAAAAAAAAAAAcCAABkcnMvZG93bnJldi54bWxQSwUGAAAAAAMAAwC3AAAA/wIA&#10;AAAA&#10;" filled="f" stroked="f" strokeweight=".5pt">
                        <v:textbox inset="0,0,0,0">
                          <w:txbxContent>
                            <w:p w14:paraId="11701D4A" w14:textId="77777777" w:rsidR="00B06983" w:rsidRPr="009B6177" w:rsidRDefault="00B06983" w:rsidP="00262896">
                              <w:pPr>
                                <w:jc w:val="center"/>
                                <w:rPr>
                                  <w:rFonts w:asciiTheme="majorHAnsi" w:hAnsiTheme="majorHAnsi" w:cstheme="majorHAnsi"/>
                                  <w:sz w:val="16"/>
                                  <w:szCs w:val="16"/>
                                  <w:lang w:val="lv-LV"/>
                                </w:rPr>
                              </w:pPr>
                              <w:r>
                                <w:rPr>
                                  <w:rFonts w:asciiTheme="majorHAnsi" w:hAnsiTheme="majorHAnsi" w:cstheme="majorHAnsi"/>
                                  <w:sz w:val="16"/>
                                  <w:szCs w:val="16"/>
                                  <w:lang w:val="lv-LV"/>
                                </w:rPr>
                                <w:t>ļ</w:t>
                              </w:r>
                              <w:r w:rsidRPr="009B6177">
                                <w:rPr>
                                  <w:rFonts w:asciiTheme="majorHAnsi" w:hAnsiTheme="majorHAnsi" w:cstheme="majorHAnsi"/>
                                  <w:sz w:val="16"/>
                                  <w:szCs w:val="16"/>
                                  <w:lang w:val="lv-LV"/>
                                </w:rPr>
                                <w:t xml:space="preserve">oti </w:t>
                              </w:r>
                              <w:r>
                                <w:rPr>
                                  <w:rFonts w:asciiTheme="majorHAnsi" w:hAnsiTheme="majorHAnsi" w:cstheme="majorHAnsi"/>
                                  <w:sz w:val="16"/>
                                  <w:szCs w:val="16"/>
                                  <w:lang w:val="lv-LV"/>
                                </w:rPr>
                                <w:t>zems</w:t>
                              </w:r>
                            </w:p>
                          </w:txbxContent>
                        </v:textbox>
                      </v:shape>
                      <v:shape id="_x0000_s1091" type="#_x0000_t202" style="position:absolute;left:6364;width:19723;height:27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OwLyAAAAOMAAAAPAAAAZHJzL2Rvd25yZXYueG1sRE9fS8Mw&#10;EH8X/A7hBN9cUsE5u2VDBGcnbOC2D3A0t6ZrcylN7Oq3NwPBx/v9v8VqdK0YqA+1Zw3ZRIEgLr2p&#10;udJwPLw/zECEiGyw9UwafijAanl7s8Dc+At/0bCPlUghHHLUYGPscilDaclhmPiOOHEn3zuM6ewr&#10;aXq8pHDXykelptJhzanBYkdvlspm/+00rOtTdtgNTdXZZvOx/iy25+Ictb6/G1/nICKN8V/85y5M&#10;mq8ypbLnp+kLXH9KAMjlLwAAAP//AwBQSwECLQAUAAYACAAAACEA2+H2y+4AAACFAQAAEwAAAAAA&#10;AAAAAAAAAAAAAAAAW0NvbnRlbnRfVHlwZXNdLnhtbFBLAQItABQABgAIAAAAIQBa9CxbvwAAABUB&#10;AAALAAAAAAAAAAAAAAAAAB8BAABfcmVscy8ucmVsc1BLAQItABQABgAIAAAAIQCF1OwLyAAAAOMA&#10;AAAPAAAAAAAAAAAAAAAAAAcCAABkcnMvZG93bnJldi54bWxQSwUGAAAAAAMAAwC3AAAA/AIAAAAA&#10;" filled="f" stroked="f" strokeweight=".5pt">
                        <v:textbox inset="0,0,0,0">
                          <w:txbxContent>
                            <w:p w14:paraId="15204919" w14:textId="77777777" w:rsidR="00B06983" w:rsidRPr="009B6177" w:rsidRDefault="00B06983" w:rsidP="00262896">
                              <w:pPr>
                                <w:rPr>
                                  <w:rFonts w:asciiTheme="majorHAnsi" w:hAnsiTheme="majorHAnsi" w:cstheme="majorHAnsi"/>
                                  <w:sz w:val="16"/>
                                  <w:szCs w:val="16"/>
                                  <w:lang w:val="lv-LV"/>
                                </w:rPr>
                              </w:pPr>
                              <w:r>
                                <w:rPr>
                                  <w:rFonts w:asciiTheme="majorHAnsi" w:hAnsiTheme="majorHAnsi" w:cstheme="majorHAnsi"/>
                                  <w:sz w:val="16"/>
                                  <w:szCs w:val="16"/>
                                  <w:lang w:val="lv-LV"/>
                                </w:rPr>
                                <w:t>Kritiskās nenoteiktības:</w:t>
                              </w:r>
                              <w:r>
                                <w:rPr>
                                  <w:rFonts w:asciiTheme="majorHAnsi" w:hAnsiTheme="majorHAnsi" w:cstheme="majorHAnsi"/>
                                  <w:sz w:val="16"/>
                                  <w:szCs w:val="16"/>
                                  <w:lang w:val="lv-LV"/>
                                </w:rPr>
                                <w:br/>
                                <w:t>kas nosaka …</w:t>
                              </w:r>
                            </w:p>
                          </w:txbxContent>
                        </v:textbox>
                      </v:shape>
                      <v:shape id="_x0000_s1092" type="#_x0000_t202" style="position:absolute;left:6364;top:4389;width:19723;height:27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TZQyAAAAOMAAAAPAAAAZHJzL2Rvd25yZXYueG1sRE/dSsMw&#10;FL4XfIdwhN25tLLfumyIsFkHE9z2AIfmrOnanJQmdvXtjSB4eb7/s9oMthE9db5yrCAdJyCIC6cr&#10;LhWcT9vHBQgfkDU2jknBN3nYrO/vVphpd+NP6o+hFDGEfYYKTAhtJqUvDFn0Y9cSR+7iOoshnl0p&#10;dYe3GG4b+ZQkM2mx4thgsKVXQ0V9/LIKdtUlPX30ddma+v1tt88P1/walBo9DC/PIAIN4V/85851&#10;nD+dLaaTdD5Zwu9PEQC5/gEAAP//AwBQSwECLQAUAAYACAAAACEA2+H2y+4AAACFAQAAEwAAAAAA&#10;AAAAAAAAAAAAAAAAW0NvbnRlbnRfVHlwZXNdLnhtbFBLAQItABQABgAIAAAAIQBa9CxbvwAAABUB&#10;AAALAAAAAAAAAAAAAAAAAB8BAABfcmVscy8ucmVsc1BLAQItABQABgAIAAAAIQBTtTZQyAAAAOMA&#10;AAAPAAAAAAAAAAAAAAAAAAcCAABkcnMvZG93bnJldi54bWxQSwUGAAAAAAMAAwC3AAAA/AIAAAAA&#10;" filled="f" stroked="f" strokeweight=".5pt">
                        <v:textbox inset="0,0,0,0">
                          <w:txbxContent>
                            <w:p w14:paraId="12A0F3D0" w14:textId="77777777" w:rsidR="00B06983" w:rsidRPr="009B6177" w:rsidRDefault="00B06983" w:rsidP="00262896">
                              <w:pPr>
                                <w:rPr>
                                  <w:rFonts w:asciiTheme="majorHAnsi" w:hAnsiTheme="majorHAnsi" w:cstheme="majorHAnsi"/>
                                  <w:sz w:val="16"/>
                                  <w:szCs w:val="16"/>
                                  <w:lang w:val="lv-LV"/>
                                </w:rPr>
                              </w:pPr>
                              <w:r>
                                <w:rPr>
                                  <w:rFonts w:asciiTheme="majorHAnsi" w:hAnsiTheme="majorHAnsi" w:cstheme="majorHAnsi"/>
                                  <w:sz w:val="16"/>
                                  <w:szCs w:val="16"/>
                                  <w:lang w:val="lv-LV"/>
                                </w:rPr>
                                <w:t>Darbības prioritātes:</w:t>
                              </w:r>
                              <w:r>
                                <w:rPr>
                                  <w:rFonts w:asciiTheme="majorHAnsi" w:hAnsiTheme="majorHAnsi" w:cstheme="majorHAnsi"/>
                                  <w:sz w:val="16"/>
                                  <w:szCs w:val="16"/>
                                  <w:lang w:val="lv-LV"/>
                                </w:rPr>
                                <w:br/>
                                <w:t>kas nosaka …</w:t>
                              </w:r>
                            </w:p>
                          </w:txbxContent>
                        </v:textbox>
                      </v:shape>
                      <v:shape id="_x0000_s1093" type="#_x0000_t202" style="position:absolute;top:7315;width:5657;height:16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55xwAAAOMAAAAPAAAAZHJzL2Rvd25yZXYueG1sRE9fS8Mw&#10;EH8X/A7hhL25pMKq1mVjDJxVmODmBziaW9O1uZQmdvXbG0Hw8X7/b7meXCdGGkLjWUM2VyCIK28a&#10;rjV8Hp9vH0CEiGyw80wavinAenV9tcTC+At/0HiItUghHArUYGPsCylDZclhmPueOHEnPziM6Rxq&#10;aQa8pHDXyTulcumw4dRgsaetpao9fDkNu+aUHd/Htu5t+/qyeyv35/IctZ7dTJsnEJGm+C/+c5cm&#10;zVdZrh4X+X0Gvz8lAOTqBwAA//8DAFBLAQItABQABgAIAAAAIQDb4fbL7gAAAIUBAAATAAAAAAAA&#10;AAAAAAAAAAAAAABbQ29udGVudF9UeXBlc10ueG1sUEsBAi0AFAAGAAgAAAAhAFr0LFu/AAAAFQEA&#10;AAsAAAAAAAAAAAAAAAAAHwEAAF9yZWxzLy5yZWxzUEsBAi0AFAAGAAgAAAAhAH7M/nnHAAAA4wAA&#10;AA8AAAAAAAAAAAAAAAAABwIAAGRycy9kb3ducmV2LnhtbFBLBQYAAAAAAwADALcAAAD7AgAAAAA=&#10;" filled="f" stroked="f" strokeweight=".5pt">
                        <v:textbox inset="0,0,0,0">
                          <w:txbxContent>
                            <w:p w14:paraId="43B64116" w14:textId="77777777" w:rsidR="00B06983" w:rsidRPr="009B6177" w:rsidRDefault="00B06983" w:rsidP="00262896">
                              <w:pPr>
                                <w:jc w:val="center"/>
                                <w:rPr>
                                  <w:rFonts w:asciiTheme="majorHAnsi" w:hAnsiTheme="majorHAnsi" w:cstheme="majorHAnsi"/>
                                  <w:sz w:val="16"/>
                                  <w:szCs w:val="16"/>
                                  <w:lang w:val="lv-LV"/>
                                </w:rPr>
                              </w:pPr>
                              <w:r>
                                <w:rPr>
                                  <w:rFonts w:asciiTheme="majorHAnsi" w:hAnsiTheme="majorHAnsi" w:cstheme="majorHAnsi"/>
                                  <w:sz w:val="16"/>
                                  <w:szCs w:val="16"/>
                                  <w:lang w:val="lv-LV"/>
                                </w:rPr>
                                <w:t>ļ</w:t>
                              </w:r>
                              <w:r w:rsidRPr="009B6177">
                                <w:rPr>
                                  <w:rFonts w:asciiTheme="majorHAnsi" w:hAnsiTheme="majorHAnsi" w:cstheme="majorHAnsi"/>
                                  <w:sz w:val="16"/>
                                  <w:szCs w:val="16"/>
                                  <w:lang w:val="lv-LV"/>
                                </w:rPr>
                                <w:t xml:space="preserve">oti </w:t>
                              </w:r>
                              <w:r>
                                <w:rPr>
                                  <w:rFonts w:asciiTheme="majorHAnsi" w:hAnsiTheme="majorHAnsi" w:cstheme="majorHAnsi"/>
                                  <w:sz w:val="16"/>
                                  <w:szCs w:val="16"/>
                                  <w:lang w:val="lv-LV"/>
                                </w:rPr>
                                <w:t>zems</w:t>
                              </w:r>
                            </w:p>
                          </w:txbxContent>
                        </v:textbox>
                      </v:shape>
                      <v:shape id="_x0000_s1094" type="#_x0000_t202" style="position:absolute;left:26017;top:7315;width:5965;height:23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lCayAAAAOIAAAAPAAAAZHJzL2Rvd25yZXYueG1sRE/dasIw&#10;FL4X9g7hDLybaXUO1xllCGonbDDdAxyaY1PbnJQm1u7tl4uBlx/f/3I92Eb01PnKsYJ0koAgLpyu&#10;uFTwc9o+LUD4gKyxcUwKfsnDevUwWmKm3Y2/qT+GUsQQ9hkqMCG0mZS+MGTRT1xLHLmz6yyGCLtS&#10;6g5vMdw2cpokL9JixbHBYEsbQ0V9vFoFu+qcnr76umxN/bHfHfLPS34JSo0fh/c3EIGGcBf/u3Ot&#10;4HU+m6fP00XcHC/FOyBXfwAAAP//AwBQSwECLQAUAAYACAAAACEA2+H2y+4AAACFAQAAEwAAAAAA&#10;AAAAAAAAAAAAAAAAW0NvbnRlbnRfVHlwZXNdLnhtbFBLAQItABQABgAIAAAAIQBa9CxbvwAAABUB&#10;AAALAAAAAAAAAAAAAAAAAB8BAABfcmVscy8ucmVsc1BLAQItABQABgAIAAAAIQAMxlCayAAAAOIA&#10;AAAPAAAAAAAAAAAAAAAAAAcCAABkcnMvZG93bnJldi54bWxQSwUGAAAAAAMAAwC3AAAA/AIAAAAA&#10;" filled="f" stroked="f" strokeweight=".5pt">
                        <v:textbox inset="0,0,0,0">
                          <w:txbxContent>
                            <w:p w14:paraId="41EBD09E" w14:textId="77777777" w:rsidR="00B06983" w:rsidRPr="009B6177" w:rsidRDefault="00B06983" w:rsidP="00262896">
                              <w:pPr>
                                <w:jc w:val="center"/>
                                <w:rPr>
                                  <w:rFonts w:asciiTheme="majorHAnsi" w:hAnsiTheme="majorHAnsi" w:cstheme="majorHAnsi"/>
                                  <w:sz w:val="16"/>
                                  <w:szCs w:val="16"/>
                                  <w:lang w:val="lv-LV"/>
                                </w:rPr>
                              </w:pPr>
                              <w:r>
                                <w:rPr>
                                  <w:rFonts w:asciiTheme="majorHAnsi" w:hAnsiTheme="majorHAnsi" w:cstheme="majorHAnsi"/>
                                  <w:sz w:val="16"/>
                                  <w:szCs w:val="16"/>
                                  <w:lang w:val="lv-LV"/>
                                </w:rPr>
                                <w:t>ļ</w:t>
                              </w:r>
                              <w:r w:rsidRPr="009B6177">
                                <w:rPr>
                                  <w:rFonts w:asciiTheme="majorHAnsi" w:hAnsiTheme="majorHAnsi" w:cstheme="majorHAnsi"/>
                                  <w:sz w:val="16"/>
                                  <w:szCs w:val="16"/>
                                  <w:lang w:val="lv-LV"/>
                                </w:rPr>
                                <w:t>oti augsts</w:t>
                              </w:r>
                            </w:p>
                          </w:txbxContent>
                        </v:textbox>
                      </v:shape>
                    </v:group>
                  </w:pict>
                </mc:Fallback>
              </mc:AlternateContent>
            </w:r>
            <w:r w:rsidR="00262896">
              <w:object w:dxaOrig="17550" w:dyaOrig="11760" w14:anchorId="57E78D8B">
                <v:shape id="_x0000_i1025" type="#_x0000_t75" style="width:433.65pt;height:290.75pt" o:ole="">
                  <v:imagedata r:id="rId20" o:title=""/>
                </v:shape>
                <o:OLEObject Type="Embed" ProgID="PBrush" ShapeID="_x0000_i1025" DrawAspect="Content" ObjectID="_1794391429" r:id="rId21"/>
              </w:object>
            </w:r>
          </w:p>
        </w:tc>
      </w:tr>
      <w:tr w:rsidR="00262896" w:rsidRPr="009B6177" w14:paraId="4C2421B3" w14:textId="77777777" w:rsidTr="00E2157A">
        <w:tc>
          <w:tcPr>
            <w:tcW w:w="454" w:type="dxa"/>
          </w:tcPr>
          <w:p w14:paraId="15F6B9F7" w14:textId="77777777" w:rsidR="00262896" w:rsidRPr="009B6177" w:rsidRDefault="00262896" w:rsidP="0002297E">
            <w:pPr>
              <w:widowControl/>
              <w:spacing w:after="0" w:line="240" w:lineRule="auto"/>
              <w:jc w:val="center"/>
              <w:rPr>
                <w:rFonts w:ascii="Calibri Light" w:hAnsi="Calibri Light" w:cs="Calibri Light"/>
                <w:sz w:val="16"/>
                <w:szCs w:val="16"/>
                <w:lang w:val="lv-LV"/>
              </w:rPr>
            </w:pPr>
          </w:p>
        </w:tc>
        <w:tc>
          <w:tcPr>
            <w:tcW w:w="9184" w:type="dxa"/>
          </w:tcPr>
          <w:p w14:paraId="3548FD24" w14:textId="1C59E205" w:rsidR="00262896" w:rsidRPr="009B6177" w:rsidRDefault="00262896" w:rsidP="0002297E">
            <w:pPr>
              <w:widowControl/>
              <w:spacing w:after="0" w:line="240" w:lineRule="auto"/>
              <w:jc w:val="center"/>
              <w:rPr>
                <w:rFonts w:ascii="Calibri Light" w:hAnsi="Calibri Light" w:cs="Calibri Light"/>
                <w:sz w:val="16"/>
                <w:szCs w:val="16"/>
                <w:lang w:val="lv-LV"/>
              </w:rPr>
            </w:pPr>
            <w:r>
              <w:rPr>
                <w:rFonts w:ascii="Calibri Light" w:hAnsi="Calibri Light" w:cs="Calibri Light"/>
                <w:sz w:val="16"/>
                <w:szCs w:val="16"/>
                <w:lang w:val="lv-LV"/>
              </w:rPr>
              <w:t>Ietekme</w:t>
            </w:r>
          </w:p>
        </w:tc>
      </w:tr>
    </w:tbl>
    <w:p w14:paraId="212D9EC7" w14:textId="65AD9F83" w:rsidR="00262896" w:rsidRPr="00A93D72" w:rsidRDefault="00262896" w:rsidP="00262896">
      <w:pPr>
        <w:widowControl/>
        <w:spacing w:before="120" w:after="120" w:line="240" w:lineRule="auto"/>
        <w:jc w:val="both"/>
        <w:rPr>
          <w:rFonts w:ascii="Arial Nova Cond Light" w:hAnsi="Arial Nova Cond Light"/>
          <w:bCs/>
          <w:iCs/>
          <w:sz w:val="16"/>
          <w:lang w:val="lv-LV"/>
        </w:rPr>
      </w:pPr>
      <w:r w:rsidRPr="00A93D72">
        <w:rPr>
          <w:rFonts w:ascii="Arial Nova Cond Light" w:hAnsi="Arial Nova Cond Light"/>
          <w:bCs/>
          <w:iCs/>
          <w:sz w:val="16"/>
          <w:lang w:val="lv-LV"/>
        </w:rPr>
        <w:t>Avots:</w:t>
      </w:r>
      <w:r w:rsidRPr="00A93D72">
        <w:rPr>
          <w:rFonts w:ascii="Arial Nova Cond Light" w:hAnsi="Arial Nova Cond Light"/>
          <w:sz w:val="16"/>
          <w:lang w:val="sv-SE"/>
        </w:rPr>
        <w:t xml:space="preserve"> </w:t>
      </w:r>
      <w:r w:rsidRPr="00A93D72">
        <w:rPr>
          <w:rFonts w:ascii="Arial Nova Cond Light" w:hAnsi="Arial Nova Cond Light"/>
          <w:bCs/>
          <w:iCs/>
          <w:sz w:val="16"/>
          <w:lang w:val="lv-LV"/>
        </w:rPr>
        <w:t>Pasaules Enerģijas padomes 2024. gada aktuālo problēmu monitorings</w:t>
      </w:r>
    </w:p>
    <w:p w14:paraId="6E310E75" w14:textId="77777777" w:rsidR="00262896" w:rsidRPr="0088435B" w:rsidRDefault="00262896" w:rsidP="00262896">
      <w:pPr>
        <w:widowControl/>
        <w:spacing w:after="120" w:line="240" w:lineRule="auto"/>
        <w:jc w:val="both"/>
        <w:rPr>
          <w:rFonts w:ascii="Verdana Pro Cond Light" w:hAnsi="Verdana Pro Cond Light" w:cs="Arial"/>
          <w:lang w:val="lv-LV"/>
        </w:rPr>
      </w:pPr>
    </w:p>
    <w:p w14:paraId="6B049A5C" w14:textId="77777777" w:rsidR="00262896" w:rsidRDefault="00262896" w:rsidP="00262896">
      <w:pPr>
        <w:widowControl/>
        <w:spacing w:after="120" w:line="240" w:lineRule="auto"/>
        <w:rPr>
          <w:rFonts w:ascii="Verdana Pro Cond Light" w:hAnsi="Verdana Pro Cond Light" w:cs="Arial"/>
          <w:lang w:val="lv-LV"/>
        </w:rPr>
      </w:pPr>
      <w:r w:rsidRPr="0088435B">
        <w:rPr>
          <w:rFonts w:ascii="Verdana Pro Cond Light" w:hAnsi="Verdana Pro Cond Light" w:cs="Arial"/>
          <w:lang w:val="lv-LV"/>
        </w:rPr>
        <w:t>Šā gada pētījuma būtiska atšķirība no iepriekšējā gada pētījuma ir tāda, ka lielākā daļa minēto faktoru ir izvietojusies “rīcības” zonā; iepriekšējā izdevumā lielākā daļa faktoru tika iezīmēti kā galvenās attiecīgā brīža “nenoteiktības”. Šīs pārmaiņas varētu būt saistītas ar to, ka ES sāk aktīvi īstenot ES Zaļā kursa un aktīvus risku vadības pasākumus, lai minimizētu turpmākos energoapgādes drošības un ar klimata pārmaiņām saistītus riskus un ierobežotu to negatīvo ietekmi.</w:t>
      </w:r>
    </w:p>
    <w:p w14:paraId="2AA29F01" w14:textId="77777777" w:rsidR="00262896" w:rsidRDefault="00262896" w:rsidP="00262896">
      <w:pPr>
        <w:widowControl/>
        <w:spacing w:after="120" w:line="240" w:lineRule="auto"/>
        <w:rPr>
          <w:rFonts w:ascii="Verdana Pro Cond Light" w:hAnsi="Verdana Pro Cond Light" w:cs="Arial"/>
          <w:lang w:val="lv-LV"/>
        </w:rPr>
      </w:pPr>
      <w:r w:rsidRPr="0088435B">
        <w:rPr>
          <w:rFonts w:ascii="Verdana Pro Cond Light" w:hAnsi="Verdana Pro Cond Light" w:cs="Arial"/>
          <w:lang w:val="lv-LV"/>
        </w:rPr>
        <w:t>Inovācijām un globālajai konkurētspējai ir izšķiroša nozīme – visas tehnoloģijas, izņemot oglekļa uztveršanu, izmantošanu un uzglabāšanu (CCUS), Eiropas reģionā ir atzīmētas kā kritiskie spēles mainītāji pie rīcības prioritātēm. Vienlaikus lielākā rīcība ir sagaidāma pārvades tīklu attīstībā, enerģijas krātuvju jautājuma risināšanā, infrastruktūras attīstībā un enerģijas pieejamības uzlabošanā.</w:t>
      </w:r>
    </w:p>
    <w:p w14:paraId="3BBAAC46" w14:textId="77777777" w:rsidR="00262896" w:rsidRPr="008005D2" w:rsidRDefault="00262896" w:rsidP="00262896">
      <w:pPr>
        <w:widowControl/>
        <w:spacing w:beforeLines="40" w:before="96" w:after="160" w:line="240" w:lineRule="auto"/>
        <w:rPr>
          <w:rFonts w:ascii="Verdana Pro Cond Light" w:hAnsi="Verdana Pro Cond Light"/>
          <w:lang w:val="lv-LV"/>
        </w:rPr>
      </w:pPr>
      <w:r w:rsidRPr="008005D2">
        <w:rPr>
          <w:rFonts w:ascii="Verdana Pro Cond Light" w:hAnsi="Verdana Pro Cond Light"/>
          <w:lang w:val="lv-LV"/>
        </w:rPr>
        <w:t xml:space="preserve">Eiropas Vides Politikas Institūts 2024.gada maijā sagatavoja </w:t>
      </w:r>
      <w:r w:rsidRPr="008005D2">
        <w:rPr>
          <w:rFonts w:ascii="Verdana Pro Cond Light" w:hAnsi="Verdana Pro Cond Light"/>
          <w:b/>
          <w:bCs/>
          <w:lang w:val="lv-LV"/>
        </w:rPr>
        <w:t>Eiropas Zaļā kursa Barometra 2024 ziņojumu</w:t>
      </w:r>
      <w:r w:rsidRPr="008005D2">
        <w:rPr>
          <w:rFonts w:ascii="Verdana Pro Cond Light" w:hAnsi="Verdana Pro Cond Light"/>
          <w:lang w:val="lv-LV"/>
        </w:rPr>
        <w:t>. 20 minūšu tiešsaistes aptaujā pietadījās 312 eksperti, 88% jeb 276 no tiem –</w:t>
      </w:r>
      <w:r>
        <w:rPr>
          <w:rFonts w:ascii="Verdana Pro Cond Light" w:hAnsi="Verdana Pro Cond Light"/>
          <w:lang w:val="lv-LV"/>
        </w:rPr>
        <w:t xml:space="preserve"> </w:t>
      </w:r>
      <w:r w:rsidRPr="008005D2">
        <w:rPr>
          <w:rFonts w:ascii="Verdana Pro Cond Light" w:hAnsi="Verdana Pro Cond Light"/>
          <w:lang w:val="lv-LV"/>
        </w:rPr>
        <w:t>no ES. Aptaujā vienādās proporcijās piedalījās pārstāvji no akadēmiskās vides un domnīcām, politikas veidotāji, nevalstiskās organizācijas un privātais sektors.</w:t>
      </w:r>
    </w:p>
    <w:p w14:paraId="433441DD" w14:textId="77777777" w:rsidR="00FC2A8E" w:rsidRDefault="00FC2A8E">
      <w:pPr>
        <w:widowControl/>
        <w:spacing w:after="160" w:line="259" w:lineRule="auto"/>
        <w:rPr>
          <w:rFonts w:ascii="Verdana Pro Cond Light" w:hAnsi="Verdana Pro Cond Light"/>
          <w:lang w:val="lv-LV"/>
        </w:rPr>
      </w:pPr>
      <w:r>
        <w:rPr>
          <w:rFonts w:ascii="Verdana Pro Cond Light" w:hAnsi="Verdana Pro Cond Light"/>
          <w:lang w:val="lv-LV"/>
        </w:rPr>
        <w:br w:type="page"/>
      </w:r>
    </w:p>
    <w:p w14:paraId="036FDB24" w14:textId="469452AB" w:rsidR="00262896" w:rsidRPr="008005D2" w:rsidRDefault="00262896" w:rsidP="00262896">
      <w:pPr>
        <w:widowControl/>
        <w:spacing w:beforeLines="40" w:before="96" w:after="160" w:line="240" w:lineRule="auto"/>
        <w:rPr>
          <w:rFonts w:ascii="Verdana Pro Cond Light" w:hAnsi="Verdana Pro Cond Light"/>
          <w:lang w:val="lv-LV"/>
        </w:rPr>
      </w:pPr>
      <w:r w:rsidRPr="008005D2">
        <w:rPr>
          <w:rFonts w:ascii="Verdana Pro Cond Light" w:hAnsi="Verdana Pro Cond Light"/>
          <w:lang w:val="lv-LV"/>
        </w:rPr>
        <w:lastRenderedPageBreak/>
        <w:t>Kopumā tika atzīts, ka 2024.gada ES vēlēšanas negatīvi ietekmēs Zaļā kursa ieviešanu. Vienlaikus, eksperti uzskata, ka uzstādītā darba kārtība un virziens tiks noturēts no Eiropas Komisijas puses. Aptauja parādīja, ka:</w:t>
      </w:r>
    </w:p>
    <w:p w14:paraId="7536A228" w14:textId="77777777" w:rsidR="00262896" w:rsidRPr="008005D2" w:rsidRDefault="00262896" w:rsidP="00262896">
      <w:pPr>
        <w:pStyle w:val="ListParagraph"/>
        <w:widowControl/>
        <w:numPr>
          <w:ilvl w:val="0"/>
          <w:numId w:val="5"/>
        </w:numPr>
        <w:spacing w:before="40" w:after="160" w:line="240" w:lineRule="auto"/>
        <w:rPr>
          <w:rFonts w:ascii="Verdana Pro Cond Light" w:hAnsi="Verdana Pro Cond Light"/>
          <w:lang w:val="lv-LV"/>
        </w:rPr>
      </w:pPr>
      <w:r w:rsidRPr="008005D2">
        <w:rPr>
          <w:rFonts w:ascii="Verdana Pro Cond Light" w:hAnsi="Verdana Pro Cond Light"/>
          <w:lang w:val="lv-LV"/>
        </w:rPr>
        <w:t>69% no ekspertiem uzskata, ka kopējā Zaļā kursa ietekme ir pozitīva.</w:t>
      </w:r>
    </w:p>
    <w:p w14:paraId="4BF7CD92" w14:textId="77777777" w:rsidR="00262896" w:rsidRPr="008005D2" w:rsidRDefault="00262896" w:rsidP="00262896">
      <w:pPr>
        <w:pStyle w:val="ListParagraph"/>
        <w:widowControl/>
        <w:numPr>
          <w:ilvl w:val="0"/>
          <w:numId w:val="5"/>
        </w:numPr>
        <w:spacing w:before="40" w:after="160" w:line="240" w:lineRule="auto"/>
        <w:rPr>
          <w:rFonts w:ascii="Verdana Pro Cond Light" w:hAnsi="Verdana Pro Cond Light"/>
          <w:lang w:val="lv-LV"/>
        </w:rPr>
      </w:pPr>
      <w:r w:rsidRPr="008005D2">
        <w:rPr>
          <w:rFonts w:ascii="Verdana Pro Cond Light" w:hAnsi="Verdana Pro Cond Light"/>
          <w:lang w:val="lv-LV"/>
        </w:rPr>
        <w:t>67% respondentu uzskata, ka Eiropas vēlēšanām būs negatīva ietekme uz Zaļā kursa ieviešanu, mazinot dalībvalstu interesi pret zaļo mērķu ambīcijām;</w:t>
      </w:r>
    </w:p>
    <w:p w14:paraId="7C962962" w14:textId="77777777" w:rsidR="00262896" w:rsidRPr="008005D2" w:rsidRDefault="00262896" w:rsidP="00262896">
      <w:pPr>
        <w:pStyle w:val="ListParagraph"/>
        <w:widowControl/>
        <w:numPr>
          <w:ilvl w:val="0"/>
          <w:numId w:val="5"/>
        </w:numPr>
        <w:spacing w:before="40" w:after="160" w:line="240" w:lineRule="auto"/>
        <w:rPr>
          <w:rFonts w:ascii="Verdana Pro Cond Light" w:hAnsi="Verdana Pro Cond Light"/>
          <w:lang w:val="lv-LV"/>
        </w:rPr>
      </w:pPr>
      <w:r w:rsidRPr="008005D2">
        <w:rPr>
          <w:rFonts w:ascii="Verdana Pro Cond Light" w:hAnsi="Verdana Pro Cond Light"/>
          <w:lang w:val="lv-LV"/>
        </w:rPr>
        <w:t>Ekspertiem domas dalās vai ES 2040.gadam nospraustie zaļē mērķi ir atbilstoši lai sasniegtu Parīzes nolīguma mērķus. 47% uzskata, ka ir pietiekoši, bet 43% uzskata, ka ES mērķi nav pietiekoši ambiciozi.</w:t>
      </w:r>
    </w:p>
    <w:p w14:paraId="27BEA284" w14:textId="77777777" w:rsidR="00262896" w:rsidRPr="008005D2" w:rsidRDefault="00262896" w:rsidP="00262896">
      <w:pPr>
        <w:pStyle w:val="ListParagraph"/>
        <w:widowControl/>
        <w:numPr>
          <w:ilvl w:val="0"/>
          <w:numId w:val="5"/>
        </w:numPr>
        <w:spacing w:before="40" w:after="160" w:line="240" w:lineRule="auto"/>
        <w:rPr>
          <w:rFonts w:ascii="Verdana Pro Cond Light" w:hAnsi="Verdana Pro Cond Light"/>
          <w:lang w:val="lv-LV"/>
        </w:rPr>
      </w:pPr>
      <w:r w:rsidRPr="008005D2">
        <w:rPr>
          <w:rFonts w:ascii="Verdana Pro Cond Light" w:hAnsi="Verdana Pro Cond Light"/>
          <w:lang w:val="lv-LV"/>
        </w:rPr>
        <w:t>Gandrīz puse jeb 45% ekspertu novērtē, ka kopš 2019.gada nav bijis pietiekoši labs progress “taisnīgas pārejas” principa ieviešanā. Četri no desmit ES ekspertiem uzskata, ka šim jautājumam ir jābūt vienam no pirmajiem diviem Eiropas Komisijas prioritāšu jautājumiem.</w:t>
      </w:r>
    </w:p>
    <w:p w14:paraId="576D7CFD" w14:textId="77777777" w:rsidR="00262896" w:rsidRPr="008005D2" w:rsidRDefault="00262896" w:rsidP="00262896">
      <w:pPr>
        <w:pStyle w:val="ListParagraph"/>
        <w:widowControl/>
        <w:numPr>
          <w:ilvl w:val="0"/>
          <w:numId w:val="5"/>
        </w:numPr>
        <w:spacing w:before="40" w:after="160" w:line="240" w:lineRule="auto"/>
        <w:rPr>
          <w:rFonts w:ascii="Verdana Pro Cond Light" w:hAnsi="Verdana Pro Cond Light"/>
          <w:lang w:val="lv-LV"/>
        </w:rPr>
      </w:pPr>
      <w:r w:rsidRPr="008005D2">
        <w:rPr>
          <w:rFonts w:ascii="Verdana Pro Cond Light" w:hAnsi="Verdana Pro Cond Light"/>
          <w:lang w:val="lv-LV"/>
        </w:rPr>
        <w:t>Tikai viens no desmit respondentiem uzskata ka pašreizējā Elektroenerģijas Tirgus Reforma pietiekami/ lielākoties pasargā iedzīvotājus no nākotnes enerģētikas krīzēm vai pīķa cenām.</w:t>
      </w:r>
    </w:p>
    <w:p w14:paraId="1E60EA5A" w14:textId="77777777" w:rsidR="00262896" w:rsidRPr="008005D2" w:rsidRDefault="00262896" w:rsidP="00262896">
      <w:pPr>
        <w:pStyle w:val="ListParagraph"/>
        <w:widowControl/>
        <w:numPr>
          <w:ilvl w:val="0"/>
          <w:numId w:val="5"/>
        </w:numPr>
        <w:spacing w:before="40" w:after="160" w:line="240" w:lineRule="auto"/>
        <w:rPr>
          <w:rFonts w:ascii="Verdana Pro Cond Light" w:hAnsi="Verdana Pro Cond Light"/>
          <w:lang w:val="lv-LV"/>
        </w:rPr>
      </w:pPr>
      <w:r w:rsidRPr="008005D2">
        <w:rPr>
          <w:rFonts w:ascii="Verdana Pro Cond Light" w:hAnsi="Verdana Pro Cond Light"/>
          <w:lang w:val="lv-LV"/>
        </w:rPr>
        <w:t>55% respondentu uzskata, ka Eiropas Komisijai izdosies zaļos mērķus pārvērst konkrētajās likumdošanas iniciatīvās. Tas ir būtisks nosacījums, jo tieši saistošu pasākumu trūkums ir viens no būtiskākajiem kavējošiem faktoriem mērķu sasniegšanā.</w:t>
      </w:r>
    </w:p>
    <w:p w14:paraId="070B3C84" w14:textId="77777777" w:rsidR="00262896" w:rsidRPr="008005D2" w:rsidRDefault="00262896" w:rsidP="00262896">
      <w:pPr>
        <w:widowControl/>
        <w:spacing w:before="40" w:after="160" w:line="240" w:lineRule="auto"/>
        <w:rPr>
          <w:rFonts w:ascii="Verdana Pro Cond Light" w:hAnsi="Verdana Pro Cond Light"/>
          <w:lang w:val="lv-LV"/>
        </w:rPr>
      </w:pPr>
      <w:r w:rsidRPr="008005D2">
        <w:rPr>
          <w:rFonts w:ascii="Verdana Pro Cond Light" w:hAnsi="Verdana Pro Cond Light"/>
          <w:lang w:val="lv-LV"/>
        </w:rPr>
        <w:t>Atbilstoši barometra ziņojumam, atsevišķu valstu padziļināts izvērtējums (Francija, Čehija, Zviedrija, Spānija, Polija) liecina, ka šīs valstis turpinās būt uzticīgiem 2024.gada darba kārtībai arī pēc vēlēšanām. Šajās valstīs kā svarīgs aspekts sabiedrības atbalsta iegūšanai Zaļā kursa iniciatīvām tika izcelta “taisnīgas pārejas” principa ievērošana.</w:t>
      </w:r>
      <w:r w:rsidRPr="008005D2">
        <w:rPr>
          <w:rStyle w:val="FootnoteReference"/>
          <w:rFonts w:ascii="Verdana Pro Cond Light" w:hAnsi="Verdana Pro Cond Light"/>
          <w:lang w:val="lv-LV"/>
        </w:rPr>
        <w:footnoteReference w:id="4"/>
      </w:r>
      <w:r w:rsidRPr="008005D2">
        <w:rPr>
          <w:rFonts w:ascii="Verdana Pro Cond Light" w:hAnsi="Verdana Pro Cond Light"/>
          <w:lang w:val="lv-LV"/>
        </w:rPr>
        <w:t xml:space="preserve"> “Taisnīgas pārejas” principa ievērošana Zaļā kursa iniciatīvu formulēšanā ir svarīga arī Latvijā.</w:t>
      </w:r>
    </w:p>
    <w:p w14:paraId="551D41CF" w14:textId="77777777" w:rsidR="00262896" w:rsidRPr="008005D2" w:rsidRDefault="00262896" w:rsidP="00262896">
      <w:pPr>
        <w:widowControl/>
        <w:spacing w:after="120" w:line="240" w:lineRule="auto"/>
        <w:rPr>
          <w:rFonts w:ascii="Verdana Pro Cond Light" w:hAnsi="Verdana Pro Cond Light" w:cs="Arial"/>
          <w:lang w:val="lv-LV"/>
        </w:rPr>
      </w:pPr>
    </w:p>
    <w:p w14:paraId="5E728255" w14:textId="77777777" w:rsidR="00262896" w:rsidRPr="0088435B" w:rsidRDefault="00262896" w:rsidP="00262896">
      <w:pPr>
        <w:widowControl/>
        <w:spacing w:after="120" w:line="240" w:lineRule="auto"/>
        <w:rPr>
          <w:rFonts w:ascii="Verdana Pro Cond Light" w:hAnsi="Verdana Pro Cond Light"/>
          <w:b/>
          <w:iCs/>
          <w:lang w:val="lv-LV"/>
        </w:rPr>
      </w:pPr>
      <w:bookmarkStart w:id="10" w:name="_Toc176771247"/>
      <w:r w:rsidRPr="0088435B">
        <w:rPr>
          <w:rFonts w:ascii="Verdana Pro Cond Light" w:hAnsi="Verdana Pro Cond Light"/>
          <w:b/>
          <w:iCs/>
          <w:lang w:val="lv-LV"/>
        </w:rPr>
        <w:t>Uzņēmēju aptaujas</w:t>
      </w:r>
      <w:bookmarkEnd w:id="10"/>
    </w:p>
    <w:p w14:paraId="69FED270" w14:textId="77777777" w:rsidR="00262896" w:rsidRPr="0088435B" w:rsidRDefault="00262896" w:rsidP="00262896">
      <w:pPr>
        <w:widowControl/>
        <w:spacing w:after="120" w:line="240" w:lineRule="auto"/>
        <w:rPr>
          <w:rFonts w:ascii="Verdana Pro Cond Light" w:hAnsi="Verdana Pro Cond Light"/>
          <w:lang w:val="lv-LV"/>
        </w:rPr>
      </w:pPr>
      <w:r w:rsidRPr="0088435B">
        <w:rPr>
          <w:rFonts w:ascii="Verdana Pro Cond Light" w:hAnsi="Verdana Pro Cond Light"/>
          <w:lang w:val="lv-LV"/>
        </w:rPr>
        <w:t xml:space="preserve">PWC 2022.gadā organizētā </w:t>
      </w:r>
      <w:r w:rsidRPr="0088435B">
        <w:rPr>
          <w:rFonts w:ascii="Verdana Pro Cond Light" w:hAnsi="Verdana Pro Cond Light"/>
          <w:b/>
          <w:bCs/>
          <w:lang w:val="lv-LV"/>
        </w:rPr>
        <w:t>300 uzņēmēju aptauja “Vai Eiropas uzņēmumi ir gatavi ES Zaļajam kursam. ES Zaļā kursa aptaujas atskaite.”</w:t>
      </w:r>
      <w:r w:rsidRPr="0088435B">
        <w:rPr>
          <w:rFonts w:ascii="Verdana Pro Cond Light" w:hAnsi="Verdana Pro Cond Light"/>
          <w:lang w:val="lv-LV"/>
        </w:rPr>
        <w:t xml:space="preserve"> (tūlkojums no angl.val. “Are Europe’s businesses ready for the EU Green Deal? EU Green Deal Survey Report.”) aptvēra 13 ES valstis ar mērķi noskaidrot, kā privātais sektors iesaistās Zaļā kursa ieviešanā, t.sk. no investīciju piesaistes viedokļa, stratēģiju pielāgošanas un atskaišu metodikas izmaiņām. Aptauja parādīja, ka:</w:t>
      </w:r>
    </w:p>
    <w:p w14:paraId="6FDC118A" w14:textId="77777777" w:rsidR="00262896" w:rsidRDefault="00262896" w:rsidP="00262896">
      <w:pPr>
        <w:pStyle w:val="ListParagraph"/>
        <w:widowControl/>
        <w:numPr>
          <w:ilvl w:val="0"/>
          <w:numId w:val="4"/>
        </w:numPr>
        <w:spacing w:after="120" w:line="240" w:lineRule="auto"/>
        <w:ind w:left="567" w:hanging="283"/>
        <w:jc w:val="both"/>
        <w:rPr>
          <w:rFonts w:ascii="Verdana Pro Cond Light" w:hAnsi="Verdana Pro Cond Light"/>
          <w:lang w:val="lv-LV"/>
        </w:rPr>
      </w:pPr>
      <w:r w:rsidRPr="0088435B">
        <w:rPr>
          <w:rFonts w:ascii="Verdana Pro Cond Light" w:hAnsi="Verdana Pro Cond Light"/>
          <w:lang w:val="lv-LV"/>
        </w:rPr>
        <w:t>60% uzņēmēji jeb vairāk kā puse līdz praktiskai nozīmei nebija informēti par Zaļo kursu,</w:t>
      </w:r>
    </w:p>
    <w:p w14:paraId="6899C8D3" w14:textId="77777777" w:rsidR="00262896" w:rsidRDefault="00262896" w:rsidP="00262896">
      <w:pPr>
        <w:pStyle w:val="ListParagraph"/>
        <w:widowControl/>
        <w:numPr>
          <w:ilvl w:val="0"/>
          <w:numId w:val="4"/>
        </w:numPr>
        <w:spacing w:after="120" w:line="240" w:lineRule="auto"/>
        <w:ind w:left="567" w:hanging="283"/>
        <w:jc w:val="both"/>
        <w:rPr>
          <w:rFonts w:ascii="Verdana Pro Cond Light" w:hAnsi="Verdana Pro Cond Light"/>
          <w:lang w:val="lv-LV"/>
        </w:rPr>
      </w:pPr>
      <w:r w:rsidRPr="0088435B">
        <w:rPr>
          <w:rFonts w:ascii="Verdana Pro Cond Light" w:hAnsi="Verdana Pro Cond Light"/>
          <w:lang w:val="lv-LV"/>
        </w:rPr>
        <w:t>49% uzņēmēju jūtās sagatavoti Zaļā kursa izaicinājumiem,</w:t>
      </w:r>
    </w:p>
    <w:p w14:paraId="6EBA43DB" w14:textId="77777777" w:rsidR="00262896" w:rsidRDefault="00262896" w:rsidP="00262896">
      <w:pPr>
        <w:pStyle w:val="ListParagraph"/>
        <w:widowControl/>
        <w:numPr>
          <w:ilvl w:val="0"/>
          <w:numId w:val="4"/>
        </w:numPr>
        <w:spacing w:after="120" w:line="240" w:lineRule="auto"/>
        <w:ind w:left="567" w:hanging="283"/>
        <w:jc w:val="both"/>
        <w:rPr>
          <w:rFonts w:ascii="Verdana Pro Cond Light" w:hAnsi="Verdana Pro Cond Light"/>
          <w:lang w:val="lv-LV"/>
        </w:rPr>
      </w:pPr>
      <w:r w:rsidRPr="0088435B">
        <w:rPr>
          <w:rFonts w:ascii="Verdana Pro Cond Light" w:hAnsi="Verdana Pro Cond Light"/>
          <w:lang w:val="lv-LV"/>
        </w:rPr>
        <w:t>66% uzņēmēju jau apzināja kapitālu priekš ilgtspējas,</w:t>
      </w:r>
    </w:p>
    <w:p w14:paraId="7ACA1666" w14:textId="77777777" w:rsidR="00262896" w:rsidRPr="0088435B" w:rsidRDefault="00262896" w:rsidP="00262896">
      <w:pPr>
        <w:pStyle w:val="ListParagraph"/>
        <w:widowControl/>
        <w:numPr>
          <w:ilvl w:val="0"/>
          <w:numId w:val="4"/>
        </w:numPr>
        <w:spacing w:after="120" w:line="240" w:lineRule="auto"/>
        <w:ind w:left="567" w:hanging="283"/>
        <w:jc w:val="both"/>
        <w:rPr>
          <w:rFonts w:ascii="Verdana Pro Cond Light" w:hAnsi="Verdana Pro Cond Light"/>
          <w:lang w:val="lv-LV"/>
        </w:rPr>
      </w:pPr>
      <w:r w:rsidRPr="0088435B">
        <w:rPr>
          <w:rFonts w:ascii="Verdana Pro Cond Light" w:hAnsi="Verdana Pro Cond Light"/>
          <w:lang w:val="lv-LV"/>
        </w:rPr>
        <w:t>51% uzņēmēju plāno izmaiņas to piegāžu ķēdēs.</w:t>
      </w:r>
    </w:p>
    <w:p w14:paraId="35CA5259" w14:textId="77777777" w:rsidR="00262896" w:rsidRDefault="00262896" w:rsidP="00262896">
      <w:pPr>
        <w:widowControl/>
        <w:spacing w:after="120" w:line="240" w:lineRule="auto"/>
        <w:rPr>
          <w:rFonts w:ascii="Verdana Pro Cond Light" w:hAnsi="Verdana Pro Cond Light"/>
          <w:lang w:val="lv-LV"/>
        </w:rPr>
      </w:pPr>
    </w:p>
    <w:p w14:paraId="2DC5ED96" w14:textId="77777777" w:rsidR="00262896" w:rsidRPr="0088435B" w:rsidRDefault="00262896" w:rsidP="00262896">
      <w:pPr>
        <w:widowControl/>
        <w:spacing w:after="120" w:line="240" w:lineRule="auto"/>
        <w:rPr>
          <w:rFonts w:ascii="Verdana Pro Cond Light" w:hAnsi="Verdana Pro Cond Light"/>
          <w:lang w:val="lv-LV"/>
        </w:rPr>
      </w:pPr>
      <w:r w:rsidRPr="0088435B">
        <w:rPr>
          <w:rFonts w:ascii="Verdana Pro Cond Light" w:hAnsi="Verdana Pro Cond Light"/>
          <w:lang w:val="lv-LV"/>
        </w:rPr>
        <w:t>Tāpat aptauja parādīja, ka organizācijas vēlas iegūt atbalstu, lai saprastu Zaļā kursa ietekmi no nodokļu un biznesa darbības organizēšanas perspektīvas. Kā lielāko izaicinājumu respondenti minēja informētības trūkumu un organizatorisko prasmju trūkumu, lai maksimizētu ieguvumus no Zaļā kursa. Piemēram, aptuveni trešā daļa uzņēmumu jau veica vides uzlabojumus, neizvērtējot vai ir pieejams finanšu atbalsts.</w:t>
      </w:r>
    </w:p>
    <w:p w14:paraId="1D385163" w14:textId="77777777" w:rsidR="00262896" w:rsidRPr="0088435B" w:rsidRDefault="00262896" w:rsidP="00262896">
      <w:pPr>
        <w:widowControl/>
        <w:spacing w:after="120" w:line="240" w:lineRule="auto"/>
        <w:rPr>
          <w:rFonts w:ascii="Verdana Pro Cond Light" w:hAnsi="Verdana Pro Cond Light"/>
          <w:lang w:val="lv-LV"/>
        </w:rPr>
      </w:pPr>
      <w:r w:rsidRPr="0088435B">
        <w:rPr>
          <w:rFonts w:ascii="Verdana Pro Cond Light" w:hAnsi="Verdana Pro Cond Light"/>
          <w:lang w:val="lv-LV"/>
        </w:rPr>
        <w:t>Uzņēmēji atzīmē, ka atbildība par ar Zaļo kursu saistītiem pasākumiem/pienākumiem ir sadalīta starp daudzām dažādām organizācijām, bet attiecīgā koordinācija ir ļoti vāja. Vislielākais uztraukums uzņēmējiem ir saistībā ar prasību ieviešanu tādās jomās kā transports, ražošana un ūdens patēriņš, jo daudzi uzņēmumi nav veikuši pasākumus, pārejot uz tīrākiem enerģijas avotiem, samazinājuši emisijas un ieviesuši ūdens patēriņa samazināšanas pasākumus.</w:t>
      </w:r>
    </w:p>
    <w:p w14:paraId="1496F7CB" w14:textId="77777777" w:rsidR="00262896" w:rsidRPr="0088435B" w:rsidRDefault="00262896" w:rsidP="00262896">
      <w:pPr>
        <w:widowControl/>
        <w:spacing w:after="120" w:line="240" w:lineRule="auto"/>
        <w:rPr>
          <w:rFonts w:ascii="Verdana Pro Cond Light" w:hAnsi="Verdana Pro Cond Light"/>
          <w:lang w:val="lv-LV"/>
        </w:rPr>
      </w:pPr>
      <w:bookmarkStart w:id="11" w:name="_Hlk176716718"/>
      <w:r w:rsidRPr="0088435B">
        <w:rPr>
          <w:rFonts w:ascii="Verdana Pro Cond Light" w:hAnsi="Verdana Pro Cond Light"/>
          <w:lang w:val="lv-LV"/>
        </w:rPr>
        <w:t xml:space="preserve">Zaļais kurss aptver ļoti būtisku biznesa un vērtības ķēžu transformāciju caur regulējuma izmaiņām, atbalsta pasākumiem un papildu maksājumu pienākumiem. Aptauja parādīja, ka lielākai daļai </w:t>
      </w:r>
      <w:r w:rsidRPr="0088435B">
        <w:rPr>
          <w:rFonts w:ascii="Verdana Pro Cond Light" w:hAnsi="Verdana Pro Cond Light"/>
          <w:lang w:val="lv-LV"/>
        </w:rPr>
        <w:lastRenderedPageBreak/>
        <w:t>uzņēmumu trūkst visaptverošas stratēģijas, lai sniegtu atbildes un reaģēt</w:t>
      </w:r>
      <w:r>
        <w:rPr>
          <w:rFonts w:ascii="Verdana Pro Cond Light" w:hAnsi="Verdana Pro Cond Light"/>
          <w:lang w:val="lv-LV"/>
        </w:rPr>
        <w:t>u</w:t>
      </w:r>
      <w:r w:rsidRPr="0088435B">
        <w:rPr>
          <w:rFonts w:ascii="Verdana Pro Cond Light" w:hAnsi="Verdana Pro Cond Light"/>
          <w:lang w:val="lv-LV"/>
        </w:rPr>
        <w:t xml:space="preserve"> uz visām Zaļā kursa dimensijām.</w:t>
      </w:r>
    </w:p>
    <w:bookmarkEnd w:id="11"/>
    <w:p w14:paraId="7EACDC64" w14:textId="77777777" w:rsidR="00262896" w:rsidRPr="0088435B" w:rsidRDefault="00262896" w:rsidP="00262896">
      <w:pPr>
        <w:widowControl/>
        <w:spacing w:after="120" w:line="240" w:lineRule="auto"/>
        <w:rPr>
          <w:rFonts w:ascii="Verdana Pro Cond Light" w:hAnsi="Verdana Pro Cond Light"/>
          <w:lang w:val="lv-LV"/>
        </w:rPr>
      </w:pPr>
      <w:r w:rsidRPr="0088435B">
        <w:rPr>
          <w:rFonts w:ascii="Verdana Pro Cond Light" w:hAnsi="Verdana Pro Cond Light"/>
          <w:lang w:val="lv-LV"/>
        </w:rPr>
        <w:t>Nodokļu pasākumi, kā arī ar emisijām saistīt</w:t>
      </w:r>
      <w:r>
        <w:rPr>
          <w:rFonts w:ascii="Verdana Pro Cond Light" w:hAnsi="Verdana Pro Cond Light"/>
          <w:lang w:val="lv-LV"/>
        </w:rPr>
        <w:t>ās</w:t>
      </w:r>
      <w:r w:rsidRPr="0088435B">
        <w:rPr>
          <w:rFonts w:ascii="Verdana Pro Cond Light" w:hAnsi="Verdana Pro Cond Light"/>
          <w:lang w:val="lv-LV"/>
        </w:rPr>
        <w:t xml:space="preserve"> ietekmes uz vidi novērtējums, pārrobežu emisijas kvotu tirdzniecība, oglekļa pēdas izvērtējums, atskaites un nodokļu caurskatāmība, spēlē ārkārtīgi būtisku lomu Zaļā kursa ieviešanā. Vienlaikus, Zaļais kurss nav tikai par nodokļiem, un ietekme aptver arī iepirkumus, piegādes ķēžu pārvaldību, ražošanu, finanses, emisiju kvotas un cilvēkresursu nodrošināšanu. Lai uzņēmumi varētu veiksmīgi tikt galā ar Zaļā kursa izaicinājumiem, tiem svarīgi panākt visaptverošu, pielāgoties spējigu, ilgtermiņ</w:t>
      </w:r>
      <w:r>
        <w:rPr>
          <w:rFonts w:ascii="Verdana Pro Cond Light" w:hAnsi="Verdana Pro Cond Light"/>
          <w:lang w:val="lv-LV"/>
        </w:rPr>
        <w:t>ā</w:t>
      </w:r>
      <w:r w:rsidRPr="0088435B">
        <w:rPr>
          <w:rFonts w:ascii="Verdana Pro Cond Light" w:hAnsi="Verdana Pro Cond Light"/>
          <w:lang w:val="lv-LV"/>
        </w:rPr>
        <w:t xml:space="preserve"> orientētu un transformējam</w:t>
      </w:r>
      <w:r>
        <w:rPr>
          <w:rFonts w:ascii="Verdana Pro Cond Light" w:hAnsi="Verdana Pro Cond Light"/>
          <w:lang w:val="lv-LV"/>
        </w:rPr>
        <w:t>u</w:t>
      </w:r>
      <w:r w:rsidRPr="0088435B">
        <w:rPr>
          <w:rFonts w:ascii="Verdana Pro Cond Light" w:hAnsi="Verdana Pro Cond Light"/>
          <w:lang w:val="lv-LV"/>
        </w:rPr>
        <w:t xml:space="preserve"> domāšanas un rīcības modeli. Līdz ar to valsts pusē ir jabūt skaidriem spēles noteikumiem.</w:t>
      </w:r>
      <w:r w:rsidRPr="0088435B">
        <w:rPr>
          <w:rStyle w:val="FootnoteReference"/>
          <w:rFonts w:ascii="Verdana Pro Cond Light" w:hAnsi="Verdana Pro Cond Light"/>
          <w:lang w:val="lv-LV"/>
        </w:rPr>
        <w:footnoteReference w:id="5"/>
      </w:r>
    </w:p>
    <w:p w14:paraId="488FEAA1" w14:textId="77777777" w:rsidR="00262896" w:rsidRDefault="00262896" w:rsidP="00262896">
      <w:pPr>
        <w:widowControl/>
        <w:spacing w:after="120" w:line="240" w:lineRule="auto"/>
        <w:rPr>
          <w:rFonts w:ascii="Verdana Pro Cond Light" w:hAnsi="Verdana Pro Cond Light"/>
          <w:lang w:val="lv-LV"/>
        </w:rPr>
      </w:pPr>
      <w:r w:rsidRPr="0088435B">
        <w:rPr>
          <w:rFonts w:ascii="Verdana Pro Cond Light" w:hAnsi="Verdana Pro Cond Light"/>
          <w:lang w:val="lv-LV"/>
        </w:rPr>
        <w:t>Jāsaka, ka šī PWC organizētā uzņēmēju aptauja tika veikta 2022.gadā, un noteikti situācija ir nedaudz mainījusies, vienlaikus aptaujā iezīmētie virzieni paliek joprojām aktuāli un ir vērā ņemami politikas plānošanas procesā, t.sk. arī Latvijā.</w:t>
      </w:r>
    </w:p>
    <w:p w14:paraId="5428F788" w14:textId="77777777" w:rsidR="00262896" w:rsidRPr="0088435B" w:rsidRDefault="00262896" w:rsidP="00262896">
      <w:pPr>
        <w:widowControl/>
        <w:spacing w:after="120" w:line="240" w:lineRule="auto"/>
        <w:rPr>
          <w:rFonts w:ascii="Verdana Pro Cond Light" w:hAnsi="Verdana Pro Cond Light"/>
          <w:lang w:val="lv-LV"/>
        </w:rPr>
      </w:pPr>
    </w:p>
    <w:p w14:paraId="42ACFC77" w14:textId="77777777" w:rsidR="00262896" w:rsidRPr="00DC3452" w:rsidRDefault="00262896" w:rsidP="00262896">
      <w:pPr>
        <w:widowControl/>
        <w:spacing w:after="120" w:line="240" w:lineRule="auto"/>
        <w:rPr>
          <w:rFonts w:ascii="Verdana Pro Cond Light" w:hAnsi="Verdana Pro Cond Light"/>
          <w:b/>
          <w:iCs/>
          <w:lang w:val="lv-LV"/>
        </w:rPr>
      </w:pPr>
      <w:bookmarkStart w:id="13" w:name="_Toc176185139"/>
      <w:r w:rsidRPr="00DC3452">
        <w:rPr>
          <w:rFonts w:ascii="Verdana Pro Cond Light" w:hAnsi="Verdana Pro Cond Light"/>
          <w:b/>
          <w:iCs/>
          <w:lang w:val="lv-LV"/>
        </w:rPr>
        <w:t>Secinājumi</w:t>
      </w:r>
    </w:p>
    <w:p w14:paraId="015E35D4" w14:textId="77777777" w:rsidR="00262896" w:rsidRPr="00DC3452" w:rsidRDefault="00262896" w:rsidP="00262896">
      <w:pPr>
        <w:pStyle w:val="ListParagraph"/>
        <w:numPr>
          <w:ilvl w:val="0"/>
          <w:numId w:val="12"/>
        </w:numPr>
        <w:spacing w:before="40" w:after="160" w:line="240" w:lineRule="auto"/>
        <w:ind w:left="714" w:hanging="357"/>
        <w:contextualSpacing w:val="0"/>
        <w:rPr>
          <w:rFonts w:ascii="Verdana Pro Cond Light" w:hAnsi="Verdana Pro Cond Light" w:cs="Arial"/>
          <w:lang w:val="lv-LV"/>
        </w:rPr>
      </w:pPr>
      <w:r w:rsidRPr="00DC3452">
        <w:rPr>
          <w:rFonts w:ascii="Verdana Pro Cond Light" w:hAnsi="Verdana Pro Cond Light" w:cs="Arial"/>
          <w:bCs/>
          <w:lang w:val="lv-LV"/>
        </w:rPr>
        <w:t>Raksturojot situāciju Latvijā, Pasaules Enerģijas Padome kā galvenās problēmas</w:t>
      </w:r>
      <w:r w:rsidRPr="00DC3452">
        <w:rPr>
          <w:rFonts w:ascii="Verdana Pro Cond Light" w:hAnsi="Verdana Pro Cond Light" w:cs="Arial"/>
          <w:lang w:val="lv-LV"/>
        </w:rPr>
        <w:t xml:space="preserve"> no enerģētikas ekspertu puses nosauca miera risku, piegāžu ķēdes ievainojamību, infrastruktūras nepilnības, pieprasījuma vadības trūkumus un iesaistīto pušu koordinācijas nepietiekamību.</w:t>
      </w:r>
    </w:p>
    <w:p w14:paraId="1643BC44" w14:textId="77777777" w:rsidR="00262896" w:rsidRPr="00DC3452" w:rsidRDefault="00262896" w:rsidP="00262896">
      <w:pPr>
        <w:pStyle w:val="ListParagraph"/>
        <w:numPr>
          <w:ilvl w:val="0"/>
          <w:numId w:val="12"/>
        </w:numPr>
        <w:spacing w:before="40" w:after="160" w:line="240" w:lineRule="auto"/>
        <w:ind w:left="714" w:hanging="357"/>
        <w:contextualSpacing w:val="0"/>
        <w:rPr>
          <w:rFonts w:ascii="Verdana Pro Cond Light" w:hAnsi="Verdana Pro Cond Light" w:cs="Arial"/>
          <w:lang w:val="lv-LV"/>
        </w:rPr>
      </w:pPr>
      <w:r w:rsidRPr="00DC3452">
        <w:rPr>
          <w:rFonts w:ascii="Verdana Pro Cond Light" w:hAnsi="Verdana Pro Cond Light" w:cs="Arial"/>
          <w:lang w:val="lv-LV"/>
        </w:rPr>
        <w:t>Eiropas Vides Politikas Institūta 2024.gada maija Eiropas Zaļā kursa Barometra 2024 ziņojums parāda, ka neskatoties uz to, ka 69% respondentu uzskata, ka Zaļajam kursam ir pozitīva ārējā ietekme, 67% vērtē, ka 2024.gada vēlēšanu rezultāti mazinās ES entuziasmu zaļo mērķu virzībā. Vienlaikus respondenti ir pārliecināti, ka Eiropas Komisija spēs iepriekš nosprausto darba kārtību noturēt. Būtisku lomu sabiedrības atbalsta nodrošināšanā spēlēs “taisnīgas pārejas” (“just transition”) koncepta ieviešana.</w:t>
      </w:r>
    </w:p>
    <w:p w14:paraId="3F9A43A9" w14:textId="77777777" w:rsidR="00262896" w:rsidRDefault="00262896" w:rsidP="00262896">
      <w:pPr>
        <w:pStyle w:val="ListParagraph"/>
        <w:numPr>
          <w:ilvl w:val="0"/>
          <w:numId w:val="12"/>
        </w:numPr>
        <w:spacing w:before="40" w:after="160" w:line="240" w:lineRule="auto"/>
        <w:ind w:left="714" w:hanging="357"/>
        <w:contextualSpacing w:val="0"/>
        <w:rPr>
          <w:rFonts w:ascii="Verdana Pro Cond Light" w:hAnsi="Verdana Pro Cond Light" w:cs="Arial"/>
          <w:lang w:val="lv-LV"/>
        </w:rPr>
      </w:pPr>
      <w:r w:rsidRPr="00DC3452">
        <w:rPr>
          <w:rFonts w:ascii="Verdana Pro Cond Light" w:hAnsi="Verdana Pro Cond Light" w:cs="Arial"/>
          <w:lang w:val="lv-LV"/>
        </w:rPr>
        <w:t xml:space="preserve">Zaļais kurss aptver ļoti būtisku biznesa un vērtības ķēžu transformāciju caur regulējuma izmaiņām, atbalsta pasākumiem un papildu maksājumu pienākumiem. </w:t>
      </w:r>
      <w:r w:rsidRPr="00DC3452">
        <w:rPr>
          <w:rFonts w:ascii="Verdana Pro Cond Light" w:hAnsi="Verdana Pro Cond Light"/>
          <w:lang w:val="lv-LV"/>
        </w:rPr>
        <w:t xml:space="preserve">PWC 2022.gadā organizētā </w:t>
      </w:r>
      <w:r w:rsidRPr="00DC3452">
        <w:rPr>
          <w:rFonts w:ascii="Verdana Pro Cond Light" w:hAnsi="Verdana Pro Cond Light"/>
          <w:bCs/>
          <w:lang w:val="lv-LV"/>
        </w:rPr>
        <w:t>300 uzņēmēju aptauja</w:t>
      </w:r>
      <w:r w:rsidRPr="00DC3452">
        <w:rPr>
          <w:rFonts w:ascii="Verdana Pro Cond Light" w:hAnsi="Verdana Pro Cond Light"/>
          <w:b/>
          <w:bCs/>
          <w:lang w:val="lv-LV"/>
        </w:rPr>
        <w:t xml:space="preserve"> </w:t>
      </w:r>
      <w:r w:rsidRPr="00DC3452">
        <w:rPr>
          <w:rFonts w:ascii="Verdana Pro Cond Light" w:hAnsi="Verdana Pro Cond Light" w:cs="Arial"/>
          <w:lang w:val="lv-LV"/>
        </w:rPr>
        <w:t>parādīja, ka lielākai daļai uzņēmumu trūkst visaptverošas stratēģijas, lai reaģētu uz visām Zaļā kursa dimensijām.</w:t>
      </w:r>
    </w:p>
    <w:p w14:paraId="1C229043" w14:textId="77777777" w:rsidR="00262896" w:rsidRPr="0088435B" w:rsidRDefault="00262896" w:rsidP="00262896">
      <w:pPr>
        <w:widowControl/>
        <w:spacing w:after="120" w:line="240" w:lineRule="auto"/>
        <w:rPr>
          <w:rFonts w:ascii="Verdana Pro Cond Light" w:eastAsiaTheme="majorEastAsia" w:hAnsi="Verdana Pro Cond Light" w:cstheme="majorBidi"/>
          <w:b/>
          <w:color w:val="2F5496" w:themeColor="accent1" w:themeShade="BF"/>
          <w:lang w:val="lv-LV"/>
        </w:rPr>
      </w:pPr>
      <w:r w:rsidRPr="0088435B">
        <w:rPr>
          <w:rFonts w:ascii="Verdana Pro Cond Light" w:hAnsi="Verdana Pro Cond Light"/>
          <w:lang w:val="lv-LV"/>
        </w:rPr>
        <w:br w:type="page"/>
      </w:r>
    </w:p>
    <w:p w14:paraId="75051EAC" w14:textId="7A702248" w:rsidR="00262896" w:rsidRPr="00041C6C" w:rsidRDefault="00041C6C" w:rsidP="00041C6C">
      <w:pPr>
        <w:pStyle w:val="NormalWeb"/>
        <w:spacing w:before="0" w:beforeAutospacing="0" w:after="120" w:afterAutospacing="0"/>
        <w:jc w:val="both"/>
        <w:rPr>
          <w:rFonts w:ascii="Verdana Pro Cond Light" w:hAnsi="Verdana Pro Cond Light"/>
          <w:color w:val="000000"/>
          <w:sz w:val="22"/>
          <w:szCs w:val="22"/>
        </w:rPr>
      </w:pPr>
      <w:bookmarkStart w:id="14" w:name="_Toc178018160"/>
      <w:r w:rsidRPr="00041C6C">
        <w:rPr>
          <w:rFonts w:ascii="Verdana Pro Cond Light" w:hAnsi="Verdana Pro Cond Light"/>
          <w:noProof/>
          <w:color w:val="000000"/>
          <w:sz w:val="22"/>
          <w:szCs w:val="22"/>
          <w:lang w:val="en-US" w:eastAsia="en-US"/>
        </w:rPr>
        <w:lastRenderedPageBreak/>
        <w:drawing>
          <wp:anchor distT="0" distB="0" distL="114300" distR="114300" simplePos="0" relativeHeight="251658335" behindDoc="1" locked="0" layoutInCell="1" allowOverlap="1" wp14:anchorId="415AD7BF" wp14:editId="40DCA478">
            <wp:simplePos x="0" y="0"/>
            <wp:positionH relativeFrom="page">
              <wp:posOffset>0</wp:posOffset>
            </wp:positionH>
            <wp:positionV relativeFrom="page">
              <wp:posOffset>0</wp:posOffset>
            </wp:positionV>
            <wp:extent cx="7560000" cy="3600000"/>
            <wp:effectExtent l="0" t="0" r="3175" b="635"/>
            <wp:wrapNone/>
            <wp:docPr id="1100135947" name="Picture 3" descr="Person holding smartphon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00135947" name="Picture 1100135947" descr="Person holding smartphone"/>
                    <pic:cNvPicPr/>
                  </pic:nvPicPr>
                  <pic:blipFill rotWithShape="1">
                    <a:blip r:embed="rId22" cstate="print">
                      <a:duotone>
                        <a:schemeClr val="accent1">
                          <a:shade val="45000"/>
                          <a:satMod val="135000"/>
                        </a:schemeClr>
                        <a:prstClr val="white"/>
                      </a:duotone>
                      <a:alphaModFix amt="50000"/>
                      <a:extLst>
                        <a:ext uri="{28A0092B-C50C-407E-A947-70E740481C1C}">
                          <a14:useLocalDpi xmlns:a14="http://schemas.microsoft.com/office/drawing/2010/main" val="0"/>
                        </a:ext>
                      </a:extLst>
                    </a:blip>
                    <a:srcRect t="11636" b="18363"/>
                    <a:stretch/>
                  </pic:blipFill>
                  <pic:spPr bwMode="auto">
                    <a:xfrm>
                      <a:off x="0" y="0"/>
                      <a:ext cx="7560000" cy="3600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0769F7F" w14:textId="77777777" w:rsidR="00262896" w:rsidRDefault="00262896" w:rsidP="00041C6C">
      <w:pPr>
        <w:pStyle w:val="NormalWeb"/>
        <w:spacing w:before="0" w:beforeAutospacing="0" w:after="120" w:afterAutospacing="0"/>
        <w:jc w:val="both"/>
        <w:rPr>
          <w:rFonts w:ascii="Verdana Pro Cond Light" w:hAnsi="Verdana Pro Cond Light"/>
          <w:color w:val="000000"/>
          <w:sz w:val="22"/>
          <w:szCs w:val="22"/>
        </w:rPr>
      </w:pPr>
    </w:p>
    <w:p w14:paraId="2D104DEA" w14:textId="77777777" w:rsidR="00041C6C" w:rsidRDefault="00041C6C" w:rsidP="00041C6C">
      <w:pPr>
        <w:pStyle w:val="NormalWeb"/>
        <w:spacing w:before="0" w:beforeAutospacing="0" w:after="120" w:afterAutospacing="0"/>
        <w:jc w:val="both"/>
        <w:rPr>
          <w:rFonts w:ascii="Verdana Pro Cond Light" w:hAnsi="Verdana Pro Cond Light"/>
          <w:color w:val="000000"/>
          <w:sz w:val="22"/>
          <w:szCs w:val="22"/>
        </w:rPr>
      </w:pPr>
    </w:p>
    <w:p w14:paraId="75DCEEAA" w14:textId="77777777" w:rsidR="00041C6C" w:rsidRDefault="00041C6C" w:rsidP="00041C6C">
      <w:pPr>
        <w:pStyle w:val="NormalWeb"/>
        <w:spacing w:before="0" w:beforeAutospacing="0" w:after="120" w:afterAutospacing="0"/>
        <w:jc w:val="both"/>
        <w:rPr>
          <w:rFonts w:ascii="Verdana Pro Cond Light" w:hAnsi="Verdana Pro Cond Light"/>
          <w:color w:val="000000"/>
          <w:sz w:val="22"/>
          <w:szCs w:val="22"/>
        </w:rPr>
      </w:pPr>
    </w:p>
    <w:p w14:paraId="660C6503" w14:textId="77777777" w:rsidR="00041C6C" w:rsidRDefault="00041C6C" w:rsidP="00041C6C">
      <w:pPr>
        <w:pStyle w:val="NormalWeb"/>
        <w:spacing w:before="0" w:beforeAutospacing="0" w:after="120" w:afterAutospacing="0"/>
        <w:jc w:val="both"/>
        <w:rPr>
          <w:rFonts w:ascii="Verdana Pro Cond Light" w:hAnsi="Verdana Pro Cond Light"/>
          <w:color w:val="000000"/>
          <w:sz w:val="22"/>
          <w:szCs w:val="22"/>
        </w:rPr>
      </w:pPr>
    </w:p>
    <w:p w14:paraId="0C3CE6BF" w14:textId="77777777" w:rsidR="00041C6C" w:rsidRPr="00041C6C" w:rsidRDefault="00041C6C" w:rsidP="00041C6C">
      <w:pPr>
        <w:pStyle w:val="NormalWeb"/>
        <w:spacing w:before="0" w:beforeAutospacing="0" w:after="120" w:afterAutospacing="0"/>
        <w:jc w:val="both"/>
        <w:rPr>
          <w:rFonts w:ascii="Verdana Pro Cond Light" w:hAnsi="Verdana Pro Cond Light"/>
          <w:color w:val="000000"/>
          <w:sz w:val="22"/>
          <w:szCs w:val="22"/>
        </w:rPr>
      </w:pPr>
    </w:p>
    <w:p w14:paraId="41D1C472" w14:textId="7B5990FC" w:rsidR="00262896" w:rsidRPr="00041C6C" w:rsidRDefault="00262896" w:rsidP="00041C6C">
      <w:pPr>
        <w:pStyle w:val="NormalWeb"/>
        <w:spacing w:before="0" w:beforeAutospacing="0" w:after="120" w:afterAutospacing="0"/>
        <w:jc w:val="both"/>
        <w:rPr>
          <w:rFonts w:ascii="Verdana Pro Cond Light" w:hAnsi="Verdana Pro Cond Light"/>
          <w:color w:val="000000"/>
          <w:sz w:val="22"/>
          <w:szCs w:val="22"/>
        </w:rPr>
      </w:pPr>
    </w:p>
    <w:p w14:paraId="276A262D" w14:textId="611EDEB4" w:rsidR="00262896" w:rsidRPr="004C2ACE" w:rsidRDefault="00262896" w:rsidP="00262896">
      <w:pPr>
        <w:pStyle w:val="Heading1"/>
        <w:widowControl/>
        <w:rPr>
          <w:lang w:val="lv-LV"/>
        </w:rPr>
      </w:pPr>
      <w:bookmarkStart w:id="15" w:name="_Toc183697483"/>
      <w:r w:rsidRPr="004C2ACE">
        <w:rPr>
          <w:lang w:val="lv-LV"/>
        </w:rPr>
        <w:t>2. Latvijas ilgtermiņa ekonomiskās attīstības un klimata mērķi</w:t>
      </w:r>
      <w:bookmarkEnd w:id="13"/>
      <w:bookmarkEnd w:id="14"/>
      <w:bookmarkEnd w:id="15"/>
    </w:p>
    <w:p w14:paraId="2E47613E" w14:textId="7DED5264" w:rsidR="00262896" w:rsidRDefault="00262896" w:rsidP="00262896">
      <w:pPr>
        <w:pStyle w:val="NormalWeb"/>
        <w:spacing w:before="0" w:beforeAutospacing="0" w:after="120" w:afterAutospacing="0"/>
        <w:jc w:val="both"/>
        <w:rPr>
          <w:rFonts w:ascii="Verdana Pro Cond Light" w:hAnsi="Verdana Pro Cond Light"/>
          <w:color w:val="000000"/>
          <w:sz w:val="22"/>
          <w:szCs w:val="22"/>
        </w:rPr>
      </w:pPr>
    </w:p>
    <w:p w14:paraId="036A59A6" w14:textId="7EAE2937" w:rsidR="00262896" w:rsidRDefault="00262896" w:rsidP="00262896">
      <w:pPr>
        <w:pStyle w:val="NormalWeb"/>
        <w:spacing w:before="0" w:beforeAutospacing="0" w:after="120" w:afterAutospacing="0"/>
        <w:jc w:val="both"/>
        <w:rPr>
          <w:rFonts w:ascii="Verdana Pro Cond Light" w:hAnsi="Verdana Pro Cond Light"/>
          <w:color w:val="000000"/>
          <w:sz w:val="22"/>
          <w:szCs w:val="22"/>
        </w:rPr>
      </w:pPr>
    </w:p>
    <w:p w14:paraId="21FDEBC8" w14:textId="77777777" w:rsidR="00262896" w:rsidRDefault="00262896" w:rsidP="00262896">
      <w:pPr>
        <w:pStyle w:val="NormalWeb"/>
        <w:spacing w:before="0" w:beforeAutospacing="0" w:after="120" w:afterAutospacing="0"/>
        <w:rPr>
          <w:rFonts w:ascii="Verdana Pro Cond Light" w:hAnsi="Verdana Pro Cond Light"/>
          <w:color w:val="000000"/>
          <w:sz w:val="22"/>
          <w:szCs w:val="22"/>
        </w:rPr>
      </w:pPr>
      <w:r w:rsidRPr="00757AA3">
        <w:rPr>
          <w:rFonts w:ascii="Verdana Pro Cond Light" w:hAnsi="Verdana Pro Cond Light"/>
          <w:color w:val="000000"/>
          <w:sz w:val="22"/>
          <w:szCs w:val="22"/>
        </w:rPr>
        <w:t xml:space="preserve">Ņemot vērā, ka “Latvijas </w:t>
      </w:r>
      <w:r w:rsidRPr="00757AA3">
        <w:rPr>
          <w:rStyle w:val="Strong"/>
          <w:rFonts w:ascii="Verdana Pro Cond Light" w:eastAsia="Calibri" w:hAnsi="Verdana Pro Cond Light"/>
          <w:color w:val="212529"/>
          <w:sz w:val="22"/>
          <w:szCs w:val="22"/>
          <w:shd w:val="clear" w:color="auto" w:fill="FFFFFF"/>
        </w:rPr>
        <w:t>Nacionālais enerģētikas un klimata plāns 2021. -2030. gadam</w:t>
      </w:r>
      <w:r w:rsidRPr="00757AA3">
        <w:rPr>
          <w:rFonts w:ascii="Verdana Pro Cond Light" w:hAnsi="Verdana Pro Cond Light"/>
          <w:color w:val="000000"/>
          <w:sz w:val="22"/>
          <w:szCs w:val="22"/>
        </w:rPr>
        <w:t>”</w:t>
      </w:r>
      <w:r w:rsidRPr="00757AA3">
        <w:rPr>
          <w:rFonts w:ascii="Verdana Pro Cond Light" w:hAnsi="Verdana Pro Cond Light"/>
          <w:sz w:val="22"/>
          <w:szCs w:val="22"/>
          <w:vertAlign w:val="superscript"/>
        </w:rPr>
        <w:t xml:space="preserve"> </w:t>
      </w:r>
      <w:r w:rsidRPr="00757AA3">
        <w:rPr>
          <w:rFonts w:ascii="Verdana Pro Cond Light" w:hAnsi="Verdana Pro Cond Light"/>
          <w:sz w:val="22"/>
          <w:szCs w:val="22"/>
          <w:vertAlign w:val="superscript"/>
        </w:rPr>
        <w:footnoteReference w:id="6"/>
      </w:r>
      <w:r w:rsidRPr="00757AA3">
        <w:rPr>
          <w:rFonts w:ascii="Verdana Pro Cond Light" w:hAnsi="Verdana Pro Cond Light"/>
          <w:color w:val="000000"/>
          <w:sz w:val="22"/>
          <w:szCs w:val="22"/>
        </w:rPr>
        <w:t xml:space="preserve"> </w:t>
      </w:r>
      <w:r w:rsidRPr="00757AA3">
        <w:rPr>
          <w:rStyle w:val="Strong"/>
          <w:rFonts w:ascii="Verdana Pro Cond Light" w:eastAsia="Calibri" w:hAnsi="Verdana Pro Cond Light"/>
          <w:color w:val="212529"/>
          <w:sz w:val="22"/>
          <w:szCs w:val="22"/>
          <w:shd w:val="clear" w:color="auto" w:fill="FFFFFF"/>
        </w:rPr>
        <w:t xml:space="preserve">(NEKP) </w:t>
      </w:r>
      <w:r w:rsidRPr="00757AA3">
        <w:rPr>
          <w:rFonts w:ascii="Verdana Pro Cond Light" w:hAnsi="Verdana Pro Cond Light"/>
          <w:color w:val="000000"/>
          <w:sz w:val="22"/>
          <w:szCs w:val="22"/>
        </w:rPr>
        <w:t>ir cieši saistīts ar kopēju tautsaimniecības attīstību, šajā nodaļā ir raksturota Latvijas ilgtermiņa ekonomiskās attīstības un klimata mērķu mijiedarbība un kopējās pieejamās investīcijas, kas izriet no valdības dokumentiem.</w:t>
      </w:r>
    </w:p>
    <w:p w14:paraId="254B0D28" w14:textId="77777777" w:rsidR="00262896" w:rsidRDefault="00262896" w:rsidP="00262896">
      <w:pPr>
        <w:widowControl/>
        <w:spacing w:after="120" w:line="240" w:lineRule="auto"/>
        <w:rPr>
          <w:rFonts w:ascii="Verdana Pro Cond Light" w:hAnsi="Verdana Pro Cond Light"/>
          <w:color w:val="000000"/>
          <w:lang w:val="lv-LV"/>
        </w:rPr>
      </w:pPr>
      <w:r w:rsidRPr="00757AA3">
        <w:rPr>
          <w:rFonts w:ascii="Verdana Pro Cond Light" w:hAnsi="Verdana Pro Cond Light"/>
          <w:lang w:val="lv-LV"/>
        </w:rPr>
        <w:t>Latvijas ilgtermiņa ekonomisko stratēģiju un izaugsmes mērķus nosaka vairāki valdībā apstiprinātie dokumenti tādi kā “Latvijas ilgtspējīgas attīstības stratēģija līdz 2023. gadam”, “Nacionālais attīstības plāns 2021. –2027. gadam”, Ministru kabineta Deklarācija par iecerēto darbību, kā arī nozaru politikas pamatnostādnes – “Latvijas Nacionālās industriālās politikas pamatnostādnes 2021. -2027. gadam”, ”Digitālās transformācijas pamatnostādnes 2021. -2027. gadam”, “Izglītības attīstības pamatnostādnes 2021. -2027. gadam” un citi nozaru politikas plānošanas dokumenti - nosaka mērķus un stratēģiskos rīcības virzienus konkrētajās jomās.</w:t>
      </w:r>
    </w:p>
    <w:p w14:paraId="4B448588" w14:textId="77777777" w:rsidR="00262896" w:rsidRPr="00757AA3" w:rsidRDefault="00262896" w:rsidP="00262896">
      <w:pPr>
        <w:widowControl/>
        <w:spacing w:after="120" w:line="240" w:lineRule="auto"/>
        <w:rPr>
          <w:rFonts w:ascii="Verdana Pro Cond Light" w:hAnsi="Verdana Pro Cond Light"/>
          <w:color w:val="000000"/>
          <w:lang w:val="lv-LV"/>
        </w:rPr>
      </w:pPr>
    </w:p>
    <w:p w14:paraId="1EC38F9F" w14:textId="77777777" w:rsidR="00262896" w:rsidRPr="00757AA3" w:rsidRDefault="00262896" w:rsidP="00262896">
      <w:pPr>
        <w:widowControl/>
        <w:spacing w:after="120" w:line="240" w:lineRule="auto"/>
        <w:rPr>
          <w:rFonts w:ascii="Verdana Pro Cond Light" w:hAnsi="Verdana Pro Cond Light"/>
          <w:b/>
          <w:bCs/>
          <w:color w:val="000000" w:themeColor="text1"/>
          <w:lang w:val="lv-LV"/>
        </w:rPr>
      </w:pPr>
      <w:r w:rsidRPr="00757AA3">
        <w:rPr>
          <w:rFonts w:ascii="Verdana Pro Cond Light" w:hAnsi="Verdana Pro Cond Light"/>
          <w:b/>
          <w:bCs/>
          <w:color w:val="000000" w:themeColor="text1"/>
          <w:lang w:val="lv-LV"/>
        </w:rPr>
        <w:t>Latvijas ekonomikas izaugsmes stratēģija</w:t>
      </w:r>
    </w:p>
    <w:p w14:paraId="4F6978BD" w14:textId="77777777" w:rsidR="00262896" w:rsidRDefault="00262896" w:rsidP="00262896">
      <w:pPr>
        <w:widowControl/>
        <w:spacing w:after="120" w:line="240" w:lineRule="auto"/>
        <w:rPr>
          <w:rFonts w:ascii="Verdana Pro Cond Light" w:hAnsi="Verdana Pro Cond Light"/>
          <w:lang w:val="lv-LV"/>
        </w:rPr>
      </w:pPr>
      <w:r w:rsidRPr="00757AA3">
        <w:rPr>
          <w:rFonts w:ascii="Verdana Pro Cond Light" w:hAnsi="Verdana Pro Cond Light"/>
          <w:lang w:val="lv-LV"/>
        </w:rPr>
        <w:t xml:space="preserve">Pēdējais </w:t>
      </w:r>
      <w:r w:rsidRPr="00757AA3">
        <w:rPr>
          <w:rFonts w:ascii="Verdana Pro Cond Light" w:hAnsi="Verdana Pro Cond Light"/>
          <w:color w:val="000000" w:themeColor="text1"/>
          <w:lang w:val="lv-LV"/>
        </w:rPr>
        <w:t xml:space="preserve">Ministru kabinetā </w:t>
      </w:r>
      <w:r w:rsidRPr="00757AA3">
        <w:rPr>
          <w:rFonts w:ascii="Verdana Pro Cond Light" w:hAnsi="Verdana Pro Cond Light"/>
          <w:lang w:val="lv-LV"/>
        </w:rPr>
        <w:t>un Saeimā 2024. gada maijā skatītais stratēģiskās politikas plānošanas dokuments ir Ekonomikas ministrijas sagatavotais informatīvais ziņojums</w:t>
      </w:r>
      <w:r w:rsidRPr="00757AA3">
        <w:rPr>
          <w:rFonts w:ascii="Verdana Pro Cond Light" w:hAnsi="Verdana Pro Cond Light"/>
          <w:b/>
          <w:bCs/>
          <w:lang w:val="lv-LV"/>
        </w:rPr>
        <w:t xml:space="preserve"> “Par Latvijas ekonomisko attīstību</w:t>
      </w:r>
      <w:r w:rsidRPr="00757AA3">
        <w:rPr>
          <w:rFonts w:ascii="Verdana Pro Cond Light" w:hAnsi="Verdana Pro Cond Light"/>
          <w:lang w:val="lv-LV"/>
        </w:rPr>
        <w:t>”</w:t>
      </w:r>
      <w:r w:rsidRPr="00757AA3">
        <w:rPr>
          <w:rFonts w:ascii="Verdana Pro Cond Light" w:hAnsi="Verdana Pro Cond Light"/>
          <w:vertAlign w:val="superscript"/>
          <w:lang w:val="lv-LV"/>
        </w:rPr>
        <w:footnoteReference w:id="7"/>
      </w:r>
      <w:r w:rsidRPr="00757AA3">
        <w:rPr>
          <w:rFonts w:ascii="Verdana Pro Cond Light" w:hAnsi="Verdana Pro Cond Light"/>
          <w:lang w:val="lv-LV"/>
        </w:rPr>
        <w:t xml:space="preserve">, kas pēc būtības ir </w:t>
      </w:r>
      <w:r w:rsidRPr="00DC3452">
        <w:rPr>
          <w:rFonts w:ascii="Verdana Pro Cond Light" w:hAnsi="Verdana Pro Cond Light"/>
          <w:b/>
          <w:bCs/>
          <w:lang w:val="lv-LV"/>
        </w:rPr>
        <w:t>Latvijas ekonomikas izaugsmes stratēģija</w:t>
      </w:r>
      <w:r w:rsidRPr="00757AA3">
        <w:rPr>
          <w:rFonts w:ascii="Verdana Pro Cond Light" w:hAnsi="Verdana Pro Cond Light"/>
          <w:lang w:val="lv-LV"/>
        </w:rPr>
        <w:t xml:space="preserve"> (turpmāk tekstā – Izaugsmes stratēģija). Tas </w:t>
      </w:r>
      <w:r w:rsidRPr="00757AA3">
        <w:rPr>
          <w:rFonts w:ascii="Verdana Pro Cond Light" w:hAnsi="Verdana Pro Cond Light"/>
          <w:color w:val="000000" w:themeColor="text1"/>
          <w:lang w:val="lv-LV"/>
        </w:rPr>
        <w:t xml:space="preserve">tika sagatavots saskaņā ar Ministru kabineta 2024. gada 28. marta rīkojumu Nr.235 (likumprojekta "Par valsts budžetu 2025. gadam un budžeta ietvaru 2025., 2026. un 2027. gadam" sagatavošanas grafika pielikuma 4. punktu), lai rosinātu diskusiju un publiskas debates Saeimā par Latvijas ekonomikas attīstības izaicinājumiem un valsts izaugsmes prioritātēm. </w:t>
      </w:r>
      <w:r w:rsidRPr="00757AA3">
        <w:rPr>
          <w:rFonts w:ascii="Verdana Pro Cond Light" w:hAnsi="Verdana Pro Cond Light"/>
          <w:lang w:val="lv-LV"/>
        </w:rPr>
        <w:t>Izaugsmes stratēģija</w:t>
      </w:r>
      <w:r w:rsidRPr="00757AA3">
        <w:rPr>
          <w:rFonts w:ascii="Verdana Pro Cond Light" w:hAnsi="Verdana Pro Cond Light"/>
          <w:color w:val="000000" w:themeColor="text1"/>
          <w:lang w:val="lv-LV"/>
        </w:rPr>
        <w:t xml:space="preserve"> sagatavota par pamatu ņemot padziļināto situācijas analīzi, kas atspoguļota tautsaimniecības struktūrpolitikas pārskatos, politikas plānošanas dokumentos, tai skaitā valdības rīcības plānā. </w:t>
      </w:r>
      <w:r w:rsidRPr="00757AA3">
        <w:rPr>
          <w:rFonts w:ascii="Verdana Pro Cond Light" w:hAnsi="Verdana Pro Cond Light"/>
          <w:lang w:val="lv-LV"/>
        </w:rPr>
        <w:t>Pēc Saeimas debatēm tiks pārskatīts un aktualizēts Valdības rīcības plāns.</w:t>
      </w:r>
    </w:p>
    <w:p w14:paraId="1C49CA6C" w14:textId="77777777" w:rsidR="00262896" w:rsidRPr="00757AA3" w:rsidRDefault="00262896" w:rsidP="00262896">
      <w:pPr>
        <w:widowControl/>
        <w:spacing w:after="120" w:line="240" w:lineRule="auto"/>
        <w:rPr>
          <w:rFonts w:ascii="Verdana Pro Cond Light" w:hAnsi="Verdana Pro Cond Light"/>
          <w:color w:val="000000" w:themeColor="text1"/>
          <w:lang w:val="lv-LV"/>
        </w:rPr>
      </w:pPr>
      <w:r w:rsidRPr="00757AA3">
        <w:rPr>
          <w:rFonts w:ascii="Verdana Pro Cond Light" w:hAnsi="Verdana Pro Cond Light"/>
          <w:color w:val="000000" w:themeColor="text1"/>
          <w:lang w:val="lv-LV"/>
        </w:rPr>
        <w:t xml:space="preserve">Piedāvātās stratēģijas mērķis ir nākamo desmit gadu laikā dubultot ekonomikas apjomu, līdz 2035. gadam panākot Latvijas IKP apjomu 83 miljardu EUR apmērā. Lai to panāktu, tuvāko gadu laikā ir jāsasniedz 4-5 % vidējie ekonomikas pieauguma tempi ik gadu, pie nosacījuma, ka inflācija saglabājas stabila 2 % robežās. Ekonomisko pieaugumu </w:t>
      </w:r>
      <w:r w:rsidRPr="00757AA3">
        <w:rPr>
          <w:rFonts w:ascii="Verdana Pro Cond Light" w:hAnsi="Verdana Pro Cond Light"/>
          <w:lang w:val="lv-LV"/>
        </w:rPr>
        <w:t xml:space="preserve">galvenokārt </w:t>
      </w:r>
      <w:r w:rsidRPr="00757AA3">
        <w:rPr>
          <w:rFonts w:ascii="Verdana Pro Cond Light" w:hAnsi="Verdana Pro Cond Light"/>
          <w:color w:val="000000" w:themeColor="text1"/>
          <w:lang w:val="lv-LV"/>
        </w:rPr>
        <w:t>plānots sasniegt, ievērojami kāpinot Latvijas uzņēmumu produktivitāti – no 60 % no ES vidējā rādītāja 2023. gadā līdz ES vidējam līmenim 2035. gadā.</w:t>
      </w:r>
    </w:p>
    <w:p w14:paraId="55E749F4" w14:textId="77777777" w:rsidR="00262896" w:rsidRDefault="00262896" w:rsidP="00262896">
      <w:pPr>
        <w:widowControl/>
        <w:spacing w:after="160" w:line="259" w:lineRule="auto"/>
        <w:rPr>
          <w:rFonts w:ascii="Verdana Pro Cond Light" w:hAnsi="Verdana Pro Cond Light"/>
          <w:color w:val="000000" w:themeColor="text1"/>
          <w:lang w:val="lv-LV"/>
        </w:rPr>
      </w:pPr>
      <w:r>
        <w:rPr>
          <w:rFonts w:ascii="Verdana Pro Cond Light" w:hAnsi="Verdana Pro Cond Light"/>
          <w:color w:val="000000" w:themeColor="text1"/>
          <w:lang w:val="lv-LV"/>
        </w:rPr>
        <w:br w:type="page"/>
      </w:r>
    </w:p>
    <w:p w14:paraId="250D02BD" w14:textId="77777777" w:rsidR="00262896" w:rsidRDefault="00262896" w:rsidP="00262896">
      <w:pPr>
        <w:widowControl/>
        <w:spacing w:after="120" w:line="240" w:lineRule="auto"/>
        <w:rPr>
          <w:rFonts w:ascii="Verdana Pro Cond Light" w:hAnsi="Verdana Pro Cond Light"/>
          <w:color w:val="000000" w:themeColor="text1"/>
          <w:lang w:val="lv-LV"/>
        </w:rPr>
      </w:pPr>
      <w:r w:rsidRPr="00757AA3">
        <w:rPr>
          <w:rFonts w:ascii="Verdana Pro Cond Light" w:hAnsi="Verdana Pro Cond Light"/>
          <w:color w:val="000000" w:themeColor="text1"/>
          <w:lang w:val="lv-LV"/>
        </w:rPr>
        <w:lastRenderedPageBreak/>
        <w:t>Izaugsmes stratēģijā ir norādīti galvenie rīcības virzieni augstāk minēto mērķu sasniegšanai un tie ir:</w:t>
      </w:r>
    </w:p>
    <w:p w14:paraId="7F2ED21D" w14:textId="77777777" w:rsidR="00262896" w:rsidRPr="00757AA3" w:rsidRDefault="00262896" w:rsidP="00262896">
      <w:pPr>
        <w:pStyle w:val="ListParagraph"/>
        <w:widowControl/>
        <w:numPr>
          <w:ilvl w:val="0"/>
          <w:numId w:val="11"/>
        </w:numPr>
        <w:spacing w:after="120" w:line="240" w:lineRule="auto"/>
        <w:ind w:left="567" w:hanging="283"/>
        <w:contextualSpacing w:val="0"/>
        <w:rPr>
          <w:rFonts w:ascii="Verdana Pro Cond Light" w:hAnsi="Verdana Pro Cond Light"/>
          <w:color w:val="000000" w:themeColor="text1"/>
          <w:lang w:val="lv-LV"/>
        </w:rPr>
      </w:pPr>
      <w:r w:rsidRPr="00757AA3">
        <w:rPr>
          <w:rFonts w:ascii="Verdana Pro Cond Light" w:hAnsi="Verdana Pro Cond Light"/>
          <w:lang w:val="lv-LV"/>
        </w:rPr>
        <w:t>ieguldījumi cilvēkkapitālā, ceļot izglītības kvalitāti un sabiedrības veselību, pilnveidojot pārkvalifikācijas un kvalifikācijas paaugstināšanas, darbaspēka efektīvākas izmantošanas, talantu un kvalitatīva darbaspēka piesaistes procesus;</w:t>
      </w:r>
    </w:p>
    <w:p w14:paraId="423FB159" w14:textId="77777777" w:rsidR="00262896" w:rsidRPr="00757AA3" w:rsidRDefault="00262896" w:rsidP="00262896">
      <w:pPr>
        <w:pStyle w:val="ListParagraph"/>
        <w:widowControl/>
        <w:numPr>
          <w:ilvl w:val="0"/>
          <w:numId w:val="11"/>
        </w:numPr>
        <w:spacing w:after="120" w:line="240" w:lineRule="auto"/>
        <w:ind w:left="567" w:hanging="283"/>
        <w:contextualSpacing w:val="0"/>
        <w:rPr>
          <w:rFonts w:ascii="Verdana Pro Cond Light" w:hAnsi="Verdana Pro Cond Light"/>
          <w:color w:val="000000" w:themeColor="text1"/>
          <w:lang w:val="lv-LV"/>
        </w:rPr>
      </w:pPr>
      <w:r w:rsidRPr="00757AA3">
        <w:rPr>
          <w:rFonts w:ascii="Verdana Pro Cond Light" w:hAnsi="Verdana Pro Cond Light"/>
          <w:lang w:val="lv-LV"/>
        </w:rPr>
        <w:t>konkurētspējīga uzņēmējdarbība, novirzot resursus uzņēmumu attīstībai un modernizācijai, jaunu biznesa ideju īstenošanai, sniedzot atbalstu uzņēmumu konkurētspējai, inovāciju sistēmu un digitalizācijas attīstībai, kā arī mazinot birokrātiju un digitāli transformējot publisko pārvaldi;</w:t>
      </w:r>
    </w:p>
    <w:p w14:paraId="20838544" w14:textId="77777777" w:rsidR="00262896" w:rsidRPr="00757AA3" w:rsidRDefault="00262896" w:rsidP="00262896">
      <w:pPr>
        <w:pStyle w:val="ListParagraph"/>
        <w:widowControl/>
        <w:numPr>
          <w:ilvl w:val="0"/>
          <w:numId w:val="11"/>
        </w:numPr>
        <w:spacing w:after="120" w:line="240" w:lineRule="auto"/>
        <w:ind w:left="567" w:hanging="283"/>
        <w:contextualSpacing w:val="0"/>
        <w:rPr>
          <w:rFonts w:ascii="Verdana Pro Cond Light" w:hAnsi="Verdana Pro Cond Light"/>
          <w:color w:val="000000" w:themeColor="text1"/>
          <w:lang w:val="lv-LV"/>
        </w:rPr>
      </w:pPr>
      <w:r w:rsidRPr="00757AA3">
        <w:rPr>
          <w:rFonts w:ascii="Verdana Pro Cond Light" w:hAnsi="Verdana Pro Cond Light"/>
          <w:lang w:val="lv-LV"/>
        </w:rPr>
        <w:t>reģionāli sabalansēta izaugsme, sekmējot labi apmaksātu darba vietu un globāli konkurētspējīgu uzņēmumu izveidi, nodrošinot reģionālo centru savienojamību un pieejamus kvalitatīvus publiskos pakalpojumus;</w:t>
      </w:r>
    </w:p>
    <w:p w14:paraId="709C44B0" w14:textId="77777777" w:rsidR="00262896" w:rsidRPr="00757AA3" w:rsidRDefault="00262896" w:rsidP="00262896">
      <w:pPr>
        <w:pStyle w:val="ListParagraph"/>
        <w:widowControl/>
        <w:numPr>
          <w:ilvl w:val="0"/>
          <w:numId w:val="11"/>
        </w:numPr>
        <w:spacing w:after="120" w:line="240" w:lineRule="auto"/>
        <w:ind w:left="567" w:hanging="283"/>
        <w:contextualSpacing w:val="0"/>
        <w:rPr>
          <w:rFonts w:ascii="Verdana Pro Cond Light" w:hAnsi="Verdana Pro Cond Light"/>
          <w:color w:val="000000" w:themeColor="text1"/>
          <w:lang w:val="lv-LV"/>
        </w:rPr>
      </w:pPr>
      <w:r w:rsidRPr="00757AA3">
        <w:rPr>
          <w:rFonts w:ascii="Verdana Pro Cond Light" w:hAnsi="Verdana Pro Cond Light"/>
          <w:lang w:val="lv-LV"/>
        </w:rPr>
        <w:t>moderna infrastruktūra un pieejami mājokļi, mazinot birokrātiskos šķēršļus nekustamo īpašumu attīstībai, sekmējot ēku fonda atjaunošanu un atbilstību klimata neitralitātei, attīstot zemas īres mājokļu pieejamības tirgu un transporta infrastruktūru, kā arī plaši pieejamu sabiedriskā transporta pakalpojumu mobilitāti;</w:t>
      </w:r>
    </w:p>
    <w:p w14:paraId="3603FC9D" w14:textId="77777777" w:rsidR="00262896" w:rsidRPr="00757AA3" w:rsidRDefault="00262896" w:rsidP="00262896">
      <w:pPr>
        <w:pStyle w:val="ListParagraph"/>
        <w:widowControl/>
        <w:numPr>
          <w:ilvl w:val="0"/>
          <w:numId w:val="11"/>
        </w:numPr>
        <w:spacing w:after="120" w:line="240" w:lineRule="auto"/>
        <w:ind w:left="567" w:hanging="283"/>
        <w:contextualSpacing w:val="0"/>
        <w:rPr>
          <w:rFonts w:ascii="Verdana Pro Cond Light" w:hAnsi="Verdana Pro Cond Light"/>
          <w:color w:val="000000" w:themeColor="text1"/>
          <w:lang w:val="lv-LV"/>
        </w:rPr>
      </w:pPr>
      <w:r w:rsidRPr="00757AA3">
        <w:rPr>
          <w:rFonts w:ascii="Verdana Pro Cond Light" w:hAnsi="Verdana Pro Cond Light"/>
          <w:lang w:val="lv-LV"/>
        </w:rPr>
        <w:t>klimata pārmaiņas un ieguldījumi zaļajā infrastruktūrā, sekmējot enerģētisko neatkarību un īstenojot ambiciozus atjaunojamās enerģijas projektus.</w:t>
      </w:r>
    </w:p>
    <w:p w14:paraId="51FEE36F" w14:textId="77777777" w:rsidR="00262896" w:rsidRPr="00757AA3" w:rsidRDefault="00262896" w:rsidP="00262896">
      <w:pPr>
        <w:widowControl/>
        <w:spacing w:after="120" w:line="240" w:lineRule="auto"/>
        <w:rPr>
          <w:rFonts w:ascii="Verdana Pro Cond Light" w:hAnsi="Verdana Pro Cond Light"/>
          <w:lang w:val="lv-LV"/>
        </w:rPr>
      </w:pPr>
    </w:p>
    <w:p w14:paraId="3A67EF58" w14:textId="77777777" w:rsidR="00262896" w:rsidRDefault="00262896" w:rsidP="00262896">
      <w:pPr>
        <w:widowControl/>
        <w:spacing w:after="120" w:line="240" w:lineRule="auto"/>
        <w:rPr>
          <w:rFonts w:ascii="Verdana Pro Cond Light" w:hAnsi="Verdana Pro Cond Light"/>
          <w:lang w:val="lv-LV"/>
        </w:rPr>
      </w:pPr>
      <w:r w:rsidRPr="00757AA3">
        <w:rPr>
          <w:rFonts w:ascii="Verdana Pro Cond Light" w:hAnsi="Verdana Pro Cond Light"/>
          <w:lang w:val="lv-LV"/>
        </w:rPr>
        <w:t>Attiecībā uz klimata pārmaiņām un ieguldījumiem zaļajā infrastruktūrā Ekonomikas ministrijas informatīvajā ziņojumā “Par Latvijas ekonomisko attīstību” lielāks uzsvars ir vērsts uz eksporta potenciāla veicināšanu uzņēmējdarbībā.</w:t>
      </w:r>
    </w:p>
    <w:p w14:paraId="4055CA87" w14:textId="77777777" w:rsidR="00262896" w:rsidRPr="00757AA3" w:rsidRDefault="00262896" w:rsidP="00262896">
      <w:pPr>
        <w:pStyle w:val="ListParagraph"/>
        <w:widowControl/>
        <w:spacing w:after="120" w:line="240" w:lineRule="auto"/>
        <w:ind w:left="0"/>
        <w:contextualSpacing w:val="0"/>
        <w:rPr>
          <w:rFonts w:ascii="Verdana Pro Cond Light" w:hAnsi="Verdana Pro Cond Light"/>
          <w:lang w:val="lv-LV"/>
        </w:rPr>
      </w:pPr>
      <w:r w:rsidRPr="00757AA3">
        <w:rPr>
          <w:rFonts w:ascii="Verdana Pro Cond Light" w:hAnsi="Verdana Pro Cond Light"/>
          <w:color w:val="000000" w:themeColor="text1"/>
          <w:lang w:val="lv-LV"/>
        </w:rPr>
        <w:t xml:space="preserve">Izaugsmes stratēģijā </w:t>
      </w:r>
      <w:r w:rsidRPr="00757AA3">
        <w:rPr>
          <w:rFonts w:ascii="Verdana Pro Cond Light" w:hAnsi="Verdana Pro Cond Light"/>
          <w:lang w:val="lv-LV"/>
        </w:rPr>
        <w:t>kā nozīmīgākie darbi, kas veicinās eksporta potenciālu zaļās infrastruktūras attīstībā, ir minēti:</w:t>
      </w:r>
    </w:p>
    <w:p w14:paraId="3647626D" w14:textId="77777777" w:rsidR="00262896" w:rsidRDefault="00262896" w:rsidP="00262896">
      <w:pPr>
        <w:pStyle w:val="ListParagraph"/>
        <w:widowControl/>
        <w:numPr>
          <w:ilvl w:val="0"/>
          <w:numId w:val="10"/>
        </w:numPr>
        <w:spacing w:after="120" w:line="240" w:lineRule="auto"/>
        <w:ind w:left="567" w:hanging="283"/>
        <w:contextualSpacing w:val="0"/>
        <w:rPr>
          <w:rFonts w:ascii="Verdana Pro Cond Light" w:hAnsi="Verdana Pro Cond Light"/>
          <w:lang w:val="lv-LV"/>
        </w:rPr>
      </w:pPr>
      <w:r w:rsidRPr="00757AA3">
        <w:rPr>
          <w:rFonts w:ascii="Verdana Pro Cond Light" w:hAnsi="Verdana Pro Cond Light"/>
          <w:lang w:val="lv-LV"/>
        </w:rPr>
        <w:t>ūdeņraža tehnoloģiju attīstīšana un ražošana - nulles emisiju tehnoloģijas - «zaļais ūdeņradis» un no tā iegūtu ķīmisko savienojumu ražošana. Jaunas eksporta nišas - amonjaks, sintētiskās transporta degvielas, mākslīgais metāns, u.c. ķīmiskas vielas;</w:t>
      </w:r>
    </w:p>
    <w:p w14:paraId="6B97D114" w14:textId="77777777" w:rsidR="00262896" w:rsidRPr="00757AA3" w:rsidRDefault="00262896" w:rsidP="00262896">
      <w:pPr>
        <w:pStyle w:val="ListParagraph"/>
        <w:widowControl/>
        <w:numPr>
          <w:ilvl w:val="0"/>
          <w:numId w:val="10"/>
        </w:numPr>
        <w:spacing w:after="120" w:line="240" w:lineRule="auto"/>
        <w:ind w:left="567" w:hanging="283"/>
        <w:contextualSpacing w:val="0"/>
        <w:rPr>
          <w:rFonts w:ascii="Verdana Pro Cond Light" w:hAnsi="Verdana Pro Cond Light"/>
          <w:color w:val="000000" w:themeColor="text1"/>
          <w:lang w:val="lv-LV"/>
        </w:rPr>
      </w:pPr>
      <w:r w:rsidRPr="00757AA3">
        <w:rPr>
          <w:rFonts w:ascii="Verdana Pro Cond Light" w:hAnsi="Verdana Pro Cond Light"/>
          <w:lang w:val="lv-LV"/>
        </w:rPr>
        <w:t>atkrastes vēja projekta ELWIND attīstīšana - jauna vērtību ķēde, kura balstās uz pieejamu, ekonomiski izdevīgu un zaļu enerģiju;</w:t>
      </w:r>
    </w:p>
    <w:p w14:paraId="3A3CD22B" w14:textId="77777777" w:rsidR="00262896" w:rsidRPr="00757AA3" w:rsidRDefault="00262896" w:rsidP="00262896">
      <w:pPr>
        <w:pStyle w:val="ListParagraph"/>
        <w:widowControl/>
        <w:numPr>
          <w:ilvl w:val="0"/>
          <w:numId w:val="10"/>
        </w:numPr>
        <w:spacing w:after="120" w:line="240" w:lineRule="auto"/>
        <w:ind w:left="567" w:hanging="283"/>
        <w:contextualSpacing w:val="0"/>
        <w:rPr>
          <w:rFonts w:ascii="Verdana Pro Cond Light" w:hAnsi="Verdana Pro Cond Light"/>
          <w:color w:val="000000" w:themeColor="text1"/>
          <w:lang w:val="lv-LV"/>
        </w:rPr>
      </w:pPr>
      <w:r w:rsidRPr="00757AA3">
        <w:rPr>
          <w:rFonts w:ascii="Verdana Pro Cond Light" w:hAnsi="Verdana Pro Cond Light"/>
          <w:lang w:val="lv-LV"/>
        </w:rPr>
        <w:t>enerģijas uzkrāšanas tehnoloģiju attīstīšana un ražošana;</w:t>
      </w:r>
    </w:p>
    <w:p w14:paraId="4A5796A9" w14:textId="77777777" w:rsidR="00262896" w:rsidRDefault="00262896" w:rsidP="00262896">
      <w:pPr>
        <w:pStyle w:val="ListParagraph"/>
        <w:widowControl/>
        <w:numPr>
          <w:ilvl w:val="0"/>
          <w:numId w:val="10"/>
        </w:numPr>
        <w:spacing w:after="120" w:line="240" w:lineRule="auto"/>
        <w:ind w:left="567" w:hanging="283"/>
        <w:contextualSpacing w:val="0"/>
        <w:rPr>
          <w:rFonts w:ascii="Verdana Pro Cond Light" w:hAnsi="Verdana Pro Cond Light"/>
          <w:lang w:val="lv-LV"/>
        </w:rPr>
      </w:pPr>
      <w:r w:rsidRPr="00757AA3">
        <w:rPr>
          <w:rFonts w:ascii="Verdana Pro Cond Light" w:hAnsi="Verdana Pro Cond Light"/>
          <w:lang w:val="lv-LV"/>
        </w:rPr>
        <w:t>pasākumu energoefektivitātes atbalstam turpināšana, jaunu finansējuma veidu ieviešana.</w:t>
      </w:r>
    </w:p>
    <w:p w14:paraId="1D3B9F79" w14:textId="77777777" w:rsidR="00262896" w:rsidRPr="00757AA3" w:rsidRDefault="00262896" w:rsidP="00262896">
      <w:pPr>
        <w:pStyle w:val="ListParagraph"/>
        <w:widowControl/>
        <w:spacing w:after="120" w:line="240" w:lineRule="auto"/>
        <w:ind w:left="0"/>
        <w:contextualSpacing w:val="0"/>
        <w:rPr>
          <w:rFonts w:ascii="Verdana Pro Cond Light" w:hAnsi="Verdana Pro Cond Light"/>
          <w:color w:val="000000" w:themeColor="text1"/>
          <w:lang w:val="lv-LV"/>
        </w:rPr>
      </w:pPr>
    </w:p>
    <w:p w14:paraId="1361A2C7" w14:textId="77777777" w:rsidR="00262896" w:rsidRPr="00757AA3" w:rsidRDefault="00262896" w:rsidP="00262896">
      <w:pPr>
        <w:widowControl/>
        <w:spacing w:after="120" w:line="240" w:lineRule="auto"/>
        <w:rPr>
          <w:rFonts w:ascii="Verdana Pro Cond Light" w:hAnsi="Verdana Pro Cond Light"/>
          <w:color w:val="000000" w:themeColor="text1"/>
          <w:lang w:val="lv-LV"/>
        </w:rPr>
      </w:pPr>
      <w:r w:rsidRPr="00757AA3">
        <w:rPr>
          <w:rFonts w:ascii="Verdana Pro Cond Light" w:hAnsi="Verdana Pro Cond Light"/>
          <w:color w:val="000000" w:themeColor="text1"/>
          <w:lang w:val="lv-LV"/>
        </w:rPr>
        <w:t xml:space="preserve">Izaugsmes stratēģijā ir aplēsts, ka tautsaimniecības modernizācijai pieejamais indikatīvais publiskais finansējums līdz 2027. gadam ir </w:t>
      </w:r>
      <w:r w:rsidRPr="00757AA3">
        <w:rPr>
          <w:rFonts w:ascii="Verdana Pro Cond Light" w:hAnsi="Verdana Pro Cond Light"/>
          <w:lang w:val="lv-LV"/>
        </w:rPr>
        <w:t xml:space="preserve">vairāk nekā 12 miljardi EUR, tai skaitā Latvijas Atveseļošanas un noturības mehānisma plāna finansējums – ietver reformas un investīcijas – 2,1 mljrd. </w:t>
      </w:r>
      <w:r w:rsidRPr="00757AA3">
        <w:rPr>
          <w:rFonts w:ascii="Verdana Pro Cond Light" w:hAnsi="Verdana Pro Cond Light"/>
          <w:color w:val="000000" w:themeColor="text1"/>
          <w:lang w:val="lv-LV"/>
        </w:rPr>
        <w:t xml:space="preserve">EUR, </w:t>
      </w:r>
      <w:r w:rsidRPr="00757AA3">
        <w:rPr>
          <w:rFonts w:ascii="Verdana Pro Cond Light" w:hAnsi="Verdana Pro Cond Light"/>
          <w:lang w:val="lv-LV"/>
        </w:rPr>
        <w:t>Kohēzijas politikas instrumenti – 4,2 mljrd. EUR apjomā, atbalsts lauksaimniekiem – kopējās lauksaimniecības politikas ietvaros – 2,5 mljrd. EUR tiešmaksājumiem un 0,9 miljrd. EUR lauku attīstībai, cits ārvalstu finansējums 2,9 mljrd. EUR. Publiskais finansējums varētu tikt papildināts ar citiem valsts budžeta līdzekļiem, īstenojot uz rezultātu vērstu budžeta reformu.</w:t>
      </w:r>
    </w:p>
    <w:p w14:paraId="23AE5A27" w14:textId="77777777" w:rsidR="00262896" w:rsidRPr="00757AA3" w:rsidRDefault="00262896" w:rsidP="00262896">
      <w:pPr>
        <w:pStyle w:val="ListParagraph"/>
        <w:widowControl/>
        <w:spacing w:after="120" w:line="240" w:lineRule="auto"/>
        <w:ind w:left="0"/>
        <w:contextualSpacing w:val="0"/>
        <w:rPr>
          <w:rFonts w:ascii="Verdana Pro Cond Light" w:hAnsi="Verdana Pro Cond Light"/>
          <w:lang w:val="lv-LV"/>
        </w:rPr>
      </w:pPr>
      <w:r w:rsidRPr="00757AA3">
        <w:rPr>
          <w:rFonts w:ascii="Verdana Pro Cond Light" w:hAnsi="Verdana Pro Cond Light"/>
          <w:color w:val="000000" w:themeColor="text1"/>
          <w:lang w:val="lv-LV"/>
        </w:rPr>
        <w:t xml:space="preserve">Izaugsmes stratēģijā konkrētiem pasākumiem, ar atsevišķiem izņēmumiem saistītiem ar ES finansējuma izmantošanu, nepieciešamais finansējums ir iezīmēts tikai indikatīvi. Tā piemēram, </w:t>
      </w:r>
      <w:r w:rsidRPr="00757AA3">
        <w:rPr>
          <w:rFonts w:ascii="Verdana Pro Cond Light" w:hAnsi="Verdana Pro Cond Light"/>
          <w:lang w:val="lv-LV"/>
        </w:rPr>
        <w:t>atkrastes vēja projekta ELWIND īstenošanai paredzamās investīcijas – 1 miljr. EUR. Precīzāki finansējuma apjomi ir meklējami nozaru politikas plānošanas dokumentos.</w:t>
      </w:r>
    </w:p>
    <w:p w14:paraId="72C543EF" w14:textId="77777777" w:rsidR="00262896" w:rsidRPr="00757AA3" w:rsidRDefault="00262896" w:rsidP="00262896">
      <w:pPr>
        <w:pStyle w:val="ListParagraph"/>
        <w:widowControl/>
        <w:spacing w:after="120" w:line="240" w:lineRule="auto"/>
        <w:ind w:left="0"/>
        <w:contextualSpacing w:val="0"/>
        <w:rPr>
          <w:rFonts w:ascii="Verdana Pro Cond Light" w:hAnsi="Verdana Pro Cond Light"/>
          <w:lang w:val="lv-LV"/>
        </w:rPr>
      </w:pPr>
      <w:r w:rsidRPr="00757AA3">
        <w:rPr>
          <w:rFonts w:ascii="Verdana Pro Cond Light" w:hAnsi="Verdana Pro Cond Light"/>
          <w:lang w:val="lv-LV"/>
        </w:rPr>
        <w:t xml:space="preserve">Ekonomikas izaugsmes Mērķa scenārijs, kas atbilst </w:t>
      </w:r>
      <w:r w:rsidRPr="00757AA3">
        <w:rPr>
          <w:rFonts w:ascii="Verdana Pro Cond Light" w:hAnsi="Verdana Pro Cond Light"/>
          <w:color w:val="000000" w:themeColor="text1"/>
          <w:lang w:val="lv-LV"/>
        </w:rPr>
        <w:t xml:space="preserve">Izaugsmes stratēģijā definētiem mērķiem, ir aprakstīts EM darba tirgus </w:t>
      </w:r>
      <w:r w:rsidRPr="00757AA3">
        <w:rPr>
          <w:rFonts w:ascii="Verdana Pro Cond Light" w:hAnsi="Verdana Pro Cond Light"/>
          <w:color w:val="212529"/>
          <w:shd w:val="clear" w:color="auto" w:fill="FFFFFF"/>
          <w:lang w:val="lv-LV"/>
        </w:rPr>
        <w:t>vidējā un ilgtermiņa prognožu</w:t>
      </w:r>
      <w:r w:rsidRPr="00757AA3">
        <w:rPr>
          <w:rFonts w:ascii="Verdana Pro Cond Light" w:hAnsi="Verdana Pro Cond Light"/>
          <w:color w:val="000000" w:themeColor="text1"/>
          <w:lang w:val="lv-LV"/>
        </w:rPr>
        <w:t xml:space="preserve"> ziņojumā</w:t>
      </w:r>
      <w:r w:rsidRPr="00757AA3">
        <w:rPr>
          <w:rFonts w:ascii="Verdana Pro Cond Light" w:hAnsi="Verdana Pro Cond Light"/>
          <w:vertAlign w:val="superscript"/>
          <w:lang w:val="lv-LV"/>
        </w:rPr>
        <w:footnoteReference w:id="8"/>
      </w:r>
      <w:r w:rsidRPr="00757AA3">
        <w:rPr>
          <w:rFonts w:ascii="Verdana Pro Cond Light" w:hAnsi="Verdana Pro Cond Light"/>
          <w:color w:val="000000" w:themeColor="text1"/>
          <w:lang w:val="lv-LV"/>
        </w:rPr>
        <w:t xml:space="preserve">. </w:t>
      </w:r>
      <w:r w:rsidRPr="00757AA3">
        <w:rPr>
          <w:rFonts w:ascii="Verdana Pro Cond Light" w:hAnsi="Verdana Pro Cond Light"/>
          <w:lang w:val="lv-LV"/>
        </w:rPr>
        <w:t xml:space="preserve">Tajā ir ņemtas vērā arī demogrāfiskās izmaiņas u.c. faktori. Fundamentāls priekšnosacījums tā realizēšanai ir ekonomikas </w:t>
      </w:r>
      <w:r w:rsidRPr="00757AA3">
        <w:rPr>
          <w:rFonts w:ascii="Verdana Pro Cond Light" w:hAnsi="Verdana Pro Cond Light"/>
          <w:lang w:val="lv-LV"/>
        </w:rPr>
        <w:lastRenderedPageBreak/>
        <w:t>konkurētspējas priekšrocību balstīšana uz tehnoloģiskiem faktoriem, ražošanas efektivitāti, inovācijām, kā arī spējai pielāgoties un izmantot globālo pārmaiņu radītās iespējas.</w:t>
      </w:r>
    </w:p>
    <w:p w14:paraId="14CC29C1" w14:textId="77777777" w:rsidR="00262896" w:rsidRPr="00757AA3" w:rsidRDefault="00262896" w:rsidP="00262896">
      <w:pPr>
        <w:widowControl/>
        <w:spacing w:after="120" w:line="240" w:lineRule="auto"/>
        <w:jc w:val="both"/>
        <w:rPr>
          <w:rFonts w:ascii="Verdana Pro Cond Light" w:hAnsi="Verdana Pro Cond Light"/>
          <w:lang w:val="lv-LV"/>
        </w:rPr>
      </w:pPr>
      <w:r w:rsidRPr="00757AA3">
        <w:rPr>
          <w:rFonts w:ascii="Verdana Pro Cond Light" w:hAnsi="Verdana Pro Cond Light"/>
          <w:lang w:val="lv-LV"/>
        </w:rPr>
        <w:t>Kā redzams no 2.1. tabulas, tad Mērķa scenārijā vidējā termiņā paredzēta IKP izaugsme par vidēji 4,1 % ik gadu, bet ilgtermiņā (no 2031. līdz 2040. gadam), ekonomikas ikgadējie izaugsmes tempi kļūs lēnāki un var būt 3,7 % robežās.</w:t>
      </w:r>
    </w:p>
    <w:p w14:paraId="776A8363" w14:textId="77777777" w:rsidR="00262896" w:rsidRPr="002914D6" w:rsidRDefault="00262896" w:rsidP="00262896">
      <w:pPr>
        <w:widowControl/>
        <w:spacing w:before="120" w:after="120" w:line="240" w:lineRule="auto"/>
        <w:jc w:val="right"/>
        <w:rPr>
          <w:rFonts w:ascii="Verdana Pro Cond Light" w:hAnsi="Verdana Pro Cond Light"/>
          <w:lang w:val="lv-LV"/>
        </w:rPr>
      </w:pPr>
      <w:r w:rsidRPr="002914D6">
        <w:rPr>
          <w:rFonts w:ascii="Verdana Pro Cond Light" w:hAnsi="Verdana Pro Cond Light"/>
          <w:lang w:val="lv-LV"/>
        </w:rPr>
        <w:t>2.1. tabula</w:t>
      </w:r>
    </w:p>
    <w:p w14:paraId="4C3F6899" w14:textId="77777777" w:rsidR="00262896" w:rsidRDefault="00262896" w:rsidP="00262896">
      <w:pPr>
        <w:widowControl/>
        <w:spacing w:after="120" w:line="240" w:lineRule="auto"/>
        <w:jc w:val="center"/>
        <w:rPr>
          <w:rFonts w:ascii="Verdana Pro Cond Light" w:hAnsi="Verdana Pro Cond Light"/>
          <w:iCs/>
          <w:sz w:val="18"/>
          <w:szCs w:val="18"/>
          <w:lang w:val="lv-LV"/>
        </w:rPr>
      </w:pPr>
      <w:r w:rsidRPr="002914D6">
        <w:rPr>
          <w:rFonts w:ascii="Verdana Pro Cond Light" w:hAnsi="Verdana Pro Cond Light"/>
          <w:b/>
          <w:lang w:val="lv-LV"/>
        </w:rPr>
        <w:t>Mērķa scenārija ietvars</w:t>
      </w:r>
      <w:r w:rsidRPr="002914D6">
        <w:rPr>
          <w:rFonts w:ascii="Verdana Pro Cond Light" w:hAnsi="Verdana Pro Cond Light"/>
          <w:b/>
          <w:lang w:val="lv-LV"/>
        </w:rPr>
        <w:br/>
      </w:r>
      <w:r w:rsidRPr="002914D6">
        <w:rPr>
          <w:rFonts w:ascii="Verdana Pro Cond Light" w:hAnsi="Verdana Pro Cond Light"/>
          <w:iCs/>
          <w:sz w:val="18"/>
          <w:szCs w:val="18"/>
          <w:lang w:val="lv-LV"/>
        </w:rPr>
        <w:t>izmaiņas procentos, vidēji gadā periodā</w:t>
      </w:r>
    </w:p>
    <w:tbl>
      <w:tblPr>
        <w:tblStyle w:val="TableGrid"/>
        <w:tblW w:w="963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1701"/>
        <w:gridCol w:w="1701"/>
        <w:gridCol w:w="1701"/>
        <w:gridCol w:w="1701"/>
      </w:tblGrid>
      <w:tr w:rsidR="00262896" w:rsidRPr="00A93D72" w14:paraId="5EE95DD6" w14:textId="77777777" w:rsidTr="0002297E">
        <w:trPr>
          <w:jc w:val="center"/>
        </w:trPr>
        <w:tc>
          <w:tcPr>
            <w:tcW w:w="2835" w:type="dxa"/>
            <w:shd w:val="clear" w:color="auto" w:fill="4472C4" w:themeFill="accent1"/>
          </w:tcPr>
          <w:p w14:paraId="379C8455" w14:textId="77777777" w:rsidR="00262896" w:rsidRPr="00A93D72" w:rsidRDefault="00262896" w:rsidP="0002297E">
            <w:pPr>
              <w:widowControl/>
              <w:spacing w:before="40" w:after="40" w:line="240" w:lineRule="auto"/>
              <w:jc w:val="center"/>
              <w:rPr>
                <w:rFonts w:asciiTheme="majorHAnsi" w:hAnsiTheme="majorHAnsi" w:cstheme="majorHAnsi"/>
                <w:b/>
                <w:bCs/>
                <w:color w:val="FFFFFF" w:themeColor="background1"/>
                <w:sz w:val="16"/>
                <w:szCs w:val="16"/>
                <w:lang w:val="lv-LV"/>
              </w:rPr>
            </w:pPr>
          </w:p>
        </w:tc>
        <w:tc>
          <w:tcPr>
            <w:tcW w:w="1701" w:type="dxa"/>
            <w:shd w:val="clear" w:color="auto" w:fill="4472C4" w:themeFill="accent1"/>
          </w:tcPr>
          <w:p w14:paraId="0A8D870D" w14:textId="77777777" w:rsidR="00262896" w:rsidRDefault="00262896" w:rsidP="0002297E">
            <w:pPr>
              <w:widowControl/>
              <w:spacing w:before="40" w:after="40" w:line="240" w:lineRule="auto"/>
              <w:jc w:val="center"/>
              <w:rPr>
                <w:rFonts w:asciiTheme="majorHAnsi" w:hAnsiTheme="majorHAnsi" w:cstheme="majorHAnsi"/>
                <w:b/>
                <w:bCs/>
                <w:color w:val="FFFFFF" w:themeColor="background1"/>
                <w:sz w:val="16"/>
                <w:szCs w:val="16"/>
                <w:lang w:val="lv-LV"/>
              </w:rPr>
            </w:pPr>
            <w:r>
              <w:rPr>
                <w:rFonts w:asciiTheme="majorHAnsi" w:hAnsiTheme="majorHAnsi" w:cstheme="majorHAnsi"/>
                <w:b/>
                <w:bCs/>
                <w:color w:val="FFFFFF" w:themeColor="background1"/>
                <w:sz w:val="16"/>
                <w:szCs w:val="16"/>
                <w:lang w:val="lv-LV"/>
              </w:rPr>
              <w:t>2011-2019</w:t>
            </w:r>
          </w:p>
        </w:tc>
        <w:tc>
          <w:tcPr>
            <w:tcW w:w="1701" w:type="dxa"/>
            <w:shd w:val="clear" w:color="auto" w:fill="4472C4" w:themeFill="accent1"/>
          </w:tcPr>
          <w:p w14:paraId="7282ACDA" w14:textId="77777777" w:rsidR="00262896" w:rsidRDefault="00262896" w:rsidP="0002297E">
            <w:pPr>
              <w:widowControl/>
              <w:spacing w:before="40" w:after="40" w:line="240" w:lineRule="auto"/>
              <w:jc w:val="center"/>
              <w:rPr>
                <w:rFonts w:asciiTheme="majorHAnsi" w:hAnsiTheme="majorHAnsi" w:cstheme="majorHAnsi"/>
                <w:b/>
                <w:bCs/>
                <w:color w:val="FFFFFF" w:themeColor="background1"/>
                <w:sz w:val="16"/>
                <w:szCs w:val="16"/>
                <w:lang w:val="lv-LV"/>
              </w:rPr>
            </w:pPr>
            <w:r>
              <w:rPr>
                <w:rFonts w:asciiTheme="majorHAnsi" w:hAnsiTheme="majorHAnsi" w:cstheme="majorHAnsi"/>
                <w:b/>
                <w:bCs/>
                <w:color w:val="FFFFFF" w:themeColor="background1"/>
                <w:sz w:val="16"/>
                <w:szCs w:val="16"/>
                <w:lang w:val="lv-LV"/>
              </w:rPr>
              <w:t>2020-2023</w:t>
            </w:r>
          </w:p>
        </w:tc>
        <w:tc>
          <w:tcPr>
            <w:tcW w:w="1701" w:type="dxa"/>
            <w:shd w:val="clear" w:color="auto" w:fill="4472C4" w:themeFill="accent1"/>
          </w:tcPr>
          <w:p w14:paraId="1A2E0AB4" w14:textId="77777777" w:rsidR="00262896" w:rsidRDefault="00262896" w:rsidP="0002297E">
            <w:pPr>
              <w:widowControl/>
              <w:spacing w:before="40" w:after="40" w:line="240" w:lineRule="auto"/>
              <w:jc w:val="center"/>
              <w:rPr>
                <w:rFonts w:asciiTheme="majorHAnsi" w:hAnsiTheme="majorHAnsi" w:cstheme="majorHAnsi"/>
                <w:b/>
                <w:bCs/>
                <w:color w:val="FFFFFF" w:themeColor="background1"/>
                <w:sz w:val="16"/>
                <w:szCs w:val="16"/>
                <w:lang w:val="lv-LV"/>
              </w:rPr>
            </w:pPr>
            <w:r>
              <w:rPr>
                <w:rFonts w:asciiTheme="majorHAnsi" w:hAnsiTheme="majorHAnsi" w:cstheme="majorHAnsi"/>
                <w:b/>
                <w:bCs/>
                <w:color w:val="FFFFFF" w:themeColor="background1"/>
                <w:sz w:val="16"/>
                <w:szCs w:val="16"/>
                <w:lang w:val="lv-LV"/>
              </w:rPr>
              <w:t>2022-2030</w:t>
            </w:r>
          </w:p>
        </w:tc>
        <w:tc>
          <w:tcPr>
            <w:tcW w:w="1701" w:type="dxa"/>
            <w:shd w:val="clear" w:color="auto" w:fill="4472C4" w:themeFill="accent1"/>
          </w:tcPr>
          <w:p w14:paraId="735D5741" w14:textId="77777777" w:rsidR="00262896" w:rsidRPr="00A93D72" w:rsidRDefault="00262896" w:rsidP="0002297E">
            <w:pPr>
              <w:widowControl/>
              <w:spacing w:before="40" w:after="40" w:line="240" w:lineRule="auto"/>
              <w:jc w:val="center"/>
              <w:rPr>
                <w:rFonts w:asciiTheme="majorHAnsi" w:hAnsiTheme="majorHAnsi" w:cstheme="majorHAnsi"/>
                <w:b/>
                <w:bCs/>
                <w:color w:val="FFFFFF" w:themeColor="background1"/>
                <w:sz w:val="16"/>
                <w:szCs w:val="16"/>
                <w:lang w:val="lv-LV"/>
              </w:rPr>
            </w:pPr>
            <w:r>
              <w:rPr>
                <w:rFonts w:asciiTheme="majorHAnsi" w:hAnsiTheme="majorHAnsi" w:cstheme="majorHAnsi"/>
                <w:b/>
                <w:bCs/>
                <w:color w:val="FFFFFF" w:themeColor="background1"/>
                <w:sz w:val="16"/>
                <w:szCs w:val="16"/>
                <w:lang w:val="lv-LV"/>
              </w:rPr>
              <w:t>2031-2040</w:t>
            </w:r>
          </w:p>
        </w:tc>
      </w:tr>
      <w:tr w:rsidR="00262896" w:rsidRPr="002914D6" w14:paraId="5CE2E674" w14:textId="77777777" w:rsidTr="0002297E">
        <w:trPr>
          <w:jc w:val="center"/>
        </w:trPr>
        <w:tc>
          <w:tcPr>
            <w:tcW w:w="2835" w:type="dxa"/>
            <w:shd w:val="clear" w:color="auto" w:fill="4472C4" w:themeFill="accent1"/>
          </w:tcPr>
          <w:p w14:paraId="39C1B315" w14:textId="77777777" w:rsidR="00262896" w:rsidRPr="002914D6" w:rsidRDefault="00262896" w:rsidP="0002297E">
            <w:pPr>
              <w:widowControl/>
              <w:spacing w:before="40" w:after="40" w:line="240" w:lineRule="auto"/>
              <w:jc w:val="center"/>
              <w:rPr>
                <w:rFonts w:asciiTheme="majorHAnsi" w:hAnsiTheme="majorHAnsi" w:cstheme="majorHAnsi"/>
                <w:b/>
                <w:bCs/>
                <w:color w:val="FFFFFF" w:themeColor="background1"/>
                <w:sz w:val="16"/>
                <w:szCs w:val="16"/>
                <w:lang w:val="lv-LV"/>
              </w:rPr>
            </w:pPr>
          </w:p>
        </w:tc>
        <w:tc>
          <w:tcPr>
            <w:tcW w:w="3402" w:type="dxa"/>
            <w:gridSpan w:val="2"/>
            <w:shd w:val="clear" w:color="auto" w:fill="4472C4" w:themeFill="accent1"/>
          </w:tcPr>
          <w:p w14:paraId="57000C63" w14:textId="77777777" w:rsidR="00262896" w:rsidRPr="002914D6" w:rsidRDefault="00262896" w:rsidP="0002297E">
            <w:pPr>
              <w:widowControl/>
              <w:spacing w:before="40" w:after="40" w:line="240" w:lineRule="auto"/>
              <w:jc w:val="center"/>
              <w:rPr>
                <w:rFonts w:asciiTheme="majorHAnsi" w:hAnsiTheme="majorHAnsi" w:cstheme="majorHAnsi"/>
                <w:b/>
                <w:bCs/>
                <w:color w:val="FFFFFF" w:themeColor="background1"/>
                <w:sz w:val="16"/>
                <w:szCs w:val="16"/>
                <w:lang w:val="lv-LV"/>
              </w:rPr>
            </w:pPr>
            <w:r w:rsidRPr="002914D6">
              <w:rPr>
                <w:rFonts w:asciiTheme="majorHAnsi" w:hAnsiTheme="majorHAnsi" w:cstheme="majorHAnsi"/>
                <w:b/>
                <w:bCs/>
                <w:color w:val="FFFFFF" w:themeColor="background1"/>
                <w:sz w:val="16"/>
                <w:szCs w:val="16"/>
                <w:lang w:val="lv-LV"/>
              </w:rPr>
              <w:t>Fakts</w:t>
            </w:r>
          </w:p>
        </w:tc>
        <w:tc>
          <w:tcPr>
            <w:tcW w:w="3402" w:type="dxa"/>
            <w:gridSpan w:val="2"/>
            <w:shd w:val="clear" w:color="auto" w:fill="4472C4" w:themeFill="accent1"/>
          </w:tcPr>
          <w:p w14:paraId="37E8110D" w14:textId="77777777" w:rsidR="00262896" w:rsidRPr="002914D6" w:rsidRDefault="00262896" w:rsidP="0002297E">
            <w:pPr>
              <w:widowControl/>
              <w:spacing w:before="40" w:after="40" w:line="240" w:lineRule="auto"/>
              <w:jc w:val="center"/>
              <w:rPr>
                <w:rFonts w:asciiTheme="majorHAnsi" w:hAnsiTheme="majorHAnsi" w:cstheme="majorHAnsi"/>
                <w:b/>
                <w:bCs/>
                <w:color w:val="FFFFFF" w:themeColor="background1"/>
                <w:sz w:val="16"/>
                <w:szCs w:val="16"/>
                <w:lang w:val="lv-LV"/>
              </w:rPr>
            </w:pPr>
            <w:r w:rsidRPr="002914D6">
              <w:rPr>
                <w:rFonts w:asciiTheme="majorHAnsi" w:hAnsiTheme="majorHAnsi" w:cstheme="majorHAnsi"/>
                <w:b/>
                <w:bCs/>
                <w:color w:val="FFFFFF" w:themeColor="background1"/>
                <w:sz w:val="16"/>
                <w:szCs w:val="16"/>
                <w:lang w:val="lv-LV"/>
              </w:rPr>
              <w:t>EM prognoze</w:t>
            </w:r>
          </w:p>
        </w:tc>
      </w:tr>
      <w:tr w:rsidR="00262896" w:rsidRPr="00A93D72" w14:paraId="78A03C11" w14:textId="77777777" w:rsidTr="0002297E">
        <w:trPr>
          <w:jc w:val="center"/>
        </w:trPr>
        <w:tc>
          <w:tcPr>
            <w:tcW w:w="2835" w:type="dxa"/>
            <w:shd w:val="clear" w:color="auto" w:fill="B4C6E7" w:themeFill="accent1" w:themeFillTint="66"/>
          </w:tcPr>
          <w:p w14:paraId="07AFDBF7" w14:textId="77777777" w:rsidR="00262896" w:rsidRPr="00A93D72" w:rsidRDefault="00262896" w:rsidP="0002297E">
            <w:pPr>
              <w:widowControl/>
              <w:spacing w:before="40" w:after="40" w:line="240" w:lineRule="auto"/>
              <w:rPr>
                <w:rFonts w:asciiTheme="majorHAnsi" w:hAnsiTheme="majorHAnsi" w:cstheme="majorHAnsi"/>
                <w:sz w:val="16"/>
                <w:szCs w:val="16"/>
                <w:lang w:val="lv-LV"/>
              </w:rPr>
            </w:pPr>
            <w:r w:rsidRPr="002914D6">
              <w:rPr>
                <w:rFonts w:asciiTheme="majorHAnsi" w:hAnsiTheme="majorHAnsi" w:cstheme="majorHAnsi"/>
                <w:sz w:val="16"/>
                <w:szCs w:val="16"/>
                <w:lang w:val="lv-LV"/>
              </w:rPr>
              <w:t>Iedzīvotāju skaits</w:t>
            </w:r>
          </w:p>
        </w:tc>
        <w:tc>
          <w:tcPr>
            <w:tcW w:w="1701" w:type="dxa"/>
            <w:shd w:val="clear" w:color="auto" w:fill="B4C6E7" w:themeFill="accent1" w:themeFillTint="66"/>
          </w:tcPr>
          <w:p w14:paraId="009654D2" w14:textId="77777777" w:rsidR="00262896" w:rsidRPr="00A93D72" w:rsidRDefault="00262896" w:rsidP="0002297E">
            <w:pPr>
              <w:widowControl/>
              <w:spacing w:before="40" w:after="4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-1,1</w:t>
            </w:r>
          </w:p>
        </w:tc>
        <w:tc>
          <w:tcPr>
            <w:tcW w:w="1701" w:type="dxa"/>
            <w:shd w:val="clear" w:color="auto" w:fill="B4C6E7" w:themeFill="accent1" w:themeFillTint="66"/>
          </w:tcPr>
          <w:p w14:paraId="2240B7B6" w14:textId="77777777" w:rsidR="00262896" w:rsidRPr="00A93D72" w:rsidRDefault="00262896" w:rsidP="0002297E">
            <w:pPr>
              <w:widowControl/>
              <w:spacing w:before="40" w:after="4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-0,5</w:t>
            </w:r>
          </w:p>
        </w:tc>
        <w:tc>
          <w:tcPr>
            <w:tcW w:w="1701" w:type="dxa"/>
            <w:shd w:val="clear" w:color="auto" w:fill="B4C6E7" w:themeFill="accent1" w:themeFillTint="66"/>
          </w:tcPr>
          <w:p w14:paraId="27D4762B" w14:textId="77777777" w:rsidR="00262896" w:rsidRPr="00A93D72" w:rsidRDefault="00262896" w:rsidP="0002297E">
            <w:pPr>
              <w:widowControl/>
              <w:spacing w:before="40" w:after="4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-0,7</w:t>
            </w:r>
          </w:p>
        </w:tc>
        <w:tc>
          <w:tcPr>
            <w:tcW w:w="1701" w:type="dxa"/>
            <w:shd w:val="clear" w:color="auto" w:fill="B4C6E7" w:themeFill="accent1" w:themeFillTint="66"/>
          </w:tcPr>
          <w:p w14:paraId="1CC625AE" w14:textId="77777777" w:rsidR="00262896" w:rsidRPr="00A93D72" w:rsidRDefault="00262896" w:rsidP="0002297E">
            <w:pPr>
              <w:widowControl/>
              <w:spacing w:before="40" w:after="4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-0,2</w:t>
            </w:r>
          </w:p>
        </w:tc>
      </w:tr>
      <w:tr w:rsidR="00262896" w:rsidRPr="00A93D72" w14:paraId="7956A485" w14:textId="77777777" w:rsidTr="0002297E">
        <w:trPr>
          <w:jc w:val="center"/>
        </w:trPr>
        <w:tc>
          <w:tcPr>
            <w:tcW w:w="2835" w:type="dxa"/>
            <w:shd w:val="clear" w:color="auto" w:fill="D9E2F3" w:themeFill="accent1" w:themeFillTint="33"/>
          </w:tcPr>
          <w:p w14:paraId="362D550B" w14:textId="77777777" w:rsidR="00262896" w:rsidRPr="00A93D72" w:rsidRDefault="00262896" w:rsidP="0002297E">
            <w:pPr>
              <w:widowControl/>
              <w:spacing w:before="40" w:after="40" w:line="240" w:lineRule="auto"/>
              <w:rPr>
                <w:rFonts w:asciiTheme="majorHAnsi" w:hAnsiTheme="majorHAnsi" w:cstheme="majorHAnsi"/>
                <w:sz w:val="16"/>
                <w:szCs w:val="16"/>
                <w:lang w:val="lv-LV"/>
              </w:rPr>
            </w:pPr>
            <w:r w:rsidRPr="002914D6">
              <w:rPr>
                <w:rFonts w:asciiTheme="majorHAnsi" w:hAnsiTheme="majorHAnsi" w:cstheme="majorHAnsi"/>
                <w:sz w:val="16"/>
                <w:szCs w:val="16"/>
                <w:lang w:val="lv-LV"/>
              </w:rPr>
              <w:t>IKP faktiskajās cenās</w:t>
            </w:r>
          </w:p>
        </w:tc>
        <w:tc>
          <w:tcPr>
            <w:tcW w:w="1701" w:type="dxa"/>
            <w:shd w:val="clear" w:color="auto" w:fill="D9E2F3" w:themeFill="accent1" w:themeFillTint="33"/>
          </w:tcPr>
          <w:p w14:paraId="042468C8" w14:textId="77777777" w:rsidR="00262896" w:rsidRPr="00A93D72" w:rsidRDefault="00262896" w:rsidP="0002297E">
            <w:pPr>
              <w:widowControl/>
              <w:spacing w:before="40" w:after="4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6,0</w:t>
            </w:r>
          </w:p>
        </w:tc>
        <w:tc>
          <w:tcPr>
            <w:tcW w:w="1701" w:type="dxa"/>
            <w:shd w:val="clear" w:color="auto" w:fill="D9E2F3" w:themeFill="accent1" w:themeFillTint="33"/>
          </w:tcPr>
          <w:p w14:paraId="03D475B6" w14:textId="77777777" w:rsidR="00262896" w:rsidRPr="00A93D72" w:rsidRDefault="00262896" w:rsidP="0002297E">
            <w:pPr>
              <w:widowControl/>
              <w:spacing w:before="40" w:after="4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7,2</w:t>
            </w:r>
          </w:p>
        </w:tc>
        <w:tc>
          <w:tcPr>
            <w:tcW w:w="1701" w:type="dxa"/>
            <w:shd w:val="clear" w:color="auto" w:fill="D9E2F3" w:themeFill="accent1" w:themeFillTint="33"/>
          </w:tcPr>
          <w:p w14:paraId="08B46B50" w14:textId="77777777" w:rsidR="00262896" w:rsidRPr="00A93D72" w:rsidRDefault="00262896" w:rsidP="0002297E">
            <w:pPr>
              <w:widowControl/>
              <w:spacing w:before="40" w:after="4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6,3</w:t>
            </w:r>
          </w:p>
        </w:tc>
        <w:tc>
          <w:tcPr>
            <w:tcW w:w="1701" w:type="dxa"/>
            <w:shd w:val="clear" w:color="auto" w:fill="D9E2F3" w:themeFill="accent1" w:themeFillTint="33"/>
          </w:tcPr>
          <w:p w14:paraId="0C858547" w14:textId="77777777" w:rsidR="00262896" w:rsidRPr="00A93D72" w:rsidRDefault="00262896" w:rsidP="0002297E">
            <w:pPr>
              <w:widowControl/>
              <w:spacing w:before="40" w:after="4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5,6</w:t>
            </w:r>
          </w:p>
        </w:tc>
      </w:tr>
      <w:tr w:rsidR="00262896" w:rsidRPr="00A93D72" w14:paraId="2859D30B" w14:textId="77777777" w:rsidTr="0002297E">
        <w:trPr>
          <w:jc w:val="center"/>
        </w:trPr>
        <w:tc>
          <w:tcPr>
            <w:tcW w:w="2835" w:type="dxa"/>
            <w:shd w:val="clear" w:color="auto" w:fill="B4C6E7" w:themeFill="accent1" w:themeFillTint="66"/>
          </w:tcPr>
          <w:p w14:paraId="0BF27735" w14:textId="77777777" w:rsidR="00262896" w:rsidRPr="00A93D72" w:rsidRDefault="00262896" w:rsidP="0002297E">
            <w:pPr>
              <w:widowControl/>
              <w:spacing w:before="40" w:after="40" w:line="240" w:lineRule="auto"/>
              <w:rPr>
                <w:rFonts w:asciiTheme="majorHAnsi" w:hAnsiTheme="majorHAnsi" w:cstheme="majorHAnsi"/>
                <w:sz w:val="16"/>
                <w:szCs w:val="16"/>
                <w:lang w:val="lv-LV"/>
              </w:rPr>
            </w:pPr>
            <w:r w:rsidRPr="002914D6">
              <w:rPr>
                <w:rFonts w:asciiTheme="majorHAnsi" w:hAnsiTheme="majorHAnsi" w:cstheme="majorHAnsi"/>
                <w:sz w:val="16"/>
                <w:szCs w:val="16"/>
                <w:lang w:val="lv-LV"/>
              </w:rPr>
              <w:t>IKP salīdzināmās cenās</w:t>
            </w:r>
          </w:p>
        </w:tc>
        <w:tc>
          <w:tcPr>
            <w:tcW w:w="1701" w:type="dxa"/>
            <w:shd w:val="clear" w:color="auto" w:fill="B4C6E7" w:themeFill="accent1" w:themeFillTint="66"/>
          </w:tcPr>
          <w:p w14:paraId="6FD3ED84" w14:textId="77777777" w:rsidR="00262896" w:rsidRPr="00A93D72" w:rsidRDefault="00262896" w:rsidP="0002297E">
            <w:pPr>
              <w:widowControl/>
              <w:spacing w:before="40" w:after="4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3,3</w:t>
            </w:r>
          </w:p>
        </w:tc>
        <w:tc>
          <w:tcPr>
            <w:tcW w:w="1701" w:type="dxa"/>
            <w:shd w:val="clear" w:color="auto" w:fill="B4C6E7" w:themeFill="accent1" w:themeFillTint="66"/>
          </w:tcPr>
          <w:p w14:paraId="304BC2D0" w14:textId="77777777" w:rsidR="00262896" w:rsidRPr="00A93D72" w:rsidRDefault="00262896" w:rsidP="0002297E">
            <w:pPr>
              <w:widowControl/>
              <w:spacing w:before="40" w:after="4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1,4</w:t>
            </w:r>
          </w:p>
        </w:tc>
        <w:tc>
          <w:tcPr>
            <w:tcW w:w="1701" w:type="dxa"/>
            <w:shd w:val="clear" w:color="auto" w:fill="B4C6E7" w:themeFill="accent1" w:themeFillTint="66"/>
          </w:tcPr>
          <w:p w14:paraId="657D61BA" w14:textId="77777777" w:rsidR="00262896" w:rsidRPr="00A93D72" w:rsidRDefault="00262896" w:rsidP="0002297E">
            <w:pPr>
              <w:widowControl/>
              <w:spacing w:before="40" w:after="4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4,1</w:t>
            </w:r>
          </w:p>
        </w:tc>
        <w:tc>
          <w:tcPr>
            <w:tcW w:w="1701" w:type="dxa"/>
            <w:shd w:val="clear" w:color="auto" w:fill="B4C6E7" w:themeFill="accent1" w:themeFillTint="66"/>
          </w:tcPr>
          <w:p w14:paraId="161B174E" w14:textId="77777777" w:rsidR="00262896" w:rsidRPr="00A93D72" w:rsidRDefault="00262896" w:rsidP="0002297E">
            <w:pPr>
              <w:widowControl/>
              <w:spacing w:before="40" w:after="4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3,7</w:t>
            </w:r>
          </w:p>
        </w:tc>
      </w:tr>
    </w:tbl>
    <w:p w14:paraId="19022052" w14:textId="77777777" w:rsidR="00262896" w:rsidRPr="002914D6" w:rsidRDefault="00262896" w:rsidP="00262896">
      <w:pPr>
        <w:widowControl/>
        <w:spacing w:before="120" w:after="120" w:line="240" w:lineRule="auto"/>
        <w:jc w:val="both"/>
        <w:rPr>
          <w:rFonts w:ascii="Arial Nova Cond Light" w:hAnsi="Arial Nova Cond Light"/>
          <w:sz w:val="16"/>
          <w:szCs w:val="16"/>
          <w:lang w:val="lv-LV"/>
        </w:rPr>
      </w:pPr>
      <w:r w:rsidRPr="002914D6">
        <w:rPr>
          <w:rFonts w:ascii="Arial Nova Cond Light" w:hAnsi="Arial Nova Cond Light"/>
          <w:sz w:val="16"/>
          <w:szCs w:val="16"/>
          <w:lang w:val="lv-LV"/>
        </w:rPr>
        <w:t xml:space="preserve">Avots: </w:t>
      </w:r>
      <w:r w:rsidRPr="002914D6">
        <w:rPr>
          <w:rFonts w:ascii="Arial Nova Cond Light" w:hAnsi="Arial Nova Cond Light"/>
          <w:color w:val="000000" w:themeColor="text1"/>
          <w:sz w:val="16"/>
          <w:szCs w:val="16"/>
          <w:lang w:val="lv-LV"/>
        </w:rPr>
        <w:t xml:space="preserve">EM darba tirgus </w:t>
      </w:r>
      <w:r w:rsidRPr="002914D6">
        <w:rPr>
          <w:rFonts w:ascii="Arial Nova Cond Light" w:hAnsi="Arial Nova Cond Light"/>
          <w:color w:val="212529"/>
          <w:sz w:val="16"/>
          <w:szCs w:val="16"/>
          <w:shd w:val="clear" w:color="auto" w:fill="FFFFFF"/>
          <w:lang w:val="lv-LV"/>
        </w:rPr>
        <w:t>vidējā un ilgtermiņa prognožu</w:t>
      </w:r>
      <w:r w:rsidRPr="002914D6">
        <w:rPr>
          <w:rFonts w:ascii="Arial Nova Cond Light" w:hAnsi="Arial Nova Cond Light"/>
          <w:color w:val="000000" w:themeColor="text1"/>
          <w:sz w:val="16"/>
          <w:szCs w:val="16"/>
          <w:lang w:val="lv-LV"/>
        </w:rPr>
        <w:t xml:space="preserve"> ziņojums.</w:t>
      </w:r>
    </w:p>
    <w:p w14:paraId="019E9CAB" w14:textId="77777777" w:rsidR="00262896" w:rsidRPr="002914D6" w:rsidRDefault="00262896" w:rsidP="00262896">
      <w:pPr>
        <w:pStyle w:val="ListParagraph"/>
        <w:widowControl/>
        <w:spacing w:after="120" w:line="240" w:lineRule="auto"/>
        <w:ind w:left="0"/>
        <w:contextualSpacing w:val="0"/>
        <w:jc w:val="both"/>
        <w:rPr>
          <w:rFonts w:ascii="Verdana Pro Cond Light" w:hAnsi="Verdana Pro Cond Light"/>
          <w:lang w:val="lv-LV"/>
        </w:rPr>
      </w:pPr>
    </w:p>
    <w:p w14:paraId="3CED0C69" w14:textId="77777777" w:rsidR="00262896" w:rsidRDefault="00262896" w:rsidP="00262896">
      <w:pPr>
        <w:pStyle w:val="ListParagraph"/>
        <w:widowControl/>
        <w:spacing w:after="120" w:line="240" w:lineRule="auto"/>
        <w:ind w:left="0"/>
        <w:contextualSpacing w:val="0"/>
        <w:rPr>
          <w:rFonts w:ascii="Verdana Pro Cond Light" w:hAnsi="Verdana Pro Cond Light"/>
          <w:color w:val="000000" w:themeColor="text1"/>
          <w:lang w:val="lv-LV"/>
        </w:rPr>
      </w:pPr>
      <w:r w:rsidRPr="002914D6">
        <w:rPr>
          <w:rFonts w:ascii="Verdana Pro Cond Light" w:hAnsi="Verdana Pro Cond Light"/>
          <w:lang w:val="lv-LV"/>
        </w:rPr>
        <w:t xml:space="preserve">Kopumā jāatzīmē, ka </w:t>
      </w:r>
      <w:r w:rsidRPr="002914D6">
        <w:rPr>
          <w:rFonts w:ascii="Verdana Pro Cond Light" w:hAnsi="Verdana Pro Cond Light"/>
          <w:color w:val="000000" w:themeColor="text1"/>
          <w:lang w:val="lv-LV"/>
        </w:rPr>
        <w:t>Izaugsmes stratēģijā noteiktie politikas virzieni un pasākumi noteikti veicinās sasniegt izvirzītos ekonomikas izaugsmes mērķus un virzību pa mērķa scenārija trajektoriju. Tomēr, jāņem vērā, ka nelabvēlīga situācija ārējā vidē, tai skaitā pašreizējās ģeopolitiskās spriedzes ilgstoša turpināšanās, var kavēt valdības centienus nodrošināt ilgtspējīgu izaugsmi. Tāpat nelabvēlīgā demogrāfiskā situācija un reformu kavēšanās citās jomās, piemēram, izglītībā, veselībā u.c. negatīvi ietekmēs izaugsmes mērķus.</w:t>
      </w:r>
    </w:p>
    <w:p w14:paraId="6D01EC23" w14:textId="77777777" w:rsidR="00262896" w:rsidRPr="002914D6" w:rsidRDefault="00262896" w:rsidP="00262896">
      <w:pPr>
        <w:pStyle w:val="ListParagraph"/>
        <w:widowControl/>
        <w:spacing w:after="120" w:line="240" w:lineRule="auto"/>
        <w:ind w:left="0"/>
        <w:contextualSpacing w:val="0"/>
        <w:rPr>
          <w:rFonts w:ascii="Verdana Pro Cond Light" w:hAnsi="Verdana Pro Cond Light"/>
          <w:color w:val="000000" w:themeColor="text1"/>
          <w:lang w:val="lv-LV"/>
        </w:rPr>
      </w:pPr>
    </w:p>
    <w:p w14:paraId="7DCCF7C4" w14:textId="77777777" w:rsidR="00262896" w:rsidRPr="002914D6" w:rsidRDefault="00262896" w:rsidP="00262896">
      <w:pPr>
        <w:widowControl/>
        <w:spacing w:after="120" w:line="240" w:lineRule="auto"/>
        <w:rPr>
          <w:rFonts w:ascii="Verdana Pro Cond Light" w:hAnsi="Verdana Pro Cond Light"/>
          <w:b/>
          <w:bCs/>
          <w:lang w:val="lv-LV"/>
        </w:rPr>
      </w:pPr>
      <w:r w:rsidRPr="002914D6">
        <w:rPr>
          <w:rFonts w:ascii="Verdana Pro Cond Light" w:hAnsi="Verdana Pro Cond Light"/>
          <w:b/>
          <w:bCs/>
          <w:color w:val="000000"/>
          <w:lang w:val="lv-LV"/>
        </w:rPr>
        <w:t>Enerģētikas un klimata mērķi</w:t>
      </w:r>
    </w:p>
    <w:p w14:paraId="3B4A208D" w14:textId="77777777" w:rsidR="00262896" w:rsidRPr="002914D6" w:rsidRDefault="00262896" w:rsidP="00262896">
      <w:pPr>
        <w:widowControl/>
        <w:spacing w:after="120" w:line="240" w:lineRule="auto"/>
        <w:rPr>
          <w:rFonts w:ascii="Verdana Pro Cond Light" w:hAnsi="Verdana Pro Cond Light"/>
          <w:lang w:val="lv-LV"/>
        </w:rPr>
      </w:pPr>
      <w:r w:rsidRPr="002914D6">
        <w:rPr>
          <w:rFonts w:ascii="Verdana Pro Cond Light" w:hAnsi="Verdana Pro Cond Light"/>
          <w:spacing w:val="11"/>
          <w:lang w:val="lv-LV"/>
        </w:rPr>
        <w:t>Finanšu ministrijas ikgadējā informatīvā ziņojumā “Fiskālo risku deklarācija”</w:t>
      </w:r>
      <w:r w:rsidRPr="002914D6">
        <w:rPr>
          <w:rFonts w:ascii="Verdana Pro Cond Light" w:hAnsi="Verdana Pro Cond Light"/>
          <w:vertAlign w:val="superscript"/>
          <w:lang w:val="lv-LV"/>
        </w:rPr>
        <w:t xml:space="preserve"> </w:t>
      </w:r>
      <w:r w:rsidRPr="002914D6">
        <w:rPr>
          <w:rFonts w:ascii="Verdana Pro Cond Light" w:hAnsi="Verdana Pro Cond Light"/>
          <w:vertAlign w:val="superscript"/>
          <w:lang w:val="lv-LV"/>
        </w:rPr>
        <w:footnoteReference w:id="9"/>
      </w:r>
      <w:r w:rsidRPr="002914D6">
        <w:rPr>
          <w:rFonts w:ascii="Verdana Pro Cond Light" w:hAnsi="Verdana Pro Cond Light"/>
          <w:spacing w:val="11"/>
          <w:lang w:val="lv-LV"/>
        </w:rPr>
        <w:t xml:space="preserve"> ir atzīmēts, ka </w:t>
      </w:r>
      <w:r w:rsidRPr="002914D6">
        <w:rPr>
          <w:rFonts w:ascii="Verdana Pro Cond Light" w:hAnsi="Verdana Pro Cond Light"/>
          <w:lang w:val="lv-LV"/>
        </w:rPr>
        <w:t>klimata pārmaiņu fiskālās ietekmes novērtējums (pat indikatīvs) ir komplicēts un atkarīgs no daudziem faktoriem (piemēram, pašmāju un ārvalstu politiku reakcijas; investīciju sadalījuma starp publisko, mājsaimniecību un uzņēmējdarbības sektoru; ražošanas faktoru izmaksām; inovācijām un tehnoloģiskā progresa). Atbilstoši Fizikālās enerģētikas institūta (FEI) pētījuma „Latvijas tautsaimniecības attīstības iespējamo scenāriju līdz 2050.</w:t>
      </w:r>
      <w:r w:rsidRPr="00DC3452">
        <w:rPr>
          <w:rFonts w:ascii="Verdana Pro Cond Light" w:hAnsi="Verdana Pro Cond Light"/>
          <w:lang w:val="lv-LV"/>
        </w:rPr>
        <w:t> </w:t>
      </w:r>
      <w:r w:rsidRPr="002914D6">
        <w:rPr>
          <w:rFonts w:ascii="Verdana Pro Cond Light" w:hAnsi="Verdana Pro Cond Light"/>
          <w:lang w:val="lv-LV"/>
        </w:rPr>
        <w:t>gadam izstrāde atbilstoši ES ilgtermiņa attīstības redzējumam”</w:t>
      </w:r>
      <w:r w:rsidRPr="002914D6">
        <w:rPr>
          <w:rStyle w:val="FootnoteReference"/>
          <w:rFonts w:ascii="Verdana Pro Cond Light" w:hAnsi="Verdana Pro Cond Light"/>
          <w:lang w:val="lv-LV"/>
        </w:rPr>
        <w:footnoteReference w:id="10"/>
      </w:r>
      <w:r w:rsidRPr="002914D6">
        <w:rPr>
          <w:rFonts w:ascii="Verdana Pro Cond Light" w:hAnsi="Verdana Pro Cond Light"/>
          <w:lang w:val="lv-LV"/>
        </w:rPr>
        <w:t xml:space="preserve"> sākotnējam izvērtējumam (2019. gada decembris), kas atspoguļots Latvijas stratēģijā klimatneitralitātes sasniegšanai līdz 2050.</w:t>
      </w:r>
      <w:r w:rsidRPr="00DC3452">
        <w:rPr>
          <w:rFonts w:ascii="Verdana Pro Cond Light" w:hAnsi="Verdana Pro Cond Light"/>
          <w:lang w:val="lv-LV"/>
        </w:rPr>
        <w:t> </w:t>
      </w:r>
      <w:r w:rsidRPr="002914D6">
        <w:rPr>
          <w:rFonts w:ascii="Verdana Pro Cond Light" w:hAnsi="Verdana Pro Cond Light"/>
          <w:lang w:val="lv-LV"/>
        </w:rPr>
        <w:t>gadam, indikatīvās prognozes papildu investīcijām mērķa scenārija īstenošanai (t.i. klimatneitralitātes sasniegšanai) laika periodā no 2020. gada līdz 2050.</w:t>
      </w:r>
      <w:r w:rsidRPr="00DC3452">
        <w:rPr>
          <w:rFonts w:ascii="Verdana Pro Cond Light" w:hAnsi="Verdana Pro Cond Light"/>
          <w:lang w:val="lv-LV"/>
        </w:rPr>
        <w:t> </w:t>
      </w:r>
      <w:r w:rsidRPr="002914D6">
        <w:rPr>
          <w:rFonts w:ascii="Verdana Pro Cond Light" w:hAnsi="Verdana Pro Cond Light"/>
          <w:lang w:val="lv-LV"/>
        </w:rPr>
        <w:t xml:space="preserve">gadam ir aptuveni 16 mljrd. </w:t>
      </w:r>
      <w:r w:rsidRPr="002914D6">
        <w:rPr>
          <w:rFonts w:ascii="Verdana Pro Cond Light" w:hAnsi="Verdana Pro Cond Light"/>
          <w:i/>
          <w:iCs/>
          <w:lang w:val="lv-LV"/>
        </w:rPr>
        <w:t>euro</w:t>
      </w:r>
      <w:r w:rsidRPr="002914D6">
        <w:rPr>
          <w:rFonts w:ascii="Verdana Pro Cond Light" w:hAnsi="Verdana Pro Cond Light"/>
          <w:lang w:val="lv-LV"/>
        </w:rPr>
        <w:t xml:space="preserve"> (2010.</w:t>
      </w:r>
      <w:r w:rsidRPr="00DC3452">
        <w:rPr>
          <w:rFonts w:ascii="Verdana Pro Cond Light" w:hAnsi="Verdana Pro Cond Light"/>
          <w:lang w:val="lv-LV"/>
        </w:rPr>
        <w:t> </w:t>
      </w:r>
      <w:r w:rsidRPr="002914D6">
        <w:rPr>
          <w:rFonts w:ascii="Verdana Pro Cond Light" w:hAnsi="Verdana Pro Cond Light"/>
          <w:lang w:val="lv-LV"/>
        </w:rPr>
        <w:t xml:space="preserve">gada salīdzināmajās cenās) jeb aptuveni 1,35% vidēji gadā no IKP. Vienlaicīgi tiek atzīmēts, ka, pateicoties papildu investīcijām, veidojas arī ieguvumi, piemēram, no izmaksu par kurināmo samazināšanās (arī resursu izmantošanas efektivitātes paaugstināšanas dēļ) un citu ekspluatācijas izmaksu ietaupījumiem. Līdz ar to laika periodā līdz 2050. gadam papildu kopējās izmaksas mērķa īstenošanai pēc sākotnējām indikatīvām prognozēm ir aptuveni 13,5 mljrd. </w:t>
      </w:r>
      <w:r w:rsidRPr="002914D6">
        <w:rPr>
          <w:rFonts w:ascii="Verdana Pro Cond Light" w:hAnsi="Verdana Pro Cond Light"/>
          <w:i/>
          <w:iCs/>
          <w:lang w:val="lv-LV"/>
        </w:rPr>
        <w:t>euro</w:t>
      </w:r>
      <w:r w:rsidRPr="002914D6">
        <w:rPr>
          <w:rFonts w:ascii="Verdana Pro Cond Light" w:hAnsi="Verdana Pro Cond Light"/>
          <w:lang w:val="lv-LV"/>
        </w:rPr>
        <w:t xml:space="preserve"> (2010.</w:t>
      </w:r>
      <w:r w:rsidRPr="002914D6">
        <w:rPr>
          <w:rFonts w:ascii="Verdana Pro Cond Light" w:hAnsi="Verdana Pro Cond Light"/>
          <w:b/>
          <w:bCs/>
          <w:lang w:val="lv-LV"/>
        </w:rPr>
        <w:t> </w:t>
      </w:r>
      <w:r w:rsidRPr="002914D6">
        <w:rPr>
          <w:rFonts w:ascii="Verdana Pro Cond Light" w:hAnsi="Verdana Pro Cond Light"/>
          <w:lang w:val="lv-LV"/>
        </w:rPr>
        <w:t>gada salīdzināmajās cenās) jeb aptuveni 1,1% vidēji gadā no IKP.</w:t>
      </w:r>
    </w:p>
    <w:p w14:paraId="25CF8EED" w14:textId="77777777" w:rsidR="00262896" w:rsidRPr="002914D6" w:rsidRDefault="00262896" w:rsidP="00262896">
      <w:pPr>
        <w:widowControl/>
        <w:spacing w:after="120" w:line="240" w:lineRule="auto"/>
        <w:rPr>
          <w:rFonts w:ascii="Verdana Pro Cond Light" w:hAnsi="Verdana Pro Cond Light"/>
          <w:lang w:val="lv-LV"/>
        </w:rPr>
      </w:pPr>
      <w:r w:rsidRPr="002914D6">
        <w:rPr>
          <w:rFonts w:ascii="Verdana Pro Cond Light" w:hAnsi="Verdana Pro Cond Light"/>
          <w:lang w:val="lv-LV"/>
        </w:rPr>
        <w:t>Investīciju apjoma novērtēšanai FEI izmantoja MARKAL modeli pamatojoties uz pieņēmumiem par makroekonomisko rādītāju izmaiņām Latvijā līdz 2050. gadam, tehnoloģiju un kurināmā izmaksu izmaiņu tendencēm u.c. Pēc FEI indikatīvām prognozēm klimatneitralitātes scenārija īstenošanai laika periodā 2020. – 2050. gadam ir nepieciešamas kopējās investīcijas robežās 16,2 – 22,7 miljardi eiro. Mazākās izmaksas ir scenārijam, kurā SEG emisiju samazināšanai papildus tehnoloģiskiem risinājumiem paredz patērētāju uzvedības maiņu un aprites ekonomikas principu ieviešanu. FEI modelētajos scenārijos tiek pieņemts, ka Latvijā līdz 2050. gadam enerģijas pārveidošanas sektorā netiek izmantotas kodolenerģētikas tehnoloģijas un oglekļa uztveršanas un noglabāšanas tehnoloģijas. Tika pieņemts, ka oglekļa uztveršanas un noglabāšanas tehnoloģijas tiek izmantotas tikai lielos uzņēmumos rūpniecisko procesu radīto SEG emisiju samazināšanai.</w:t>
      </w:r>
    </w:p>
    <w:p w14:paraId="26AADB70" w14:textId="77777777" w:rsidR="00262896" w:rsidRPr="002914D6" w:rsidRDefault="00262896" w:rsidP="00262896">
      <w:pPr>
        <w:widowControl/>
        <w:spacing w:after="120" w:line="240" w:lineRule="auto"/>
        <w:rPr>
          <w:rFonts w:ascii="Verdana Pro Cond Light" w:hAnsi="Verdana Pro Cond Light"/>
          <w:spacing w:val="11"/>
          <w:lang w:val="lv-LV"/>
        </w:rPr>
      </w:pPr>
      <w:r>
        <w:rPr>
          <w:rFonts w:ascii="Verdana Pro Cond Light" w:hAnsi="Verdana Pro Cond Light"/>
          <w:lang w:val="lv-LV"/>
        </w:rPr>
        <w:lastRenderedPageBreak/>
        <w:t>Finanšu ministrija (</w:t>
      </w:r>
      <w:r w:rsidRPr="002914D6">
        <w:rPr>
          <w:rFonts w:ascii="Verdana Pro Cond Light" w:hAnsi="Verdana Pro Cond Light"/>
          <w:lang w:val="lv-LV"/>
        </w:rPr>
        <w:t>FM</w:t>
      </w:r>
      <w:r>
        <w:rPr>
          <w:rFonts w:ascii="Verdana Pro Cond Light" w:hAnsi="Verdana Pro Cond Light"/>
          <w:lang w:val="lv-LV"/>
        </w:rPr>
        <w:t>)</w:t>
      </w:r>
      <w:r w:rsidRPr="002914D6">
        <w:rPr>
          <w:rFonts w:ascii="Verdana Pro Cond Light" w:hAnsi="Verdana Pro Cond Light"/>
          <w:lang w:val="lv-LV"/>
        </w:rPr>
        <w:t xml:space="preserve"> norāda, ka saistībā ar pēdējos gados “Gatavi mērķrādītājam 55%” pakotnes ietvaros dalībvalstu uzņemtajām papildus saistībām, kas paredz paātrināt līdz 2030.</w:t>
      </w:r>
      <w:r w:rsidRPr="00DC3452">
        <w:rPr>
          <w:rFonts w:ascii="Verdana Pro Cond Light" w:hAnsi="Verdana Pro Cond Light"/>
          <w:lang w:val="lv-LV"/>
        </w:rPr>
        <w:t> </w:t>
      </w:r>
      <w:r w:rsidRPr="002914D6">
        <w:rPr>
          <w:rFonts w:ascii="Verdana Pro Cond Light" w:hAnsi="Verdana Pro Cond Light"/>
          <w:lang w:val="lv-LV"/>
        </w:rPr>
        <w:t>gadam klimata mērķu sasniegšanu, sagaidāmo investīciju apjoms klimatneitralitātes sasniegšanai ir audzis.</w:t>
      </w:r>
    </w:p>
    <w:p w14:paraId="03B11A27" w14:textId="77777777" w:rsidR="00262896" w:rsidRPr="002914D6" w:rsidRDefault="00262896" w:rsidP="00262896">
      <w:pPr>
        <w:widowControl/>
        <w:spacing w:after="120" w:line="240" w:lineRule="auto"/>
        <w:rPr>
          <w:rFonts w:ascii="Verdana Pro Cond Light" w:hAnsi="Verdana Pro Cond Light"/>
          <w:b/>
          <w:bCs/>
          <w:lang w:val="lv-LV"/>
        </w:rPr>
      </w:pPr>
      <w:r w:rsidRPr="002914D6">
        <w:rPr>
          <w:rFonts w:ascii="Verdana Pro Cond Light" w:hAnsi="Verdana Pro Cond Light"/>
          <w:lang w:val="lv-LV"/>
        </w:rPr>
        <w:t>“Latvijas Nacionālais enerģētikas un klimata plāns 2021. -2030. gadam</w:t>
      </w:r>
      <w:r w:rsidRPr="00DC3452">
        <w:rPr>
          <w:rFonts w:ascii="Verdana Pro Cond Light" w:hAnsi="Verdana Pro Cond Light"/>
          <w:lang w:val="lv-LV"/>
        </w:rPr>
        <w:t>”</w:t>
      </w:r>
      <w:r w:rsidRPr="002914D6">
        <w:rPr>
          <w:rFonts w:ascii="Verdana Pro Cond Light" w:hAnsi="Verdana Pro Cond Light"/>
          <w:b/>
          <w:bCs/>
          <w:lang w:val="lv-LV"/>
        </w:rPr>
        <w:t xml:space="preserve"> </w:t>
      </w:r>
      <w:r w:rsidRPr="002914D6">
        <w:rPr>
          <w:rStyle w:val="Strong"/>
          <w:rFonts w:ascii="Verdana Pro Cond Light" w:hAnsi="Verdana Pro Cond Light"/>
          <w:color w:val="212529"/>
          <w:shd w:val="clear" w:color="auto" w:fill="FFFFFF"/>
          <w:lang w:val="lv-LV"/>
        </w:rPr>
        <w:t xml:space="preserve">(NEKP) </w:t>
      </w:r>
      <w:r w:rsidRPr="002914D6">
        <w:rPr>
          <w:rFonts w:ascii="Verdana Pro Cond Light" w:hAnsi="Verdana Pro Cond Light"/>
          <w:lang w:val="lv-LV"/>
        </w:rPr>
        <w:t xml:space="preserve">iezīmē valsts enerģētikas un klimata politikas pamatprincipus, mērķus un rīcības virzienus līdz 2030. gadam. Ievērojot pēdējo gadu dinamiskos globālos notikumus – globālā pandēmija, enerģijas cenu kritums, karš Ukrainā un ar to saistītais enerģijas cenu nepieredzētais kāpums un šo notikumu ietekmi gan ES, gan nacionālo tautsaimniecību un regulējumu, 2024. gadā NEKP tika atjaunots un </w:t>
      </w:r>
      <w:r w:rsidRPr="002914D6">
        <w:rPr>
          <w:rStyle w:val="Strong"/>
          <w:rFonts w:ascii="Verdana Pro Cond Light" w:hAnsi="Verdana Pro Cond Light"/>
          <w:color w:val="212529"/>
          <w:shd w:val="clear" w:color="auto" w:fill="FFFFFF"/>
          <w:lang w:val="lv-LV"/>
        </w:rPr>
        <w:t>9. jūlijā, Ministru kabinets to apstiprināja un atbalstīja tā iesniegšanu Eiropas Komisijai.</w:t>
      </w:r>
    </w:p>
    <w:p w14:paraId="3C450211" w14:textId="77777777" w:rsidR="00262896" w:rsidRPr="002914D6" w:rsidRDefault="00262896" w:rsidP="00262896">
      <w:pPr>
        <w:widowControl/>
        <w:spacing w:after="120" w:line="240" w:lineRule="auto"/>
        <w:rPr>
          <w:rFonts w:ascii="Verdana Pro Cond Light" w:hAnsi="Verdana Pro Cond Light"/>
          <w:color w:val="212529"/>
          <w:shd w:val="clear" w:color="auto" w:fill="FFFFFF"/>
          <w:lang w:val="lv-LV"/>
        </w:rPr>
      </w:pPr>
      <w:r w:rsidRPr="002914D6">
        <w:rPr>
          <w:rFonts w:ascii="Verdana Pro Cond Light" w:hAnsi="Verdana Pro Cond Light"/>
          <w:color w:val="212529"/>
          <w:lang w:val="lv-LV"/>
        </w:rPr>
        <w:t>Atbilstoši KEM vērtējumam</w:t>
      </w:r>
      <w:r w:rsidRPr="002914D6">
        <w:rPr>
          <w:rFonts w:ascii="Verdana Pro Cond Light" w:hAnsi="Verdana Pro Cond Light"/>
          <w:vertAlign w:val="superscript"/>
          <w:lang w:val="lv-LV"/>
        </w:rPr>
        <w:footnoteReference w:id="11"/>
      </w:r>
      <w:r w:rsidRPr="002914D6">
        <w:rPr>
          <w:rFonts w:ascii="Verdana Pro Cond Light" w:hAnsi="Verdana Pro Cond Light"/>
          <w:color w:val="212529"/>
          <w:lang w:val="lv-LV"/>
        </w:rPr>
        <w:t xml:space="preserve"> </w:t>
      </w:r>
      <w:r w:rsidRPr="002914D6">
        <w:rPr>
          <w:rFonts w:ascii="Verdana Pro Cond Light" w:hAnsi="Verdana Pro Cond Light"/>
          <w:color w:val="212529"/>
          <w:shd w:val="clear" w:color="auto" w:fill="FFFFFF"/>
          <w:lang w:val="lv-LV"/>
        </w:rPr>
        <w:t xml:space="preserve">pasākumu īstenošanai līdz 2030. gadam nepieciešamas ap 14,7 mljrd. eiro lielas kopējās investīcijas, no tām publisko investīciju apjoms </w:t>
      </w:r>
      <w:r w:rsidRPr="002914D6">
        <w:rPr>
          <w:rFonts w:ascii="Verdana Pro Cond Light" w:hAnsi="Verdana Pro Cond Light"/>
          <w:color w:val="212529"/>
          <w:lang w:val="lv-LV"/>
        </w:rPr>
        <w:t xml:space="preserve">(ES budžeta finanšu līdzekļi, citi ārvalstu finanšu instrumenti u.c.) </w:t>
      </w:r>
      <w:r w:rsidRPr="002914D6">
        <w:rPr>
          <w:rFonts w:ascii="Verdana Pro Cond Light" w:hAnsi="Verdana Pro Cond Light"/>
          <w:color w:val="212529"/>
          <w:shd w:val="clear" w:color="auto" w:fill="FFFFFF"/>
          <w:lang w:val="lv-LV"/>
        </w:rPr>
        <w:t>aptvertu 40 %, kas atbilst ES vidējam rādītājam.</w:t>
      </w:r>
    </w:p>
    <w:p w14:paraId="3E6D0CFC" w14:textId="77777777" w:rsidR="00262896" w:rsidRPr="002914D6" w:rsidRDefault="00262896" w:rsidP="00262896">
      <w:pPr>
        <w:pStyle w:val="text-align-justify"/>
        <w:shd w:val="clear" w:color="auto" w:fill="FFFFFF"/>
        <w:spacing w:before="0" w:beforeAutospacing="0" w:after="120" w:afterAutospacing="0"/>
        <w:rPr>
          <w:rFonts w:ascii="Verdana Pro Cond Light" w:hAnsi="Verdana Pro Cond Light"/>
          <w:color w:val="212529"/>
          <w:sz w:val="22"/>
          <w:szCs w:val="22"/>
        </w:rPr>
      </w:pPr>
      <w:r w:rsidRPr="002914D6">
        <w:rPr>
          <w:rFonts w:ascii="Verdana Pro Cond Light" w:hAnsi="Verdana Pro Cond Light"/>
          <w:color w:val="212529"/>
          <w:sz w:val="22"/>
          <w:szCs w:val="22"/>
        </w:rPr>
        <w:t>Atjauninātais NEKP sastāv no piecām dimensijām – dekarbonizācija un atjaunīgā enerģija, energoefektivitāte, energodrošība, ES iekšējo enerģijas tirgu integrācija, kā arī pētniecība, inovācija un konkurētspēja. Plānā ietverti vairāk par 200 pasākumu, no tiem lauvas tiesa vērsti uz enerģētiku, ēku energoefektivitāti, transporta sektoru, lauksaimniecību un zemes sektoru.</w:t>
      </w:r>
    </w:p>
    <w:p w14:paraId="7897EBF8" w14:textId="77777777" w:rsidR="00262896" w:rsidRPr="002914D6" w:rsidRDefault="00262896" w:rsidP="00262896">
      <w:pPr>
        <w:pStyle w:val="text-align-justify"/>
        <w:shd w:val="clear" w:color="auto" w:fill="FFFFFF"/>
        <w:spacing w:before="0" w:beforeAutospacing="0" w:after="120" w:afterAutospacing="0"/>
        <w:rPr>
          <w:rFonts w:ascii="Verdana Pro Cond Light" w:hAnsi="Verdana Pro Cond Light"/>
          <w:color w:val="212529"/>
          <w:sz w:val="22"/>
          <w:szCs w:val="22"/>
        </w:rPr>
      </w:pPr>
      <w:r w:rsidRPr="002914D6">
        <w:rPr>
          <w:rFonts w:ascii="Verdana Pro Cond Light" w:hAnsi="Verdana Pro Cond Light"/>
          <w:color w:val="212529"/>
          <w:sz w:val="22"/>
          <w:szCs w:val="22"/>
        </w:rPr>
        <w:t>Atbilstoši Klimata un enerģētikas ministrijas (KEM) vērtējumam</w:t>
      </w:r>
      <w:r w:rsidRPr="002914D6">
        <w:rPr>
          <w:rFonts w:ascii="Verdana Pro Cond Light" w:hAnsi="Verdana Pro Cond Light"/>
          <w:sz w:val="22"/>
          <w:szCs w:val="22"/>
          <w:vertAlign w:val="superscript"/>
        </w:rPr>
        <w:footnoteReference w:id="12"/>
      </w:r>
      <w:r w:rsidRPr="002914D6">
        <w:rPr>
          <w:rFonts w:ascii="Verdana Pro Cond Light" w:hAnsi="Verdana Pro Cond Light"/>
          <w:color w:val="212529"/>
          <w:sz w:val="22"/>
          <w:szCs w:val="22"/>
        </w:rPr>
        <w:t xml:space="preserve"> siltumnīcefekta gāzu emisiju samazināšanas mērķus enerģētikas sektorā Latvija pārpilda ar uzviju, ņemot vērā, ka 2022. gadā enerģētikas kopējās emisijas, salīdzinot ar 2005. gadu, ir samazinājušās par 12 %, kamēr citās nozarēs emisiju apjoms pieaug. NEKP izstrādē ņemtas vērā tehnoloģijas un izmaksu iespējas pasākumu īstenošanā dažādos sektoros. Piemēram, ēku renovācijā un transporta sektorā ir sabiedrībai saprotamas un darāmas lietas, lai būtiski mazinātu resursu patēriņu. Tas dod lielāku elastību grūtāk dekarbonizējamiem sektoriem, piemēram, lauksaimniecībai kļūt zaļākiem.</w:t>
      </w:r>
    </w:p>
    <w:p w14:paraId="774493C8" w14:textId="77777777" w:rsidR="00262896" w:rsidRPr="002914D6" w:rsidRDefault="00262896" w:rsidP="00262896">
      <w:pPr>
        <w:widowControl/>
        <w:spacing w:after="120" w:line="240" w:lineRule="auto"/>
        <w:rPr>
          <w:rFonts w:ascii="Verdana Pro Cond Light" w:hAnsi="Verdana Pro Cond Light"/>
          <w:lang w:val="lv-LV"/>
        </w:rPr>
      </w:pPr>
      <w:r w:rsidRPr="002914D6">
        <w:rPr>
          <w:rFonts w:ascii="Verdana Pro Cond Light" w:hAnsi="Verdana Pro Cond Light"/>
          <w:lang w:val="lv-LV"/>
        </w:rPr>
        <w:t xml:space="preserve">Lai īstenotu </w:t>
      </w:r>
      <w:r w:rsidRPr="002914D6">
        <w:rPr>
          <w:rFonts w:ascii="Verdana Pro Cond Light" w:hAnsi="Verdana Pro Cond Light"/>
          <w:color w:val="212529"/>
          <w:lang w:val="lv-LV"/>
        </w:rPr>
        <w:t>NEKP</w:t>
      </w:r>
      <w:r w:rsidRPr="002914D6">
        <w:rPr>
          <w:rFonts w:ascii="Verdana Pro Cond Light" w:hAnsi="Verdana Pro Cond Light"/>
          <w:lang w:val="lv-LV"/>
        </w:rPr>
        <w:t xml:space="preserve"> ietvertos pasākumus un uzdevumus, plānots izmantot publisko finansējumu (valsts un pašvaldību budžeta finansējumu), Latvijai pieejamo ES budžeta finansējumu ES fondu un citu ES budžeta finanšu instrumentu veidā, citu ārvalstu finanšu instrumentu veidā, citu finansējuma avotu līdzekļus un privāto kapitālu atkarībā no pasākuma rakstura. Pasākumus, kas ir saistīti ar tiesību aktu un politikas plānošanas dokumentu izstrādi, un ar to saistīto pētījumu vai izvērtējumu veikšanu, institūcijas nozaru politikas un pasākumus īsteno tām piešķirto valsts budžetu līdzekļu ietvaros.</w:t>
      </w:r>
    </w:p>
    <w:p w14:paraId="1CE66841" w14:textId="77777777" w:rsidR="00262896" w:rsidRPr="00A14B6D" w:rsidRDefault="00262896" w:rsidP="00262896">
      <w:pPr>
        <w:spacing w:before="40" w:after="160" w:line="240" w:lineRule="auto"/>
        <w:jc w:val="both"/>
        <w:rPr>
          <w:rFonts w:ascii="Verdana Pro Cond Light" w:hAnsi="Verdana Pro Cond Light"/>
          <w:lang w:val="lv-LV"/>
        </w:rPr>
      </w:pPr>
      <w:r w:rsidRPr="00A14B6D">
        <w:rPr>
          <w:rFonts w:ascii="Verdana Pro Cond Light" w:hAnsi="Verdana Pro Cond Light"/>
          <w:lang w:val="lv-LV"/>
        </w:rPr>
        <w:t>Autoru veiktā NEKP analīze liecina, ka tajā ir iekļauti 217 pasākumi, no kuriem 118 ir nepieciešams papildu finansējums. Savukārt iezīmēts finansējums ir tikai 57 pasākumiem. Ir 12 pasākumi, kuriem šķietami finansējums būtu nepieciešams, bet apjoms nav definēts.</w:t>
      </w:r>
    </w:p>
    <w:p w14:paraId="4E3A3E2F" w14:textId="77777777" w:rsidR="00262896" w:rsidRPr="002914D6" w:rsidRDefault="00262896" w:rsidP="00262896">
      <w:pPr>
        <w:widowControl/>
        <w:spacing w:after="120" w:line="240" w:lineRule="auto"/>
        <w:rPr>
          <w:rFonts w:ascii="Verdana Pro Cond Light" w:hAnsi="Verdana Pro Cond Light"/>
          <w:lang w:val="lv-LV"/>
        </w:rPr>
      </w:pPr>
      <w:r w:rsidRPr="002914D6">
        <w:rPr>
          <w:rFonts w:ascii="Verdana Pro Cond Light" w:hAnsi="Verdana Pro Cond Light"/>
          <w:lang w:val="lv-LV"/>
        </w:rPr>
        <w:t>Bez ailes “SEG emisijas samazinājums (kt CO2 ekv.) apjomā” nav iespējams novērtēt, vai/kāpēc plānā tiek iekļauti pasākumi ar papildus nepieciešamo finansējumu, bet bez ietekmes uz SEG emisiju samazinājumu, kā arī izteikt vērtējumus par investīciju euro/SEG emisiju samazinājuma (kt CO2 ekv.) efektivitāti.</w:t>
      </w:r>
    </w:p>
    <w:p w14:paraId="2B70703C" w14:textId="77777777" w:rsidR="00262896" w:rsidRPr="002914D6" w:rsidRDefault="00262896" w:rsidP="00262896">
      <w:pPr>
        <w:widowControl/>
        <w:spacing w:after="120" w:line="240" w:lineRule="auto"/>
        <w:rPr>
          <w:rFonts w:ascii="Verdana Pro Cond Light" w:hAnsi="Verdana Pro Cond Light"/>
          <w:lang w:val="lv-LV"/>
        </w:rPr>
      </w:pPr>
      <w:r w:rsidRPr="002914D6">
        <w:rPr>
          <w:rFonts w:ascii="Verdana Pro Cond Light" w:hAnsi="Verdana Pro Cond Light"/>
          <w:lang w:val="lv-LV"/>
        </w:rPr>
        <w:t>Apstiprinātajā plāna jaunajā redakcijā iztrūkst ziņas par finansējuma avotiem un to sadalījumu pa gadiem, attiecīgi raisot bažas:</w:t>
      </w:r>
    </w:p>
    <w:p w14:paraId="138E7B80" w14:textId="77777777" w:rsidR="00262896" w:rsidRPr="002914D6" w:rsidRDefault="00262896" w:rsidP="00262896">
      <w:pPr>
        <w:pStyle w:val="ListParagraph"/>
        <w:widowControl/>
        <w:numPr>
          <w:ilvl w:val="0"/>
          <w:numId w:val="9"/>
        </w:numPr>
        <w:tabs>
          <w:tab w:val="clear" w:pos="720"/>
        </w:tabs>
        <w:spacing w:after="120" w:line="240" w:lineRule="auto"/>
        <w:ind w:left="567" w:hanging="283"/>
        <w:contextualSpacing w:val="0"/>
        <w:rPr>
          <w:rFonts w:ascii="Verdana Pro Cond Light" w:eastAsia="Times New Roman" w:hAnsi="Verdana Pro Cond Light"/>
          <w:lang w:val="lv-LV"/>
        </w:rPr>
      </w:pPr>
      <w:r w:rsidRPr="002914D6">
        <w:rPr>
          <w:rFonts w:ascii="Verdana Pro Cond Light" w:eastAsia="Times New Roman" w:hAnsi="Verdana Pro Cond Light"/>
          <w:lang w:val="lv-LV"/>
        </w:rPr>
        <w:t>vai mērķu sasniegšanai nepieciešamais finansējums būs pieejams?;</w:t>
      </w:r>
    </w:p>
    <w:p w14:paraId="5C249ED6" w14:textId="77777777" w:rsidR="00262896" w:rsidRPr="002914D6" w:rsidRDefault="00262896" w:rsidP="00262896">
      <w:pPr>
        <w:pStyle w:val="ListParagraph"/>
        <w:widowControl/>
        <w:numPr>
          <w:ilvl w:val="0"/>
          <w:numId w:val="9"/>
        </w:numPr>
        <w:tabs>
          <w:tab w:val="clear" w:pos="720"/>
        </w:tabs>
        <w:spacing w:after="120" w:line="240" w:lineRule="auto"/>
        <w:ind w:left="567" w:hanging="283"/>
        <w:contextualSpacing w:val="0"/>
        <w:rPr>
          <w:rFonts w:ascii="Verdana Pro Cond Light" w:eastAsia="Times New Roman" w:hAnsi="Verdana Pro Cond Light"/>
          <w:lang w:val="lv-LV"/>
        </w:rPr>
      </w:pPr>
      <w:r w:rsidRPr="002914D6">
        <w:rPr>
          <w:rFonts w:ascii="Verdana Pro Cond Light" w:eastAsia="Times New Roman" w:hAnsi="Verdana Pro Cond Light"/>
          <w:lang w:val="lv-LV"/>
        </w:rPr>
        <w:t>ja finansējuma pieejamība tiks nodrošināta vēlākos gados (2028.-2030.), attiecīgi jāvērtē potenciālā ietekme uz inflāciju.</w:t>
      </w:r>
    </w:p>
    <w:p w14:paraId="03EE6092" w14:textId="77777777" w:rsidR="00262896" w:rsidRDefault="00262896" w:rsidP="00262896">
      <w:pPr>
        <w:widowControl/>
        <w:spacing w:after="120" w:line="240" w:lineRule="auto"/>
        <w:rPr>
          <w:rFonts w:ascii="Verdana Pro Cond Light" w:hAnsi="Verdana Pro Cond Light"/>
          <w:lang w:val="lv-LV"/>
        </w:rPr>
      </w:pPr>
    </w:p>
    <w:p w14:paraId="6AFB78EF" w14:textId="77777777" w:rsidR="00262896" w:rsidRPr="002914D6" w:rsidRDefault="00262896" w:rsidP="00262896">
      <w:pPr>
        <w:widowControl/>
        <w:spacing w:after="120" w:line="240" w:lineRule="auto"/>
        <w:rPr>
          <w:rFonts w:ascii="Verdana Pro Cond Light" w:hAnsi="Verdana Pro Cond Light"/>
          <w:lang w:val="lv-LV"/>
        </w:rPr>
      </w:pPr>
      <w:r w:rsidRPr="002914D6">
        <w:rPr>
          <w:rFonts w:ascii="Verdana Pro Cond Light" w:hAnsi="Verdana Pro Cond Light"/>
          <w:lang w:val="lv-LV"/>
        </w:rPr>
        <w:t>Plāna projektā 147 pasākumiem nebija novērtēta ietekme uz SEG emisiju samazinājumu, 11</w:t>
      </w:r>
      <w:r>
        <w:rPr>
          <w:rFonts w:ascii="Verdana Pro Cond Light" w:hAnsi="Verdana Pro Cond Light"/>
          <w:lang w:val="lv-LV"/>
        </w:rPr>
        <w:t> </w:t>
      </w:r>
      <w:r w:rsidRPr="002914D6">
        <w:rPr>
          <w:rFonts w:ascii="Verdana Pro Cond Light" w:hAnsi="Verdana Pro Cond Light"/>
          <w:lang w:val="lv-LV"/>
        </w:rPr>
        <w:t>pasākumiem ietekme šķietami bija, bet nebija definēta.</w:t>
      </w:r>
    </w:p>
    <w:p w14:paraId="4C5B55FF" w14:textId="77777777" w:rsidR="00262896" w:rsidRPr="002914D6" w:rsidRDefault="00262896" w:rsidP="00262896">
      <w:pPr>
        <w:widowControl/>
        <w:spacing w:after="120" w:line="240" w:lineRule="auto"/>
        <w:rPr>
          <w:rFonts w:ascii="Verdana Pro Cond Light" w:hAnsi="Verdana Pro Cond Light"/>
          <w:lang w:val="lv-LV"/>
        </w:rPr>
      </w:pPr>
      <w:r w:rsidRPr="002914D6">
        <w:rPr>
          <w:rFonts w:ascii="Verdana Pro Cond Light" w:hAnsi="Verdana Pro Cond Light"/>
          <w:lang w:val="lv-LV"/>
        </w:rPr>
        <w:t>Lai gan NEKP izvirzītie mērķi ir augsti un to sasniegšana būtiska ilgtspējīgai ekonomikas attīstībai, to sasniegšana prasīs ievērojamu savlaicīgu finansējumu un laikietilpīgas darbības.</w:t>
      </w:r>
    </w:p>
    <w:p w14:paraId="66FEE423" w14:textId="77777777" w:rsidR="00262896" w:rsidRDefault="00262896" w:rsidP="00262896">
      <w:pPr>
        <w:widowControl/>
        <w:spacing w:after="120" w:line="240" w:lineRule="auto"/>
        <w:rPr>
          <w:rFonts w:ascii="Verdana Pro Cond Light" w:hAnsi="Verdana Pro Cond Light"/>
          <w:lang w:val="lv-LV"/>
        </w:rPr>
      </w:pPr>
      <w:r w:rsidRPr="002914D6">
        <w:rPr>
          <w:rFonts w:ascii="Verdana Pro Cond Light" w:hAnsi="Verdana Pro Cond Light"/>
          <w:lang w:val="lv-LV"/>
        </w:rPr>
        <w:lastRenderedPageBreak/>
        <w:t>Valdības dokumentu par izaugsmes stratēģiju un klimata mērķiem analīze rāda, ka tajos ļoti vāji ir atspoguļots potenciālais privātā sektora ieguldījums gan izaugsmes, gan klimata mērķu sasniegšanā. Konkrētāk, gandrīz nav aplēses par iespējamo privātā sektora finansējuma apjomu. Tāpat ir maz pasākumu, kas paredzēti privātā sektora plašākai iesaistei.</w:t>
      </w:r>
    </w:p>
    <w:p w14:paraId="5B82FE03" w14:textId="77777777" w:rsidR="00262896" w:rsidRPr="002914D6" w:rsidRDefault="00262896" w:rsidP="00262896">
      <w:pPr>
        <w:widowControl/>
        <w:spacing w:after="120" w:line="240" w:lineRule="auto"/>
        <w:rPr>
          <w:rFonts w:ascii="Verdana Pro Cond Light" w:hAnsi="Verdana Pro Cond Light"/>
          <w:lang w:val="lv-LV"/>
        </w:rPr>
      </w:pPr>
      <w:r w:rsidRPr="002914D6">
        <w:rPr>
          <w:rFonts w:ascii="Verdana Pro Cond Light" w:hAnsi="Verdana Pro Cond Light"/>
          <w:lang w:val="lv-LV"/>
        </w:rPr>
        <w:t xml:space="preserve">Arī Eiropas Komisija savā ikgadējā </w:t>
      </w:r>
      <w:r w:rsidRPr="002914D6">
        <w:rPr>
          <w:rFonts w:ascii="Verdana Pro Cond Light" w:hAnsi="Verdana Pro Cond Light" w:cs="Arial"/>
          <w:lang w:val="lv-LV"/>
        </w:rPr>
        <w:t xml:space="preserve">2024. gada dienestu darba dokumentā ziņojumā par Latviju norāda, ka </w:t>
      </w:r>
      <w:r w:rsidRPr="002914D6">
        <w:rPr>
          <w:rFonts w:ascii="Verdana Pro Cond Light" w:hAnsi="Verdana Pro Cond Light"/>
          <w:lang w:val="lv-LV"/>
        </w:rPr>
        <w:t>NEKP trūkst pamatinformācijas par investīciju vajadzībām un finansējuma avotiem, lai sasniegtu 2030. gada klimata un enerģētikas mērķrādītājus. Plānā trūkst informācijas par plānoto rīcībpolitiku un pasākumu investīciju vajadzībām. Nav sniegts konsolidēts pārskats, kas nozīmē, ka nav iespējams noteikt iespējamo finansējuma iztrūkumu</w:t>
      </w:r>
      <w:r>
        <w:rPr>
          <w:rFonts w:ascii="Verdana Pro Cond Light" w:hAnsi="Verdana Pro Cond Light"/>
          <w:lang w:val="lv-LV"/>
        </w:rPr>
        <w:t>.</w:t>
      </w:r>
      <w:r w:rsidRPr="002914D6">
        <w:rPr>
          <w:rFonts w:ascii="Verdana Pro Cond Light" w:hAnsi="Verdana Pro Cond Light"/>
          <w:vertAlign w:val="superscript"/>
          <w:lang w:val="lv-LV"/>
        </w:rPr>
        <w:footnoteReference w:id="13"/>
      </w:r>
    </w:p>
    <w:p w14:paraId="4B579720" w14:textId="77777777" w:rsidR="00262896" w:rsidRDefault="00262896" w:rsidP="00262896">
      <w:pPr>
        <w:widowControl/>
        <w:spacing w:after="120" w:line="240" w:lineRule="auto"/>
        <w:rPr>
          <w:rFonts w:ascii="Verdana Pro Cond Light" w:hAnsi="Verdana Pro Cond Light"/>
          <w:lang w:val="lv-LV"/>
        </w:rPr>
      </w:pPr>
      <w:r w:rsidRPr="002914D6">
        <w:rPr>
          <w:rFonts w:ascii="Verdana Pro Cond Light" w:hAnsi="Verdana Pro Cond Light"/>
          <w:lang w:val="lv-LV"/>
        </w:rPr>
        <w:t>Tāpat šajā dokumentā norādīts, ka rīcībpolitikas un pasākumi, ko Latvija plāno, lai samazinātu kopīgajos centienos paredzētās emisijas, nav pietiekami, lai sasniegtu 2030. gada kopīgo centienu mērķrādītāju.</w:t>
      </w:r>
    </w:p>
    <w:p w14:paraId="7A4D7EE3" w14:textId="77777777" w:rsidR="00262896" w:rsidRPr="002914D6" w:rsidRDefault="00262896" w:rsidP="00262896">
      <w:pPr>
        <w:widowControl/>
        <w:spacing w:after="120" w:line="240" w:lineRule="auto"/>
        <w:rPr>
          <w:rFonts w:ascii="Verdana Pro Cond Light" w:hAnsi="Verdana Pro Cond Light"/>
          <w:lang w:val="lv-LV"/>
        </w:rPr>
      </w:pPr>
    </w:p>
    <w:p w14:paraId="0A09C99F" w14:textId="77777777" w:rsidR="00262896" w:rsidRPr="002914D6" w:rsidRDefault="00262896" w:rsidP="00262896">
      <w:pPr>
        <w:pStyle w:val="NormalWeb"/>
        <w:spacing w:before="0" w:beforeAutospacing="0" w:after="120" w:afterAutospacing="0"/>
        <w:rPr>
          <w:rFonts w:ascii="Verdana Pro Cond Light" w:hAnsi="Verdana Pro Cond Light"/>
          <w:b/>
          <w:bCs/>
          <w:color w:val="000000"/>
          <w:sz w:val="22"/>
          <w:szCs w:val="22"/>
        </w:rPr>
      </w:pPr>
      <w:r w:rsidRPr="002914D6">
        <w:rPr>
          <w:rFonts w:ascii="Verdana Pro Cond Light" w:hAnsi="Verdana Pro Cond Light"/>
          <w:b/>
          <w:bCs/>
          <w:color w:val="000000"/>
          <w:sz w:val="22"/>
          <w:szCs w:val="22"/>
        </w:rPr>
        <w:t>"Zaļā budžeta" marķēšana</w:t>
      </w:r>
    </w:p>
    <w:p w14:paraId="348895AE" w14:textId="77777777" w:rsidR="00262896" w:rsidRPr="002914D6" w:rsidRDefault="00262896" w:rsidP="00262896">
      <w:pPr>
        <w:widowControl/>
        <w:spacing w:after="120" w:line="240" w:lineRule="auto"/>
        <w:rPr>
          <w:rFonts w:ascii="Verdana Pro Cond Light" w:hAnsi="Verdana Pro Cond Light"/>
          <w:lang w:val="lv-LV"/>
        </w:rPr>
      </w:pPr>
      <w:r w:rsidRPr="002914D6">
        <w:rPr>
          <w:rFonts w:ascii="Verdana Pro Cond Light" w:hAnsi="Verdana Pro Cond Light"/>
          <w:lang w:val="lv-LV"/>
        </w:rPr>
        <w:t xml:space="preserve">Lai sasniegtu klimata pārmaiņu mērķus, būs nepieciešams nozīmīgs valdības atbalsts, un tāpēc tas ietekmēs valsts ieņēmumus un izdevumus. “Zaļā </w:t>
      </w:r>
      <w:r w:rsidRPr="002914D6">
        <w:rPr>
          <w:rFonts w:ascii="Verdana Pro Cond Light" w:eastAsia="Times New Roman" w:hAnsi="Verdana Pro Cond Light"/>
          <w:color w:val="000000"/>
          <w:lang w:val="lv-LV" w:eastAsia="lv-LV"/>
        </w:rPr>
        <w:t>budžeta</w:t>
      </w:r>
      <w:r w:rsidRPr="002914D6">
        <w:rPr>
          <w:rFonts w:ascii="Verdana Pro Cond Light" w:hAnsi="Verdana Pro Cond Light"/>
          <w:lang w:val="lv-LV"/>
        </w:rPr>
        <w:t xml:space="preserve">” </w:t>
      </w:r>
      <w:r w:rsidRPr="002914D6">
        <w:rPr>
          <w:rFonts w:ascii="Verdana Pro Cond Light" w:eastAsia="Times New Roman" w:hAnsi="Verdana Pro Cond Light"/>
          <w:color w:val="000000"/>
          <w:lang w:val="lv-LV" w:eastAsia="lv-LV"/>
        </w:rPr>
        <w:t>marķēšanas mērķis ir noteikt, cik liela daļa resursu tiek novirzīta klimata mērķu sasniegšanai.</w:t>
      </w:r>
    </w:p>
    <w:p w14:paraId="76E30189" w14:textId="77777777" w:rsidR="00262896" w:rsidRPr="002914D6" w:rsidRDefault="00262896" w:rsidP="00262896">
      <w:pPr>
        <w:widowControl/>
        <w:spacing w:after="120" w:line="240" w:lineRule="auto"/>
        <w:rPr>
          <w:rFonts w:ascii="Verdana Pro Cond Light" w:hAnsi="Verdana Pro Cond Light"/>
          <w:lang w:val="lv-LV"/>
        </w:rPr>
      </w:pPr>
      <w:r w:rsidRPr="002914D6">
        <w:rPr>
          <w:rFonts w:ascii="Verdana Pro Cond Light" w:hAnsi="Verdana Pro Cond Light"/>
          <w:lang w:val="lv-LV"/>
        </w:rPr>
        <w:t>Kā atzīmē Eiropas Komisija, lai gan sagaidāms, ka klimata pārmaiņu ietekme un to mazināšanas politika negatīvi ietekmēs valsts finanses, klimata pārmaiņu mazināšanas politikai ir atšķirīga ietekme. Tādi instrumenti kā oglekļa cenu noteikšana var radīt pozitīvu fiskālo ietekmi. Virzoties uz priekšu, politikas veidotājiem ir ļoti svarīgi savās klimata pārejas stratēģijās integrēt stingru fiskālo plānošanu, nodrošinot, ka ceļš uz klimata neitralitāti ir gan vides, gan ekonomiski ilgtspējīgs. Regulārs un nepārtraukts klimata pārmaiņu ietekmes uz valsts finansēm novērtējums varētu veicināt rentablu klimata pāreju.</w:t>
      </w:r>
      <w:r w:rsidRPr="002914D6">
        <w:rPr>
          <w:rStyle w:val="FootnoteReference"/>
          <w:rFonts w:ascii="Verdana Pro Cond Light" w:hAnsi="Verdana Pro Cond Light"/>
          <w:color w:val="212529"/>
          <w:shd w:val="clear" w:color="auto" w:fill="FFFFFF"/>
        </w:rPr>
        <w:footnoteReference w:id="14"/>
      </w:r>
      <w:r w:rsidRPr="002914D6">
        <w:rPr>
          <w:rFonts w:ascii="Verdana Pro Cond Light" w:hAnsi="Verdana Pro Cond Light"/>
          <w:lang w:val="lv-LV"/>
        </w:rPr>
        <w:t>.</w:t>
      </w:r>
    </w:p>
    <w:p w14:paraId="7DBECFFD" w14:textId="77777777" w:rsidR="00262896" w:rsidRDefault="00262896" w:rsidP="00262896">
      <w:pPr>
        <w:widowControl/>
        <w:spacing w:after="120" w:line="240" w:lineRule="auto"/>
        <w:rPr>
          <w:rFonts w:ascii="Verdana Pro Cond Light" w:hAnsi="Verdana Pro Cond Light"/>
          <w:lang w:val="lv-LV"/>
        </w:rPr>
      </w:pPr>
      <w:r w:rsidRPr="002914D6">
        <w:rPr>
          <w:rFonts w:ascii="Verdana Pro Cond Light" w:hAnsi="Verdana Pro Cond Light"/>
          <w:lang w:val="lv-LV"/>
        </w:rPr>
        <w:t xml:space="preserve">Lai labāk saskaņotu </w:t>
      </w:r>
      <w:r w:rsidRPr="002914D6">
        <w:rPr>
          <w:rFonts w:ascii="Verdana Pro Cond Light" w:hAnsi="Verdana Pro Cond Light"/>
          <w:color w:val="212529"/>
          <w:shd w:val="clear" w:color="auto" w:fill="FFFFFF"/>
          <w:lang w:val="lv-LV"/>
        </w:rPr>
        <w:t xml:space="preserve">izdevumu un ieņēmumu plānošanu ar klimata un vides mērķiem, </w:t>
      </w:r>
      <w:r w:rsidRPr="002914D6">
        <w:rPr>
          <w:rFonts w:ascii="Verdana Pro Cond Light" w:hAnsi="Verdana Pro Cond Light"/>
          <w:lang w:val="lv-LV"/>
        </w:rPr>
        <w:t>OECD 2017. gadā nāca klajā ar “zaļā budžeta” ietvara koncepciju</w:t>
      </w:r>
      <w:r w:rsidRPr="002914D6">
        <w:rPr>
          <w:rStyle w:val="FootnoteReference"/>
          <w:rFonts w:ascii="Verdana Pro Cond Light" w:hAnsi="Verdana Pro Cond Light"/>
          <w:color w:val="212529"/>
          <w:shd w:val="clear" w:color="auto" w:fill="FFFFFF"/>
        </w:rPr>
        <w:footnoteReference w:id="15"/>
      </w:r>
      <w:r w:rsidRPr="002914D6">
        <w:rPr>
          <w:rFonts w:ascii="Verdana Pro Cond Light" w:hAnsi="Verdana Pro Cond Light"/>
          <w:lang w:val="lv-LV"/>
        </w:rPr>
        <w:t>.</w:t>
      </w:r>
    </w:p>
    <w:p w14:paraId="1C3E1A6B" w14:textId="77777777" w:rsidR="00262896" w:rsidRPr="002914D6" w:rsidRDefault="00262896" w:rsidP="00262896">
      <w:pPr>
        <w:widowControl/>
        <w:spacing w:after="120" w:line="240" w:lineRule="auto"/>
        <w:rPr>
          <w:rFonts w:ascii="Verdana Pro Cond Light" w:hAnsi="Verdana Pro Cond Light"/>
          <w:lang w:val="lv-LV"/>
        </w:rPr>
      </w:pPr>
      <w:r w:rsidRPr="002914D6">
        <w:rPr>
          <w:rFonts w:ascii="Verdana Pro Cond Light" w:hAnsi="Verdana Pro Cond Light"/>
          <w:lang w:val="lv-LV"/>
        </w:rPr>
        <w:t>Kā norādīts nesenā OECD pētījumā, tad “zaļās budžeta” plānošanas īstenošana strauji pieaug. 2022. gadā 24 OECD valstis ieviesa zaļo budžetu, bet 2020. gadā – tādas bija tikai 14. Jo īpaši daudzas valstis ir ieviesušas vai plāno ieviest “zaļā budžeta” marķēšanu (2022. gadā šo praksi bija ieviesušas 13 valstis)</w:t>
      </w:r>
      <w:r w:rsidRPr="002914D6">
        <w:rPr>
          <w:rStyle w:val="FootnoteReference"/>
          <w:rFonts w:ascii="Verdana Pro Cond Light" w:hAnsi="Verdana Pro Cond Light"/>
          <w:color w:val="212529"/>
          <w:shd w:val="clear" w:color="auto" w:fill="FFFFFF"/>
        </w:rPr>
        <w:footnoteReference w:id="16"/>
      </w:r>
      <w:r w:rsidRPr="002914D6">
        <w:rPr>
          <w:rFonts w:ascii="Verdana Pro Cond Light" w:hAnsi="Verdana Pro Cond Light"/>
          <w:lang w:val="lv-LV"/>
        </w:rPr>
        <w:t>.</w:t>
      </w:r>
    </w:p>
    <w:p w14:paraId="158837F1" w14:textId="77777777" w:rsidR="00262896" w:rsidRPr="002914D6" w:rsidRDefault="00262896" w:rsidP="00262896">
      <w:pPr>
        <w:widowControl/>
        <w:spacing w:after="120" w:line="240" w:lineRule="auto"/>
        <w:rPr>
          <w:rFonts w:ascii="Verdana Pro Cond Light" w:hAnsi="Verdana Pro Cond Light"/>
          <w:lang w:val="lv-LV"/>
        </w:rPr>
      </w:pPr>
      <w:r w:rsidRPr="00A14B6D">
        <w:rPr>
          <w:rFonts w:ascii="Verdana Pro Cond Light" w:hAnsi="Verdana Pro Cond Light"/>
          <w:lang w:val="lv-LV"/>
        </w:rPr>
        <w:t>Tomēr pat visattīstītākajās valstīs “zaļā budžeta” veidošanā pastāv vispārējs uzskats, ka pašreizējā “zaļā budžeta” veidošanas prakse – un jo īpaši “zaļā budžeta” marķēšana – nav pietiekama, lai informētu par budžeta lēmumiem, noteiktu izdevumu prioritātes un nodrošinātu zaļo/klimata izdevumu efektivitāti. Piemēram, “zaļā budžeta” marķēšanas pieredze liecina, ka lielākajai daļai valsts izdevumu ir neitrāla vai nenoteikta ietekme uz vidi. Tāpēc ir jāuzlabo esošie “zaļā budžeta” rīki, lai labāk izprastu izdevumu izvēles ietekmi uz emisijām un nodrošinātu valsts budžeta saskaņotību ar zaļajiem un klimata nacionālajiem mērķiem un starptautiskajām saistībām, vienlaikus nodrošinot fiskālo ilgtspēju</w:t>
      </w:r>
      <w:r>
        <w:rPr>
          <w:rFonts w:ascii="Verdana Pro Cond Light" w:hAnsi="Verdana Pro Cond Light"/>
          <w:lang w:val="lv-LV"/>
        </w:rPr>
        <w:t>.</w:t>
      </w:r>
      <w:r w:rsidRPr="002914D6">
        <w:rPr>
          <w:rStyle w:val="FootnoteReference"/>
          <w:rFonts w:ascii="Verdana Pro Cond Light" w:hAnsi="Verdana Pro Cond Light"/>
          <w:color w:val="212529"/>
          <w:shd w:val="clear" w:color="auto" w:fill="FFFFFF"/>
        </w:rPr>
        <w:footnoteReference w:id="17"/>
      </w:r>
    </w:p>
    <w:p w14:paraId="25D6CD74" w14:textId="77777777" w:rsidR="00262896" w:rsidRPr="002914D6" w:rsidRDefault="00262896" w:rsidP="00262896">
      <w:pPr>
        <w:widowControl/>
        <w:spacing w:after="120" w:line="240" w:lineRule="auto"/>
        <w:rPr>
          <w:rFonts w:ascii="Verdana Pro Cond Light" w:eastAsia="Times New Roman" w:hAnsi="Verdana Pro Cond Light"/>
          <w:color w:val="000000"/>
          <w:lang w:val="lv-LV" w:eastAsia="lv-LV"/>
        </w:rPr>
      </w:pPr>
      <w:r w:rsidRPr="002914D6">
        <w:rPr>
          <w:rFonts w:ascii="Verdana Pro Cond Light" w:hAnsi="Verdana Pro Cond Light"/>
          <w:lang w:val="lv-LV"/>
        </w:rPr>
        <w:t xml:space="preserve">Arī Latvija plāno ieviest </w:t>
      </w:r>
      <w:r w:rsidRPr="002914D6">
        <w:rPr>
          <w:rFonts w:ascii="Verdana Pro Cond Light" w:eastAsia="Times New Roman" w:hAnsi="Verdana Pro Cond Light"/>
          <w:color w:val="000000"/>
          <w:lang w:val="lv-LV" w:eastAsia="lv-LV"/>
        </w:rPr>
        <w:t xml:space="preserve">"zaļā budžeta" marķēšanu. Šī gada jūlijā MK skatīja </w:t>
      </w:r>
      <w:r w:rsidRPr="002914D6">
        <w:rPr>
          <w:rFonts w:ascii="Verdana Pro Cond Light" w:hAnsi="Verdana Pro Cond Light"/>
          <w:lang w:val="lv-LV"/>
        </w:rPr>
        <w:t>informatīvo ziņojumu par “zaļā budžeta” marķēšanu Latvijā.</w:t>
      </w:r>
      <w:r w:rsidRPr="002914D6">
        <w:rPr>
          <w:rStyle w:val="FootnoteReference"/>
          <w:rFonts w:ascii="Verdana Pro Cond Light" w:hAnsi="Verdana Pro Cond Light"/>
          <w:color w:val="212529"/>
          <w:shd w:val="clear" w:color="auto" w:fill="FFFFFF"/>
        </w:rPr>
        <w:footnoteReference w:id="18"/>
      </w:r>
      <w:r w:rsidRPr="002914D6">
        <w:rPr>
          <w:rFonts w:ascii="Verdana Pro Cond Light" w:hAnsi="Verdana Pro Cond Light"/>
          <w:lang w:val="lv-LV"/>
        </w:rPr>
        <w:t xml:space="preserve"> Kā atzīmēts ziņojumā, tad </w:t>
      </w:r>
      <w:r w:rsidRPr="002914D6">
        <w:rPr>
          <w:rFonts w:ascii="Verdana Pro Cond Light" w:eastAsia="Times New Roman" w:hAnsi="Verdana Pro Cond Light"/>
          <w:color w:val="000000"/>
          <w:lang w:val="lv-LV" w:eastAsia="lv-LV"/>
        </w:rPr>
        <w:t>budžeta marķēšana sākotnēji ļaus noteikt, cik liela daļa resursu tiek novirzīta mērķu sasniegšanai, un nākotnē to ņemt vērā jau budžeta veidošanas posmā.</w:t>
      </w:r>
    </w:p>
    <w:p w14:paraId="3C9497C2" w14:textId="77777777" w:rsidR="00262896" w:rsidRPr="002914D6" w:rsidRDefault="00262896" w:rsidP="00262896">
      <w:pPr>
        <w:widowControl/>
        <w:spacing w:after="120" w:line="240" w:lineRule="auto"/>
        <w:textAlignment w:val="baseline"/>
        <w:rPr>
          <w:rFonts w:ascii="Verdana Pro Cond Light" w:eastAsia="Times New Roman" w:hAnsi="Verdana Pro Cond Light"/>
          <w:color w:val="000000"/>
          <w:lang w:val="lv-LV" w:eastAsia="lv-LV"/>
        </w:rPr>
      </w:pPr>
      <w:r w:rsidRPr="002914D6">
        <w:rPr>
          <w:rFonts w:ascii="Verdana Pro Cond Light" w:eastAsia="Times New Roman" w:hAnsi="Verdana Pro Cond Light"/>
          <w:color w:val="000000"/>
          <w:lang w:val="lv-LV" w:eastAsia="lv-LV"/>
        </w:rPr>
        <w:t xml:space="preserve">FM piedāvā iniciatīvu turpmāk valsts pamatbudžeta sagatavošanas gaitā sniegt politikas veidotājiem un sabiedrībai informāciju par to, cik "zaļš" ir valsts pamatbudžets, jeb valsts </w:t>
      </w:r>
      <w:r w:rsidRPr="002914D6">
        <w:rPr>
          <w:rFonts w:ascii="Verdana Pro Cond Light" w:eastAsia="Times New Roman" w:hAnsi="Verdana Pro Cond Light"/>
          <w:color w:val="000000"/>
          <w:lang w:val="lv-LV" w:eastAsia="lv-LV"/>
        </w:rPr>
        <w:lastRenderedPageBreak/>
        <w:t>pamatbudžeta izdevumu un nodokļu atvieglojumu marķēšanu, tos sadalot piecās kategorijās - "zaļa" jeb labvēlīga un "brūna" jeb nelabvēlīga, kā arī "jaukta", "neitrāla" un "neskaidra".</w:t>
      </w:r>
    </w:p>
    <w:p w14:paraId="2B8EC54B" w14:textId="77777777" w:rsidR="00262896" w:rsidRPr="002914D6" w:rsidRDefault="00262896" w:rsidP="00262896">
      <w:pPr>
        <w:widowControl/>
        <w:spacing w:after="120" w:line="240" w:lineRule="auto"/>
        <w:textAlignment w:val="baseline"/>
        <w:rPr>
          <w:rFonts w:ascii="Verdana Pro Cond Light" w:eastAsia="Times New Roman" w:hAnsi="Verdana Pro Cond Light"/>
          <w:color w:val="000000"/>
          <w:lang w:val="lv-LV" w:eastAsia="lv-LV"/>
        </w:rPr>
      </w:pPr>
      <w:r w:rsidRPr="002914D6">
        <w:rPr>
          <w:rFonts w:ascii="Verdana Pro Cond Light" w:eastAsia="Times New Roman" w:hAnsi="Verdana Pro Cond Light"/>
          <w:color w:val="000000"/>
          <w:lang w:val="lv-LV" w:eastAsia="lv-LV"/>
        </w:rPr>
        <w:t>FM piedāvā marķēšanu veikt, pamatā izmantojot ES Taksonomijas regulu, kurā ir aprakstīts, kādas darbības būtiski veicina vai būtiski kaitē kādam no sešiem regulā minētajiem vides mērķiem - klimata pārmaiņu mazināšana, pielāgošanās klimata pārmaiņām, ilgtspējīga ūdens un jūras resursu izmantošana un aizsardzība, pāreja uz aprites ekonomiku, piesārņojuma novēršana un kontrole, kā arī bioloģiskās daudzveidības un ekosistēmu aizsardzība un atjaunošana.</w:t>
      </w:r>
    </w:p>
    <w:p w14:paraId="1F33A397" w14:textId="77777777" w:rsidR="00262896" w:rsidRPr="002914D6" w:rsidRDefault="00262896" w:rsidP="00262896">
      <w:pPr>
        <w:widowControl/>
        <w:spacing w:after="120" w:line="240" w:lineRule="auto"/>
        <w:textAlignment w:val="baseline"/>
        <w:rPr>
          <w:rFonts w:ascii="Verdana Pro Cond Light" w:eastAsia="Times New Roman" w:hAnsi="Verdana Pro Cond Light"/>
          <w:color w:val="000000"/>
          <w:lang w:val="lv-LV" w:eastAsia="lv-LV"/>
        </w:rPr>
      </w:pPr>
      <w:r w:rsidRPr="002914D6">
        <w:rPr>
          <w:rFonts w:ascii="Verdana Pro Cond Light" w:eastAsia="Times New Roman" w:hAnsi="Verdana Pro Cond Light"/>
          <w:color w:val="000000"/>
          <w:lang w:val="lv-LV" w:eastAsia="lv-LV"/>
        </w:rPr>
        <w:t>Šāda valsts pamatbudžeta izvērtēšana ir sarežģīts uzdevums un tam nepieciešama atbilstošas informācijas uzkrāšana un vērtētāju pieredze. Tāpēc FM plāno šo darbu veikt divos posmos. Pirmajā posmā analīze tiks veikta atsevišķu ministriju budžeta programmām izmēģinājuma veidā, identificējot un atrisinot šajā ceļā radušos šķēršļus. Informācija tiks iekļauta ikgadējā Fiskālo risku deklarācijā.</w:t>
      </w:r>
    </w:p>
    <w:p w14:paraId="1B17AD6D" w14:textId="77777777" w:rsidR="00262896" w:rsidRPr="002914D6" w:rsidRDefault="00262896" w:rsidP="00262896">
      <w:pPr>
        <w:widowControl/>
        <w:spacing w:after="120" w:line="240" w:lineRule="auto"/>
        <w:textAlignment w:val="baseline"/>
        <w:rPr>
          <w:rFonts w:ascii="Verdana Pro Cond Light" w:eastAsia="Times New Roman" w:hAnsi="Verdana Pro Cond Light"/>
          <w:color w:val="000000"/>
          <w:lang w:val="lv-LV" w:eastAsia="lv-LV"/>
        </w:rPr>
      </w:pPr>
      <w:r w:rsidRPr="002914D6">
        <w:rPr>
          <w:rFonts w:ascii="Verdana Pro Cond Light" w:eastAsia="Times New Roman" w:hAnsi="Verdana Pro Cond Light"/>
          <w:color w:val="000000"/>
          <w:lang w:val="lv-LV" w:eastAsia="lv-LV"/>
        </w:rPr>
        <w:t>Savukārt otrajā posmā plānots, ka no 2026. gada novērtējums tiks veikts visam valsts pamatbudžetam un informācija tiks pievienota atsevišķā budžeta likuma paketei pievienotajā Klimata deklarācijā. Šis darba tiks veikts kopā ar Klimata un enerģētikas ministriju un Viedās administrācijas un reģionālās attīstības ministriju.</w:t>
      </w:r>
    </w:p>
    <w:p w14:paraId="7664F2B4" w14:textId="77777777" w:rsidR="00262896" w:rsidRPr="002914D6" w:rsidRDefault="00262896" w:rsidP="00262896">
      <w:pPr>
        <w:widowControl/>
        <w:spacing w:after="120" w:line="240" w:lineRule="auto"/>
        <w:textAlignment w:val="baseline"/>
        <w:rPr>
          <w:rFonts w:ascii="Verdana Pro Cond Light" w:eastAsia="Times New Roman" w:hAnsi="Verdana Pro Cond Light"/>
          <w:color w:val="000000"/>
          <w:lang w:val="lv-LV" w:eastAsia="lv-LV"/>
        </w:rPr>
      </w:pPr>
      <w:r w:rsidRPr="002914D6">
        <w:rPr>
          <w:rFonts w:ascii="Verdana Pro Cond Light" w:eastAsia="Times New Roman" w:hAnsi="Verdana Pro Cond Light"/>
          <w:color w:val="000000"/>
          <w:lang w:val="lv-LV" w:eastAsia="lv-LV"/>
        </w:rPr>
        <w:t>FM jau šogad ir sākusi darbu un pirmā posma laikā ir veikusi marķēšanu FM resora budžeta programmām. Kopumā tika marķēti izdevumi 1,093 miljardu eiro apmērā. Tostarp 337,17 miljoni eiro (30,83%) ir marķēti kā labvēlīgi, lielākā daļā jeb 667,31 miljons eiro (61,01%) ir marķēti kā neitrāli, 83,58 miljoni eiro (7,64%) tika marķēti kā neskaidri nepietiekošas informācijas dēļ un 5,62 miljoni eiro (0,51%) izdevumu tika klasificēti nelabvēlīgi</w:t>
      </w:r>
      <w:r w:rsidRPr="002914D6">
        <w:rPr>
          <w:rStyle w:val="FootnoteReference"/>
          <w:rFonts w:ascii="Verdana Pro Cond Light" w:hAnsi="Verdana Pro Cond Light"/>
          <w:color w:val="212529"/>
          <w:shd w:val="clear" w:color="auto" w:fill="FFFFFF"/>
        </w:rPr>
        <w:footnoteReference w:id="19"/>
      </w:r>
      <w:r w:rsidRPr="002914D6">
        <w:rPr>
          <w:rFonts w:ascii="Verdana Pro Cond Light" w:eastAsia="Times New Roman" w:hAnsi="Verdana Pro Cond Light"/>
          <w:color w:val="000000"/>
          <w:lang w:val="lv-LV" w:eastAsia="lv-LV"/>
        </w:rPr>
        <w:t>.</w:t>
      </w:r>
    </w:p>
    <w:p w14:paraId="19BFE7DE" w14:textId="77777777" w:rsidR="00262896" w:rsidRPr="002914D6" w:rsidRDefault="00262896" w:rsidP="00262896">
      <w:pPr>
        <w:widowControl/>
        <w:spacing w:after="120" w:line="240" w:lineRule="auto"/>
        <w:rPr>
          <w:rFonts w:ascii="Verdana Pro Cond Light" w:hAnsi="Verdana Pro Cond Light"/>
          <w:color w:val="212529"/>
          <w:shd w:val="clear" w:color="auto" w:fill="FFFFFF"/>
          <w:lang w:val="lv-LV"/>
        </w:rPr>
      </w:pPr>
      <w:r w:rsidRPr="002914D6">
        <w:rPr>
          <w:rFonts w:ascii="Verdana Pro Cond Light" w:hAnsi="Verdana Pro Cond Light"/>
          <w:lang w:val="lv-LV"/>
        </w:rPr>
        <w:t xml:space="preserve">Kopumā “zaļā budžeta” marķēšanas ieviešana Latvijā ir atbalstāma un tā palīdzēs </w:t>
      </w:r>
      <w:r w:rsidRPr="002914D6">
        <w:rPr>
          <w:rFonts w:ascii="Verdana Pro Cond Light" w:hAnsi="Verdana Pro Cond Light"/>
          <w:color w:val="212529"/>
          <w:shd w:val="clear" w:color="auto" w:fill="FFFFFF"/>
          <w:lang w:val="lv-LV"/>
        </w:rPr>
        <w:t>saskaņot izdevumu un ieņēmumu plānošanu ar klimata un vides mērķiem, sistemātiski izskatot esošos un iespējamos fiskālos pasākumus un politikas, integrējot uz klimatneitralitāti un vides aizsardzību vērstu pieeju valsts budžeta plānošanā un fiskālajā sistēmā.</w:t>
      </w:r>
    </w:p>
    <w:p w14:paraId="722EE884" w14:textId="77777777" w:rsidR="00262896" w:rsidRDefault="00262896" w:rsidP="00262896">
      <w:pPr>
        <w:widowControl/>
        <w:spacing w:after="120" w:line="240" w:lineRule="auto"/>
        <w:rPr>
          <w:rFonts w:ascii="Verdana Pro Cond Light" w:eastAsia="Times New Roman" w:hAnsi="Verdana Pro Cond Light"/>
          <w:color w:val="000000"/>
          <w:lang w:val="lv-LV" w:eastAsia="lv-LV"/>
        </w:rPr>
      </w:pPr>
      <w:r w:rsidRPr="002914D6">
        <w:rPr>
          <w:rFonts w:ascii="Verdana Pro Cond Light" w:hAnsi="Verdana Pro Cond Light"/>
          <w:lang w:val="lv-LV"/>
        </w:rPr>
        <w:t xml:space="preserve">Vienlaikus būtu lietderīgi aprēķināt budžeta izdevumus “zaļajai” ekonomikai arī retrospektīvi par iepriekšējajiem gadiem. Tas ļautu labāk uzraudzīt </w:t>
      </w:r>
      <w:r w:rsidRPr="002914D6">
        <w:rPr>
          <w:rFonts w:ascii="Verdana Pro Cond Light" w:eastAsia="Times New Roman" w:hAnsi="Verdana Pro Cond Light"/>
          <w:color w:val="000000"/>
          <w:lang w:val="lv-LV" w:eastAsia="lv-LV"/>
        </w:rPr>
        <w:t>klimata mērķu sasniegšanas dinamiku un precīzāk prognozēt nākotnes vajadzības.</w:t>
      </w:r>
    </w:p>
    <w:p w14:paraId="0C9B0AFD" w14:textId="77777777" w:rsidR="00262896" w:rsidRPr="002914D6" w:rsidRDefault="00262896" w:rsidP="00262896">
      <w:pPr>
        <w:widowControl/>
        <w:spacing w:after="120" w:line="240" w:lineRule="auto"/>
        <w:rPr>
          <w:rFonts w:ascii="Verdana Pro Cond Light" w:eastAsia="Times New Roman" w:hAnsi="Verdana Pro Cond Light"/>
          <w:color w:val="000000"/>
          <w:lang w:val="lv-LV" w:eastAsia="lv-LV"/>
        </w:rPr>
      </w:pPr>
    </w:p>
    <w:p w14:paraId="33014947" w14:textId="77777777" w:rsidR="00262896" w:rsidRPr="002914D6" w:rsidRDefault="00262896" w:rsidP="00262896">
      <w:pPr>
        <w:widowControl/>
        <w:spacing w:after="120" w:line="240" w:lineRule="auto"/>
        <w:rPr>
          <w:rFonts w:ascii="Verdana Pro Cond Light" w:hAnsi="Verdana Pro Cond Light"/>
          <w:b/>
          <w:bCs/>
          <w:lang w:val="lv-LV"/>
        </w:rPr>
      </w:pPr>
      <w:r w:rsidRPr="002914D6">
        <w:rPr>
          <w:rFonts w:ascii="Verdana Pro Cond Light" w:hAnsi="Verdana Pro Cond Light"/>
          <w:b/>
          <w:bCs/>
          <w:lang w:val="lv-LV"/>
        </w:rPr>
        <w:t>Secinājumi</w:t>
      </w:r>
    </w:p>
    <w:p w14:paraId="5364F991" w14:textId="77777777" w:rsidR="00262896" w:rsidRDefault="00262896" w:rsidP="00262896">
      <w:pPr>
        <w:pStyle w:val="ListParagraph"/>
        <w:numPr>
          <w:ilvl w:val="0"/>
          <w:numId w:val="8"/>
        </w:numPr>
        <w:spacing w:before="40" w:after="160" w:line="240" w:lineRule="auto"/>
        <w:ind w:left="714" w:hanging="357"/>
        <w:contextualSpacing w:val="0"/>
        <w:jc w:val="both"/>
        <w:rPr>
          <w:rFonts w:ascii="Verdana Pro Cond Light" w:hAnsi="Verdana Pro Cond Light"/>
          <w:color w:val="000000" w:themeColor="text1"/>
          <w:lang w:val="lv-LV"/>
        </w:rPr>
      </w:pPr>
      <w:r w:rsidRPr="00A14B6D">
        <w:rPr>
          <w:rFonts w:ascii="Verdana Pro Cond Light" w:hAnsi="Verdana Pro Cond Light"/>
          <w:color w:val="000000" w:themeColor="text1"/>
          <w:lang w:val="lv-LV"/>
        </w:rPr>
        <w:t>Latvijas Izaugsmes stratēģijā ir noteikti ambiciozi mērķi un to sasniegšana sekmēs arī enerģētikas un klimata mērķu izpildi. Tomēr, jāņem vērā, ka nelabvēlīga situācija ārējā vidē, ģeopolitiskās spriedzes ilgstoša turpināšanās un reformu kavēšanās, var bremzēt valdības centienus nodrošināt ilgtspējīgu izaugsmi.</w:t>
      </w:r>
    </w:p>
    <w:p w14:paraId="63C7022C" w14:textId="77777777" w:rsidR="00262896" w:rsidRPr="00A14B6D" w:rsidRDefault="00262896" w:rsidP="00262896">
      <w:pPr>
        <w:pStyle w:val="ListParagraph"/>
        <w:numPr>
          <w:ilvl w:val="0"/>
          <w:numId w:val="8"/>
        </w:numPr>
        <w:spacing w:before="40" w:after="160" w:line="240" w:lineRule="auto"/>
        <w:ind w:left="714" w:hanging="357"/>
        <w:contextualSpacing w:val="0"/>
        <w:jc w:val="both"/>
        <w:rPr>
          <w:rFonts w:ascii="Verdana Pro Cond Light" w:hAnsi="Verdana Pro Cond Light"/>
          <w:lang w:val="lv-LV"/>
        </w:rPr>
      </w:pPr>
      <w:r w:rsidRPr="00A14B6D">
        <w:rPr>
          <w:rFonts w:ascii="Verdana Pro Cond Light" w:hAnsi="Verdana Pro Cond Light"/>
          <w:lang w:val="lv-LV"/>
        </w:rPr>
        <w:t xml:space="preserve">Fizikālās enerģētikas institūta 2019. gada decembrī veiktais sākotnējais izvērtējums rāda, ka līdz 2050. gadam papildu kopējās izmaksas klimata mērķa īstenošanai ir aptuveni 13,5 mljrd. </w:t>
      </w:r>
      <w:r w:rsidRPr="00A14B6D">
        <w:rPr>
          <w:rFonts w:ascii="Verdana Pro Cond Light" w:hAnsi="Verdana Pro Cond Light"/>
          <w:i/>
          <w:iCs/>
          <w:lang w:val="lv-LV"/>
        </w:rPr>
        <w:t>euro</w:t>
      </w:r>
      <w:r w:rsidRPr="00A14B6D">
        <w:rPr>
          <w:rFonts w:ascii="Verdana Pro Cond Light" w:hAnsi="Verdana Pro Cond Light"/>
          <w:lang w:val="lv-LV"/>
        </w:rPr>
        <w:t xml:space="preserve"> (2010.</w:t>
      </w:r>
      <w:r w:rsidRPr="00A14B6D">
        <w:rPr>
          <w:rFonts w:ascii="Verdana Pro Cond Light" w:hAnsi="Verdana Pro Cond Light"/>
          <w:b/>
          <w:bCs/>
          <w:lang w:val="lv-LV"/>
        </w:rPr>
        <w:t> </w:t>
      </w:r>
      <w:r w:rsidRPr="00A14B6D">
        <w:rPr>
          <w:rFonts w:ascii="Verdana Pro Cond Light" w:hAnsi="Verdana Pro Cond Light"/>
          <w:lang w:val="lv-LV"/>
        </w:rPr>
        <w:t>gada salīdzināmajās cenās) jeb aptuveni 1,1% vidēji gadā no IKP. Tomēr, saistībā ar Latvijas uzņemtajām papildus saistībām, kas paredz paātrināt līdz 2030.</w:t>
      </w:r>
      <w:r w:rsidRPr="00A14B6D">
        <w:rPr>
          <w:rFonts w:ascii="Verdana Pro Cond Light" w:hAnsi="Verdana Pro Cond Light"/>
          <w:b/>
          <w:bCs/>
          <w:lang w:val="lv-LV"/>
        </w:rPr>
        <w:t> </w:t>
      </w:r>
      <w:r w:rsidRPr="00A14B6D">
        <w:rPr>
          <w:rFonts w:ascii="Verdana Pro Cond Light" w:hAnsi="Verdana Pro Cond Light"/>
          <w:lang w:val="lv-LV"/>
        </w:rPr>
        <w:t>gadam klimata mērķu sasniegšanu, sagaidāmo investīciju apjoms klimatneitralitātes sasniegšanai ir audzis.</w:t>
      </w:r>
    </w:p>
    <w:p w14:paraId="64AB2B4C" w14:textId="77777777" w:rsidR="00262896" w:rsidRPr="00A14B6D" w:rsidRDefault="00262896" w:rsidP="00262896">
      <w:pPr>
        <w:pStyle w:val="ListParagraph"/>
        <w:widowControl/>
        <w:numPr>
          <w:ilvl w:val="0"/>
          <w:numId w:val="8"/>
        </w:numPr>
        <w:spacing w:before="40" w:after="160" w:line="240" w:lineRule="auto"/>
        <w:ind w:left="714" w:hanging="357"/>
        <w:contextualSpacing w:val="0"/>
        <w:jc w:val="both"/>
        <w:rPr>
          <w:rFonts w:ascii="Verdana Pro Cond Light" w:hAnsi="Verdana Pro Cond Light"/>
          <w:lang w:val="lv-LV"/>
        </w:rPr>
      </w:pPr>
      <w:r w:rsidRPr="00A14B6D">
        <w:rPr>
          <w:rFonts w:ascii="Verdana Pro Cond Light" w:hAnsi="Verdana Pro Cond Light"/>
          <w:color w:val="000000" w:themeColor="text1"/>
          <w:lang w:val="lv-LV"/>
        </w:rPr>
        <w:t xml:space="preserve">Lai sasniegtu izvirzītos mērķus, ir nepieciešami būtiski ieguldījumi gan ekonomikas modernizācijā, gan </w:t>
      </w:r>
      <w:r w:rsidRPr="00A14B6D">
        <w:rPr>
          <w:rFonts w:ascii="Verdana Pro Cond Light" w:hAnsi="Verdana Pro Cond Light"/>
          <w:color w:val="212529"/>
          <w:lang w:val="lv-LV"/>
        </w:rPr>
        <w:t>NEKP</w:t>
      </w:r>
      <w:r w:rsidRPr="00A14B6D">
        <w:rPr>
          <w:rFonts w:ascii="Verdana Pro Cond Light" w:hAnsi="Verdana Pro Cond Light"/>
          <w:lang w:val="lv-LV"/>
        </w:rPr>
        <w:t xml:space="preserve"> ietverto pasākumu izpildē</w:t>
      </w:r>
      <w:r w:rsidRPr="00A14B6D">
        <w:rPr>
          <w:rFonts w:ascii="Verdana Pro Cond Light" w:hAnsi="Verdana Pro Cond Light"/>
          <w:color w:val="000000" w:themeColor="text1"/>
          <w:lang w:val="lv-LV"/>
        </w:rPr>
        <w:t xml:space="preserve">. Lai arī valdības dokumentos ir paredzēts būtisks publiskais finansējums minēto mērķu sasniegšanai, bez </w:t>
      </w:r>
      <w:r w:rsidRPr="00A14B6D">
        <w:rPr>
          <w:rFonts w:ascii="Verdana Pro Cond Light" w:hAnsi="Verdana Pro Cond Light"/>
          <w:lang w:val="lv-LV"/>
        </w:rPr>
        <w:t>būtiska privātā sektora iesaistes būs grūti sasniegt izvirzītos izaugsmes mērķus. Privātā sektora plašāka iesaiste prasa gan stimulu sistēmu (nodokļi, subsīdijas u.c.), gan arī finansēšanas avotu (kreditēšana, kapitāla tirgus u.c.) paplašināšanu.</w:t>
      </w:r>
    </w:p>
    <w:p w14:paraId="15A8F03B" w14:textId="77777777" w:rsidR="00262896" w:rsidRDefault="00262896" w:rsidP="00262896">
      <w:pPr>
        <w:pStyle w:val="ListParagraph"/>
        <w:numPr>
          <w:ilvl w:val="0"/>
          <w:numId w:val="8"/>
        </w:numPr>
        <w:spacing w:before="40" w:after="160" w:line="240" w:lineRule="auto"/>
        <w:ind w:left="714" w:hanging="357"/>
        <w:contextualSpacing w:val="0"/>
        <w:jc w:val="both"/>
        <w:rPr>
          <w:rFonts w:ascii="Verdana Pro Cond Light" w:hAnsi="Verdana Pro Cond Light"/>
          <w:color w:val="000000"/>
          <w:lang w:val="lv-LV"/>
        </w:rPr>
      </w:pPr>
      <w:r w:rsidRPr="00A14B6D">
        <w:rPr>
          <w:rFonts w:ascii="Verdana Pro Cond Light" w:hAnsi="Verdana Pro Cond Light"/>
          <w:lang w:val="lv-LV"/>
        </w:rPr>
        <w:t>Autoru veiktā NEKP analīze liecina, ka tajā ir iekļauti 217 pasākumi, no kuriem 118 ir nepieciešams papildu finansējums</w:t>
      </w:r>
      <w:r w:rsidRPr="00A14B6D">
        <w:rPr>
          <w:rFonts w:ascii="Verdana Pro Cond Light" w:hAnsi="Verdana Pro Cond Light"/>
          <w:color w:val="000000"/>
          <w:lang w:val="lv-LV"/>
        </w:rPr>
        <w:t xml:space="preserve"> </w:t>
      </w:r>
      <w:r w:rsidRPr="00A14B6D">
        <w:rPr>
          <w:rFonts w:ascii="Verdana Pro Cond Light" w:hAnsi="Verdana Pro Cond Light"/>
          <w:color w:val="212529"/>
          <w:shd w:val="clear" w:color="auto" w:fill="FFFFFF"/>
          <w:lang w:val="lv-LV"/>
        </w:rPr>
        <w:t xml:space="preserve">Šobrīd nav skaidrs, kur dabūt šos papildu līdzekļus. </w:t>
      </w:r>
      <w:r w:rsidRPr="00A14B6D">
        <w:rPr>
          <w:rFonts w:ascii="Verdana Pro Cond Light" w:hAnsi="Verdana Pro Cond Light"/>
          <w:color w:val="000000"/>
          <w:lang w:val="lv-LV"/>
        </w:rPr>
        <w:t xml:space="preserve">NEKP </w:t>
      </w:r>
      <w:r w:rsidRPr="00A14B6D">
        <w:rPr>
          <w:rFonts w:ascii="Verdana Pro Cond Light" w:hAnsi="Verdana Pro Cond Light"/>
          <w:color w:val="000000"/>
          <w:lang w:val="lv-LV"/>
        </w:rPr>
        <w:lastRenderedPageBreak/>
        <w:t xml:space="preserve">ietver aprakstu par ES fondu līdzekļiem līdz 2027. gadam. Tomēr, tas pēc būtības ir </w:t>
      </w:r>
      <w:r w:rsidRPr="00A14B6D">
        <w:rPr>
          <w:rFonts w:ascii="Verdana Pro Cond Light" w:hAnsi="Verdana Pro Cond Light"/>
          <w:i/>
          <w:color w:val="000000"/>
          <w:lang w:val="lv-LV"/>
        </w:rPr>
        <w:t xml:space="preserve">pieejamais </w:t>
      </w:r>
      <w:r w:rsidRPr="00A14B6D">
        <w:rPr>
          <w:rFonts w:ascii="Verdana Pro Cond Light" w:hAnsi="Verdana Pro Cond Light"/>
          <w:color w:val="000000"/>
          <w:lang w:val="lv-LV"/>
        </w:rPr>
        <w:t xml:space="preserve">finansējums, bet </w:t>
      </w:r>
      <w:r w:rsidRPr="00A14B6D">
        <w:rPr>
          <w:rFonts w:ascii="Verdana Pro Cond Light" w:hAnsi="Verdana Pro Cond Light"/>
          <w:i/>
          <w:color w:val="000000"/>
          <w:lang w:val="lv-LV"/>
        </w:rPr>
        <w:t>ne nepieciešamais</w:t>
      </w:r>
      <w:r w:rsidRPr="00A14B6D">
        <w:rPr>
          <w:rFonts w:ascii="Verdana Pro Cond Light" w:hAnsi="Verdana Pro Cond Light"/>
          <w:color w:val="000000"/>
          <w:lang w:val="lv-LV"/>
        </w:rPr>
        <w:t xml:space="preserve"> klimatu mērķu sasniegšanai</w:t>
      </w:r>
      <w:r w:rsidRPr="00A14B6D">
        <w:rPr>
          <w:rFonts w:ascii="Verdana Pro Cond Light" w:hAnsi="Verdana Pro Cond Light"/>
          <w:vertAlign w:val="superscript"/>
          <w:lang w:val="lv-LV"/>
        </w:rPr>
        <w:footnoteReference w:id="20"/>
      </w:r>
      <w:r w:rsidRPr="00A14B6D">
        <w:rPr>
          <w:rFonts w:ascii="Verdana Pro Cond Light" w:hAnsi="Verdana Pro Cond Light"/>
          <w:color w:val="000000"/>
          <w:lang w:val="lv-LV"/>
        </w:rPr>
        <w:t>.</w:t>
      </w:r>
    </w:p>
    <w:p w14:paraId="0D14D750" w14:textId="77777777" w:rsidR="00262896" w:rsidRPr="00A14B6D" w:rsidRDefault="00262896" w:rsidP="00262896">
      <w:pPr>
        <w:pStyle w:val="ListParagraph"/>
        <w:numPr>
          <w:ilvl w:val="0"/>
          <w:numId w:val="8"/>
        </w:numPr>
        <w:spacing w:before="40" w:after="160" w:line="240" w:lineRule="auto"/>
        <w:ind w:left="714" w:hanging="357"/>
        <w:contextualSpacing w:val="0"/>
        <w:jc w:val="both"/>
        <w:rPr>
          <w:rFonts w:ascii="Verdana Pro Cond Light" w:hAnsi="Verdana Pro Cond Light"/>
          <w:lang w:val="lv-LV"/>
        </w:rPr>
      </w:pPr>
      <w:r w:rsidRPr="00A14B6D">
        <w:rPr>
          <w:rFonts w:ascii="Verdana Pro Cond Light" w:hAnsi="Verdana Pro Cond Light"/>
          <w:lang w:val="lv-LV"/>
        </w:rPr>
        <w:t>Šobrīd nav pārliecības, ka plānotās darbības un pieejamais finansējums būs pietiekams NEKP mērķu sasniegšanai. Eiropas Komisija uzskata, ka rīcībpolitikas un pasākumi, ko Latvija plāno, lai samazinātu kopīgajos centienos paredzētās emisijas, nav pietiekami, lai sasniegtu 2030. gada kopīgo centienu mērķrādītāju.</w:t>
      </w:r>
    </w:p>
    <w:p w14:paraId="7394BD4D" w14:textId="77777777" w:rsidR="00262896" w:rsidRPr="00A14B6D" w:rsidRDefault="00262896" w:rsidP="00262896">
      <w:pPr>
        <w:pStyle w:val="ListParagraph"/>
        <w:numPr>
          <w:ilvl w:val="0"/>
          <w:numId w:val="8"/>
        </w:numPr>
        <w:spacing w:before="40" w:after="160" w:line="240" w:lineRule="auto"/>
        <w:ind w:left="714" w:hanging="357"/>
        <w:contextualSpacing w:val="0"/>
        <w:jc w:val="both"/>
        <w:rPr>
          <w:rFonts w:ascii="Verdana Pro Cond Light" w:eastAsia="Times New Roman" w:hAnsi="Verdana Pro Cond Light"/>
          <w:color w:val="000000"/>
          <w:lang w:val="lv-LV" w:eastAsia="lv-LV"/>
        </w:rPr>
      </w:pPr>
      <w:r w:rsidRPr="00A14B6D">
        <w:rPr>
          <w:rFonts w:ascii="Verdana Pro Cond Light" w:hAnsi="Verdana Pro Cond Light"/>
          <w:lang w:val="lv-LV"/>
        </w:rPr>
        <w:t xml:space="preserve">Viena no problēmām ir uzskaites trūkums, cik lieli līdzekļi tiek novirzīti “zaļajai” ekonomikai. Tāpēc ir atbalstāma “zaļā budžeta” marķēšanas ieviešana Latvijā, kura palīdzēs </w:t>
      </w:r>
      <w:r w:rsidRPr="00A14B6D">
        <w:rPr>
          <w:rFonts w:ascii="Verdana Pro Cond Light" w:hAnsi="Verdana Pro Cond Light"/>
          <w:color w:val="212529"/>
          <w:shd w:val="clear" w:color="auto" w:fill="FFFFFF"/>
          <w:lang w:val="lv-LV"/>
        </w:rPr>
        <w:t xml:space="preserve">saskaņot izdevumu un ieņēmumu plānošanu ar klimata un vides mērķiem. </w:t>
      </w:r>
      <w:r w:rsidRPr="00A14B6D">
        <w:rPr>
          <w:rFonts w:ascii="Verdana Pro Cond Light" w:hAnsi="Verdana Pro Cond Light"/>
          <w:lang w:val="lv-LV"/>
        </w:rPr>
        <w:t xml:space="preserve">Vienlaikus būtu lietderīgi aprēķināt budžeta izdevumus “zaļajai” ekonomikai arī retrospektīvi par iepriekšējajiem gadiem. Tas ļautu labāk uzraudzīt </w:t>
      </w:r>
      <w:r w:rsidRPr="00A14B6D">
        <w:rPr>
          <w:rFonts w:ascii="Verdana Pro Cond Light" w:eastAsia="Times New Roman" w:hAnsi="Verdana Pro Cond Light"/>
          <w:color w:val="000000"/>
          <w:lang w:val="lv-LV" w:eastAsia="lv-LV"/>
        </w:rPr>
        <w:t>klimata mērķu sasniegšanas dinamiku un precīzāk prognozēt nākotnes vajadzības.</w:t>
      </w:r>
    </w:p>
    <w:p w14:paraId="2C2F1761" w14:textId="77777777" w:rsidR="00262896" w:rsidRDefault="00262896" w:rsidP="00262896">
      <w:pPr>
        <w:widowControl/>
        <w:spacing w:after="160" w:line="240" w:lineRule="auto"/>
        <w:rPr>
          <w:rFonts w:ascii="Minion Pro" w:eastAsia="Times New Roman" w:hAnsi="Minion Pro"/>
          <w:color w:val="000000"/>
          <w:sz w:val="24"/>
          <w:szCs w:val="24"/>
          <w:lang w:val="lv-LV" w:eastAsia="lv-LV"/>
        </w:rPr>
      </w:pPr>
      <w:r>
        <w:rPr>
          <w:rFonts w:ascii="Minion Pro" w:eastAsia="Times New Roman" w:hAnsi="Minion Pro"/>
          <w:color w:val="000000"/>
          <w:sz w:val="24"/>
          <w:szCs w:val="24"/>
          <w:lang w:val="lv-LV" w:eastAsia="lv-LV"/>
        </w:rPr>
        <w:br w:type="page"/>
      </w:r>
    </w:p>
    <w:p w14:paraId="7C8EE83D" w14:textId="77777777" w:rsidR="00041C6C" w:rsidRDefault="00041C6C" w:rsidP="00041C6C">
      <w:pPr>
        <w:widowControl/>
        <w:spacing w:after="120" w:line="240" w:lineRule="auto"/>
        <w:jc w:val="both"/>
        <w:rPr>
          <w:rFonts w:ascii="Verdana Pro Cond Light" w:hAnsi="Verdana Pro Cond Light" w:cs="Arial"/>
          <w:lang w:val="lv-LV"/>
        </w:rPr>
      </w:pPr>
      <w:bookmarkStart w:id="16" w:name="_Toc178018161"/>
    </w:p>
    <w:p w14:paraId="1F02F417" w14:textId="77777777" w:rsidR="00041C6C" w:rsidRDefault="00041C6C" w:rsidP="00041C6C">
      <w:pPr>
        <w:widowControl/>
        <w:spacing w:after="120" w:line="240" w:lineRule="auto"/>
        <w:jc w:val="both"/>
        <w:rPr>
          <w:rFonts w:ascii="Verdana Pro Cond Light" w:hAnsi="Verdana Pro Cond Light" w:cs="Arial"/>
          <w:lang w:val="lv-LV"/>
        </w:rPr>
      </w:pPr>
    </w:p>
    <w:p w14:paraId="6D842DEE" w14:textId="77777777" w:rsidR="00041C6C" w:rsidRDefault="00041C6C" w:rsidP="00041C6C">
      <w:pPr>
        <w:widowControl/>
        <w:spacing w:after="120" w:line="240" w:lineRule="auto"/>
        <w:jc w:val="both"/>
        <w:rPr>
          <w:rFonts w:ascii="Verdana Pro Cond Light" w:hAnsi="Verdana Pro Cond Light" w:cs="Arial"/>
          <w:lang w:val="lv-LV"/>
        </w:rPr>
      </w:pPr>
    </w:p>
    <w:p w14:paraId="5852D679" w14:textId="77777777" w:rsidR="00041C6C" w:rsidRDefault="00041C6C" w:rsidP="00041C6C">
      <w:pPr>
        <w:widowControl/>
        <w:spacing w:after="120" w:line="240" w:lineRule="auto"/>
        <w:jc w:val="both"/>
        <w:rPr>
          <w:rFonts w:ascii="Verdana Pro Cond Light" w:hAnsi="Verdana Pro Cond Light" w:cs="Arial"/>
          <w:lang w:val="lv-LV"/>
        </w:rPr>
      </w:pPr>
    </w:p>
    <w:p w14:paraId="25A0A700" w14:textId="02E2F80E" w:rsidR="00262896" w:rsidRPr="00041C6C" w:rsidRDefault="00262896" w:rsidP="00041C6C">
      <w:pPr>
        <w:widowControl/>
        <w:spacing w:after="120" w:line="240" w:lineRule="auto"/>
        <w:jc w:val="both"/>
        <w:rPr>
          <w:rFonts w:ascii="Verdana Pro Cond Light" w:hAnsi="Verdana Pro Cond Light" w:cs="Arial"/>
          <w:lang w:val="lv-LV"/>
        </w:rPr>
      </w:pPr>
      <w:r w:rsidRPr="00041C6C">
        <w:rPr>
          <w:rFonts w:ascii="Verdana Pro Cond Light" w:hAnsi="Verdana Pro Cond Light" w:cs="Arial"/>
          <w:noProof/>
        </w:rPr>
        <w:drawing>
          <wp:anchor distT="0" distB="0" distL="114300" distR="114300" simplePos="0" relativeHeight="251658247" behindDoc="1" locked="0" layoutInCell="1" allowOverlap="1" wp14:anchorId="028C97FA" wp14:editId="66AEF81B">
            <wp:simplePos x="0" y="0"/>
            <wp:positionH relativeFrom="page">
              <wp:posOffset>0</wp:posOffset>
            </wp:positionH>
            <wp:positionV relativeFrom="page">
              <wp:posOffset>0</wp:posOffset>
            </wp:positionV>
            <wp:extent cx="7560000" cy="3600000"/>
            <wp:effectExtent l="0" t="0" r="3175" b="635"/>
            <wp:wrapNone/>
            <wp:docPr id="49726081" name="Picture 6" descr="Photo of a group of turbines on lush green mountain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726081" name="Picture 49726081" descr="Photo of a group of turbines on lush green mountains"/>
                    <pic:cNvPicPr/>
                  </pic:nvPicPr>
                  <pic:blipFill rotWithShape="1">
                    <a:blip r:embed="rId23" cstate="print">
                      <a:duotone>
                        <a:schemeClr val="accent1">
                          <a:shade val="45000"/>
                          <a:satMod val="135000"/>
                        </a:schemeClr>
                        <a:prstClr val="white"/>
                      </a:duotone>
                      <a:alphaModFix amt="50000"/>
                      <a:extLst>
                        <a:ext uri="{28A0092B-C50C-407E-A947-70E740481C1C}">
                          <a14:useLocalDpi xmlns:a14="http://schemas.microsoft.com/office/drawing/2010/main" val="0"/>
                        </a:ext>
                      </a:extLst>
                    </a:blip>
                    <a:srcRect t="28146" b="-1"/>
                    <a:stretch/>
                  </pic:blipFill>
                  <pic:spPr bwMode="auto">
                    <a:xfrm>
                      <a:off x="0" y="0"/>
                      <a:ext cx="7560000" cy="3600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F337EC6" w14:textId="77777777" w:rsidR="00262896" w:rsidRPr="00041C6C" w:rsidRDefault="00262896" w:rsidP="00041C6C">
      <w:pPr>
        <w:widowControl/>
        <w:spacing w:after="120" w:line="240" w:lineRule="auto"/>
        <w:jc w:val="both"/>
        <w:rPr>
          <w:rFonts w:ascii="Verdana Pro Cond Light" w:hAnsi="Verdana Pro Cond Light" w:cs="Arial"/>
          <w:lang w:val="lv-LV"/>
        </w:rPr>
      </w:pPr>
    </w:p>
    <w:p w14:paraId="15932841" w14:textId="77777777" w:rsidR="00262896" w:rsidRPr="00041C6C" w:rsidRDefault="00262896" w:rsidP="00041C6C">
      <w:pPr>
        <w:widowControl/>
        <w:spacing w:after="120" w:line="240" w:lineRule="auto"/>
        <w:jc w:val="both"/>
        <w:rPr>
          <w:rFonts w:ascii="Verdana Pro Cond Light" w:hAnsi="Verdana Pro Cond Light" w:cs="Arial"/>
          <w:lang w:val="lv-LV"/>
        </w:rPr>
      </w:pPr>
    </w:p>
    <w:p w14:paraId="497C138A" w14:textId="77777777" w:rsidR="00262896" w:rsidRPr="00097491" w:rsidRDefault="00262896" w:rsidP="00262896">
      <w:pPr>
        <w:pStyle w:val="Heading1"/>
        <w:widowControl/>
        <w:rPr>
          <w:lang w:val="lv-LV"/>
        </w:rPr>
      </w:pPr>
      <w:bookmarkStart w:id="17" w:name="_Toc183697484"/>
      <w:r w:rsidRPr="00097491">
        <w:rPr>
          <w:lang w:val="lv-LV"/>
        </w:rPr>
        <w:t>3. Zaļais kurss un Eiropas Savienības politiskās tendences</w:t>
      </w:r>
      <w:bookmarkEnd w:id="16"/>
      <w:bookmarkEnd w:id="17"/>
    </w:p>
    <w:p w14:paraId="38066B60" w14:textId="77777777" w:rsidR="00262896" w:rsidRDefault="00262896" w:rsidP="00262896">
      <w:pPr>
        <w:widowControl/>
        <w:spacing w:after="120" w:line="240" w:lineRule="auto"/>
        <w:jc w:val="both"/>
        <w:rPr>
          <w:rFonts w:ascii="Verdana Pro Cond Light" w:hAnsi="Verdana Pro Cond Light" w:cs="Arial"/>
          <w:lang w:val="lv-LV"/>
        </w:rPr>
      </w:pPr>
    </w:p>
    <w:p w14:paraId="69521E56" w14:textId="77777777" w:rsidR="00262896" w:rsidRDefault="00262896" w:rsidP="00262896">
      <w:pPr>
        <w:widowControl/>
        <w:spacing w:after="120" w:line="240" w:lineRule="auto"/>
        <w:jc w:val="both"/>
        <w:rPr>
          <w:rFonts w:ascii="Verdana Pro Cond Light" w:hAnsi="Verdana Pro Cond Light" w:cs="Arial"/>
          <w:lang w:val="lv-LV"/>
        </w:rPr>
      </w:pPr>
    </w:p>
    <w:p w14:paraId="0E62A8A1" w14:textId="77777777" w:rsidR="00262896" w:rsidRPr="00A14B6D" w:rsidRDefault="00262896" w:rsidP="00262896">
      <w:pPr>
        <w:spacing w:before="120" w:after="160" w:line="240" w:lineRule="auto"/>
        <w:jc w:val="both"/>
        <w:rPr>
          <w:rFonts w:ascii="Verdana Pro Cond Light" w:hAnsi="Verdana Pro Cond Light"/>
          <w:lang w:val="lv-LV"/>
        </w:rPr>
      </w:pPr>
      <w:r w:rsidRPr="00A14B6D">
        <w:rPr>
          <w:rFonts w:ascii="Verdana Pro Cond Light" w:hAnsi="Verdana Pro Cond Light"/>
          <w:lang w:val="lv-LV"/>
        </w:rPr>
        <w:t>Jaunās ES politiskās vadības dienaskārtībā būs neordināru risinājumu meklēšana gandrīz visās sfērās: ES paplašināšana, drošība plašākā kontekstā, Eiropas zaļais kurss, kohēzijas, sociālās un kopējas lauksaimniecības politika</w:t>
      </w:r>
      <w:r>
        <w:rPr>
          <w:rFonts w:ascii="Verdana Pro Cond Light" w:hAnsi="Verdana Pro Cond Light"/>
          <w:lang w:val="lv-LV"/>
        </w:rPr>
        <w:t xml:space="preserve"> </w:t>
      </w:r>
      <w:r w:rsidRPr="00A14B6D">
        <w:rPr>
          <w:rFonts w:ascii="Verdana Pro Cond Light" w:hAnsi="Verdana Pro Cond Light"/>
          <w:lang w:val="lv-LV"/>
        </w:rPr>
        <w:t>– visi virzieni prasa ļoti rūpīgu finanšu iespēju un ierobežojumu novērtējumu. Īpaša nozīme būs tam, kādi ekonomiskās politikas instrumenti tiks iedarbināti un kādas būs nākamā daudzgadu budžeta prioritātes.</w:t>
      </w:r>
    </w:p>
    <w:p w14:paraId="79EBE4BA" w14:textId="77777777" w:rsidR="00262896" w:rsidRPr="00A14B6D" w:rsidRDefault="00262896" w:rsidP="00262896">
      <w:pPr>
        <w:spacing w:before="40" w:after="160" w:line="240" w:lineRule="auto"/>
        <w:jc w:val="both"/>
        <w:rPr>
          <w:rFonts w:ascii="Verdana Pro Cond Light" w:eastAsia="Times New Roman" w:hAnsi="Verdana Pro Cond Light"/>
          <w:color w:val="000000"/>
          <w:lang w:val="lv-LV" w:eastAsia="lv-LV"/>
        </w:rPr>
      </w:pPr>
      <w:r w:rsidRPr="00A14B6D">
        <w:rPr>
          <w:rFonts w:ascii="Verdana Pro Cond Light" w:eastAsia="Times New Roman" w:hAnsi="Verdana Pro Cond Light"/>
          <w:color w:val="000000"/>
          <w:lang w:val="lv-LV" w:eastAsia="lv-LV"/>
        </w:rPr>
        <w:t>ES izpildvaras stratēģiskās vadlīnijas nākamajiem pieciem gadiem izriet no Eiropas Komisijas  priekšsēdētājas Urzulas fon der Leienas (</w:t>
      </w:r>
      <w:r w:rsidRPr="00A14B6D">
        <w:rPr>
          <w:rFonts w:ascii="Verdana Pro Cond Light" w:eastAsia="Times New Roman" w:hAnsi="Verdana Pro Cond Light"/>
          <w:i/>
          <w:color w:val="000000"/>
          <w:lang w:val="lv-LV" w:eastAsia="lv-LV"/>
        </w:rPr>
        <w:t>Ursula von der Leyen</w:t>
      </w:r>
      <w:r w:rsidRPr="00A14B6D">
        <w:rPr>
          <w:rFonts w:ascii="Verdana Pro Cond Light" w:eastAsia="Times New Roman" w:hAnsi="Verdana Pro Cond Light"/>
          <w:color w:val="000000"/>
          <w:lang w:val="lv-LV" w:eastAsia="lv-LV"/>
        </w:rPr>
        <w:t xml:space="preserve">) ziņojuma </w:t>
      </w:r>
      <w:r w:rsidRPr="00A14B6D">
        <w:rPr>
          <w:rFonts w:ascii="Verdana Pro Cond Light" w:hAnsi="Verdana Pro Cond Light" w:cs="Arial"/>
          <w:b/>
          <w:bCs/>
          <w:lang w:val="lv-LV"/>
        </w:rPr>
        <w:t xml:space="preserve">“Eiropas izvēle. Politiskās vadlīnijas nākamajai Eiropas Komisijai” </w:t>
      </w:r>
      <w:r w:rsidRPr="00A14B6D">
        <w:rPr>
          <w:rFonts w:ascii="Verdana Pro Cond Light" w:eastAsia="Times New Roman" w:hAnsi="Verdana Pro Cond Light"/>
          <w:color w:val="000000"/>
          <w:lang w:val="lv-LV" w:eastAsia="lv-LV"/>
        </w:rPr>
        <w:t>Eiropas Parlamentā 2024. gada 18. jūlijā.</w:t>
      </w:r>
      <w:r w:rsidRPr="00A14B6D">
        <w:rPr>
          <w:rStyle w:val="FootnoteReference"/>
          <w:rFonts w:ascii="Verdana Pro Cond Light" w:eastAsia="Times New Roman" w:hAnsi="Verdana Pro Cond Light"/>
          <w:color w:val="000000"/>
          <w:lang w:eastAsia="lv-LV"/>
        </w:rPr>
        <w:footnoteReference w:id="21"/>
      </w:r>
      <w:r w:rsidRPr="00A14B6D">
        <w:rPr>
          <w:rFonts w:ascii="Verdana Pro Cond Light" w:eastAsia="Times New Roman" w:hAnsi="Verdana Pro Cond Light"/>
          <w:color w:val="000000"/>
          <w:lang w:val="lv-LV" w:eastAsia="lv-LV"/>
        </w:rPr>
        <w:t xml:space="preserve"> Ir tikai loģiski, ka, turpinot vadīt EK, tās priekšsēdētāja savā otrajā termiņā turpinās iesākto darbu visās sfērās, tai skaitā ekonomikā, klimata un vides jautājumos.</w:t>
      </w:r>
    </w:p>
    <w:p w14:paraId="69B2B545" w14:textId="77777777" w:rsidR="00262896" w:rsidRPr="00A14B6D" w:rsidRDefault="00262896" w:rsidP="00262896">
      <w:pPr>
        <w:spacing w:before="40" w:after="160" w:line="240" w:lineRule="auto"/>
        <w:jc w:val="both"/>
        <w:rPr>
          <w:rFonts w:ascii="Verdana Pro Cond Light" w:hAnsi="Verdana Pro Cond Light"/>
          <w:lang w:val="lv-LV"/>
        </w:rPr>
      </w:pPr>
      <w:r w:rsidRPr="00A14B6D">
        <w:rPr>
          <w:rFonts w:ascii="Verdana Pro Cond Light" w:hAnsi="Verdana Pro Cond Light"/>
          <w:lang w:val="lv-LV"/>
        </w:rPr>
        <w:t>EK priekšsēdētāja atzīmē, ka ES ir jāsaglabā iesāktā virzība uz Eiropas Zaļā kursa mērķiem, veicinot tādu industriālo politiku, kas palīdzētu līdz 2040. gadam par 90 % samazināt emisijas un līdz 2050. gadam panākt klimata neitralitāti. Stratēģiski svarīgi ir saglabāt ES līderes lomu klimata iniciatīvās. Atjaunojamie energoresursi jau ir sasnieguši rekordaugstu līmeni, kas pašlaik veido apmēram 50 % no ES elektroenerģijas ražošanas apjoma. Atkarība no Krievijas fosilās gāzes ir ievērojami samazinājusies. Tomēr ir nepieciešama ES enerģijas tirgus tālāka attīstība, lai patērētāji sajustu labumu no tīras enerģijas ražošanas zemākām izmaksām un zemākām enerģijas cenām. Stratēģiskā prioritāte ir palielināt ieguldījumus tīras enerģijas infrastruktūrā un tehnoloģijās, energoefektivitātes pasākumos, energosistēmas digitalizācijā un ūdeņraža tīkla attīstībā.</w:t>
      </w:r>
    </w:p>
    <w:p w14:paraId="07E10218" w14:textId="77777777" w:rsidR="00262896" w:rsidRPr="00A14B6D" w:rsidRDefault="00262896" w:rsidP="00262896">
      <w:pPr>
        <w:spacing w:before="40" w:after="160" w:line="240" w:lineRule="auto"/>
        <w:jc w:val="both"/>
        <w:rPr>
          <w:rFonts w:ascii="Verdana Pro Cond Light" w:hAnsi="Verdana Pro Cond Light"/>
          <w:lang w:val="lv-LV"/>
        </w:rPr>
      </w:pPr>
      <w:r w:rsidRPr="00A14B6D">
        <w:rPr>
          <w:rFonts w:ascii="Verdana Pro Cond Light" w:hAnsi="Verdana Pro Cond Light"/>
          <w:lang w:val="lv-LV"/>
        </w:rPr>
        <w:t xml:space="preserve">Zaļā kursa virziena saglabāšana ir svarīga ziņa privātajiem investoriem. </w:t>
      </w:r>
      <w:bookmarkStart w:id="18" w:name="_Hlk177855101"/>
      <w:r w:rsidRPr="00A14B6D">
        <w:rPr>
          <w:rFonts w:ascii="Verdana Pro Cond Light" w:hAnsi="Verdana Pro Cond Light"/>
          <w:lang w:val="lv-LV"/>
        </w:rPr>
        <w:t>EK priekšsēdētāja uzsvēra, ka esošā 2030.</w:t>
      </w:r>
      <w:r>
        <w:rPr>
          <w:rFonts w:ascii="Verdana Pro Cond Light" w:hAnsi="Verdana Pro Cond Light"/>
          <w:lang w:val="lv-LV"/>
        </w:rPr>
        <w:t> </w:t>
      </w:r>
      <w:r w:rsidRPr="00A14B6D">
        <w:rPr>
          <w:rFonts w:ascii="Verdana Pro Cond Light" w:hAnsi="Verdana Pro Cond Light"/>
          <w:lang w:val="lv-LV"/>
        </w:rPr>
        <w:t>gada tiesiskā ietvara ievešana tiks turpināta. Papildus tam tiks izstrādātas vairākas citas jaunas iniciatīvas</w:t>
      </w:r>
      <w:bookmarkEnd w:id="18"/>
      <w:r w:rsidRPr="00A14B6D">
        <w:rPr>
          <w:rFonts w:ascii="Verdana Pro Cond Light" w:hAnsi="Verdana Pro Cond Light"/>
          <w:lang w:val="lv-LV"/>
        </w:rPr>
        <w:t>, piemēram:</w:t>
      </w:r>
    </w:p>
    <w:p w14:paraId="5E1A0704" w14:textId="77777777" w:rsidR="00262896" w:rsidRPr="00AB3A8E" w:rsidRDefault="00262896" w:rsidP="00262896">
      <w:pPr>
        <w:pStyle w:val="ListParagraph"/>
        <w:widowControl/>
        <w:numPr>
          <w:ilvl w:val="0"/>
          <w:numId w:val="6"/>
        </w:numPr>
        <w:spacing w:after="120" w:line="240" w:lineRule="auto"/>
        <w:ind w:left="567" w:hanging="283"/>
        <w:contextualSpacing w:val="0"/>
        <w:rPr>
          <w:rFonts w:ascii="Verdana Pro Cond Light" w:hAnsi="Verdana Pro Cond Light" w:cs="Arial"/>
          <w:lang w:val="lv-LV"/>
        </w:rPr>
      </w:pPr>
      <w:r w:rsidRPr="00AB3A8E">
        <w:rPr>
          <w:rFonts w:ascii="Verdana Pro Cond Light" w:hAnsi="Verdana Pro Cond Light" w:cs="Arial"/>
          <w:lang w:val="lv-LV"/>
        </w:rPr>
        <w:t>Tīrs industriāls kurss (</w:t>
      </w:r>
      <w:r w:rsidRPr="00AB3A8E">
        <w:rPr>
          <w:rFonts w:ascii="Verdana Pro Cond Light" w:hAnsi="Verdana Pro Cond Light" w:cs="Arial"/>
          <w:i/>
          <w:iCs/>
          <w:lang w:val="lv-LV"/>
        </w:rPr>
        <w:t>Clean Industrila Deal</w:t>
      </w:r>
      <w:r w:rsidRPr="00AB3A8E">
        <w:rPr>
          <w:rFonts w:ascii="Verdana Pro Cond Light" w:hAnsi="Verdana Pro Cond Light" w:cs="Arial"/>
          <w:lang w:val="lv-LV"/>
        </w:rPr>
        <w:t>);</w:t>
      </w:r>
    </w:p>
    <w:p w14:paraId="278C1C6A" w14:textId="77777777" w:rsidR="00262896" w:rsidRPr="00AB3A8E" w:rsidRDefault="00262896" w:rsidP="00262896">
      <w:pPr>
        <w:pStyle w:val="ListParagraph"/>
        <w:widowControl/>
        <w:numPr>
          <w:ilvl w:val="0"/>
          <w:numId w:val="6"/>
        </w:numPr>
        <w:spacing w:after="120" w:line="240" w:lineRule="auto"/>
        <w:ind w:left="567" w:hanging="283"/>
        <w:contextualSpacing w:val="0"/>
        <w:rPr>
          <w:rFonts w:ascii="Verdana Pro Cond Light" w:hAnsi="Verdana Pro Cond Light" w:cs="Arial"/>
          <w:lang w:val="lv-LV"/>
        </w:rPr>
      </w:pPr>
      <w:r w:rsidRPr="00AB3A8E">
        <w:rPr>
          <w:rFonts w:ascii="Verdana Pro Cond Light" w:hAnsi="Verdana Pro Cond Light" w:cs="Arial"/>
          <w:lang w:val="lv-LV"/>
        </w:rPr>
        <w:t>90% emisiju samazinājuma mērķis līdz 2040.</w:t>
      </w:r>
      <w:r>
        <w:rPr>
          <w:rFonts w:ascii="Verdana Pro Cond Light" w:hAnsi="Verdana Pro Cond Light" w:cs="Arial"/>
          <w:lang w:val="lv-LV"/>
        </w:rPr>
        <w:t> </w:t>
      </w:r>
      <w:r w:rsidRPr="00AB3A8E">
        <w:rPr>
          <w:rFonts w:ascii="Verdana Pro Cond Light" w:hAnsi="Verdana Pro Cond Light" w:cs="Arial"/>
          <w:lang w:val="lv-LV"/>
        </w:rPr>
        <w:t>gadam un attiecīgais Eiropas Klimata regulējums (</w:t>
      </w:r>
      <w:r w:rsidRPr="00AB3A8E">
        <w:rPr>
          <w:rFonts w:ascii="Verdana Pro Cond Light" w:hAnsi="Verdana Pro Cond Light" w:cs="Arial"/>
          <w:i/>
          <w:iCs/>
          <w:lang w:val="lv-LV"/>
        </w:rPr>
        <w:t>European Climate Law</w:t>
      </w:r>
      <w:r w:rsidRPr="00AB3A8E">
        <w:rPr>
          <w:rFonts w:ascii="Verdana Pro Cond Light" w:hAnsi="Verdana Pro Cond Light" w:cs="Arial"/>
          <w:lang w:val="lv-LV"/>
        </w:rPr>
        <w:t>);</w:t>
      </w:r>
    </w:p>
    <w:p w14:paraId="452AE0EE" w14:textId="77777777" w:rsidR="00262896" w:rsidRPr="00AB3A8E" w:rsidRDefault="00262896" w:rsidP="00262896">
      <w:pPr>
        <w:pStyle w:val="ListParagraph"/>
        <w:widowControl/>
        <w:numPr>
          <w:ilvl w:val="0"/>
          <w:numId w:val="6"/>
        </w:numPr>
        <w:spacing w:after="120" w:line="240" w:lineRule="auto"/>
        <w:ind w:left="567" w:hanging="283"/>
        <w:contextualSpacing w:val="0"/>
        <w:rPr>
          <w:rFonts w:ascii="Verdana Pro Cond Light" w:hAnsi="Verdana Pro Cond Light" w:cs="Arial"/>
          <w:lang w:val="lv-LV"/>
        </w:rPr>
      </w:pPr>
      <w:r w:rsidRPr="00AB3A8E">
        <w:rPr>
          <w:rFonts w:ascii="Verdana Pro Cond Light" w:hAnsi="Verdana Pro Cond Light" w:cs="Arial"/>
          <w:lang w:val="lv-LV"/>
        </w:rPr>
        <w:t>Industriālās de</w:t>
      </w:r>
      <w:r>
        <w:rPr>
          <w:rFonts w:ascii="Verdana Pro Cond Light" w:hAnsi="Verdana Pro Cond Light" w:cs="Arial"/>
          <w:lang w:val="lv-LV"/>
        </w:rPr>
        <w:t>k</w:t>
      </w:r>
      <w:r w:rsidRPr="00AB3A8E">
        <w:rPr>
          <w:rFonts w:ascii="Verdana Pro Cond Light" w:hAnsi="Verdana Pro Cond Light" w:cs="Arial"/>
          <w:lang w:val="lv-LV"/>
        </w:rPr>
        <w:t>arbonizācijas paātrināšanas akts (</w:t>
      </w:r>
      <w:r w:rsidRPr="00AB3A8E">
        <w:rPr>
          <w:rFonts w:ascii="Verdana Pro Cond Light" w:hAnsi="Verdana Pro Cond Light" w:cs="Arial"/>
          <w:i/>
          <w:iCs/>
          <w:lang w:val="lv-LV"/>
        </w:rPr>
        <w:t>Industrial Decarbonisation Accelerator Act</w:t>
      </w:r>
      <w:r w:rsidRPr="00AB3A8E">
        <w:rPr>
          <w:rFonts w:ascii="Verdana Pro Cond Light" w:hAnsi="Verdana Pro Cond Light" w:cs="Arial"/>
          <w:lang w:val="lv-LV"/>
        </w:rPr>
        <w:t>);</w:t>
      </w:r>
    </w:p>
    <w:p w14:paraId="1903DCCF" w14:textId="77777777" w:rsidR="00262896" w:rsidRPr="00AB3A8E" w:rsidRDefault="00262896" w:rsidP="00262896">
      <w:pPr>
        <w:pStyle w:val="ListParagraph"/>
        <w:widowControl/>
        <w:numPr>
          <w:ilvl w:val="0"/>
          <w:numId w:val="6"/>
        </w:numPr>
        <w:spacing w:after="120" w:line="240" w:lineRule="auto"/>
        <w:ind w:left="567" w:hanging="283"/>
        <w:contextualSpacing w:val="0"/>
        <w:rPr>
          <w:rFonts w:ascii="Verdana Pro Cond Light" w:hAnsi="Verdana Pro Cond Light" w:cs="Arial"/>
          <w:lang w:val="lv-LV"/>
        </w:rPr>
      </w:pPr>
      <w:r w:rsidRPr="00AB3A8E">
        <w:rPr>
          <w:rFonts w:ascii="Verdana Pro Cond Light" w:hAnsi="Verdana Pro Cond Light" w:cs="Arial"/>
          <w:lang w:val="lv-LV"/>
        </w:rPr>
        <w:t>Tīras tirdzniecības un investīciju partnerība (</w:t>
      </w:r>
      <w:r w:rsidRPr="00AB3A8E">
        <w:rPr>
          <w:rFonts w:ascii="Verdana Pro Cond Light" w:hAnsi="Verdana Pro Cond Light" w:cs="Arial"/>
          <w:i/>
          <w:iCs/>
          <w:lang w:val="lv-LV"/>
        </w:rPr>
        <w:t>Clean Trade and Investment Partnership</w:t>
      </w:r>
      <w:r w:rsidRPr="00AB3A8E">
        <w:rPr>
          <w:rFonts w:ascii="Verdana Pro Cond Light" w:hAnsi="Verdana Pro Cond Light" w:cs="Arial"/>
          <w:lang w:val="lv-LV"/>
        </w:rPr>
        <w:t>);</w:t>
      </w:r>
    </w:p>
    <w:p w14:paraId="443ABC94" w14:textId="77777777" w:rsidR="00262896" w:rsidRPr="00AB3A8E" w:rsidRDefault="00262896" w:rsidP="00262896">
      <w:pPr>
        <w:pStyle w:val="ListParagraph"/>
        <w:widowControl/>
        <w:numPr>
          <w:ilvl w:val="0"/>
          <w:numId w:val="6"/>
        </w:numPr>
        <w:spacing w:after="120" w:line="240" w:lineRule="auto"/>
        <w:ind w:left="567" w:hanging="283"/>
        <w:contextualSpacing w:val="0"/>
        <w:rPr>
          <w:rFonts w:ascii="Verdana Pro Cond Light" w:hAnsi="Verdana Pro Cond Light" w:cs="Arial"/>
          <w:lang w:val="lv-LV"/>
        </w:rPr>
      </w:pPr>
      <w:r w:rsidRPr="00AB3A8E">
        <w:rPr>
          <w:rFonts w:ascii="Verdana Pro Cond Light" w:hAnsi="Verdana Pro Cond Light" w:cs="Arial"/>
          <w:lang w:val="lv-LV"/>
        </w:rPr>
        <w:t xml:space="preserve">Cirkulārās </w:t>
      </w:r>
      <w:r>
        <w:rPr>
          <w:rFonts w:ascii="Verdana Pro Cond Light" w:hAnsi="Verdana Pro Cond Light" w:cs="Arial"/>
          <w:lang w:val="lv-LV"/>
        </w:rPr>
        <w:t>ek</w:t>
      </w:r>
      <w:r w:rsidRPr="00AB3A8E">
        <w:rPr>
          <w:rFonts w:ascii="Verdana Pro Cond Light" w:hAnsi="Verdana Pro Cond Light" w:cs="Arial"/>
          <w:lang w:val="lv-LV"/>
        </w:rPr>
        <w:t>onomikas akts (</w:t>
      </w:r>
      <w:r w:rsidRPr="00AB3A8E">
        <w:rPr>
          <w:rFonts w:ascii="Verdana Pro Cond Light" w:hAnsi="Verdana Pro Cond Light" w:cs="Arial"/>
          <w:i/>
          <w:iCs/>
          <w:lang w:val="lv-LV"/>
        </w:rPr>
        <w:t>Circular Economy Act</w:t>
      </w:r>
      <w:r w:rsidRPr="00AB3A8E">
        <w:rPr>
          <w:rFonts w:ascii="Verdana Pro Cond Light" w:hAnsi="Verdana Pro Cond Light" w:cs="Arial"/>
          <w:lang w:val="lv-LV"/>
        </w:rPr>
        <w:t>) u.c.</w:t>
      </w:r>
    </w:p>
    <w:p w14:paraId="1C614944" w14:textId="77777777" w:rsidR="00262896" w:rsidRPr="00AB3A8E" w:rsidRDefault="00262896" w:rsidP="00262896">
      <w:pPr>
        <w:widowControl/>
        <w:spacing w:after="120" w:line="240" w:lineRule="auto"/>
        <w:rPr>
          <w:rFonts w:ascii="Verdana Pro Cond Light" w:hAnsi="Verdana Pro Cond Light" w:cs="Arial"/>
          <w:lang w:val="lv-LV"/>
        </w:rPr>
      </w:pPr>
      <w:r w:rsidRPr="00AB3A8E">
        <w:rPr>
          <w:rFonts w:ascii="Verdana Pro Cond Light" w:hAnsi="Verdana Pro Cond Light" w:cs="Arial"/>
          <w:lang w:val="lv-LV"/>
        </w:rPr>
        <w:lastRenderedPageBreak/>
        <w:t xml:space="preserve">Attiecīgi, plašs plānoto iniciatīvu klāsts skaidri norāda uz virzienu, pie kura tuvākajos gados notiks aktīvais darbs Eiropas institūcijās ar mērķi paātrināt </w:t>
      </w:r>
      <w:r>
        <w:rPr>
          <w:rFonts w:ascii="Verdana Pro Cond Light" w:hAnsi="Verdana Pro Cond Light" w:cs="Arial"/>
          <w:lang w:val="lv-LV"/>
        </w:rPr>
        <w:t>Z</w:t>
      </w:r>
      <w:r w:rsidRPr="00AB3A8E">
        <w:rPr>
          <w:rFonts w:ascii="Verdana Pro Cond Light" w:hAnsi="Verdana Pro Cond Light" w:cs="Arial"/>
          <w:lang w:val="lv-LV"/>
        </w:rPr>
        <w:t>aļā kursa transformācijas norisi.</w:t>
      </w:r>
      <w:r w:rsidRPr="00AB3A8E">
        <w:rPr>
          <w:rStyle w:val="FootnoteReference"/>
          <w:rFonts w:ascii="Verdana Pro Cond Light" w:hAnsi="Verdana Pro Cond Light" w:cs="Arial"/>
          <w:lang w:val="lv-LV"/>
        </w:rPr>
        <w:footnoteReference w:id="22"/>
      </w:r>
    </w:p>
    <w:p w14:paraId="5B4484D3" w14:textId="77777777" w:rsidR="00262896" w:rsidRPr="00AB3A8E" w:rsidRDefault="00262896" w:rsidP="00262896">
      <w:pPr>
        <w:widowControl/>
        <w:spacing w:after="120" w:line="240" w:lineRule="auto"/>
        <w:rPr>
          <w:rFonts w:ascii="Verdana Pro Cond Light" w:hAnsi="Verdana Pro Cond Light" w:cs="Arial"/>
          <w:lang w:val="lv-LV"/>
        </w:rPr>
      </w:pPr>
      <w:r w:rsidRPr="00AB3A8E">
        <w:rPr>
          <w:rFonts w:ascii="Verdana Pro Cond Light" w:hAnsi="Verdana Pro Cond Light" w:cs="Arial"/>
          <w:lang w:val="lv-LV"/>
        </w:rPr>
        <w:t>Mainīgajā pasaulē ar jauniem izaicinājumiem ES aktivitātes ir vērstas uz to, lai saglabātu konkurētspēju, labklājību un savu vadošo lomu pasaulē, kā arī nodrošinātu, ka ES var kontrolēt savu nākotni. Tāpēc E</w:t>
      </w:r>
      <w:r>
        <w:rPr>
          <w:rFonts w:ascii="Verdana Pro Cond Light" w:hAnsi="Verdana Pro Cond Light" w:cs="Arial"/>
          <w:lang w:val="lv-LV"/>
        </w:rPr>
        <w:t>K</w:t>
      </w:r>
      <w:r w:rsidRPr="00AB3A8E">
        <w:rPr>
          <w:rFonts w:ascii="Verdana Pro Cond Light" w:hAnsi="Verdana Pro Cond Light" w:cs="Arial"/>
          <w:lang w:val="lv-LV"/>
        </w:rPr>
        <w:t xml:space="preserve"> uzdeva </w:t>
      </w:r>
      <w:r w:rsidRPr="00AB3A8E">
        <w:rPr>
          <w:rFonts w:ascii="Verdana Pro Cond Light" w:hAnsi="Verdana Pro Cond Light" w:cs="Arial"/>
          <w:b/>
          <w:bCs/>
          <w:lang w:val="lv-LV"/>
        </w:rPr>
        <w:t>Mario Dragi</w:t>
      </w:r>
      <w:r w:rsidRPr="00AB3A8E">
        <w:rPr>
          <w:rFonts w:ascii="Verdana Pro Cond Light" w:hAnsi="Verdana Pro Cond Light" w:cs="Arial"/>
          <w:lang w:val="lv-LV"/>
        </w:rPr>
        <w:t xml:space="preserve"> – bijušajam Eiropas Centrālās bankas prezidentam un vienam no lielākajiem Eiropas ekonomikas prātiem – sagatavot ziņojumu par viņa personīgo redzējumu </w:t>
      </w:r>
      <w:bookmarkStart w:id="19" w:name="_Hlk177855274"/>
      <w:r w:rsidRPr="00AB3A8E">
        <w:rPr>
          <w:rFonts w:ascii="Verdana Pro Cond Light" w:hAnsi="Verdana Pro Cond Light" w:cs="Arial"/>
          <w:lang w:val="lv-LV"/>
        </w:rPr>
        <w:t>par Eiropas konkurētspējas nākotni</w:t>
      </w:r>
      <w:bookmarkEnd w:id="19"/>
      <w:r w:rsidRPr="00AB3A8E">
        <w:rPr>
          <w:rFonts w:ascii="Verdana Pro Cond Light" w:hAnsi="Verdana Pro Cond Light" w:cs="Arial"/>
          <w:lang w:val="lv-LV"/>
        </w:rPr>
        <w:t xml:space="preserve">. Ziņojumā aplūkotas problēmas, ar kurām saskaras industrija un uzņēmumi </w:t>
      </w:r>
      <w:r>
        <w:rPr>
          <w:rFonts w:ascii="Verdana Pro Cond Light" w:hAnsi="Verdana Pro Cond Light" w:cs="Arial"/>
          <w:lang w:val="lv-LV"/>
        </w:rPr>
        <w:t xml:space="preserve">ES </w:t>
      </w:r>
      <w:r w:rsidRPr="00AB3A8E">
        <w:rPr>
          <w:rFonts w:ascii="Verdana Pro Cond Light" w:hAnsi="Verdana Pro Cond Light" w:cs="Arial"/>
          <w:lang w:val="lv-LV"/>
        </w:rPr>
        <w:t xml:space="preserve">vienotajā tirgū. Ziņojuma secinājumi veicinās Komisijas darbu pie jauna plāna Eiropas ilgtspējīgai labklājībai un konkurētspējai. </w:t>
      </w:r>
      <w:r>
        <w:rPr>
          <w:rFonts w:ascii="Verdana Pro Cond Light" w:hAnsi="Verdana Pro Cond Light" w:cs="Arial"/>
          <w:lang w:val="lv-LV"/>
        </w:rPr>
        <w:t>Ziņojums ir</w:t>
      </w:r>
      <w:r w:rsidRPr="00AB3A8E">
        <w:rPr>
          <w:rFonts w:ascii="Verdana Pro Cond Light" w:hAnsi="Verdana Pro Cond Light" w:cs="Arial"/>
          <w:lang w:val="lv-LV"/>
        </w:rPr>
        <w:t xml:space="preserve"> īpaši</w:t>
      </w:r>
      <w:r>
        <w:rPr>
          <w:rFonts w:ascii="Verdana Pro Cond Light" w:hAnsi="Verdana Pro Cond Light" w:cs="Arial"/>
          <w:lang w:val="lv-LV"/>
        </w:rPr>
        <w:t xml:space="preserve"> svarīgs</w:t>
      </w:r>
      <w:r w:rsidRPr="00AB3A8E">
        <w:rPr>
          <w:rFonts w:ascii="Verdana Pro Cond Light" w:hAnsi="Verdana Pro Cond Light" w:cs="Arial"/>
          <w:lang w:val="lv-LV"/>
        </w:rPr>
        <w:t xml:space="preserve"> saistībā ar jaunā Tīras rūpniecības kursa (Clean Industrial Deal) izstrādi, kas tiks prezentēts jaunā Komisijas pilnvaru termiņa pirmajās 100 dienās.</w:t>
      </w:r>
    </w:p>
    <w:p w14:paraId="6EA88BA9" w14:textId="77777777" w:rsidR="00262896" w:rsidRPr="00AB3A8E" w:rsidRDefault="00262896" w:rsidP="00262896">
      <w:pPr>
        <w:widowControl/>
        <w:spacing w:after="120" w:line="240" w:lineRule="auto"/>
        <w:rPr>
          <w:rFonts w:ascii="Verdana Pro Cond Light" w:hAnsi="Verdana Pro Cond Light" w:cs="Arial"/>
          <w:lang w:val="lv-LV"/>
        </w:rPr>
      </w:pPr>
      <w:r w:rsidRPr="00AB3A8E">
        <w:rPr>
          <w:rFonts w:ascii="Verdana Pro Cond Light" w:hAnsi="Verdana Pro Cond Light" w:cs="Arial"/>
          <w:lang w:val="lv-LV"/>
        </w:rPr>
        <w:t xml:space="preserve">Ziņojums </w:t>
      </w:r>
      <w:bookmarkStart w:id="20" w:name="_Hlk177855308"/>
      <w:r w:rsidRPr="00AB3A8E">
        <w:rPr>
          <w:rFonts w:ascii="Verdana Pro Cond Light" w:hAnsi="Verdana Pro Cond Light" w:cs="Arial"/>
          <w:lang w:val="lv-LV"/>
        </w:rPr>
        <w:t xml:space="preserve">iezīmē trīs galvenās darbības sfēras, lai nodrošinātu ilgtspējīgu izaugsmi ES. </w:t>
      </w:r>
      <w:bookmarkEnd w:id="20"/>
      <w:r w:rsidRPr="00AB3A8E">
        <w:rPr>
          <w:rFonts w:ascii="Verdana Pro Cond Light" w:hAnsi="Verdana Pro Cond Light" w:cs="Arial"/>
          <w:b/>
          <w:bCs/>
          <w:lang w:val="lv-LV"/>
        </w:rPr>
        <w:t>Pirmkārt,</w:t>
      </w:r>
      <w:r w:rsidRPr="00AB3A8E">
        <w:rPr>
          <w:rFonts w:ascii="Verdana Pro Cond Light" w:hAnsi="Verdana Pro Cond Light" w:cs="Arial"/>
          <w:lang w:val="lv-LV"/>
        </w:rPr>
        <w:t xml:space="preserve"> Eiropai ir rūpīgi jāpārorientē savi kolektīvie centieni, lai novērstu inovācijas plaisu </w:t>
      </w:r>
      <w:r>
        <w:rPr>
          <w:rFonts w:ascii="Verdana Pro Cond Light" w:hAnsi="Verdana Pro Cond Light" w:cs="Arial"/>
          <w:lang w:val="lv-LV"/>
        </w:rPr>
        <w:t>ar</w:t>
      </w:r>
      <w:r w:rsidRPr="00AB3A8E">
        <w:rPr>
          <w:rFonts w:ascii="Verdana Pro Cond Light" w:hAnsi="Verdana Pro Cond Light" w:cs="Arial"/>
          <w:lang w:val="lv-LV"/>
        </w:rPr>
        <w:t xml:space="preserve"> ASV un Ķīn</w:t>
      </w:r>
      <w:r>
        <w:rPr>
          <w:rFonts w:ascii="Verdana Pro Cond Light" w:hAnsi="Verdana Pro Cond Light" w:cs="Arial"/>
          <w:lang w:val="lv-LV"/>
        </w:rPr>
        <w:t>u</w:t>
      </w:r>
      <w:r w:rsidRPr="00AB3A8E">
        <w:rPr>
          <w:rFonts w:ascii="Verdana Pro Cond Light" w:hAnsi="Verdana Pro Cond Light" w:cs="Arial"/>
          <w:lang w:val="lv-LV"/>
        </w:rPr>
        <w:t>, jo īpaši progresīvo tehnoloģiju jomā.</w:t>
      </w:r>
    </w:p>
    <w:p w14:paraId="5302B9A5" w14:textId="77777777" w:rsidR="00262896" w:rsidRPr="00AB3A8E" w:rsidRDefault="00262896" w:rsidP="00262896">
      <w:pPr>
        <w:widowControl/>
        <w:spacing w:after="120" w:line="240" w:lineRule="auto"/>
        <w:rPr>
          <w:rFonts w:ascii="Verdana Pro Cond Light" w:hAnsi="Verdana Pro Cond Light" w:cs="Arial"/>
          <w:lang w:val="lv-LV"/>
        </w:rPr>
      </w:pPr>
      <w:r w:rsidRPr="00AB3A8E">
        <w:rPr>
          <w:rFonts w:ascii="Verdana Pro Cond Light" w:hAnsi="Verdana Pro Cond Light" w:cs="Arial"/>
          <w:b/>
          <w:bCs/>
          <w:lang w:val="lv-LV"/>
        </w:rPr>
        <w:t>Otrs virziens</w:t>
      </w:r>
      <w:r w:rsidRPr="00AB3A8E">
        <w:rPr>
          <w:rFonts w:ascii="Verdana Pro Cond Light" w:hAnsi="Verdana Pro Cond Light" w:cs="Arial"/>
          <w:lang w:val="lv-LV"/>
        </w:rPr>
        <w:t xml:space="preserve"> ir </w:t>
      </w:r>
      <w:bookmarkStart w:id="21" w:name="_Hlk177855370"/>
      <w:r w:rsidRPr="00AB3A8E">
        <w:rPr>
          <w:rFonts w:ascii="Verdana Pro Cond Light" w:hAnsi="Verdana Pro Cond Light" w:cs="Arial"/>
          <w:lang w:val="lv-LV"/>
        </w:rPr>
        <w:t>kopīgs dekarbonizācijas un konkurētspējas plāns. Ja Eiropas ambiciozajiem klimata mērķiem tiks izstrādāts saskaņots plāns to sasniegšanai, dekarbonizācija Eirop</w:t>
      </w:r>
      <w:r>
        <w:rPr>
          <w:rFonts w:ascii="Verdana Pro Cond Light" w:hAnsi="Verdana Pro Cond Light" w:cs="Arial"/>
          <w:lang w:val="lv-LV"/>
        </w:rPr>
        <w:t>ā</w:t>
      </w:r>
      <w:r w:rsidRPr="00AB3A8E">
        <w:rPr>
          <w:rFonts w:ascii="Verdana Pro Cond Light" w:hAnsi="Verdana Pro Cond Light" w:cs="Arial"/>
          <w:lang w:val="lv-LV"/>
        </w:rPr>
        <w:t xml:space="preserve"> būs iespēja</w:t>
      </w:r>
      <w:r>
        <w:rPr>
          <w:rFonts w:ascii="Verdana Pro Cond Light" w:hAnsi="Verdana Pro Cond Light" w:cs="Arial"/>
          <w:lang w:val="lv-LV"/>
        </w:rPr>
        <w:t>ma</w:t>
      </w:r>
      <w:r w:rsidRPr="00AB3A8E">
        <w:rPr>
          <w:rFonts w:ascii="Verdana Pro Cond Light" w:hAnsi="Verdana Pro Cond Light" w:cs="Arial"/>
          <w:lang w:val="lv-LV"/>
        </w:rPr>
        <w:t>. Taču, ja ES nesaskaņos savu politiku, pastāv risks, ka dekarbonizācija var būt pretrunā ar konkurētspēju un izaugsmi.</w:t>
      </w:r>
      <w:bookmarkEnd w:id="21"/>
    </w:p>
    <w:p w14:paraId="2A98D479" w14:textId="77777777" w:rsidR="00262896" w:rsidRPr="00AB3A8E" w:rsidRDefault="00262896" w:rsidP="00262896">
      <w:pPr>
        <w:widowControl/>
        <w:spacing w:after="120" w:line="240" w:lineRule="auto"/>
        <w:rPr>
          <w:rFonts w:ascii="Verdana Pro Cond Light" w:hAnsi="Verdana Pro Cond Light" w:cs="Arial"/>
          <w:lang w:val="lv-LV"/>
        </w:rPr>
      </w:pPr>
      <w:r w:rsidRPr="00AB3A8E">
        <w:rPr>
          <w:rFonts w:ascii="Verdana Pro Cond Light" w:hAnsi="Verdana Pro Cond Light" w:cs="Arial"/>
          <w:b/>
          <w:bCs/>
          <w:lang w:val="lv-LV"/>
        </w:rPr>
        <w:t>Trešais virziens</w:t>
      </w:r>
      <w:r w:rsidRPr="00AB3A8E">
        <w:rPr>
          <w:rFonts w:ascii="Verdana Pro Cond Light" w:hAnsi="Verdana Pro Cond Light" w:cs="Arial"/>
          <w:lang w:val="lv-LV"/>
        </w:rPr>
        <w:t xml:space="preserve"> ir drošības palielināšana un atkarību mazināšana. Drošība ir ilgtspējīgas izaugsmes priekšnoteikums. Pieaugošie ģeopolitiskie riski var palielināt nenoteiktību un bremzēt ieguldījumus, savukārt lieli ģeopolitiskie satricinājumi vai pēkšņas tirdzniecības apstāšanās var būt ārkārtīgi traucējošas. Ģeopolitiskās stabilitātes laikmetam ejot, pieaug risks, ka pieaugošā nedrošība kļūs par draudu izaugsmei un brīvībai. Eiropa ir īpaši pakļauta šiem riskiem. ES paļaujas uz dažiem kritisko izejvielu piegādātājiem, jo</w:t>
      </w:r>
      <w:r>
        <w:rPr>
          <w:rFonts w:ascii="Verdana Pro Cond Light" w:hAnsi="Verdana Pro Cond Light" w:cs="Arial"/>
          <w:lang w:val="lv-LV"/>
        </w:rPr>
        <w:t xml:space="preserve"> ī</w:t>
      </w:r>
      <w:r w:rsidRPr="00AB3A8E">
        <w:rPr>
          <w:rFonts w:ascii="Verdana Pro Cond Light" w:hAnsi="Verdana Pro Cond Light" w:cs="Arial"/>
          <w:lang w:val="lv-LV"/>
        </w:rPr>
        <w:t>pa</w:t>
      </w:r>
      <w:r w:rsidRPr="00AB3A8E">
        <w:rPr>
          <w:rFonts w:ascii="Verdana Pro Cond Light" w:hAnsi="Verdana Pro Cond Light" w:cs="Verdana Pro Cond Light"/>
          <w:lang w:val="lv-LV"/>
        </w:rPr>
        <w:t>š</w:t>
      </w:r>
      <w:r w:rsidRPr="00AB3A8E">
        <w:rPr>
          <w:rFonts w:ascii="Verdana Pro Cond Light" w:hAnsi="Verdana Pro Cond Light" w:cs="Arial"/>
          <w:lang w:val="lv-LV"/>
        </w:rPr>
        <w:t xml:space="preserve">i uz </w:t>
      </w:r>
      <w:r w:rsidRPr="00AB3A8E">
        <w:rPr>
          <w:rFonts w:ascii="Verdana Pro Cond Light" w:hAnsi="Verdana Pro Cond Light" w:cs="Verdana Pro Cond Light"/>
          <w:lang w:val="lv-LV"/>
        </w:rPr>
        <w:t>Ķī</w:t>
      </w:r>
      <w:r w:rsidRPr="00AB3A8E">
        <w:rPr>
          <w:rFonts w:ascii="Verdana Pro Cond Light" w:hAnsi="Verdana Pro Cond Light" w:cs="Arial"/>
          <w:lang w:val="lv-LV"/>
        </w:rPr>
        <w:t>nu, pat ja glob</w:t>
      </w:r>
      <w:r w:rsidRPr="00AB3A8E">
        <w:rPr>
          <w:rFonts w:ascii="Verdana Pro Cond Light" w:hAnsi="Verdana Pro Cond Light" w:cs="Verdana Pro Cond Light"/>
          <w:lang w:val="lv-LV"/>
        </w:rPr>
        <w:t>ā</w:t>
      </w:r>
      <w:r w:rsidRPr="00AB3A8E">
        <w:rPr>
          <w:rFonts w:ascii="Verdana Pro Cond Light" w:hAnsi="Verdana Pro Cond Light" w:cs="Arial"/>
          <w:lang w:val="lv-LV"/>
        </w:rPr>
        <w:t>lais piepras</w:t>
      </w:r>
      <w:r w:rsidRPr="00AB3A8E">
        <w:rPr>
          <w:rFonts w:ascii="Verdana Pro Cond Light" w:hAnsi="Verdana Pro Cond Light" w:cs="Verdana Pro Cond Light"/>
          <w:lang w:val="lv-LV"/>
        </w:rPr>
        <w:t>ī</w:t>
      </w:r>
      <w:r w:rsidRPr="00AB3A8E">
        <w:rPr>
          <w:rFonts w:ascii="Verdana Pro Cond Light" w:hAnsi="Verdana Pro Cond Light" w:cs="Arial"/>
          <w:lang w:val="lv-LV"/>
        </w:rPr>
        <w:t>jums p</w:t>
      </w:r>
      <w:r w:rsidRPr="00AB3A8E">
        <w:rPr>
          <w:rFonts w:ascii="Verdana Pro Cond Light" w:hAnsi="Verdana Pro Cond Light" w:cs="Verdana Pro Cond Light"/>
          <w:lang w:val="lv-LV"/>
        </w:rPr>
        <w:t>ē</w:t>
      </w:r>
      <w:r w:rsidRPr="00AB3A8E">
        <w:rPr>
          <w:rFonts w:ascii="Verdana Pro Cond Light" w:hAnsi="Verdana Pro Cond Light" w:cs="Arial"/>
          <w:lang w:val="lv-LV"/>
        </w:rPr>
        <w:t xml:space="preserve">c </w:t>
      </w:r>
      <w:r w:rsidRPr="00AB3A8E">
        <w:rPr>
          <w:rFonts w:ascii="Verdana Pro Cond Light" w:hAnsi="Verdana Pro Cond Light" w:cs="Verdana Pro Cond Light"/>
          <w:lang w:val="lv-LV"/>
        </w:rPr>
        <w:t>š</w:t>
      </w:r>
      <w:r w:rsidRPr="00AB3A8E">
        <w:rPr>
          <w:rFonts w:ascii="Verdana Pro Cond Light" w:hAnsi="Verdana Pro Cond Light" w:cs="Arial"/>
          <w:lang w:val="lv-LV"/>
        </w:rPr>
        <w:t>iem materi</w:t>
      </w:r>
      <w:r w:rsidRPr="00AB3A8E">
        <w:rPr>
          <w:rFonts w:ascii="Verdana Pro Cond Light" w:hAnsi="Verdana Pro Cond Light" w:cs="Verdana Pro Cond Light"/>
          <w:lang w:val="lv-LV"/>
        </w:rPr>
        <w:t>ā</w:t>
      </w:r>
      <w:r w:rsidRPr="00AB3A8E">
        <w:rPr>
          <w:rFonts w:ascii="Verdana Pro Cond Light" w:hAnsi="Verdana Pro Cond Light" w:cs="Arial"/>
          <w:lang w:val="lv-LV"/>
        </w:rPr>
        <w:t>liem pieaug t</w:t>
      </w:r>
      <w:r w:rsidRPr="00AB3A8E">
        <w:rPr>
          <w:rFonts w:ascii="Verdana Pro Cond Light" w:hAnsi="Verdana Pro Cond Light" w:cs="Verdana Pro Cond Light"/>
          <w:lang w:val="lv-LV"/>
        </w:rPr>
        <w:t>ī</w:t>
      </w:r>
      <w:r w:rsidRPr="00AB3A8E">
        <w:rPr>
          <w:rFonts w:ascii="Verdana Pro Cond Light" w:hAnsi="Verdana Pro Cond Light" w:cs="Arial"/>
          <w:lang w:val="lv-LV"/>
        </w:rPr>
        <w:t>ras ener</w:t>
      </w:r>
      <w:r w:rsidRPr="00AB3A8E">
        <w:rPr>
          <w:rFonts w:ascii="Verdana Pro Cond Light" w:hAnsi="Verdana Pro Cond Light" w:cs="Verdana Pro Cond Light"/>
          <w:lang w:val="lv-LV"/>
        </w:rPr>
        <w:t>ģ</w:t>
      </w:r>
      <w:r w:rsidRPr="00AB3A8E">
        <w:rPr>
          <w:rFonts w:ascii="Verdana Pro Cond Light" w:hAnsi="Verdana Pro Cond Light" w:cs="Arial"/>
          <w:lang w:val="lv-LV"/>
        </w:rPr>
        <w:t>ijas p</w:t>
      </w:r>
      <w:r w:rsidRPr="00AB3A8E">
        <w:rPr>
          <w:rFonts w:ascii="Verdana Pro Cond Light" w:hAnsi="Verdana Pro Cond Light" w:cs="Verdana Pro Cond Light"/>
          <w:lang w:val="lv-LV"/>
        </w:rPr>
        <w:t>ā</w:t>
      </w:r>
      <w:r w:rsidRPr="00AB3A8E">
        <w:rPr>
          <w:rFonts w:ascii="Verdana Pro Cond Light" w:hAnsi="Verdana Pro Cond Light" w:cs="Arial"/>
          <w:lang w:val="lv-LV"/>
        </w:rPr>
        <w:t>rejas d</w:t>
      </w:r>
      <w:r w:rsidRPr="00AB3A8E">
        <w:rPr>
          <w:rFonts w:ascii="Verdana Pro Cond Light" w:hAnsi="Verdana Pro Cond Light" w:cs="Verdana Pro Cond Light"/>
          <w:lang w:val="lv-LV"/>
        </w:rPr>
        <w:t>ēļ</w:t>
      </w:r>
      <w:r w:rsidRPr="00AB3A8E">
        <w:rPr>
          <w:rFonts w:ascii="Verdana Pro Cond Light" w:hAnsi="Verdana Pro Cond Light" w:cs="Arial"/>
          <w:lang w:val="lv-LV"/>
        </w:rPr>
        <w:t xml:space="preserve">. ES ir </w:t>
      </w:r>
      <w:r w:rsidRPr="00AB3A8E">
        <w:rPr>
          <w:rFonts w:ascii="Verdana Pro Cond Light" w:hAnsi="Verdana Pro Cond Light" w:cs="Verdana Pro Cond Light"/>
          <w:lang w:val="lv-LV"/>
        </w:rPr>
        <w:t>ļ</w:t>
      </w:r>
      <w:r w:rsidRPr="00AB3A8E">
        <w:rPr>
          <w:rFonts w:ascii="Verdana Pro Cond Light" w:hAnsi="Verdana Pro Cond Light" w:cs="Arial"/>
          <w:lang w:val="lv-LV"/>
        </w:rPr>
        <w:t>oti atkar</w:t>
      </w:r>
      <w:r w:rsidRPr="00AB3A8E">
        <w:rPr>
          <w:rFonts w:ascii="Verdana Pro Cond Light" w:hAnsi="Verdana Pro Cond Light" w:cs="Verdana Pro Cond Light"/>
          <w:lang w:val="lv-LV"/>
        </w:rPr>
        <w:t>ī</w:t>
      </w:r>
      <w:r w:rsidRPr="00AB3A8E">
        <w:rPr>
          <w:rFonts w:ascii="Verdana Pro Cond Light" w:hAnsi="Verdana Pro Cond Light" w:cs="Arial"/>
          <w:lang w:val="lv-LV"/>
        </w:rPr>
        <w:t>ga ar</w:t>
      </w:r>
      <w:r w:rsidRPr="00AB3A8E">
        <w:rPr>
          <w:rFonts w:ascii="Verdana Pro Cond Light" w:hAnsi="Verdana Pro Cond Light" w:cs="Verdana Pro Cond Light"/>
          <w:lang w:val="lv-LV"/>
        </w:rPr>
        <w:t>ī</w:t>
      </w:r>
      <w:r w:rsidRPr="00AB3A8E">
        <w:rPr>
          <w:rFonts w:ascii="Verdana Pro Cond Light" w:hAnsi="Verdana Pro Cond Light" w:cs="Arial"/>
          <w:lang w:val="lv-LV"/>
        </w:rPr>
        <w:t xml:space="preserve"> no digit</w:t>
      </w:r>
      <w:r w:rsidRPr="00AB3A8E">
        <w:rPr>
          <w:rFonts w:ascii="Verdana Pro Cond Light" w:hAnsi="Verdana Pro Cond Light" w:cs="Verdana Pro Cond Light"/>
          <w:lang w:val="lv-LV"/>
        </w:rPr>
        <w:t>ā</w:t>
      </w:r>
      <w:r w:rsidRPr="00AB3A8E">
        <w:rPr>
          <w:rFonts w:ascii="Verdana Pro Cond Light" w:hAnsi="Verdana Pro Cond Light" w:cs="Arial"/>
          <w:lang w:val="lv-LV"/>
        </w:rPr>
        <w:t>lo tehnolo</w:t>
      </w:r>
      <w:r w:rsidRPr="00AB3A8E">
        <w:rPr>
          <w:rFonts w:ascii="Verdana Pro Cond Light" w:hAnsi="Verdana Pro Cond Light" w:cs="Verdana Pro Cond Light"/>
          <w:lang w:val="lv-LV"/>
        </w:rPr>
        <w:t>ģ</w:t>
      </w:r>
      <w:r w:rsidRPr="00AB3A8E">
        <w:rPr>
          <w:rFonts w:ascii="Verdana Pro Cond Light" w:hAnsi="Verdana Pro Cond Light" w:cs="Arial"/>
          <w:lang w:val="lv-LV"/>
        </w:rPr>
        <w:t>iju importa. Mikrosh</w:t>
      </w:r>
      <w:r w:rsidRPr="00AB3A8E">
        <w:rPr>
          <w:rFonts w:ascii="Verdana Pro Cond Light" w:hAnsi="Verdana Pro Cond Light" w:cs="Verdana Pro Cond Light"/>
          <w:lang w:val="lv-LV"/>
        </w:rPr>
        <w:t>ē</w:t>
      </w:r>
      <w:r w:rsidRPr="00AB3A8E">
        <w:rPr>
          <w:rFonts w:ascii="Verdana Pro Cond Light" w:hAnsi="Verdana Pro Cond Light" w:cs="Arial"/>
          <w:lang w:val="lv-LV"/>
        </w:rPr>
        <w:t>mu ra</w:t>
      </w:r>
      <w:r w:rsidRPr="00AB3A8E">
        <w:rPr>
          <w:rFonts w:ascii="Verdana Pro Cond Light" w:hAnsi="Verdana Pro Cond Light" w:cs="Verdana Pro Cond Light"/>
          <w:lang w:val="lv-LV"/>
        </w:rPr>
        <w:t>ž</w:t>
      </w:r>
      <w:r w:rsidRPr="00AB3A8E">
        <w:rPr>
          <w:rFonts w:ascii="Verdana Pro Cond Light" w:hAnsi="Verdana Pro Cond Light" w:cs="Arial"/>
          <w:lang w:val="lv-LV"/>
        </w:rPr>
        <w:t>o</w:t>
      </w:r>
      <w:r w:rsidRPr="00AB3A8E">
        <w:rPr>
          <w:rFonts w:ascii="Verdana Pro Cond Light" w:hAnsi="Verdana Pro Cond Light" w:cs="Verdana Pro Cond Light"/>
          <w:lang w:val="lv-LV"/>
        </w:rPr>
        <w:t>š</w:t>
      </w:r>
      <w:r w:rsidRPr="00AB3A8E">
        <w:rPr>
          <w:rFonts w:ascii="Verdana Pro Cond Light" w:hAnsi="Verdana Pro Cond Light" w:cs="Arial"/>
          <w:lang w:val="lv-LV"/>
        </w:rPr>
        <w:t>anai 75</w:t>
      </w:r>
      <w:r w:rsidRPr="00AB3A8E">
        <w:rPr>
          <w:rFonts w:ascii="Verdana Pro Cond Light" w:hAnsi="Verdana Pro Cond Light" w:cs="Verdana Pro Cond Light"/>
          <w:lang w:val="lv-LV"/>
        </w:rPr>
        <w:t>–</w:t>
      </w:r>
      <w:r w:rsidRPr="00AB3A8E">
        <w:rPr>
          <w:rFonts w:ascii="Verdana Pro Cond Light" w:hAnsi="Verdana Pro Cond Light" w:cs="Arial"/>
          <w:lang w:val="lv-LV"/>
        </w:rPr>
        <w:t>90% no pasaules ra</w:t>
      </w:r>
      <w:r w:rsidRPr="00AB3A8E">
        <w:rPr>
          <w:rFonts w:ascii="Verdana Pro Cond Light" w:hAnsi="Verdana Pro Cond Light" w:cs="Verdana Pro Cond Light"/>
          <w:lang w:val="lv-LV"/>
        </w:rPr>
        <w:t>ž</w:t>
      </w:r>
      <w:r w:rsidRPr="00AB3A8E">
        <w:rPr>
          <w:rFonts w:ascii="Verdana Pro Cond Light" w:hAnsi="Verdana Pro Cond Light" w:cs="Arial"/>
          <w:lang w:val="lv-LV"/>
        </w:rPr>
        <w:t>o</w:t>
      </w:r>
      <w:r w:rsidRPr="00AB3A8E">
        <w:rPr>
          <w:rFonts w:ascii="Verdana Pro Cond Light" w:hAnsi="Verdana Pro Cond Light" w:cs="Verdana Pro Cond Light"/>
          <w:lang w:val="lv-LV"/>
        </w:rPr>
        <w:t>š</w:t>
      </w:r>
      <w:r w:rsidRPr="00AB3A8E">
        <w:rPr>
          <w:rFonts w:ascii="Verdana Pro Cond Light" w:hAnsi="Verdana Pro Cond Light" w:cs="Arial"/>
          <w:lang w:val="lv-LV"/>
        </w:rPr>
        <w:t xml:space="preserve">anas jaudas ir </w:t>
      </w:r>
      <w:r w:rsidRPr="00AB3A8E">
        <w:rPr>
          <w:rFonts w:ascii="Verdana Pro Cond Light" w:hAnsi="Verdana Pro Cond Light" w:cs="Verdana Pro Cond Light"/>
          <w:lang w:val="lv-LV"/>
        </w:rPr>
        <w:t>Ā</w:t>
      </w:r>
      <w:r w:rsidRPr="00AB3A8E">
        <w:rPr>
          <w:rFonts w:ascii="Verdana Pro Cond Light" w:hAnsi="Verdana Pro Cond Light" w:cs="Arial"/>
          <w:lang w:val="lv-LV"/>
        </w:rPr>
        <w:t>zij</w:t>
      </w:r>
      <w:r w:rsidRPr="00AB3A8E">
        <w:rPr>
          <w:rFonts w:ascii="Verdana Pro Cond Light" w:hAnsi="Verdana Pro Cond Light" w:cs="Verdana Pro Cond Light"/>
          <w:lang w:val="lv-LV"/>
        </w:rPr>
        <w:t>ā</w:t>
      </w:r>
      <w:r w:rsidRPr="00AB3A8E">
        <w:rPr>
          <w:rFonts w:ascii="Verdana Pro Cond Light" w:hAnsi="Verdana Pro Cond Light" w:cs="Arial"/>
          <w:lang w:val="lv-LV"/>
        </w:rPr>
        <w:t>.</w:t>
      </w:r>
    </w:p>
    <w:p w14:paraId="441BDE27" w14:textId="77777777" w:rsidR="00262896" w:rsidRPr="004C2ACE" w:rsidRDefault="00262896" w:rsidP="00262896">
      <w:pPr>
        <w:widowControl/>
        <w:spacing w:after="120" w:line="240" w:lineRule="auto"/>
        <w:rPr>
          <w:rFonts w:ascii="Verdana Pro Cond Light" w:hAnsi="Verdana Pro Cond Light" w:cs="Arial"/>
          <w:lang w:val="lv-LV"/>
        </w:rPr>
      </w:pPr>
      <w:r w:rsidRPr="004C2ACE">
        <w:rPr>
          <w:rFonts w:ascii="Verdana Pro Cond Light" w:hAnsi="Verdana Pro Cond Light" w:cs="Arial"/>
          <w:lang w:val="lv-LV"/>
        </w:rPr>
        <w:t xml:space="preserve">M.Dragi atzīmē, ka ir notikušas izmaiņas trīs būtiskos ārējos apstākļos — tirdzniecībā, enerģētikā un aizsardzībā, kas vēsturiski veicināja izaugsmi Eiropā pēc aukstā kara beigām. Pirmkārt, pat tad, kad iekšzemes izaugsme palēninājās, ES guva ievērojamu labumu no plaukstošās pasaules </w:t>
      </w:r>
      <w:r w:rsidRPr="004C2ACE">
        <w:rPr>
          <w:rFonts w:ascii="Verdana Pro Cond Light" w:hAnsi="Verdana Pro Cond Light" w:cs="Arial"/>
          <w:b/>
          <w:bCs/>
          <w:lang w:val="lv-LV"/>
        </w:rPr>
        <w:t>tirdzniecības</w:t>
      </w:r>
      <w:r w:rsidRPr="004C2ACE">
        <w:rPr>
          <w:rFonts w:ascii="Verdana Pro Cond Light" w:hAnsi="Verdana Pro Cond Light" w:cs="Arial"/>
          <w:lang w:val="lv-LV"/>
        </w:rPr>
        <w:t xml:space="preserve"> saskaņā ar daudzpusējiem noteikumiem. No 2000. līdz 2019. gadam </w:t>
      </w:r>
      <w:r>
        <w:rPr>
          <w:rFonts w:ascii="Verdana Pro Cond Light" w:hAnsi="Verdana Pro Cond Light" w:cs="Arial"/>
          <w:lang w:val="lv-LV"/>
        </w:rPr>
        <w:t xml:space="preserve">ES </w:t>
      </w:r>
      <w:r w:rsidRPr="004C2ACE">
        <w:rPr>
          <w:rFonts w:ascii="Verdana Pro Cond Light" w:hAnsi="Verdana Pro Cond Light" w:cs="Arial"/>
          <w:lang w:val="lv-LV"/>
        </w:rPr>
        <w:t>starptautiskās tirdzniecības īpatsvars IKP pieauga no 30</w:t>
      </w:r>
      <w:r>
        <w:rPr>
          <w:rFonts w:ascii="Verdana Pro Cond Light" w:hAnsi="Verdana Pro Cond Light" w:cs="Arial"/>
          <w:lang w:val="lv-LV"/>
        </w:rPr>
        <w:t> </w:t>
      </w:r>
      <w:r w:rsidRPr="004C2ACE">
        <w:rPr>
          <w:rFonts w:ascii="Verdana Pro Cond Light" w:hAnsi="Verdana Pro Cond Light" w:cs="Arial"/>
          <w:lang w:val="lv-LV"/>
        </w:rPr>
        <w:t>% līdz 43</w:t>
      </w:r>
      <w:r>
        <w:rPr>
          <w:rFonts w:ascii="Verdana Pro Cond Light" w:hAnsi="Verdana Pro Cond Light" w:cs="Arial"/>
          <w:lang w:val="lv-LV"/>
        </w:rPr>
        <w:t> </w:t>
      </w:r>
      <w:r w:rsidRPr="004C2ACE">
        <w:rPr>
          <w:rFonts w:ascii="Verdana Pro Cond Light" w:hAnsi="Verdana Pro Cond Light" w:cs="Arial"/>
          <w:lang w:val="lv-LV"/>
        </w:rPr>
        <w:t>%, savukārt ASV pieauga no 25</w:t>
      </w:r>
      <w:r>
        <w:rPr>
          <w:rFonts w:ascii="Verdana Pro Cond Light" w:hAnsi="Verdana Pro Cond Light" w:cs="Arial"/>
          <w:lang w:val="lv-LV"/>
        </w:rPr>
        <w:t> </w:t>
      </w:r>
      <w:r w:rsidRPr="004C2ACE">
        <w:rPr>
          <w:rFonts w:ascii="Verdana Pro Cond Light" w:hAnsi="Verdana Pro Cond Light" w:cs="Arial"/>
          <w:lang w:val="lv-LV"/>
        </w:rPr>
        <w:t>% līdz 26</w:t>
      </w:r>
      <w:r>
        <w:rPr>
          <w:rFonts w:ascii="Verdana Pro Cond Light" w:hAnsi="Verdana Pro Cond Light" w:cs="Arial"/>
          <w:lang w:val="lv-LV"/>
        </w:rPr>
        <w:t> </w:t>
      </w:r>
      <w:r w:rsidRPr="004C2ACE">
        <w:rPr>
          <w:rFonts w:ascii="Verdana Pro Cond Light" w:hAnsi="Verdana Pro Cond Light" w:cs="Arial"/>
          <w:lang w:val="lv-LV"/>
        </w:rPr>
        <w:t xml:space="preserve">%. Tirdzniecības atvērtība nodrošināja to, ka Eiropa varēja brīvi importēt preces un pakalpojumus, kas tai trūka, sākot no izejvielām līdz progresīvām tehnoloģijām, vienlaikus eksportējot rūpnieciskās preces, kurās tā specializējās, īpaši uz augošajiem Āzijas tirgiem. Tomēr daudzpusējā tirdzniecības kārtība šobrīd ir dziļā krīzē, un šķiet, ka straujās pasaules tirdzniecības pieauguma laikmets ir pagājis: </w:t>
      </w:r>
      <w:r>
        <w:rPr>
          <w:rFonts w:ascii="Verdana Pro Cond Light" w:hAnsi="Verdana Pro Cond Light" w:cs="Arial"/>
          <w:lang w:val="lv-LV"/>
        </w:rPr>
        <w:t>Starptautiskais Valūtas fonds (</w:t>
      </w:r>
      <w:r w:rsidRPr="004C2ACE">
        <w:rPr>
          <w:rFonts w:ascii="Verdana Pro Cond Light" w:hAnsi="Verdana Pro Cond Light" w:cs="Arial"/>
          <w:lang w:val="lv-LV"/>
        </w:rPr>
        <w:t>SVF</w:t>
      </w:r>
      <w:r>
        <w:rPr>
          <w:rFonts w:ascii="Verdana Pro Cond Light" w:hAnsi="Verdana Pro Cond Light" w:cs="Arial"/>
          <w:lang w:val="lv-LV"/>
        </w:rPr>
        <w:t>)</w:t>
      </w:r>
      <w:r w:rsidRPr="004C2ACE">
        <w:rPr>
          <w:rFonts w:ascii="Verdana Pro Cond Light" w:hAnsi="Verdana Pro Cond Light" w:cs="Arial"/>
          <w:lang w:val="lv-LV"/>
        </w:rPr>
        <w:t xml:space="preserve"> prognozē, ka pasaules tirdzniecība vidējā termiņā pieaugs par 3,2</w:t>
      </w:r>
      <w:r>
        <w:rPr>
          <w:rFonts w:ascii="Verdana Pro Cond Light" w:hAnsi="Verdana Pro Cond Light" w:cs="Arial"/>
          <w:lang w:val="lv-LV"/>
        </w:rPr>
        <w:t> </w:t>
      </w:r>
      <w:r w:rsidRPr="004C2ACE">
        <w:rPr>
          <w:rFonts w:ascii="Verdana Pro Cond Light" w:hAnsi="Verdana Pro Cond Light" w:cs="Arial"/>
          <w:lang w:val="lv-LV"/>
        </w:rPr>
        <w:t>%, kas ir krietni zemāk par gada vidējo rādītāju 4,9</w:t>
      </w:r>
      <w:r>
        <w:rPr>
          <w:rFonts w:ascii="Verdana Pro Cond Light" w:hAnsi="Verdana Pro Cond Light" w:cs="Arial"/>
          <w:lang w:val="lv-LV"/>
        </w:rPr>
        <w:t> </w:t>
      </w:r>
      <w:r w:rsidRPr="004C2ACE">
        <w:rPr>
          <w:rFonts w:ascii="Verdana Pro Cond Light" w:hAnsi="Verdana Pro Cond Light" w:cs="Arial"/>
          <w:lang w:val="lv-LV"/>
        </w:rPr>
        <w:t>% no 2000. līdz 2019.</w:t>
      </w:r>
      <w:r>
        <w:rPr>
          <w:rFonts w:ascii="Verdana Pro Cond Light" w:hAnsi="Verdana Pro Cond Light" w:cs="Arial"/>
          <w:lang w:val="lv-LV"/>
        </w:rPr>
        <w:t> </w:t>
      </w:r>
      <w:r w:rsidRPr="004C2ACE">
        <w:rPr>
          <w:rFonts w:ascii="Verdana Pro Cond Light" w:hAnsi="Verdana Pro Cond Light" w:cs="Arial"/>
          <w:lang w:val="lv-LV"/>
        </w:rPr>
        <w:t>gadam.</w:t>
      </w:r>
    </w:p>
    <w:p w14:paraId="7C2660D8" w14:textId="77777777" w:rsidR="00262896" w:rsidRPr="00AB3A8E" w:rsidRDefault="00262896" w:rsidP="00262896">
      <w:pPr>
        <w:widowControl/>
        <w:spacing w:after="120" w:line="240" w:lineRule="auto"/>
        <w:rPr>
          <w:rFonts w:ascii="Verdana Pro Cond Light" w:hAnsi="Verdana Pro Cond Light" w:cs="Arial"/>
          <w:lang w:val="lv-LV"/>
        </w:rPr>
      </w:pPr>
      <w:r w:rsidRPr="00AB3A8E">
        <w:rPr>
          <w:rFonts w:ascii="Verdana Pro Cond Light" w:hAnsi="Verdana Pro Cond Light" w:cs="Arial"/>
          <w:lang w:val="lv-LV"/>
        </w:rPr>
        <w:t>Tāpat, normalizējoties attiecībām ar Krieviju, Eiropa varēja apmierināt savu pieprasījumu pēc importētās enerģijas, iepērkot lielos apjomos cauruļvadu gāzi, kas 2021. gadā veidoja aptuveni 45% no ES dabasgāzes importa. Taču šis salīdzinoši lētās enerģijas avots tagad ir pazudis ar ļoti būtiskām izmaksām Eiropai. ES ir zaudējusi vairāk nekā gadu no IKP pieauguma, vienlaikus pārvirzot milzīgus fiskālos resursus enerģijas subsīdijām un veidojot jaunu infrastruktūru sašķidrinātās dabasgāzes importēšanai. Treškārt, ģeopolitiskās stabilitātes laikmets ASV hegemonijas apstākļos ļāva ES lielā mērā nodalīt ekonomisko politiku no drošības apsvērumiem, kā arī izmantot “miera dividendi” no mazākiem aizsardzības izdevumiem savu iekšējo mērķu atbalstam. Tomēr ģeopolitiskā vide šobrīd ir mainīga sakarā ar Krievijas iebrukumu Ukrainā, ASV un Ķīnas attiecību pasliktināšanos un pieaugošo nestabilitāti Āfrikā, kas ir daudzu pasaules ekonomikai svarīgu preču avots.</w:t>
      </w:r>
    </w:p>
    <w:p w14:paraId="675E4723" w14:textId="77777777" w:rsidR="00262896" w:rsidRPr="004C2ACE" w:rsidRDefault="00262896" w:rsidP="00262896">
      <w:pPr>
        <w:widowControl/>
        <w:spacing w:after="120" w:line="240" w:lineRule="auto"/>
        <w:rPr>
          <w:rFonts w:ascii="Verdana Pro Cond Light" w:hAnsi="Verdana Pro Cond Light" w:cs="Arial"/>
          <w:lang w:val="lv-LV"/>
        </w:rPr>
      </w:pPr>
      <w:r w:rsidRPr="004C2ACE">
        <w:rPr>
          <w:rFonts w:ascii="Verdana Pro Cond Light" w:hAnsi="Verdana Pro Cond Light" w:cs="Arial"/>
          <w:lang w:val="lv-LV"/>
        </w:rPr>
        <w:t xml:space="preserve">Attiecībā uz </w:t>
      </w:r>
      <w:r w:rsidRPr="004C2ACE">
        <w:rPr>
          <w:rFonts w:ascii="Verdana Pro Cond Light" w:hAnsi="Verdana Pro Cond Light" w:cs="Arial"/>
          <w:b/>
          <w:bCs/>
          <w:lang w:val="lv-LV"/>
        </w:rPr>
        <w:t>enerģētiku</w:t>
      </w:r>
      <w:r w:rsidRPr="004C2ACE">
        <w:rPr>
          <w:rFonts w:ascii="Verdana Pro Cond Light" w:hAnsi="Verdana Pro Cond Light" w:cs="Arial"/>
          <w:lang w:val="lv-LV"/>
        </w:rPr>
        <w:t xml:space="preserve">, ekonomists akcentē, ka Eiropai ir jāsamazina augstās enerģijas cenas, vienlaikus turpinot dekarbonizēt un pāriet uz aprites ekonomiku. Enerģētikas ainava ir neatgriezeniski mainījusies līdz ar Krievijas iebrukumu Ukrainā un līdz ar to cauruļvada </w:t>
      </w:r>
      <w:r w:rsidRPr="004C2ACE">
        <w:rPr>
          <w:rFonts w:ascii="Verdana Pro Cond Light" w:hAnsi="Verdana Pro Cond Light" w:cs="Arial"/>
          <w:lang w:val="lv-LV"/>
        </w:rPr>
        <w:lastRenderedPageBreak/>
        <w:t>dabasgāzes zudumu. Lai gan enerģijas cenas ir ievērojami samazinājušās no augstākā līmeņa, ES uzņēmumi joprojām saskaras ar elektroenerģijas cenām, kas ir 2–3 reizes augstākas nekā ASV, un dabasgāzes cenas ir 4–5 reizes augstākas (sk. 3.1. attēlu zemāk). Dekarbonizācija varētu būt iespēja Eiropai gan uzņemties vadību jaunu tīru tehnoloģiju un aprites risinājumu jomā, gan pārorientēt elektroenerģijas ražošanu uz drošiem, zemu izmaksu tīras enerģijas avotiem, kuros ES ir dāsn</w:t>
      </w:r>
      <w:r>
        <w:rPr>
          <w:rFonts w:ascii="Verdana Pro Cond Light" w:hAnsi="Verdana Pro Cond Light" w:cs="Arial"/>
          <w:lang w:val="lv-LV"/>
        </w:rPr>
        <w:t>as</w:t>
      </w:r>
      <w:r w:rsidRPr="004C2ACE">
        <w:rPr>
          <w:rFonts w:ascii="Verdana Pro Cond Light" w:hAnsi="Verdana Pro Cond Light" w:cs="Arial"/>
          <w:lang w:val="lv-LV"/>
        </w:rPr>
        <w:t xml:space="preserve"> dabas bagātības. Tomēr vai Eiropa varēs izmantot šo iespēju, būs atkarīgs no tā, vai visas politikas ir sinhronizētas ar ES dekarbonizācijas mērķiem. Enerģijas pāreja būs pakāpeniska, un fosilais kurināmais turpinās spēlēt galveno lomu enerģijas cenu noteikšanā atlikušajā desmitgadē, apdraudot cenu pastāvību galalietotājiem.</w:t>
      </w:r>
    </w:p>
    <w:p w14:paraId="26DBEF8B" w14:textId="77777777" w:rsidR="00262896" w:rsidRPr="00AB3A8E" w:rsidRDefault="00262896" w:rsidP="00262896">
      <w:pPr>
        <w:widowControl/>
        <w:spacing w:after="120" w:line="240" w:lineRule="auto"/>
        <w:rPr>
          <w:rFonts w:ascii="Verdana Pro Cond Light" w:hAnsi="Verdana Pro Cond Light" w:cs="Arial"/>
          <w:lang w:val="lv-LV"/>
        </w:rPr>
      </w:pPr>
      <w:r w:rsidRPr="00AB3A8E">
        <w:rPr>
          <w:rFonts w:ascii="Verdana Pro Cond Light" w:hAnsi="Verdana Pro Cond Light" w:cs="Arial"/>
          <w:lang w:val="lv-LV"/>
        </w:rPr>
        <w:t>ES energointensīv</w:t>
      </w:r>
      <w:r>
        <w:rPr>
          <w:rFonts w:ascii="Verdana Pro Cond Light" w:hAnsi="Verdana Pro Cond Light" w:cs="Arial"/>
          <w:lang w:val="lv-LV"/>
        </w:rPr>
        <w:t>ā</w:t>
      </w:r>
      <w:r w:rsidRPr="00AB3A8E">
        <w:rPr>
          <w:rFonts w:ascii="Verdana Pro Cond Light" w:hAnsi="Verdana Pro Cond Light" w:cs="Arial"/>
          <w:lang w:val="lv-LV"/>
        </w:rPr>
        <w:t>s nozares saskaras ar augstākām ieguldījumu izmaksām, salīdzinot ar konkurentiem, lai sasniegtu dekarbonizācijas mērķus. Tajā pašā laikā Ķīnas konkurence kļūst īpaši asa galvenajās nozarēs, kas veicina dekarbonizāciju, piemēram, tīrās tehnoloģijas un elektriskie transportlīdzekļi, ko virza spēcīga rūpniecības politika, straujas inovācijas, izejvielu kontrole un spēja ražot kontinenta mērogā. Tāpēc, lai ES gūtu panākumus, tai būs jāizstrādā saskaņota stratēģija visiem dekarbonizācijas aspektiem, sākot no enerģētikas līdz rūpniecībai.</w:t>
      </w:r>
    </w:p>
    <w:p w14:paraId="286E3BE0" w14:textId="77777777" w:rsidR="00262896" w:rsidRPr="00AB3A8E" w:rsidRDefault="00262896" w:rsidP="00262896">
      <w:pPr>
        <w:widowControl/>
        <w:spacing w:after="120" w:line="240" w:lineRule="auto"/>
        <w:jc w:val="right"/>
        <w:rPr>
          <w:rFonts w:ascii="Verdana Pro Cond Light" w:hAnsi="Verdana Pro Cond Light" w:cs="Arial"/>
          <w:lang w:val="lv-LV"/>
        </w:rPr>
      </w:pPr>
      <w:r w:rsidRPr="00AB3A8E">
        <w:rPr>
          <w:rFonts w:ascii="Verdana Pro Cond Light" w:hAnsi="Verdana Pro Cond Light" w:cs="Arial"/>
          <w:lang w:val="lv-LV"/>
        </w:rPr>
        <w:t>3.1. attēls</w:t>
      </w:r>
    </w:p>
    <w:p w14:paraId="27FBBDD1" w14:textId="77777777" w:rsidR="00262896" w:rsidRDefault="00262896" w:rsidP="00262896">
      <w:pPr>
        <w:widowControl/>
        <w:spacing w:after="120" w:line="240" w:lineRule="auto"/>
        <w:jc w:val="center"/>
        <w:rPr>
          <w:rFonts w:ascii="Verdana Pro Cond Light" w:hAnsi="Verdana Pro Cond Light"/>
          <w:bCs/>
          <w:sz w:val="18"/>
          <w:szCs w:val="18"/>
          <w:lang w:val="lv-LV"/>
        </w:rPr>
      </w:pPr>
      <w:r w:rsidRPr="00AB3A8E">
        <w:rPr>
          <w:rFonts w:ascii="Verdana Pro Cond Light" w:hAnsi="Verdana Pro Cond Light"/>
          <w:b/>
          <w:lang w:val="lv-LV"/>
        </w:rPr>
        <w:t>Gāzes un mazumtirdzniecības cenu atšķirība rūpniecībā</w:t>
      </w:r>
      <w:r>
        <w:rPr>
          <w:rFonts w:ascii="Verdana Pro Cond Light" w:hAnsi="Verdana Pro Cond Light"/>
          <w:b/>
          <w:lang w:val="lv-LV"/>
        </w:rPr>
        <w:br/>
      </w:r>
      <w:r w:rsidRPr="00CE0689">
        <w:rPr>
          <w:rFonts w:ascii="Verdana Pro Cond Light" w:hAnsi="Verdana Pro Cond Light"/>
          <w:bCs/>
          <w:sz w:val="18"/>
          <w:szCs w:val="18"/>
          <w:lang w:val="lv-LV"/>
        </w:rPr>
        <w:t>EUR par MWh</w:t>
      </w:r>
    </w:p>
    <w:p w14:paraId="7FADD2AA" w14:textId="77777777" w:rsidR="00262896" w:rsidRPr="00CE0689" w:rsidRDefault="00262896" w:rsidP="00262896">
      <w:pPr>
        <w:widowControl/>
        <w:tabs>
          <w:tab w:val="left" w:pos="851"/>
          <w:tab w:val="left" w:pos="6096"/>
        </w:tabs>
        <w:spacing w:after="120" w:line="240" w:lineRule="auto"/>
        <w:rPr>
          <w:rFonts w:asciiTheme="majorHAnsi" w:hAnsiTheme="majorHAnsi" w:cstheme="majorHAnsi"/>
          <w:b/>
          <w:sz w:val="16"/>
          <w:szCs w:val="16"/>
          <w:lang w:val="lv-LV"/>
        </w:rPr>
      </w:pPr>
      <w:r w:rsidRPr="00CE0689">
        <w:rPr>
          <w:rFonts w:asciiTheme="majorHAnsi" w:hAnsiTheme="majorHAnsi" w:cstheme="majorHAnsi"/>
          <w:b/>
          <w:sz w:val="16"/>
          <w:szCs w:val="16"/>
          <w:lang w:val="lv-LV"/>
        </w:rPr>
        <w:tab/>
        <w:t>Rūpnieciskās mazumtirdzniecības elektroenerģijas cenas</w:t>
      </w:r>
      <w:r w:rsidRPr="00CE0689">
        <w:rPr>
          <w:rFonts w:asciiTheme="majorHAnsi" w:hAnsiTheme="majorHAnsi" w:cstheme="majorHAnsi"/>
          <w:b/>
          <w:sz w:val="16"/>
          <w:szCs w:val="16"/>
          <w:lang w:val="lv-LV"/>
        </w:rPr>
        <w:tab/>
      </w:r>
      <w:r w:rsidRPr="004C2ACE">
        <w:rPr>
          <w:rFonts w:asciiTheme="majorHAnsi" w:hAnsiTheme="majorHAnsi" w:cstheme="majorHAnsi"/>
          <w:b/>
          <w:sz w:val="16"/>
          <w:szCs w:val="16"/>
          <w:lang w:val="lv-LV"/>
        </w:rPr>
        <w:t>Rūpnieciskās gāzes cena</w:t>
      </w:r>
    </w:p>
    <w:p w14:paraId="4A77B87F" w14:textId="77777777" w:rsidR="00262896" w:rsidRPr="00696165" w:rsidRDefault="00262896" w:rsidP="00262896">
      <w:pPr>
        <w:widowControl/>
        <w:spacing w:after="0" w:line="240" w:lineRule="auto"/>
        <w:rPr>
          <w:rFonts w:ascii="Minion Pro" w:hAnsi="Minion Pro" w:cs="Arial"/>
          <w:sz w:val="24"/>
        </w:rPr>
      </w:pPr>
      <w:r>
        <w:rPr>
          <w:noProof/>
          <w14:ligatures w14:val="standardContextual"/>
        </w:rPr>
        <mc:AlternateContent>
          <mc:Choice Requires="wps">
            <w:drawing>
              <wp:anchor distT="0" distB="0" distL="114300" distR="114300" simplePos="0" relativeHeight="251658251" behindDoc="0" locked="0" layoutInCell="1" allowOverlap="1" wp14:anchorId="61711D0B" wp14:editId="4B741BCB">
                <wp:simplePos x="0" y="0"/>
                <wp:positionH relativeFrom="column">
                  <wp:posOffset>5556352</wp:posOffset>
                </wp:positionH>
                <wp:positionV relativeFrom="paragraph">
                  <wp:posOffset>1148003</wp:posOffset>
                </wp:positionV>
                <wp:extent cx="321868" cy="848563"/>
                <wp:effectExtent l="0" t="0" r="2540" b="8890"/>
                <wp:wrapNone/>
                <wp:docPr id="203148950" name="Text Box 2"/>
                <wp:cNvGraphicFramePr/>
                <a:graphic xmlns:a="http://schemas.openxmlformats.org/drawingml/2006/main">
                  <a:graphicData uri="http://schemas.microsoft.com/office/word/2010/wordprocessingShape">
                    <wps:wsp>
                      <wps:cNvSpPr txBox="1"/>
                      <wps:spPr>
                        <a:xfrm>
                          <a:off x="0" y="0"/>
                          <a:ext cx="321868" cy="848563"/>
                        </a:xfrm>
                        <a:prstGeom prst="rect">
                          <a:avLst/>
                        </a:prstGeom>
                        <a:solidFill>
                          <a:schemeClr val="bg1"/>
                        </a:solidFill>
                        <a:ln w="6350">
                          <a:noFill/>
                        </a:ln>
                      </wps:spPr>
                      <wps:txbx>
                        <w:txbxContent>
                          <w:p w14:paraId="0EAF1F42" w14:textId="77777777" w:rsidR="00B06983" w:rsidRDefault="00B06983" w:rsidP="00262896">
                            <w:pPr>
                              <w:spacing w:after="0"/>
                              <w:rPr>
                                <w:rFonts w:asciiTheme="majorHAnsi" w:hAnsiTheme="majorHAnsi" w:cstheme="majorHAnsi"/>
                                <w:sz w:val="16"/>
                                <w:szCs w:val="16"/>
                                <w:lang w:val="lv-LV"/>
                              </w:rPr>
                            </w:pPr>
                            <w:r>
                              <w:rPr>
                                <w:rFonts w:asciiTheme="majorHAnsi" w:hAnsiTheme="majorHAnsi" w:cstheme="majorHAnsi"/>
                                <w:sz w:val="16"/>
                                <w:szCs w:val="16"/>
                                <w:lang w:val="lv-LV"/>
                              </w:rPr>
                              <w:t>Ķīna</w:t>
                            </w:r>
                          </w:p>
                          <w:p w14:paraId="6F4EE2FE" w14:textId="77777777" w:rsidR="00B06983" w:rsidRDefault="00B06983" w:rsidP="00262896">
                            <w:pPr>
                              <w:spacing w:after="0"/>
                              <w:rPr>
                                <w:rFonts w:asciiTheme="majorHAnsi" w:hAnsiTheme="majorHAnsi" w:cstheme="majorHAnsi"/>
                                <w:sz w:val="16"/>
                                <w:szCs w:val="16"/>
                                <w:lang w:val="lv-LV"/>
                              </w:rPr>
                            </w:pPr>
                          </w:p>
                          <w:p w14:paraId="40671712" w14:textId="77777777" w:rsidR="00B06983" w:rsidRDefault="00B06983" w:rsidP="00262896">
                            <w:pPr>
                              <w:spacing w:after="0"/>
                              <w:rPr>
                                <w:rFonts w:asciiTheme="majorHAnsi" w:hAnsiTheme="majorHAnsi" w:cstheme="majorHAnsi"/>
                                <w:sz w:val="16"/>
                                <w:szCs w:val="16"/>
                                <w:lang w:val="lv-LV"/>
                              </w:rPr>
                            </w:pPr>
                          </w:p>
                          <w:p w14:paraId="4DECDD7D" w14:textId="77777777" w:rsidR="00B06983" w:rsidRPr="00CE0689" w:rsidRDefault="00B06983" w:rsidP="00262896">
                            <w:pPr>
                              <w:spacing w:after="0"/>
                              <w:rPr>
                                <w:rFonts w:asciiTheme="majorHAnsi" w:hAnsiTheme="majorHAnsi" w:cstheme="majorHAnsi"/>
                                <w:sz w:val="24"/>
                                <w:szCs w:val="24"/>
                                <w:lang w:val="lv-LV"/>
                              </w:rPr>
                            </w:pPr>
                          </w:p>
                          <w:p w14:paraId="12F9D6FC" w14:textId="77777777" w:rsidR="00B06983" w:rsidRPr="009B6177" w:rsidRDefault="00B06983" w:rsidP="00262896">
                            <w:pPr>
                              <w:spacing w:after="0"/>
                              <w:rPr>
                                <w:rFonts w:asciiTheme="majorHAnsi" w:hAnsiTheme="majorHAnsi" w:cstheme="majorHAnsi"/>
                                <w:sz w:val="16"/>
                                <w:szCs w:val="16"/>
                                <w:lang w:val="lv-LV"/>
                              </w:rPr>
                            </w:pPr>
                            <w:r>
                              <w:rPr>
                                <w:rFonts w:asciiTheme="majorHAnsi" w:hAnsiTheme="majorHAnsi" w:cstheme="majorHAnsi"/>
                                <w:sz w:val="16"/>
                                <w:szCs w:val="16"/>
                                <w:lang w:val="lv-LV"/>
                              </w:rPr>
                              <w:t>ASV</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711D0B" id="_x0000_s1095" type="#_x0000_t202" style="position:absolute;margin-left:437.5pt;margin-top:90.4pt;width:25.35pt;height:66.8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AeFQAIAAHgEAAAOAAAAZHJzL2Uyb0RvYy54bWysVE2P2jAQvVfqf7B8L+FjF7ERYUVZUVVC&#10;uytBtWfj2MSS43FtQ0J/fccOgXbbU9WLmcyMn+e9mWH+2NaanITzCkxBR4MhJcJwKJU5FPTbbv1p&#10;RokPzJRMgxEFPQtPHxcfP8wbm4sxVKBL4QiCGJ83tqBVCDbPMs8rUTM/ACsMBiW4mgX8dIesdKxB&#10;9Fpn4+FwmjXgSuuAC+/R+9QF6SLhSyl4eJHSi0B0QbG2kE6Xzn08s8Wc5QfHbKX4pQz2D1XUTBl8&#10;9Ar1xAIjR6f+gKoVd+BBhgGHOgMpFReJA7IZDd+x2VbMisQFxfH2KpP/f7D8+fTqiCoLOh5ORnez&#10;h3tUybAaW7UTbSCfoSXjqFJjfY7JW4vpoUU3drv3e3RG8q10dfxFWgTjiHS+ahzBODon49FsikPB&#10;MTS7m91PJxElu122zocvAmoSjYI6bGFSlp02PnSpfUp8y4NW5VppnT7i2IiVduTEsOH7QyoRwX/L&#10;0oY0BZ1OkGq8ZCBe75C1wVoi1Y5StEK7b5NAXaXRtYfyjDI46MbJW75WWOyG+fDKHM4PMsedCC94&#10;SA34GFwsSipwP/7mj/nYVoxS0uA8FtR/PzInKNFfDTY8Dm9vuN7Y94Y51itAxiPcNsuTiRdc0L0p&#10;HdRvuCrL+AqGmOH4VkFDb65CtxW4alwslykJR9SysDFbyyN0FCtKv2vfmLOX/gRs7DP0k8ryd23q&#10;cjuZl8cAUqUe3lS86I3jnabgsopxf379Tlm3P4zFTwAAAP//AwBQSwMEFAAGAAgAAAAhAEnZU8jg&#10;AAAACwEAAA8AAABkcnMvZG93bnJldi54bWxMj0FOwzAQRfdI3MEaJDaIOiktCSFOBZUQZcGigQM4&#10;yRAH7HEUu224PcMKlqP/9eb9cjM7K444hcGTgnSRgEBqfTdQr+D97ek6BxGipk5bT6jgGwNsqvOz&#10;UhedP9Eej3XsBUMoFFqBiXEspAytQafDwo9InH34yenI59TLbtInhjsrl0lyK50eiD8YPeLWYPtV&#10;H5yCPA/bDEPj7edzvbt6wcd0/2qUuryYH+5BRJzjXxl+9VkdKnZq/IG6ICwzsjVviRzkCW/gxt1y&#10;nYFoFNykqxXIqpT/N1Q/AAAA//8DAFBLAQItABQABgAIAAAAIQC2gziS/gAAAOEBAAATAAAAAAAA&#10;AAAAAAAAAAAAAABbQ29udGVudF9UeXBlc10ueG1sUEsBAi0AFAAGAAgAAAAhADj9If/WAAAAlAEA&#10;AAsAAAAAAAAAAAAAAAAALwEAAF9yZWxzLy5yZWxzUEsBAi0AFAAGAAgAAAAhAMQcB4VAAgAAeAQA&#10;AA4AAAAAAAAAAAAAAAAALgIAAGRycy9lMm9Eb2MueG1sUEsBAi0AFAAGAAgAAAAhAEnZU8jgAAAA&#10;CwEAAA8AAAAAAAAAAAAAAAAAmgQAAGRycy9kb3ducmV2LnhtbFBLBQYAAAAABAAEAPMAAACnBQAA&#10;AAA=&#10;" fillcolor="white [3212]" stroked="f" strokeweight=".5pt">
                <v:textbox inset="0,0,0,0">
                  <w:txbxContent>
                    <w:p w14:paraId="0EAF1F42" w14:textId="77777777" w:rsidR="00B06983" w:rsidRDefault="00B06983" w:rsidP="00262896">
                      <w:pPr>
                        <w:spacing w:after="0"/>
                        <w:rPr>
                          <w:rFonts w:asciiTheme="majorHAnsi" w:hAnsiTheme="majorHAnsi" w:cstheme="majorHAnsi"/>
                          <w:sz w:val="16"/>
                          <w:szCs w:val="16"/>
                          <w:lang w:val="lv-LV"/>
                        </w:rPr>
                      </w:pPr>
                      <w:r>
                        <w:rPr>
                          <w:rFonts w:asciiTheme="majorHAnsi" w:hAnsiTheme="majorHAnsi" w:cstheme="majorHAnsi"/>
                          <w:sz w:val="16"/>
                          <w:szCs w:val="16"/>
                          <w:lang w:val="lv-LV"/>
                        </w:rPr>
                        <w:t>Ķīna</w:t>
                      </w:r>
                    </w:p>
                    <w:p w14:paraId="6F4EE2FE" w14:textId="77777777" w:rsidR="00B06983" w:rsidRDefault="00B06983" w:rsidP="00262896">
                      <w:pPr>
                        <w:spacing w:after="0"/>
                        <w:rPr>
                          <w:rFonts w:asciiTheme="majorHAnsi" w:hAnsiTheme="majorHAnsi" w:cstheme="majorHAnsi"/>
                          <w:sz w:val="16"/>
                          <w:szCs w:val="16"/>
                          <w:lang w:val="lv-LV"/>
                        </w:rPr>
                      </w:pPr>
                    </w:p>
                    <w:p w14:paraId="40671712" w14:textId="77777777" w:rsidR="00B06983" w:rsidRDefault="00B06983" w:rsidP="00262896">
                      <w:pPr>
                        <w:spacing w:after="0"/>
                        <w:rPr>
                          <w:rFonts w:asciiTheme="majorHAnsi" w:hAnsiTheme="majorHAnsi" w:cstheme="majorHAnsi"/>
                          <w:sz w:val="16"/>
                          <w:szCs w:val="16"/>
                          <w:lang w:val="lv-LV"/>
                        </w:rPr>
                      </w:pPr>
                    </w:p>
                    <w:p w14:paraId="4DECDD7D" w14:textId="77777777" w:rsidR="00B06983" w:rsidRPr="00CE0689" w:rsidRDefault="00B06983" w:rsidP="00262896">
                      <w:pPr>
                        <w:spacing w:after="0"/>
                        <w:rPr>
                          <w:rFonts w:asciiTheme="majorHAnsi" w:hAnsiTheme="majorHAnsi" w:cstheme="majorHAnsi"/>
                          <w:sz w:val="24"/>
                          <w:szCs w:val="24"/>
                          <w:lang w:val="lv-LV"/>
                        </w:rPr>
                      </w:pPr>
                    </w:p>
                    <w:p w14:paraId="12F9D6FC" w14:textId="77777777" w:rsidR="00B06983" w:rsidRPr="009B6177" w:rsidRDefault="00B06983" w:rsidP="00262896">
                      <w:pPr>
                        <w:spacing w:after="0"/>
                        <w:rPr>
                          <w:rFonts w:asciiTheme="majorHAnsi" w:hAnsiTheme="majorHAnsi" w:cstheme="majorHAnsi"/>
                          <w:sz w:val="16"/>
                          <w:szCs w:val="16"/>
                          <w:lang w:val="lv-LV"/>
                        </w:rPr>
                      </w:pPr>
                      <w:r>
                        <w:rPr>
                          <w:rFonts w:asciiTheme="majorHAnsi" w:hAnsiTheme="majorHAnsi" w:cstheme="majorHAnsi"/>
                          <w:sz w:val="16"/>
                          <w:szCs w:val="16"/>
                          <w:lang w:val="lv-LV"/>
                        </w:rPr>
                        <w:t>ASV</w:t>
                      </w:r>
                    </w:p>
                  </w:txbxContent>
                </v:textbox>
              </v:shape>
            </w:pict>
          </mc:Fallback>
        </mc:AlternateContent>
      </w:r>
      <w:r>
        <w:rPr>
          <w:noProof/>
          <w14:ligatures w14:val="standardContextual"/>
        </w:rPr>
        <mc:AlternateContent>
          <mc:Choice Requires="wps">
            <w:drawing>
              <wp:anchor distT="0" distB="0" distL="114300" distR="114300" simplePos="0" relativeHeight="251658250" behindDoc="0" locked="0" layoutInCell="1" allowOverlap="1" wp14:anchorId="405B0AB2" wp14:editId="7FB6213B">
                <wp:simplePos x="0" y="0"/>
                <wp:positionH relativeFrom="column">
                  <wp:posOffset>5562321</wp:posOffset>
                </wp:positionH>
                <wp:positionV relativeFrom="paragraph">
                  <wp:posOffset>761162</wp:posOffset>
                </wp:positionV>
                <wp:extent cx="321868" cy="167570"/>
                <wp:effectExtent l="0" t="0" r="2540" b="4445"/>
                <wp:wrapNone/>
                <wp:docPr id="1719445296" name="Text Box 2"/>
                <wp:cNvGraphicFramePr/>
                <a:graphic xmlns:a="http://schemas.openxmlformats.org/drawingml/2006/main">
                  <a:graphicData uri="http://schemas.microsoft.com/office/word/2010/wordprocessingShape">
                    <wps:wsp>
                      <wps:cNvSpPr txBox="1"/>
                      <wps:spPr>
                        <a:xfrm>
                          <a:off x="0" y="0"/>
                          <a:ext cx="321868" cy="167570"/>
                        </a:xfrm>
                        <a:prstGeom prst="rect">
                          <a:avLst/>
                        </a:prstGeom>
                        <a:solidFill>
                          <a:schemeClr val="bg1"/>
                        </a:solidFill>
                        <a:ln w="6350">
                          <a:noFill/>
                        </a:ln>
                      </wps:spPr>
                      <wps:txbx>
                        <w:txbxContent>
                          <w:p w14:paraId="15B93B78" w14:textId="77777777" w:rsidR="00B06983" w:rsidRPr="009B6177" w:rsidRDefault="00B06983" w:rsidP="00262896">
                            <w:pPr>
                              <w:rPr>
                                <w:rFonts w:asciiTheme="majorHAnsi" w:hAnsiTheme="majorHAnsi" w:cstheme="majorHAnsi"/>
                                <w:sz w:val="16"/>
                                <w:szCs w:val="16"/>
                                <w:lang w:val="lv-LV"/>
                              </w:rPr>
                            </w:pPr>
                            <w:r>
                              <w:rPr>
                                <w:rFonts w:asciiTheme="majorHAnsi" w:hAnsiTheme="majorHAnsi" w:cstheme="majorHAnsi"/>
                                <w:sz w:val="16"/>
                                <w:szCs w:val="16"/>
                                <w:lang w:val="lv-LV"/>
                              </w:rPr>
                              <w:t>ES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05B0AB2" id="_x0000_s1096" type="#_x0000_t202" style="position:absolute;margin-left:438pt;margin-top:59.95pt;width:25.35pt;height:13.2pt;z-index:25165825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pTZRQIAAHsEAAAOAAAAZHJzL2Uyb0RvYy54bWysVN9v2jAQfp+0/8Hy+whQSFtEqBgV0yTU&#10;VoKpz8ZxSCTH550NCfvrd3YI3bo9TXtxzuf7+X13mT+0tWYnha4Ck/HRYMiZMhLyyhwy/m23/nTH&#10;mfPC5EKDURk/K8cfFh8/zBs7U2MoQecKGQUxbtbYjJfe21mSOFmqWrgBWGXosQCshacrHpIcRUPR&#10;a52Mh8M0aQBziyCVc6R97B75IsYvCiX9c1E45ZnOONXm44nx3IczWczF7IDClpW8lCH+oYpaVIaS&#10;XkM9Ci/YEas/QtWVRHBQ+IGEOoGiqKSKPVA3o+G7bralsCr2QuA4e4XJ/b+w8un0gqzKibvb0f1k&#10;Mh3fp5wZURNXO9V69hlaNg4wNdbNyHpryd63pCaXXu9IGbpvC6zDl/pi9E6An68gh2CSlDfj0V1K&#10;UyHpaZTeTm8jCcmbs0XnvyioWRAyjsRhhFacNs5TIWTam4RcDnSVryut4yXMjVppZCdBjO8PsUTy&#10;+M1KG9ZkPL2ZDmNgA8G9i6wNJQitdi0Fybf7NiKUTvp+95CfCQaEbp6cleuKit0I518E0gBR57QU&#10;/pmOQgMlg4vEWQn442/6YE+80itnDQ1kxt33o0DFmf5qiPEwvb2AvbDvBXOsV0Adj2jdrIwiOaDX&#10;vVgg1K+0K8uQhZ6EkZQr49Jjf1n5bjFo26RaLqMZTakVfmO2VobgAeMA/q59FWgvDHmi9gn6YRWz&#10;d0R1tsHTwPLooagiiwHaDscL4jThkdzLNoYV+vUerd7+GYufAAAA//8DAFBLAwQUAAYACAAAACEA&#10;sirJQt4AAAALAQAADwAAAGRycy9kb3ducmV2LnhtbEyPQU+DQBCF7yb+h82YeLNLqdJCWZpqNPFK&#10;9Qcs7BRQdhbZLeC/dzzpcd57efO9/LDYXkw4+s6RgvUqAoFUO9NRo+D97eVuB8IHTUb3jlDBN3o4&#10;FNdXuc6Mm6nE6RQawSXkM62gDWHIpPR1i1b7lRuQ2Du70erA59hIM+qZy20v4yhKpNUd8YdWD/jU&#10;Yv15ulgFE5Zt+fDx+JzGszxW+pXoK9kodXuzHPcgAi7hLwy/+IwOBTNV7kLGi17BbpvwlsDGOk1B&#10;cCKNky2IipX7ZAOyyOX/DcUPAAAA//8DAFBLAQItABQABgAIAAAAIQC2gziS/gAAAOEBAAATAAAA&#10;AAAAAAAAAAAAAAAAAABbQ29udGVudF9UeXBlc10ueG1sUEsBAi0AFAAGAAgAAAAhADj9If/WAAAA&#10;lAEAAAsAAAAAAAAAAAAAAAAALwEAAF9yZWxzLy5yZWxzUEsBAi0AFAAGAAgAAAAhAKNylNlFAgAA&#10;ewQAAA4AAAAAAAAAAAAAAAAALgIAAGRycy9lMm9Eb2MueG1sUEsBAi0AFAAGAAgAAAAhALIqyULe&#10;AAAACwEAAA8AAAAAAAAAAAAAAAAAnwQAAGRycy9kb3ducmV2LnhtbFBLBQYAAAAABAAEAPMAAACq&#10;BQAAAAA=&#10;" fillcolor="white [3212]" stroked="f" strokeweight=".5pt">
                <v:textbox inset="0,0,0,0">
                  <w:txbxContent>
                    <w:p w14:paraId="15B93B78" w14:textId="77777777" w:rsidR="00B06983" w:rsidRPr="009B6177" w:rsidRDefault="00B06983" w:rsidP="00262896">
                      <w:pPr>
                        <w:rPr>
                          <w:rFonts w:asciiTheme="majorHAnsi" w:hAnsiTheme="majorHAnsi" w:cstheme="majorHAnsi"/>
                          <w:sz w:val="16"/>
                          <w:szCs w:val="16"/>
                          <w:lang w:val="lv-LV"/>
                        </w:rPr>
                      </w:pPr>
                      <w:r>
                        <w:rPr>
                          <w:rFonts w:asciiTheme="majorHAnsi" w:hAnsiTheme="majorHAnsi" w:cstheme="majorHAnsi"/>
                          <w:sz w:val="16"/>
                          <w:szCs w:val="16"/>
                          <w:lang w:val="lv-LV"/>
                        </w:rPr>
                        <w:t>ES</w:t>
                      </w:r>
                    </w:p>
                  </w:txbxContent>
                </v:textbox>
              </v:shape>
            </w:pict>
          </mc:Fallback>
        </mc:AlternateContent>
      </w:r>
      <w:r>
        <w:rPr>
          <w:noProof/>
          <w14:ligatures w14:val="standardContextual"/>
        </w:rPr>
        <mc:AlternateContent>
          <mc:Choice Requires="wps">
            <w:drawing>
              <wp:anchor distT="0" distB="0" distL="114300" distR="114300" simplePos="0" relativeHeight="251658249" behindDoc="0" locked="0" layoutInCell="1" allowOverlap="1" wp14:anchorId="0925DB15" wp14:editId="0C5277D8">
                <wp:simplePos x="0" y="0"/>
                <wp:positionH relativeFrom="column">
                  <wp:posOffset>2695575</wp:posOffset>
                </wp:positionH>
                <wp:positionV relativeFrom="paragraph">
                  <wp:posOffset>1352474</wp:posOffset>
                </wp:positionV>
                <wp:extent cx="321868" cy="321868"/>
                <wp:effectExtent l="0" t="0" r="2540" b="2540"/>
                <wp:wrapNone/>
                <wp:docPr id="365698321" name="Text Box 2"/>
                <wp:cNvGraphicFramePr/>
                <a:graphic xmlns:a="http://schemas.openxmlformats.org/drawingml/2006/main">
                  <a:graphicData uri="http://schemas.microsoft.com/office/word/2010/wordprocessingShape">
                    <wps:wsp>
                      <wps:cNvSpPr txBox="1"/>
                      <wps:spPr>
                        <a:xfrm>
                          <a:off x="0" y="0"/>
                          <a:ext cx="321868" cy="321868"/>
                        </a:xfrm>
                        <a:prstGeom prst="rect">
                          <a:avLst/>
                        </a:prstGeom>
                        <a:solidFill>
                          <a:schemeClr val="bg1"/>
                        </a:solidFill>
                        <a:ln w="6350">
                          <a:noFill/>
                        </a:ln>
                      </wps:spPr>
                      <wps:txbx>
                        <w:txbxContent>
                          <w:p w14:paraId="7E2B2DBA" w14:textId="77777777" w:rsidR="00B06983" w:rsidRDefault="00B06983" w:rsidP="00262896">
                            <w:pPr>
                              <w:spacing w:after="0"/>
                              <w:rPr>
                                <w:rFonts w:asciiTheme="majorHAnsi" w:hAnsiTheme="majorHAnsi" w:cstheme="majorHAnsi"/>
                                <w:sz w:val="16"/>
                                <w:szCs w:val="16"/>
                                <w:lang w:val="lv-LV"/>
                              </w:rPr>
                            </w:pPr>
                            <w:r>
                              <w:rPr>
                                <w:rFonts w:asciiTheme="majorHAnsi" w:hAnsiTheme="majorHAnsi" w:cstheme="majorHAnsi"/>
                                <w:sz w:val="16"/>
                                <w:szCs w:val="16"/>
                                <w:lang w:val="lv-LV"/>
                              </w:rPr>
                              <w:t>Ķīna</w:t>
                            </w:r>
                          </w:p>
                          <w:p w14:paraId="59862F2E" w14:textId="77777777" w:rsidR="00B06983" w:rsidRPr="009B6177" w:rsidRDefault="00B06983" w:rsidP="00262896">
                            <w:pPr>
                              <w:spacing w:after="0"/>
                              <w:rPr>
                                <w:rFonts w:asciiTheme="majorHAnsi" w:hAnsiTheme="majorHAnsi" w:cstheme="majorHAnsi"/>
                                <w:sz w:val="16"/>
                                <w:szCs w:val="16"/>
                                <w:lang w:val="lv-LV"/>
                              </w:rPr>
                            </w:pPr>
                            <w:r>
                              <w:rPr>
                                <w:rFonts w:asciiTheme="majorHAnsi" w:hAnsiTheme="majorHAnsi" w:cstheme="majorHAnsi"/>
                                <w:sz w:val="16"/>
                                <w:szCs w:val="16"/>
                                <w:lang w:val="lv-LV"/>
                              </w:rPr>
                              <w:t>ASV</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25DB15" id="_x0000_s1097" type="#_x0000_t202" style="position:absolute;margin-left:212.25pt;margin-top:106.5pt;width:25.35pt;height:25.3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W27PwIAAHoEAAAOAAAAZHJzL2Uyb0RvYy54bWysVE1v2zAMvQ/YfxB0X50PNOiCOkXWosOA&#10;oi3QDj0rspwYkEWNUmJ3v35Pctx23U7DLjJFUo/kI+nzi7614mA4NORKOT2ZSGGcpqpx21J+f7z+&#10;dCZFiMpVypIzpXw2QV6sPn447/zSzGhHtjIsAOLCsvOl3MXol0UR9M60KpyQNw7GmrhVEVfeFhWr&#10;DuitLWaTyaLoiCvPpE0I0F4NRrnK+HVtdLyr62CisKVEbjGfnM9NOovVuVpuWfldo49pqH/IolWN&#10;Q9AXqCsVldhz8wdU22imQHU80dQWVNeNNrkGVDOdvKvmYae8ybWAnOBfaAr/D1bfHu5ZNFUp54vT&#10;xeez+WwqhVMtWvVo+ii+UC9miaXOhyWcHzzcYw81uj3qA5Sp+L7mNn1RloAdfD+/cJzANJQIcLbA&#10;UGiYjjLQi9fHnkP8aqgVSSglo4WZWXW4CXFwHV1SrEC2qa4ba/MljY25tCwOCg3fbHOKAP/NyzrR&#10;lXIxP51kYEfp+YBsHXJJpQ4lJSn2mz4TtDgd691Q9QwamIZxCl5fN0j2RoV4rxjzg8qxE/EOR20J&#10;wegoSbEj/vk3ffJHW2GVosM8ljL82Cs2UthvDg1PwzsKPAqbUXD79pJQMZqHbLKIBxztKNZM7RNW&#10;ZZ2iwKScRqxS6sjj5TIOe4Fl02a9zm4YUq/ijXvwOoEnjhP5j/2TYn/sUERrb2mcVbV816jBN710&#10;tN5HqpvcxUTtwOORcQx4noPjMqYNenvPXq+/jNUvAAAA//8DAFBLAwQUAAYACAAAACEA0Te8wt0A&#10;AAALAQAADwAAAGRycy9kb3ducmV2LnhtbEyP3U6DQBBG7018h82YeGeX8tcWWZpqNPGW6gMsMALK&#10;ziK7BXx7xyu9nJmTb86XH1cziBkn11tSsN0EIJBq2/TUKnh7fb7bg3BeU6MHS6jgGx0ci+urXGeN&#10;XajE+exbwSHkMq2g837MpHR1h0a7jR2R+PZuJ6M9j1Mrm0kvHG4GGQZBKo3uiT90esTHDuvP88Uo&#10;mLHsyuTj4ekQLvJU6ReirzRS6vZmPd2D8Lj6Pxh+9VkdCnaq7IUaJwYFcRgnjCoItxGXYiLeJSGI&#10;ijdptANZ5PJ/h+IHAAD//wMAUEsBAi0AFAAGAAgAAAAhALaDOJL+AAAA4QEAABMAAAAAAAAAAAAA&#10;AAAAAAAAAFtDb250ZW50X1R5cGVzXS54bWxQSwECLQAUAAYACAAAACEAOP0h/9YAAACUAQAACwAA&#10;AAAAAAAAAAAAAAAvAQAAX3JlbHMvLnJlbHNQSwECLQAUAAYACAAAACEA1MVtuz8CAAB6BAAADgAA&#10;AAAAAAAAAAAAAAAuAgAAZHJzL2Uyb0RvYy54bWxQSwECLQAUAAYACAAAACEA0Te8wt0AAAALAQAA&#10;DwAAAAAAAAAAAAAAAACZBAAAZHJzL2Rvd25yZXYueG1sUEsFBgAAAAAEAAQA8wAAAKMFAAAAAA==&#10;" fillcolor="white [3212]" stroked="f" strokeweight=".5pt">
                <v:textbox inset="0,0,0,0">
                  <w:txbxContent>
                    <w:p w14:paraId="7E2B2DBA" w14:textId="77777777" w:rsidR="00B06983" w:rsidRDefault="00B06983" w:rsidP="00262896">
                      <w:pPr>
                        <w:spacing w:after="0"/>
                        <w:rPr>
                          <w:rFonts w:asciiTheme="majorHAnsi" w:hAnsiTheme="majorHAnsi" w:cstheme="majorHAnsi"/>
                          <w:sz w:val="16"/>
                          <w:szCs w:val="16"/>
                          <w:lang w:val="lv-LV"/>
                        </w:rPr>
                      </w:pPr>
                      <w:r>
                        <w:rPr>
                          <w:rFonts w:asciiTheme="majorHAnsi" w:hAnsiTheme="majorHAnsi" w:cstheme="majorHAnsi"/>
                          <w:sz w:val="16"/>
                          <w:szCs w:val="16"/>
                          <w:lang w:val="lv-LV"/>
                        </w:rPr>
                        <w:t>Ķīna</w:t>
                      </w:r>
                    </w:p>
                    <w:p w14:paraId="59862F2E" w14:textId="77777777" w:rsidR="00B06983" w:rsidRPr="009B6177" w:rsidRDefault="00B06983" w:rsidP="00262896">
                      <w:pPr>
                        <w:spacing w:after="0"/>
                        <w:rPr>
                          <w:rFonts w:asciiTheme="majorHAnsi" w:hAnsiTheme="majorHAnsi" w:cstheme="majorHAnsi"/>
                          <w:sz w:val="16"/>
                          <w:szCs w:val="16"/>
                          <w:lang w:val="lv-LV"/>
                        </w:rPr>
                      </w:pPr>
                      <w:r>
                        <w:rPr>
                          <w:rFonts w:asciiTheme="majorHAnsi" w:hAnsiTheme="majorHAnsi" w:cstheme="majorHAnsi"/>
                          <w:sz w:val="16"/>
                          <w:szCs w:val="16"/>
                          <w:lang w:val="lv-LV"/>
                        </w:rPr>
                        <w:t>ASV</w:t>
                      </w:r>
                    </w:p>
                  </w:txbxContent>
                </v:textbox>
              </v:shape>
            </w:pict>
          </mc:Fallback>
        </mc:AlternateContent>
      </w:r>
      <w:r>
        <w:rPr>
          <w:noProof/>
          <w14:ligatures w14:val="standardContextual"/>
        </w:rPr>
        <mc:AlternateContent>
          <mc:Choice Requires="wps">
            <w:drawing>
              <wp:anchor distT="0" distB="0" distL="114300" distR="114300" simplePos="0" relativeHeight="251658248" behindDoc="0" locked="0" layoutInCell="1" allowOverlap="1" wp14:anchorId="52CC4A52" wp14:editId="024C161E">
                <wp:simplePos x="0" y="0"/>
                <wp:positionH relativeFrom="column">
                  <wp:posOffset>2695499</wp:posOffset>
                </wp:positionH>
                <wp:positionV relativeFrom="paragraph">
                  <wp:posOffset>512445</wp:posOffset>
                </wp:positionV>
                <wp:extent cx="321868" cy="167570"/>
                <wp:effectExtent l="0" t="0" r="2540" b="4445"/>
                <wp:wrapNone/>
                <wp:docPr id="1347857752" name="Text Box 2"/>
                <wp:cNvGraphicFramePr/>
                <a:graphic xmlns:a="http://schemas.openxmlformats.org/drawingml/2006/main">
                  <a:graphicData uri="http://schemas.microsoft.com/office/word/2010/wordprocessingShape">
                    <wps:wsp>
                      <wps:cNvSpPr txBox="1"/>
                      <wps:spPr>
                        <a:xfrm>
                          <a:off x="0" y="0"/>
                          <a:ext cx="321868" cy="167570"/>
                        </a:xfrm>
                        <a:prstGeom prst="rect">
                          <a:avLst/>
                        </a:prstGeom>
                        <a:solidFill>
                          <a:schemeClr val="bg1"/>
                        </a:solidFill>
                        <a:ln w="6350">
                          <a:noFill/>
                        </a:ln>
                      </wps:spPr>
                      <wps:txbx>
                        <w:txbxContent>
                          <w:p w14:paraId="0BCCE63C" w14:textId="77777777" w:rsidR="00B06983" w:rsidRPr="009B6177" w:rsidRDefault="00B06983" w:rsidP="00262896">
                            <w:pPr>
                              <w:rPr>
                                <w:rFonts w:asciiTheme="majorHAnsi" w:hAnsiTheme="majorHAnsi" w:cstheme="majorHAnsi"/>
                                <w:sz w:val="16"/>
                                <w:szCs w:val="16"/>
                                <w:lang w:val="lv-LV"/>
                              </w:rPr>
                            </w:pPr>
                            <w:r>
                              <w:rPr>
                                <w:rFonts w:asciiTheme="majorHAnsi" w:hAnsiTheme="majorHAnsi" w:cstheme="majorHAnsi"/>
                                <w:sz w:val="16"/>
                                <w:szCs w:val="16"/>
                                <w:lang w:val="lv-LV"/>
                              </w:rPr>
                              <w:t>ES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2CC4A52" id="_x0000_s1098" type="#_x0000_t202" style="position:absolute;margin-left:212.25pt;margin-top:40.35pt;width:25.35pt;height:13.2pt;z-index:251658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5OkRAIAAHsEAAAOAAAAZHJzL2Uyb0RvYy54bWysVEtv2zAMvg/YfxB0X5zH8oARp8hSZBgQ&#10;tAWSoWdFlmMDsqhRSuzs14+S47brdhp2kSmKz+8jvbxra80uCl0FJuOjwZAzZSTklTll/Pth+2nB&#10;mfPC5EKDURm/KsfvVh8/LBubqjGUoHOFjIIYlzY246X3Nk0SJ0tVCzcAqww9FoC18HTFU5KjaCh6&#10;rZPxcDhLGsDcIkjlHGnvu0e+ivGLQkn/WBROeaYzTrX5eGI8j+FMVkuRnlDYspK3MsQ/VFGLylDS&#10;l1D3wgt2xuqPUHUlERwUfiChTqAoKqliD9TNaPium30prIq9EDjOvsDk/l9Y+XB5QlblxN3k83wx&#10;nc+nY86MqImrg2o9+wItGweYGutSst5bsvctqcml1ztShu7bAuvwpb4YvRPg1xeQQzBJysl4tJjR&#10;VEh6Gs3m03kkIXl1tuj8VwU1C0LGkTiM0IrLznkqhEx7k5DLga7ybaV1vIS5URuN7CKI8eMplkge&#10;v1lpw5qMzybTYQxsILh3kbWhBKHVrqUg+fbYRoRms77fI+RXggGhmydn5baiYnfC+SeBNEDUOS2F&#10;f6Sj0EDJ4CZxVgL+/Js+2BOv9MpZQwOZcffjLFBxpr8ZYjxMby9gLxx7wZzrDVDHI1o3K6NIDuh1&#10;LxYI9TPtyjpkoSdhJOXKuPTYXza+WwzaNqnW62hGU2qF35m9lSF4wDiAf2ifBdobQ56ofYB+WEX6&#10;jqjONngaWJ89FFVkMUDb4XhDnCY8knvbxrBCb+/R6vWfsfoFAAD//wMAUEsDBBQABgAIAAAAIQBp&#10;rC1W3AAAAAoBAAAPAAAAZHJzL2Rvd25yZXYueG1sTI/BToQwFEX3Jv5D80zcOe0gDCNSJqPRxC2j&#10;H1Dok6L0FWkH8O+tK12+3JN7zysPqx3YjJPvHUnYbgQwpNbpnjoJb6/PN3tgPijSanCEEr7Rw6G6&#10;vChVod1CNc6n0LFYQr5QEkwIY8G5bw1a5TduRIrZu5usCvGcOq4ntcRyO/BEiB23qqe4YNSIjwbb&#10;z9PZSpixNnX28fB0lyz82KgXoq/drZTXV+vxHljANfzB8Ksf1aGKTo07k/ZskJAmaRZRCXuRA4tA&#10;mmcJsCaSIt8Cr0r+/4XqBwAA//8DAFBLAQItABQABgAIAAAAIQC2gziS/gAAAOEBAAATAAAAAAAA&#10;AAAAAAAAAAAAAABbQ29udGVudF9UeXBlc10ueG1sUEsBAi0AFAAGAAgAAAAhADj9If/WAAAAlAEA&#10;AAsAAAAAAAAAAAAAAAAALwEAAF9yZWxzLy5yZWxzUEsBAi0AFAAGAAgAAAAhAEurk6REAgAAewQA&#10;AA4AAAAAAAAAAAAAAAAALgIAAGRycy9lMm9Eb2MueG1sUEsBAi0AFAAGAAgAAAAhAGmsLVbcAAAA&#10;CgEAAA8AAAAAAAAAAAAAAAAAngQAAGRycy9kb3ducmV2LnhtbFBLBQYAAAAABAAEAPMAAACnBQAA&#10;AAA=&#10;" fillcolor="white [3212]" stroked="f" strokeweight=".5pt">
                <v:textbox inset="0,0,0,0">
                  <w:txbxContent>
                    <w:p w14:paraId="0BCCE63C" w14:textId="77777777" w:rsidR="00B06983" w:rsidRPr="009B6177" w:rsidRDefault="00B06983" w:rsidP="00262896">
                      <w:pPr>
                        <w:rPr>
                          <w:rFonts w:asciiTheme="majorHAnsi" w:hAnsiTheme="majorHAnsi" w:cstheme="majorHAnsi"/>
                          <w:sz w:val="16"/>
                          <w:szCs w:val="16"/>
                          <w:lang w:val="lv-LV"/>
                        </w:rPr>
                      </w:pPr>
                      <w:r>
                        <w:rPr>
                          <w:rFonts w:asciiTheme="majorHAnsi" w:hAnsiTheme="majorHAnsi" w:cstheme="majorHAnsi"/>
                          <w:sz w:val="16"/>
                          <w:szCs w:val="16"/>
                          <w:lang w:val="lv-LV"/>
                        </w:rPr>
                        <w:t>ES</w:t>
                      </w:r>
                    </w:p>
                  </w:txbxContent>
                </v:textbox>
              </v:shape>
            </w:pict>
          </mc:Fallback>
        </mc:AlternateContent>
      </w:r>
      <w:r>
        <w:rPr>
          <w:rFonts w:ascii="Minion Pro" w:hAnsi="Minion Pro" w:cs="Arial"/>
          <w:noProof/>
          <w:sz w:val="24"/>
          <w14:ligatures w14:val="standardContextual"/>
        </w:rPr>
        <w:drawing>
          <wp:inline distT="0" distB="0" distL="0" distR="0" wp14:anchorId="3BF926B6" wp14:editId="604ED53B">
            <wp:extent cx="2918612" cy="2417958"/>
            <wp:effectExtent l="0" t="0" r="0" b="190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AS_izgriezts.png"/>
                    <pic:cNvPicPr/>
                  </pic:nvPicPr>
                  <pic:blipFill rotWithShape="1">
                    <a:blip r:embed="rId24">
                      <a:extLst>
                        <a:ext uri="{28A0092B-C50C-407E-A947-70E740481C1C}">
                          <a14:useLocalDpi xmlns:a14="http://schemas.microsoft.com/office/drawing/2010/main" val="0"/>
                        </a:ext>
                      </a:extLst>
                    </a:blip>
                    <a:srcRect l="1553" t="12679" r="50754"/>
                    <a:stretch/>
                  </pic:blipFill>
                  <pic:spPr bwMode="auto">
                    <a:xfrm>
                      <a:off x="0" y="0"/>
                      <a:ext cx="2918789" cy="2418105"/>
                    </a:xfrm>
                    <a:prstGeom prst="rect">
                      <a:avLst/>
                    </a:prstGeom>
                    <a:ln>
                      <a:noFill/>
                    </a:ln>
                    <a:extLst>
                      <a:ext uri="{53640926-AAD7-44D8-BBD7-CCE9431645EC}">
                        <a14:shadowObscured xmlns:a14="http://schemas.microsoft.com/office/drawing/2010/main"/>
                      </a:ext>
                    </a:extLst>
                  </pic:spPr>
                </pic:pic>
              </a:graphicData>
            </a:graphic>
          </wp:inline>
        </w:drawing>
      </w:r>
      <w:r>
        <w:rPr>
          <w:rFonts w:ascii="Minion Pro" w:hAnsi="Minion Pro" w:cs="Arial"/>
          <w:noProof/>
          <w:sz w:val="24"/>
          <w14:ligatures w14:val="standardContextual"/>
        </w:rPr>
        <w:drawing>
          <wp:inline distT="0" distB="0" distL="0" distR="0" wp14:anchorId="4B57235B" wp14:editId="68F43B9D">
            <wp:extent cx="2918612" cy="2417958"/>
            <wp:effectExtent l="0" t="0" r="0" b="1905"/>
            <wp:docPr id="1630550032" name="Picture 1630550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AS_izgriezts.png"/>
                    <pic:cNvPicPr/>
                  </pic:nvPicPr>
                  <pic:blipFill rotWithShape="1">
                    <a:blip r:embed="rId24">
                      <a:extLst>
                        <a:ext uri="{28A0092B-C50C-407E-A947-70E740481C1C}">
                          <a14:useLocalDpi xmlns:a14="http://schemas.microsoft.com/office/drawing/2010/main" val="0"/>
                        </a:ext>
                      </a:extLst>
                    </a:blip>
                    <a:srcRect l="52299" t="12679" r="8"/>
                    <a:stretch/>
                  </pic:blipFill>
                  <pic:spPr bwMode="auto">
                    <a:xfrm>
                      <a:off x="0" y="0"/>
                      <a:ext cx="2918789" cy="2418105"/>
                    </a:xfrm>
                    <a:prstGeom prst="rect">
                      <a:avLst/>
                    </a:prstGeom>
                    <a:ln>
                      <a:noFill/>
                    </a:ln>
                    <a:extLst>
                      <a:ext uri="{53640926-AAD7-44D8-BBD7-CCE9431645EC}">
                        <a14:shadowObscured xmlns:a14="http://schemas.microsoft.com/office/drawing/2010/main"/>
                      </a:ext>
                    </a:extLst>
                  </pic:spPr>
                </pic:pic>
              </a:graphicData>
            </a:graphic>
          </wp:inline>
        </w:drawing>
      </w:r>
    </w:p>
    <w:p w14:paraId="6DEDB9F9" w14:textId="77777777" w:rsidR="00262896" w:rsidRPr="00CE0689" w:rsidRDefault="00262896" w:rsidP="00262896">
      <w:pPr>
        <w:widowControl/>
        <w:spacing w:after="120" w:line="240" w:lineRule="auto"/>
        <w:ind w:firstLine="426"/>
        <w:jc w:val="both"/>
        <w:rPr>
          <w:rFonts w:ascii="Arial Nova Cond Light" w:hAnsi="Arial Nova Cond Light"/>
          <w:bCs/>
          <w:iCs/>
          <w:sz w:val="16"/>
          <w:lang w:val="lv-LV"/>
        </w:rPr>
      </w:pPr>
      <w:r w:rsidRPr="00CE0689">
        <w:rPr>
          <w:rFonts w:ascii="Arial Nova Cond Light" w:hAnsi="Arial Nova Cond Light"/>
          <w:bCs/>
          <w:iCs/>
          <w:sz w:val="16"/>
          <w:lang w:val="lv-LV"/>
        </w:rPr>
        <w:t>Avots:</w:t>
      </w:r>
      <w:r w:rsidRPr="00097491">
        <w:rPr>
          <w:rFonts w:ascii="Arial Nova Cond Light" w:hAnsi="Arial Nova Cond Light"/>
          <w:sz w:val="16"/>
        </w:rPr>
        <w:t xml:space="preserve"> </w:t>
      </w:r>
      <w:r w:rsidRPr="00CE0689">
        <w:rPr>
          <w:rFonts w:ascii="Arial Nova Cond Light" w:hAnsi="Arial Nova Cond Light"/>
          <w:bCs/>
          <w:iCs/>
          <w:sz w:val="16"/>
          <w:lang w:val="lv-LV"/>
        </w:rPr>
        <w:t>Eiropas komisija, 2024. Pamatojoties uz Eurostat (ES), EIA (ASV) un CEIC (Ķīna), 2024</w:t>
      </w:r>
    </w:p>
    <w:p w14:paraId="54047D7E" w14:textId="77777777" w:rsidR="00262896" w:rsidRPr="003A4D84" w:rsidRDefault="00262896" w:rsidP="00262896">
      <w:pPr>
        <w:widowControl/>
        <w:spacing w:line="240" w:lineRule="auto"/>
        <w:jc w:val="both"/>
        <w:rPr>
          <w:rFonts w:ascii="Verdana Pro Cond Light" w:hAnsi="Verdana Pro Cond Light" w:cs="Arial"/>
          <w:szCs w:val="20"/>
        </w:rPr>
      </w:pPr>
    </w:p>
    <w:p w14:paraId="4B4F2450" w14:textId="77777777" w:rsidR="00262896" w:rsidRPr="003A4D84" w:rsidRDefault="00262896" w:rsidP="00262896">
      <w:pPr>
        <w:widowControl/>
        <w:spacing w:after="120" w:line="240" w:lineRule="auto"/>
        <w:rPr>
          <w:rFonts w:ascii="Verdana Pro Cond Light" w:hAnsi="Verdana Pro Cond Light" w:cs="Arial"/>
          <w:szCs w:val="20"/>
          <w:lang w:val="lv-LV"/>
        </w:rPr>
      </w:pPr>
      <w:r w:rsidRPr="003A4D84">
        <w:rPr>
          <w:rFonts w:ascii="Verdana Pro Cond Light" w:hAnsi="Verdana Pro Cond Light" w:cs="Arial"/>
          <w:szCs w:val="20"/>
        </w:rPr>
        <w:t>Ziņojumā ir norādīts, ka, j</w:t>
      </w:r>
      <w:r w:rsidRPr="003A4D84">
        <w:rPr>
          <w:rFonts w:ascii="Verdana Pro Cond Light" w:hAnsi="Verdana Pro Cond Light" w:cs="Arial"/>
          <w:szCs w:val="20"/>
          <w:lang w:val="lv-LV"/>
        </w:rPr>
        <w:t>a būtiski nepalielināsies ražošanas un tīkla jauda,</w:t>
      </w:r>
      <w:r>
        <w:rPr>
          <w:rFonts w:ascii="Verdana Pro Cond Light" w:hAnsi="Verdana Pro Cond Light" w:cs="Arial"/>
          <w:szCs w:val="20"/>
          <w:lang w:val="lv-LV"/>
        </w:rPr>
        <w:t xml:space="preserve"> </w:t>
      </w:r>
      <w:r w:rsidRPr="003A4D84">
        <w:rPr>
          <w:rFonts w:ascii="Verdana Pro Cond Light" w:hAnsi="Verdana Pro Cond Light" w:cs="Arial"/>
          <w:szCs w:val="20"/>
          <w:lang w:val="lv-LV"/>
        </w:rPr>
        <w:t>Eiropa var saskarties arī ar ierobežojumiem, lai padarītu ražošanu digitālāku, jo mākslīgā intelekta modeļu apmācība un vadīšana un datu centru uzturēšana ir ļoti energoietilpīga. Zemāk 3.2. attēlā ir atspoguļoti energointensīvu industriju izaicinājumi. Pašlaik datu centri veido par 2,7% no ES elektroenerģijas pieprasījuma, bet līdz 2030.</w:t>
      </w:r>
      <w:r>
        <w:rPr>
          <w:rFonts w:ascii="Verdana Pro Cond Light" w:hAnsi="Verdana Pro Cond Light" w:cs="Arial"/>
          <w:szCs w:val="20"/>
          <w:lang w:val="lv-LV"/>
        </w:rPr>
        <w:t> </w:t>
      </w:r>
      <w:r w:rsidRPr="003A4D84">
        <w:rPr>
          <w:rFonts w:ascii="Verdana Pro Cond Light" w:hAnsi="Verdana Pro Cond Light" w:cs="Arial"/>
          <w:szCs w:val="20"/>
          <w:lang w:val="lv-LV"/>
        </w:rPr>
        <w:t>gadam to patēriņš palielināsies par 28</w:t>
      </w:r>
      <w:r>
        <w:rPr>
          <w:rFonts w:ascii="Verdana Pro Cond Light" w:hAnsi="Verdana Pro Cond Light" w:cs="Arial"/>
          <w:szCs w:val="20"/>
          <w:lang w:val="lv-LV"/>
        </w:rPr>
        <w:t> </w:t>
      </w:r>
      <w:r w:rsidRPr="003A4D84">
        <w:rPr>
          <w:rFonts w:ascii="Verdana Pro Cond Light" w:hAnsi="Verdana Pro Cond Light" w:cs="Arial"/>
          <w:szCs w:val="20"/>
          <w:lang w:val="lv-LV"/>
        </w:rPr>
        <w:t>%.</w:t>
      </w:r>
    </w:p>
    <w:p w14:paraId="0C73C498" w14:textId="77777777" w:rsidR="00041C6C" w:rsidRDefault="00041C6C">
      <w:pPr>
        <w:widowControl/>
        <w:spacing w:after="160" w:line="259" w:lineRule="auto"/>
        <w:rPr>
          <w:rFonts w:ascii="Verdana Pro Cond Light" w:hAnsi="Verdana Pro Cond Light" w:cs="Arial"/>
          <w:szCs w:val="20"/>
          <w:lang w:val="lv-LV"/>
        </w:rPr>
      </w:pPr>
      <w:r>
        <w:rPr>
          <w:rFonts w:ascii="Verdana Pro Cond Light" w:hAnsi="Verdana Pro Cond Light" w:cs="Arial"/>
          <w:szCs w:val="20"/>
          <w:lang w:val="lv-LV"/>
        </w:rPr>
        <w:br w:type="page"/>
      </w:r>
    </w:p>
    <w:p w14:paraId="3630ED3A" w14:textId="3D62A57F" w:rsidR="00262896" w:rsidRPr="003A4D84" w:rsidRDefault="00262896" w:rsidP="00262896">
      <w:pPr>
        <w:widowControl/>
        <w:spacing w:before="120" w:after="120" w:line="240" w:lineRule="auto"/>
        <w:jc w:val="right"/>
        <w:rPr>
          <w:rFonts w:ascii="Verdana Pro Cond Light" w:hAnsi="Verdana Pro Cond Light" w:cs="Arial"/>
          <w:szCs w:val="20"/>
          <w:lang w:val="lv-LV"/>
        </w:rPr>
      </w:pPr>
      <w:r w:rsidRPr="003A4D84">
        <w:rPr>
          <w:rFonts w:ascii="Verdana Pro Cond Light" w:hAnsi="Verdana Pro Cond Light" w:cs="Arial"/>
          <w:szCs w:val="20"/>
          <w:lang w:val="lv-LV"/>
        </w:rPr>
        <w:lastRenderedPageBreak/>
        <w:t>3.2. attēls</w:t>
      </w:r>
    </w:p>
    <w:p w14:paraId="0E098D96" w14:textId="77777777" w:rsidR="00262896" w:rsidRDefault="00262896" w:rsidP="00262896">
      <w:pPr>
        <w:widowControl/>
        <w:spacing w:after="120" w:line="240" w:lineRule="auto"/>
        <w:jc w:val="center"/>
        <w:rPr>
          <w:rFonts w:ascii="Verdana Pro Cond Light" w:hAnsi="Verdana Pro Cond Light"/>
          <w:sz w:val="18"/>
          <w:szCs w:val="18"/>
          <w:lang w:val="lv-LV"/>
        </w:rPr>
      </w:pPr>
      <w:r w:rsidRPr="003A4D84">
        <w:rPr>
          <w:rFonts w:ascii="Verdana Pro Cond Light" w:hAnsi="Verdana Pro Cond Light"/>
          <w:b/>
          <w:lang w:val="lv-LV"/>
        </w:rPr>
        <w:t>Energoietilpīgas ražošanas izicinājumi</w:t>
      </w:r>
      <w:r>
        <w:rPr>
          <w:rFonts w:ascii="Verdana Pro Cond Light" w:hAnsi="Verdana Pro Cond Light"/>
          <w:b/>
          <w:lang w:val="lv-LV"/>
        </w:rPr>
        <w:br/>
      </w:r>
      <w:r w:rsidRPr="003A4D84">
        <w:rPr>
          <w:rFonts w:ascii="Verdana Pro Cond Light" w:hAnsi="Verdana Pro Cond Light"/>
          <w:sz w:val="18"/>
          <w:szCs w:val="18"/>
          <w:lang w:val="lv-LV"/>
        </w:rPr>
        <w:t>izmaiņas rūpnieciskajā ražošanā</w:t>
      </w:r>
      <w:r>
        <w:rPr>
          <w:rFonts w:ascii="Verdana Pro Cond Light" w:hAnsi="Verdana Pro Cond Light"/>
          <w:sz w:val="18"/>
          <w:szCs w:val="18"/>
          <w:lang w:val="lv-LV"/>
        </w:rPr>
        <w:t>, procentos</w:t>
      </w:r>
      <w:r w:rsidRPr="003A4D84">
        <w:rPr>
          <w:rFonts w:ascii="Verdana Pro Cond Light" w:hAnsi="Verdana Pro Cond Light"/>
          <w:sz w:val="18"/>
          <w:szCs w:val="18"/>
          <w:lang w:val="lv-LV"/>
        </w:rPr>
        <w:t xml:space="preserve"> (24. aprīlis pret 21. aprīli</w:t>
      </w:r>
      <w:r>
        <w:rPr>
          <w:rFonts w:ascii="Verdana Pro Cond Light" w:hAnsi="Verdana Pro Cond Light"/>
          <w:sz w:val="18"/>
          <w:szCs w:val="18"/>
          <w:lang w:val="lv-LV"/>
        </w:rPr>
        <w:t>)</w:t>
      </w:r>
    </w:p>
    <w:p w14:paraId="1F8959DC" w14:textId="77777777" w:rsidR="00262896" w:rsidRDefault="00262896" w:rsidP="00262896">
      <w:pPr>
        <w:widowControl/>
        <w:rPr>
          <w:sz w:val="16"/>
          <w:szCs w:val="16"/>
          <w:lang w:val="lv-LV"/>
        </w:rPr>
      </w:pPr>
      <w:r>
        <w:rPr>
          <w:noProof/>
          <w14:ligatures w14:val="standardContextual"/>
        </w:rPr>
        <mc:AlternateContent>
          <mc:Choice Requires="wps">
            <w:drawing>
              <wp:anchor distT="0" distB="0" distL="114300" distR="114300" simplePos="0" relativeHeight="251658261" behindDoc="0" locked="0" layoutInCell="1" allowOverlap="1" wp14:anchorId="7C9FE2E7" wp14:editId="1CD0B533">
                <wp:simplePos x="0" y="0"/>
                <wp:positionH relativeFrom="column">
                  <wp:posOffset>1832610</wp:posOffset>
                </wp:positionH>
                <wp:positionV relativeFrom="paragraph">
                  <wp:posOffset>2782570</wp:posOffset>
                </wp:positionV>
                <wp:extent cx="2559050" cy="215900"/>
                <wp:effectExtent l="0" t="0" r="0" b="0"/>
                <wp:wrapNone/>
                <wp:docPr id="1969818446" name="Text Box 2"/>
                <wp:cNvGraphicFramePr/>
                <a:graphic xmlns:a="http://schemas.openxmlformats.org/drawingml/2006/main">
                  <a:graphicData uri="http://schemas.microsoft.com/office/word/2010/wordprocessingShape">
                    <wps:wsp>
                      <wps:cNvSpPr txBox="1"/>
                      <wps:spPr>
                        <a:xfrm>
                          <a:off x="0" y="0"/>
                          <a:ext cx="2559050" cy="215900"/>
                        </a:xfrm>
                        <a:prstGeom prst="rect">
                          <a:avLst/>
                        </a:prstGeom>
                        <a:solidFill>
                          <a:schemeClr val="bg1"/>
                        </a:solidFill>
                        <a:ln w="6350">
                          <a:noFill/>
                        </a:ln>
                      </wps:spPr>
                      <wps:txbx>
                        <w:txbxContent>
                          <w:p w14:paraId="4EA93C33" w14:textId="77777777" w:rsidR="00B06983" w:rsidRPr="007D65E7" w:rsidRDefault="00B06983" w:rsidP="00262896">
                            <w:pPr>
                              <w:rPr>
                                <w:rFonts w:asciiTheme="majorHAnsi" w:hAnsiTheme="majorHAnsi" w:cstheme="majorHAnsi"/>
                                <w:b/>
                                <w:bCs/>
                                <w:sz w:val="16"/>
                                <w:szCs w:val="16"/>
                                <w:lang w:val="lv-LV"/>
                              </w:rPr>
                            </w:pPr>
                            <w:r>
                              <w:rPr>
                                <w:rFonts w:asciiTheme="majorHAnsi" w:hAnsiTheme="majorHAnsi" w:cstheme="majorHAnsi"/>
                                <w:b/>
                                <w:bCs/>
                                <w:sz w:val="16"/>
                                <w:szCs w:val="16"/>
                                <w:lang w:val="lv-LV"/>
                              </w:rPr>
                              <w:t>Enerģijas iepirkums, kā daļa no 2019. gada apgozījuma</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9FE2E7" id="_x0000_s1099" type="#_x0000_t202" style="position:absolute;margin-left:144.3pt;margin-top:219.1pt;width:201.5pt;height:17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C1RQgIAAHwEAAAOAAAAZHJzL2Uyb0RvYy54bWysVF1P2zAUfZ+0/2D5faTtoIOKFHUgpkkI&#10;kGDi2XWcNpLj6127Tdiv37HTwMb2NO3Fufb9PufenF/0rRV7w6EhV8rp0UQK4zRVjduU8tvj9YdT&#10;KUJUrlKWnCnlswnyYvn+3XnnF2ZGW7KVYYEgLiw6X8ptjH5RFEFvTavCEXnjoKyJWxVx5U1RseoQ&#10;vbXFbDKZFx1x5Zm0CQGvV4NSLnP8ujY63tV1MFHYUqK2mE/O5zqdxfJcLTas/LbRhzLUP1TRqsYh&#10;6UuoKxWV2HHzR6i20UyB6nikqS2orhttcg/oZjp5083DVnmTewE4wb/AFP5fWH27v2fRVODubH52&#10;Oj09Pp5L4VQLrh5NH8Vn6sUswdT5sID1g4d97PEMl/E94DF139fcpi/6EtAD8OcXkFMwjcfZycnZ&#10;5AQqDd1siktmoXj19hziF0OtSEIpGSRmbNX+JkRUAtPRJCULZJvqurE2X9LgmEvLYq9A+XqTa4TH&#10;b1bWia6U848oIzk5Su5DZOuQIPU69JSk2K/7DNH809jwmqpn4MA0DFTw+rpBsTcqxHvFmCD0h62I&#10;dzhqS0hGB0mKLfGPv70nexALrRQdJrKU4ftOsZHCfnWgPI3vKPAorEfB7dpLQsdT7JvXWYQDRzuK&#10;NVP7hGVZpSxQKaeRq5Q68ni5jMNmYN20Wa2yGcbUq3jjHrxOwRNcCfzH/kmxPzAUwe0tjdOqFm+I&#10;GmwHoFe7SHWTWUzQDjgeEMeIZ3IP65h26Nd7tnr9aSx/AgAA//8DAFBLAwQUAAYACAAAACEA8mgB&#10;ut0AAAALAQAADwAAAGRycy9kb3ducmV2LnhtbEyPwU6DQBCG7ya+w2ZMvNmlW0VKWZpqNPFK9QEW&#10;mALKziK7BXx7x1M9zj9f/vkm2y+2FxOOvnOkYb2KQCBVru6o0fDx/nqXgPDBUG16R6jhBz3s8+ur&#10;zKS1m6nA6RgawSXkU6OhDWFIpfRVi9b4lRuQeHdyozWBx7GR9WhmLre9VFEUS2s64gutGfC5xerr&#10;eLYaJiza4uHz6WWrZnkozRvRd7zR+vZmOexABFzCBYY/fVaHnJ1Kd6bai16DSpKYUQ33m0SBYCLe&#10;rjkpOXlUCmSeyf8/5L8AAAD//wMAUEsBAi0AFAAGAAgAAAAhALaDOJL+AAAA4QEAABMAAAAAAAAA&#10;AAAAAAAAAAAAAFtDb250ZW50X1R5cGVzXS54bWxQSwECLQAUAAYACAAAACEAOP0h/9YAAACUAQAA&#10;CwAAAAAAAAAAAAAAAAAvAQAAX3JlbHMvLnJlbHNQSwECLQAUAAYACAAAACEAbeAtUUICAAB8BAAA&#10;DgAAAAAAAAAAAAAAAAAuAgAAZHJzL2Uyb0RvYy54bWxQSwECLQAUAAYACAAAACEA8mgBut0AAAAL&#10;AQAADwAAAAAAAAAAAAAAAACcBAAAZHJzL2Rvd25yZXYueG1sUEsFBgAAAAAEAAQA8wAAAKYFAAAA&#10;AA==&#10;" fillcolor="white [3212]" stroked="f" strokeweight=".5pt">
                <v:textbox inset="0,0,0,0">
                  <w:txbxContent>
                    <w:p w14:paraId="4EA93C33" w14:textId="77777777" w:rsidR="00B06983" w:rsidRPr="007D65E7" w:rsidRDefault="00B06983" w:rsidP="00262896">
                      <w:pPr>
                        <w:rPr>
                          <w:rFonts w:asciiTheme="majorHAnsi" w:hAnsiTheme="majorHAnsi" w:cstheme="majorHAnsi"/>
                          <w:b/>
                          <w:bCs/>
                          <w:sz w:val="16"/>
                          <w:szCs w:val="16"/>
                          <w:lang w:val="lv-LV"/>
                        </w:rPr>
                      </w:pPr>
                      <w:r>
                        <w:rPr>
                          <w:rFonts w:asciiTheme="majorHAnsi" w:hAnsiTheme="majorHAnsi" w:cstheme="majorHAnsi"/>
                          <w:b/>
                          <w:bCs/>
                          <w:sz w:val="16"/>
                          <w:szCs w:val="16"/>
                          <w:lang w:val="lv-LV"/>
                        </w:rPr>
                        <w:t>Enerģijas iepirkums, kā daļa no 2019. gada apgozījuma</w:t>
                      </w:r>
                    </w:p>
                  </w:txbxContent>
                </v:textbox>
              </v:shape>
            </w:pict>
          </mc:Fallback>
        </mc:AlternateContent>
      </w:r>
      <w:r>
        <w:rPr>
          <w:noProof/>
          <w14:ligatures w14:val="standardContextual"/>
        </w:rPr>
        <mc:AlternateContent>
          <mc:Choice Requires="wps">
            <w:drawing>
              <wp:anchor distT="0" distB="0" distL="114300" distR="114300" simplePos="0" relativeHeight="251658260" behindDoc="0" locked="0" layoutInCell="1" allowOverlap="1" wp14:anchorId="0DC433FB" wp14:editId="3B0ADE7A">
                <wp:simplePos x="0" y="0"/>
                <wp:positionH relativeFrom="column">
                  <wp:posOffset>2137410</wp:posOffset>
                </wp:positionH>
                <wp:positionV relativeFrom="paragraph">
                  <wp:posOffset>2169160</wp:posOffset>
                </wp:positionV>
                <wp:extent cx="806450" cy="190500"/>
                <wp:effectExtent l="0" t="0" r="0" b="0"/>
                <wp:wrapNone/>
                <wp:docPr id="292242262" name="Text Box 2"/>
                <wp:cNvGraphicFramePr/>
                <a:graphic xmlns:a="http://schemas.openxmlformats.org/drawingml/2006/main">
                  <a:graphicData uri="http://schemas.microsoft.com/office/word/2010/wordprocessingShape">
                    <wps:wsp>
                      <wps:cNvSpPr txBox="1"/>
                      <wps:spPr>
                        <a:xfrm>
                          <a:off x="0" y="0"/>
                          <a:ext cx="806450" cy="190500"/>
                        </a:xfrm>
                        <a:prstGeom prst="rect">
                          <a:avLst/>
                        </a:prstGeom>
                        <a:solidFill>
                          <a:schemeClr val="bg1"/>
                        </a:solidFill>
                        <a:ln w="6350">
                          <a:noFill/>
                        </a:ln>
                      </wps:spPr>
                      <wps:txbx>
                        <w:txbxContent>
                          <w:p w14:paraId="4D775767" w14:textId="77777777" w:rsidR="00B06983" w:rsidRPr="009B6177" w:rsidRDefault="00B06983" w:rsidP="00262896">
                            <w:pPr>
                              <w:spacing w:after="0" w:line="240" w:lineRule="auto"/>
                              <w:rPr>
                                <w:rFonts w:asciiTheme="majorHAnsi" w:hAnsiTheme="majorHAnsi" w:cstheme="majorHAnsi"/>
                                <w:sz w:val="16"/>
                                <w:szCs w:val="16"/>
                                <w:lang w:val="lv-LV"/>
                              </w:rPr>
                            </w:pPr>
                            <w:r>
                              <w:rPr>
                                <w:rFonts w:asciiTheme="majorHAnsi" w:hAnsiTheme="majorHAnsi" w:cstheme="majorHAnsi"/>
                                <w:sz w:val="16"/>
                                <w:szCs w:val="16"/>
                                <w:lang w:val="lv-LV"/>
                              </w:rPr>
                              <w:t>Tekstilzstrādājumi</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C433FB" id="_x0000_s1100" type="#_x0000_t202" style="position:absolute;margin-left:168.3pt;margin-top:170.8pt;width:63.5pt;height:15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8wXQwIAAHoEAAAOAAAAZHJzL2Uyb0RvYy54bWysVE1v2zAMvQ/YfxB0X+x4bZAacYosRYYB&#10;QVsgGXpWZDkxIIsapcTOfv0oOU67bqdhF5kiKX68R3p23zWanRS6GkzBx6OUM2UklLXZF/z7dvVp&#10;ypnzwpRCg1EFPyvH7+cfP8xam6sMDqBLhYyCGJe3tuAH722eJE4eVCPcCKwyZKwAG+HpivukRNFS&#10;9EYnWZpOkhawtAhSOUfah97I5zF+VSnpn6rKKc90wak2H0+M5y6cyXwm8j0Ke6jlpQzxD1U0ojaU&#10;9BrqQXjBjlj/EaqpJYKDyo8kNAlUVS1V7IG6GafvutkchFWxFwLH2StM7v+FlY+nZ2R1WfDsLstu&#10;smyScWZEQ1RtVefZF+hYFlBqrcvJeWPJ3XekJrYHvSNlaL6rsAlfaouRnfA+XzEOwSQpp+nk5pYs&#10;kkzju/Q2jRwkr48tOv9VQcOCUHAkCiOy4rR2ngoh18El5HKg63JVax0vYWzUUiM7CSJ8t48l0ovf&#10;vLRhbcEnn6mM8MhAeN5H1oYShFb7loLku10XAZpMh353UJ4JBoR+nJyVq5qKXQvnnwXS/FB/tBP+&#10;iY5KAyWDi8TZAfDn3/TBn2glK2ctzWPB3Y+jQMWZ/maI8DC8g4CDsBsEc2yWQB2PadusjCI9QK8H&#10;sUJoXmhVFiELmYSRlKvg0uNwWfp+L2jZpFosohsNqRV+bTZWhuABrgD+tnsRaC8MeaL2EYZZFfk7&#10;onrfHujF0UNVRxYDtD2OF8RpwCO5l2UMG/T2Hr1efxnzXwAAAP//AwBQSwMEFAAGAAgAAAAhAKhE&#10;/f3bAAAACwEAAA8AAABkcnMvZG93bnJldi54bWxMj8FOwzAQRO9I/IO1SNyo06akJcSpCgKJawof&#10;4MRLHIjXIXaT8PcsJ7jNzo5m3xaHxfViwjF0nhSsVwkIpMabjloFb6/PN3sQIWoyuveECr4xwKG8&#10;vCh0bvxMFU6n2AouoZBrBTbGIZcyNBadDis/IPHu3Y9ORx7HVppRz1zuerlJkkw63RFfsHrAR4vN&#10;5+nsFExY2er24+HpbjPLY61fiL6yVKnrq+V4DyLiEv/C8IvP6FAyU+3PZILoFaRplnGUxXbNghPb&#10;LGVRs7NjR5aF/P9D+QMAAP//AwBQSwECLQAUAAYACAAAACEAtoM4kv4AAADhAQAAEwAAAAAAAAAA&#10;AAAAAAAAAAAAW0NvbnRlbnRfVHlwZXNdLnhtbFBLAQItABQABgAIAAAAIQA4/SH/1gAAAJQBAAAL&#10;AAAAAAAAAAAAAAAAAC8BAABfcmVscy8ucmVsc1BLAQItABQABgAIAAAAIQBka8wXQwIAAHoEAAAO&#10;AAAAAAAAAAAAAAAAAC4CAABkcnMvZTJvRG9jLnhtbFBLAQItABQABgAIAAAAIQCoRP392wAAAAsB&#10;AAAPAAAAAAAAAAAAAAAAAJ0EAABkcnMvZG93bnJldi54bWxQSwUGAAAAAAQABADzAAAApQUAAAAA&#10;" fillcolor="white [3212]" stroked="f" strokeweight=".5pt">
                <v:textbox inset="0,0,0,0">
                  <w:txbxContent>
                    <w:p w14:paraId="4D775767" w14:textId="77777777" w:rsidR="00B06983" w:rsidRPr="009B6177" w:rsidRDefault="00B06983" w:rsidP="00262896">
                      <w:pPr>
                        <w:spacing w:after="0" w:line="240" w:lineRule="auto"/>
                        <w:rPr>
                          <w:rFonts w:asciiTheme="majorHAnsi" w:hAnsiTheme="majorHAnsi" w:cstheme="majorHAnsi"/>
                          <w:sz w:val="16"/>
                          <w:szCs w:val="16"/>
                          <w:lang w:val="lv-LV"/>
                        </w:rPr>
                      </w:pPr>
                      <w:r>
                        <w:rPr>
                          <w:rFonts w:asciiTheme="majorHAnsi" w:hAnsiTheme="majorHAnsi" w:cstheme="majorHAnsi"/>
                          <w:sz w:val="16"/>
                          <w:szCs w:val="16"/>
                          <w:lang w:val="lv-LV"/>
                        </w:rPr>
                        <w:t>Tekstilzstrādājumi</w:t>
                      </w:r>
                    </w:p>
                  </w:txbxContent>
                </v:textbox>
              </v:shape>
            </w:pict>
          </mc:Fallback>
        </mc:AlternateContent>
      </w:r>
      <w:r>
        <w:rPr>
          <w:noProof/>
          <w14:ligatures w14:val="standardContextual"/>
        </w:rPr>
        <mc:AlternateContent>
          <mc:Choice Requires="wps">
            <w:drawing>
              <wp:anchor distT="0" distB="0" distL="114300" distR="114300" simplePos="0" relativeHeight="251658259" behindDoc="0" locked="0" layoutInCell="1" allowOverlap="1" wp14:anchorId="2B05D44D" wp14:editId="19AE499E">
                <wp:simplePos x="0" y="0"/>
                <wp:positionH relativeFrom="column">
                  <wp:posOffset>3209290</wp:posOffset>
                </wp:positionH>
                <wp:positionV relativeFrom="paragraph">
                  <wp:posOffset>1750060</wp:posOffset>
                </wp:positionV>
                <wp:extent cx="900000" cy="144000"/>
                <wp:effectExtent l="0" t="0" r="0" b="8890"/>
                <wp:wrapNone/>
                <wp:docPr id="962852337" name="Text Box 2"/>
                <wp:cNvGraphicFramePr/>
                <a:graphic xmlns:a="http://schemas.openxmlformats.org/drawingml/2006/main">
                  <a:graphicData uri="http://schemas.microsoft.com/office/word/2010/wordprocessingShape">
                    <wps:wsp>
                      <wps:cNvSpPr txBox="1"/>
                      <wps:spPr>
                        <a:xfrm>
                          <a:off x="0" y="0"/>
                          <a:ext cx="900000" cy="144000"/>
                        </a:xfrm>
                        <a:prstGeom prst="rect">
                          <a:avLst/>
                        </a:prstGeom>
                        <a:solidFill>
                          <a:schemeClr val="bg1"/>
                        </a:solidFill>
                        <a:ln w="6350">
                          <a:noFill/>
                        </a:ln>
                      </wps:spPr>
                      <wps:txbx>
                        <w:txbxContent>
                          <w:p w14:paraId="7660F351" w14:textId="77777777" w:rsidR="00B06983" w:rsidRPr="009B6177" w:rsidRDefault="00B06983" w:rsidP="00262896">
                            <w:pPr>
                              <w:jc w:val="center"/>
                              <w:rPr>
                                <w:rFonts w:asciiTheme="majorHAnsi" w:hAnsiTheme="majorHAnsi" w:cstheme="majorHAnsi"/>
                                <w:sz w:val="16"/>
                                <w:szCs w:val="16"/>
                                <w:lang w:val="lv-LV"/>
                              </w:rPr>
                            </w:pPr>
                            <w:r>
                              <w:rPr>
                                <w:rFonts w:asciiTheme="majorHAnsi" w:hAnsiTheme="majorHAnsi" w:cstheme="majorHAnsi"/>
                                <w:sz w:val="16"/>
                                <w:szCs w:val="16"/>
                                <w:lang w:val="lv-LV"/>
                              </w:rPr>
                              <w:t>Ķīmiskie produkti</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05D44D" id="_x0000_s1101" type="#_x0000_t202" style="position:absolute;margin-left:252.7pt;margin-top:137.8pt;width:70.85pt;height:11.35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f5XQgIAAHoEAAAOAAAAZHJzL2Uyb0RvYy54bWysVFGP2jAMfp+0/xDlfbTAHTsQ5cQ4MU1C&#10;dyfBdM8hTWmlNM6cQMt+/ZyUcrfbnqbxEBzb+Wx/tju/b2vNTgpdBSbjw0HKmTIS8socMv59t/50&#10;x5nzwuRCg1EZPyvH7xcfP8wbO1MjKEHnChmBGDdrbMZL7+0sSZwsVS3cAKwyZCwAa+HpiockR9EQ&#10;eq2TUZpOkgYwtwhSOUfah87IFxG/KJT0T0XhlGc645SbjyfGcx/OZDEXswMKW1bykob4hyxqURkK&#10;eoV6EF6wI1Z/QNWVRHBQ+IGEOoGiqKSKNVA1w/RdNdtSWBVrIXKcvdLk/h+sfDw9I6vyjE8no7vb&#10;0Xj8mTMjamrVTrWefYGWjQJLjXUzct5acvctqanbvd6RMhTfFliHfyqLkZ34Pl85DmCSlNM0/DiT&#10;ZBre3ASZ0JPXxxad/6qgZkHIOFILI7PitHG+c+1dQiwHusrXldbxEsZGrTSyk6CG7w8xRQL/zUsb&#10;1mR8Mr5NI7CB8LxD1oZyCaV2JQXJt/s2EjSZ9vXuIT8TDQjdODkr1xUluxHOPwuk+aH6aCf8Ex2F&#10;BgoGF4mzEvDn3/TBn9pKVs4amseMux9HgYoz/c1Qw8Pw9gL2wr4XzLFeAVU8pG2zMor0AL3uxQKh&#10;fqFVWYYoZBJGUqyMS4/9ZeW7vaBlk2q5jG40pFb4jdlaGcADx4H8Xfsi0F465Km1j9DPqpi9a1Tn&#10;G14aWB49FFXsYqC24/HCOA14nIPLMoYNenuPXq+fjMUvAAAA//8DAFBLAwQUAAYACAAAACEAVEjS&#10;ed4AAAALAQAADwAAAGRycy9kb3ducmV2LnhtbEyPwU6DQBCG7ya+w2ZMvNmltNAWWZpqNPFK9QEG&#10;dgSUnUV2C/j2ric9zsyXf74/Py6mFxONrrOsYL2KQBDXVnfcKHh7fb7bg3AeWWNvmRR8k4NjcX2V&#10;Y6btzCVNZ9+IEMIuQwWt90MmpatbMuhWdiAOt3c7GvRhHBupR5xDuOllHEWpNNhx+NDiQI8t1Z/n&#10;i1EwUdmWycfD0yGe5anCF+avdKPU7c1yugfhafF/MPzqB3UoglNlL6yd6BUkUbINqIJ4l6QgApFu&#10;d2sQVdgc9huQRS7/dyh+AAAA//8DAFBLAQItABQABgAIAAAAIQC2gziS/gAAAOEBAAATAAAAAAAA&#10;AAAAAAAAAAAAAABbQ29udGVudF9UeXBlc10ueG1sUEsBAi0AFAAGAAgAAAAhADj9If/WAAAAlAEA&#10;AAsAAAAAAAAAAAAAAAAALwEAAF9yZWxzLy5yZWxzUEsBAi0AFAAGAAgAAAAhAJlx/ldCAgAAegQA&#10;AA4AAAAAAAAAAAAAAAAALgIAAGRycy9lMm9Eb2MueG1sUEsBAi0AFAAGAAgAAAAhAFRI0nneAAAA&#10;CwEAAA8AAAAAAAAAAAAAAAAAnAQAAGRycy9kb3ducmV2LnhtbFBLBQYAAAAABAAEAPMAAACnBQAA&#10;AAA=&#10;" fillcolor="white [3212]" stroked="f" strokeweight=".5pt">
                <v:textbox inset="0,0,0,0">
                  <w:txbxContent>
                    <w:p w14:paraId="7660F351" w14:textId="77777777" w:rsidR="00B06983" w:rsidRPr="009B6177" w:rsidRDefault="00B06983" w:rsidP="00262896">
                      <w:pPr>
                        <w:jc w:val="center"/>
                        <w:rPr>
                          <w:rFonts w:asciiTheme="majorHAnsi" w:hAnsiTheme="majorHAnsi" w:cstheme="majorHAnsi"/>
                          <w:sz w:val="16"/>
                          <w:szCs w:val="16"/>
                          <w:lang w:val="lv-LV"/>
                        </w:rPr>
                      </w:pPr>
                      <w:r>
                        <w:rPr>
                          <w:rFonts w:asciiTheme="majorHAnsi" w:hAnsiTheme="majorHAnsi" w:cstheme="majorHAnsi"/>
                          <w:sz w:val="16"/>
                          <w:szCs w:val="16"/>
                          <w:lang w:val="lv-LV"/>
                        </w:rPr>
                        <w:t>Ķīmiskie produkti</w:t>
                      </w:r>
                    </w:p>
                  </w:txbxContent>
                </v:textbox>
              </v:shape>
            </w:pict>
          </mc:Fallback>
        </mc:AlternateContent>
      </w:r>
      <w:r>
        <w:rPr>
          <w:noProof/>
          <w14:ligatures w14:val="standardContextual"/>
        </w:rPr>
        <mc:AlternateContent>
          <mc:Choice Requires="wps">
            <w:drawing>
              <wp:anchor distT="0" distB="0" distL="114300" distR="114300" simplePos="0" relativeHeight="251658258" behindDoc="0" locked="0" layoutInCell="1" allowOverlap="1" wp14:anchorId="4E4AFC5A" wp14:editId="2DBFED40">
                <wp:simplePos x="0" y="0"/>
                <wp:positionH relativeFrom="column">
                  <wp:posOffset>2631440</wp:posOffset>
                </wp:positionH>
                <wp:positionV relativeFrom="paragraph">
                  <wp:posOffset>2400300</wp:posOffset>
                </wp:positionV>
                <wp:extent cx="900000" cy="144000"/>
                <wp:effectExtent l="0" t="0" r="0" b="8890"/>
                <wp:wrapNone/>
                <wp:docPr id="399729930" name="Text Box 2"/>
                <wp:cNvGraphicFramePr/>
                <a:graphic xmlns:a="http://schemas.openxmlformats.org/drawingml/2006/main">
                  <a:graphicData uri="http://schemas.microsoft.com/office/word/2010/wordprocessingShape">
                    <wps:wsp>
                      <wps:cNvSpPr txBox="1"/>
                      <wps:spPr>
                        <a:xfrm>
                          <a:off x="0" y="0"/>
                          <a:ext cx="900000" cy="144000"/>
                        </a:xfrm>
                        <a:prstGeom prst="rect">
                          <a:avLst/>
                        </a:prstGeom>
                        <a:solidFill>
                          <a:schemeClr val="bg1"/>
                        </a:solidFill>
                        <a:ln w="6350">
                          <a:noFill/>
                        </a:ln>
                      </wps:spPr>
                      <wps:txbx>
                        <w:txbxContent>
                          <w:p w14:paraId="00634FA8" w14:textId="77777777" w:rsidR="00B06983" w:rsidRPr="009B6177" w:rsidRDefault="00B06983" w:rsidP="00262896">
                            <w:pPr>
                              <w:jc w:val="center"/>
                              <w:rPr>
                                <w:rFonts w:asciiTheme="majorHAnsi" w:hAnsiTheme="majorHAnsi" w:cstheme="majorHAnsi"/>
                                <w:sz w:val="16"/>
                                <w:szCs w:val="16"/>
                                <w:lang w:val="lv-LV"/>
                              </w:rPr>
                            </w:pPr>
                            <w:r>
                              <w:rPr>
                                <w:rFonts w:asciiTheme="majorHAnsi" w:hAnsiTheme="majorHAnsi" w:cstheme="majorHAnsi"/>
                                <w:sz w:val="16"/>
                                <w:szCs w:val="16"/>
                                <w:lang w:val="lv-LV"/>
                              </w:rPr>
                              <w:t>Koksne, tās produkti</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4AFC5A" id="_x0000_s1102" type="#_x0000_t202" style="position:absolute;margin-left:207.2pt;margin-top:189pt;width:70.85pt;height:11.35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sdbQAIAAHoEAAAOAAAAZHJzL2Uyb0RvYy54bWysVFGP2jAMfp+0/xDlfbTA7W5UlBPjxDTp&#10;dHcSTPcc0pRWSuPMCbTs189JKWy3PU3jITi289n+bHd+3zWaHRW6GkzOx6OUM2UkFLXZ5/zbdv3h&#10;E2fOC1MIDUbl/KQcv1+8fzdvbaYmUIEuFDICMS5rbc4r722WJE5WqhFuBFYZMpaAjfB0xX1SoGgJ&#10;vdHJJE1vkxawsAhSOUfah97IFxG/LJX0z2XplGc655SbjyfGcxfOZDEX2R6FrWp5TkP8QxaNqA0F&#10;vUA9CC/YAes/oJpaIjgo/UhCk0BZ1lLFGqiacfqmmk0lrIq1EDnOXmhy/w9WPh1fkNVFzqez2d1k&#10;NpsSS0Y01Kqt6jz7DB2bBJZa6zJy3lhy9x2pqduD3pEyFN+V2IR/KouRnZBOF44DmCTlLA0/ziSZ&#10;xjc3QSb05PrYovNfFDQsCDlHamFkVhwfne9dB5cQy4Gui3WtdbyEsVErjewoqOG7fUyRwH/z0oa1&#10;Ob+dfkwjsIHwvEfWhnIJpfYlBcl3uy4SdBczDaodFCeiAaEfJ2fluqZkH4XzLwJpfqg+2gn/TEep&#10;gYLBWeKsAvzxN33wp7aSlbOW5jHn7vtBoOJMfzXUcIL0g4CDsBsEc2hWQBWPadusjCI9QK8HsURo&#10;XmlVliEKmYSRFCvn0uNwWfl+L2jZpFouoxsNqRX+0WysDOCB40D+tnsVaM8d8tTaJxhmVWRvGtX7&#10;hpcGlgcPZR27eOXxzDgNeJyD8zKGDfr1Hr2un4zFTwAAAP//AwBQSwMEFAAGAAgAAAAhACGeuCjd&#10;AAAACwEAAA8AAABkcnMvZG93bnJldi54bWxMj9FOg0AQRd9N/IfNmPhmF1qglbI01WjiK9UPWGAK&#10;KDuL7Bbw7x2f6uPkntw5NzssphcTjq6zpCBcBSCQKlt31Cj4eH992IFwXlOte0uo4AcdHPLbm0yn&#10;tZ2pwOnkG8El5FKtoPV+SKV0VYtGu5UdkDg729Foz+fYyHrUM5ebXq6DIJFGd8QfWj3gc4vV1+li&#10;FExYtEX8+fTyuJ7lsdRvRN/JRqn7u+W4B+Fx8VcY/vRZHXJ2Ku2Faid6BVEYRYwq2Gx3PIqJOE5C&#10;ECVHQbAFmWfy/4b8FwAA//8DAFBLAQItABQABgAIAAAAIQC2gziS/gAAAOEBAAATAAAAAAAAAAAA&#10;AAAAAAAAAABbQ29udGVudF9UeXBlc10ueG1sUEsBAi0AFAAGAAgAAAAhADj9If/WAAAAlAEAAAsA&#10;AAAAAAAAAAAAAAAALwEAAF9yZWxzLy5yZWxzUEsBAi0AFAAGAAgAAAAhAGt2x1tAAgAAegQAAA4A&#10;AAAAAAAAAAAAAAAALgIAAGRycy9lMm9Eb2MueG1sUEsBAi0AFAAGAAgAAAAhACGeuCjdAAAACwEA&#10;AA8AAAAAAAAAAAAAAAAAmgQAAGRycy9kb3ducmV2LnhtbFBLBQYAAAAABAAEAPMAAACkBQAAAAA=&#10;" fillcolor="white [3212]" stroked="f" strokeweight=".5pt">
                <v:textbox inset="0,0,0,0">
                  <w:txbxContent>
                    <w:p w14:paraId="00634FA8" w14:textId="77777777" w:rsidR="00B06983" w:rsidRPr="009B6177" w:rsidRDefault="00B06983" w:rsidP="00262896">
                      <w:pPr>
                        <w:jc w:val="center"/>
                        <w:rPr>
                          <w:rFonts w:asciiTheme="majorHAnsi" w:hAnsiTheme="majorHAnsi" w:cstheme="majorHAnsi"/>
                          <w:sz w:val="16"/>
                          <w:szCs w:val="16"/>
                          <w:lang w:val="lv-LV"/>
                        </w:rPr>
                      </w:pPr>
                      <w:r>
                        <w:rPr>
                          <w:rFonts w:asciiTheme="majorHAnsi" w:hAnsiTheme="majorHAnsi" w:cstheme="majorHAnsi"/>
                          <w:sz w:val="16"/>
                          <w:szCs w:val="16"/>
                          <w:lang w:val="lv-LV"/>
                        </w:rPr>
                        <w:t>Koksne, tās produkti</w:t>
                      </w:r>
                    </w:p>
                  </w:txbxContent>
                </v:textbox>
              </v:shape>
            </w:pict>
          </mc:Fallback>
        </mc:AlternateContent>
      </w:r>
      <w:r>
        <w:rPr>
          <w:noProof/>
          <w14:ligatures w14:val="standardContextual"/>
        </w:rPr>
        <mc:AlternateContent>
          <mc:Choice Requires="wps">
            <w:drawing>
              <wp:anchor distT="0" distB="0" distL="114300" distR="114300" simplePos="0" relativeHeight="251658257" behindDoc="0" locked="0" layoutInCell="1" allowOverlap="1" wp14:anchorId="36FD80F3" wp14:editId="3648B5CE">
                <wp:simplePos x="0" y="0"/>
                <wp:positionH relativeFrom="column">
                  <wp:posOffset>4828540</wp:posOffset>
                </wp:positionH>
                <wp:positionV relativeFrom="paragraph">
                  <wp:posOffset>2317750</wp:posOffset>
                </wp:positionV>
                <wp:extent cx="900000" cy="144000"/>
                <wp:effectExtent l="0" t="0" r="0" b="8890"/>
                <wp:wrapNone/>
                <wp:docPr id="2043315660" name="Text Box 2"/>
                <wp:cNvGraphicFramePr/>
                <a:graphic xmlns:a="http://schemas.openxmlformats.org/drawingml/2006/main">
                  <a:graphicData uri="http://schemas.microsoft.com/office/word/2010/wordprocessingShape">
                    <wps:wsp>
                      <wps:cNvSpPr txBox="1"/>
                      <wps:spPr>
                        <a:xfrm>
                          <a:off x="0" y="0"/>
                          <a:ext cx="900000" cy="144000"/>
                        </a:xfrm>
                        <a:prstGeom prst="rect">
                          <a:avLst/>
                        </a:prstGeom>
                        <a:solidFill>
                          <a:schemeClr val="bg1"/>
                        </a:solidFill>
                        <a:ln w="6350">
                          <a:noFill/>
                        </a:ln>
                      </wps:spPr>
                      <wps:txbx>
                        <w:txbxContent>
                          <w:p w14:paraId="7CF3A2CA" w14:textId="77777777" w:rsidR="00B06983" w:rsidRPr="009B6177" w:rsidRDefault="00B06983" w:rsidP="00262896">
                            <w:pPr>
                              <w:jc w:val="center"/>
                              <w:rPr>
                                <w:rFonts w:asciiTheme="majorHAnsi" w:hAnsiTheme="majorHAnsi" w:cstheme="majorHAnsi"/>
                                <w:sz w:val="16"/>
                                <w:szCs w:val="16"/>
                                <w:lang w:val="lv-LV"/>
                              </w:rPr>
                            </w:pPr>
                            <w:r>
                              <w:rPr>
                                <w:rFonts w:asciiTheme="majorHAnsi" w:hAnsiTheme="majorHAnsi" w:cstheme="majorHAnsi"/>
                                <w:sz w:val="16"/>
                                <w:szCs w:val="16"/>
                                <w:lang w:val="lv-LV"/>
                              </w:rPr>
                              <w:t>Parastie metāli</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FD80F3" id="_x0000_s1103" type="#_x0000_t202" style="position:absolute;margin-left:380.2pt;margin-top:182.5pt;width:70.85pt;height:11.3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JrAQQIAAHsEAAAOAAAAZHJzL2Uyb0RvYy54bWysVE1v2zAMvQ/YfxB0X+x8NOuMOEWWIsOA&#10;oi2QDD0rshwbkEWNUmJnv36UHKdbt9OwHBSKpB7JR9KLu67R7KTQ1WByPh6lnCkjoajNIeffdpsP&#10;t5w5L0whNBiV87Ny/G75/t2itZmaQAW6UMgIxListTmvvLdZkjhZqUa4EVhlyFgCNsLTFQ9JgaIl&#10;9EYnkzSdJy1gYRGkco60972RLyN+WSrpn8rSKc90zik3H0+M5z6cyXIhsgMKW9Xykob4hywaURsK&#10;eoW6F16wI9Z/QDW1RHBQ+pGEJoGyrKWKNVA14/RNNdtKWBVrIXKcvdLk/h+sfDw9I6uLnE/S2XQ6&#10;vpnPiSYjGurVTnWefYaOTQJNrXUZeW8t+fuO1NTuQe9IGarvSmzCP9XFyE5I5yvJAUyS8lMafpxJ&#10;Mo1nsyATevL62KLzXxQ0LAg5R+phpFacHpzvXQeXEMuBrotNrXW8hLlRa43sJKjj+0NMkcB/89KG&#10;tTmfT2/SCGwgPO+RtaFcQql9SUHy3b6LDH281ruH4kw0IPTz5Kzc1JTsg3D+WSANENVHS+Gf6Cg1&#10;UDC4SJxVgD/+pg/+1FeyctbSQObcfT8KVJzpr4Y6TpB+EHAQ9oNgjs0aqOIxrZuVUaQH6PUglgjN&#10;C+3KKkQhkzCSYuVcehwua98vBm2bVKtVdKMptcI/mK2VATxwHMjfdS8C7aVDnlr7CMOwiuxNo3rf&#10;8NLA6uihrGMXA7U9jxfGacLjHFy2MazQr/fo9frNWP4EAAD//wMAUEsDBBQABgAIAAAAIQCSzDP0&#10;3gAAAAsBAAAPAAAAZHJzL2Rvd25yZXYueG1sTI/BToNAEIbvJr7DZky82aXUQossTTWaeKX6AAs7&#10;AsrOIrsFfHvHUz3OzJd/vj8/LLYXE46+c6RgvYpAINXOdNQoeH97uduB8EGT0b0jVPCDHg7F9VWu&#10;M+NmKnE6hUZwCPlMK2hDGDIpfd2i1X7lBiS+fbjR6sDj2Egz6pnDbS/jKEqk1R3xh1YP+NRi/XU6&#10;WwUTlm25/Xx83sezPFb6leg72Sh1e7McH0AEXMIFhj99VoeCnSp3JuNFryBNontGFWySLZdiYh/F&#10;axAVb3ZpCrLI5f8OxS8AAAD//wMAUEsBAi0AFAAGAAgAAAAhALaDOJL+AAAA4QEAABMAAAAAAAAA&#10;AAAAAAAAAAAAAFtDb250ZW50X1R5cGVzXS54bWxQSwECLQAUAAYACAAAACEAOP0h/9YAAACUAQAA&#10;CwAAAAAAAAAAAAAAAAAvAQAAX3JlbHMvLnJlbHNQSwECLQAUAAYACAAAACEAm6yawEECAAB7BAAA&#10;DgAAAAAAAAAAAAAAAAAuAgAAZHJzL2Uyb0RvYy54bWxQSwECLQAUAAYACAAAACEAkswz9N4AAAAL&#10;AQAADwAAAAAAAAAAAAAAAACbBAAAZHJzL2Rvd25yZXYueG1sUEsFBgAAAAAEAAQA8wAAAKYFAAAA&#10;AA==&#10;" fillcolor="white [3212]" stroked="f" strokeweight=".5pt">
                <v:textbox inset="0,0,0,0">
                  <w:txbxContent>
                    <w:p w14:paraId="7CF3A2CA" w14:textId="77777777" w:rsidR="00B06983" w:rsidRPr="009B6177" w:rsidRDefault="00B06983" w:rsidP="00262896">
                      <w:pPr>
                        <w:jc w:val="center"/>
                        <w:rPr>
                          <w:rFonts w:asciiTheme="majorHAnsi" w:hAnsiTheme="majorHAnsi" w:cstheme="majorHAnsi"/>
                          <w:sz w:val="16"/>
                          <w:szCs w:val="16"/>
                          <w:lang w:val="lv-LV"/>
                        </w:rPr>
                      </w:pPr>
                      <w:r>
                        <w:rPr>
                          <w:rFonts w:asciiTheme="majorHAnsi" w:hAnsiTheme="majorHAnsi" w:cstheme="majorHAnsi"/>
                          <w:sz w:val="16"/>
                          <w:szCs w:val="16"/>
                          <w:lang w:val="lv-LV"/>
                        </w:rPr>
                        <w:t>Parastie metāli</w:t>
                      </w:r>
                    </w:p>
                  </w:txbxContent>
                </v:textbox>
              </v:shape>
            </w:pict>
          </mc:Fallback>
        </mc:AlternateContent>
      </w:r>
      <w:r>
        <w:rPr>
          <w:noProof/>
          <w14:ligatures w14:val="standardContextual"/>
        </w:rPr>
        <mc:AlternateContent>
          <mc:Choice Requires="wps">
            <w:drawing>
              <wp:anchor distT="0" distB="0" distL="114300" distR="114300" simplePos="0" relativeHeight="251658256" behindDoc="0" locked="0" layoutInCell="1" allowOverlap="1" wp14:anchorId="1E737D46" wp14:editId="4F99AD50">
                <wp:simplePos x="0" y="0"/>
                <wp:positionH relativeFrom="column">
                  <wp:posOffset>3972560</wp:posOffset>
                </wp:positionH>
                <wp:positionV relativeFrom="paragraph">
                  <wp:posOffset>1574800</wp:posOffset>
                </wp:positionV>
                <wp:extent cx="1536700" cy="144000"/>
                <wp:effectExtent l="0" t="0" r="6350" b="8890"/>
                <wp:wrapNone/>
                <wp:docPr id="2117657457" name="Text Box 2"/>
                <wp:cNvGraphicFramePr/>
                <a:graphic xmlns:a="http://schemas.openxmlformats.org/drawingml/2006/main">
                  <a:graphicData uri="http://schemas.microsoft.com/office/word/2010/wordprocessingShape">
                    <wps:wsp>
                      <wps:cNvSpPr txBox="1"/>
                      <wps:spPr>
                        <a:xfrm>
                          <a:off x="0" y="0"/>
                          <a:ext cx="1536700" cy="144000"/>
                        </a:xfrm>
                        <a:prstGeom prst="rect">
                          <a:avLst/>
                        </a:prstGeom>
                        <a:solidFill>
                          <a:schemeClr val="bg1"/>
                        </a:solidFill>
                        <a:ln w="6350">
                          <a:noFill/>
                        </a:ln>
                      </wps:spPr>
                      <wps:txbx>
                        <w:txbxContent>
                          <w:p w14:paraId="29B91985" w14:textId="77777777" w:rsidR="00B06983" w:rsidRPr="009B6177" w:rsidRDefault="00B06983" w:rsidP="00262896">
                            <w:pPr>
                              <w:jc w:val="center"/>
                              <w:rPr>
                                <w:rFonts w:asciiTheme="majorHAnsi" w:hAnsiTheme="majorHAnsi" w:cstheme="majorHAnsi"/>
                                <w:sz w:val="16"/>
                                <w:szCs w:val="16"/>
                                <w:lang w:val="lv-LV"/>
                              </w:rPr>
                            </w:pPr>
                            <w:r w:rsidRPr="003A4D84">
                              <w:rPr>
                                <w:rFonts w:asciiTheme="majorHAnsi" w:hAnsiTheme="majorHAnsi" w:cstheme="majorHAnsi"/>
                                <w:sz w:val="16"/>
                                <w:szCs w:val="16"/>
                                <w:lang w:val="lv-LV"/>
                              </w:rPr>
                              <w:t>Papīrs un papīra produkti</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737D46" id="_x0000_s1104" type="#_x0000_t202" style="position:absolute;margin-left:312.8pt;margin-top:124pt;width:121pt;height:11.35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I7sRAIAAHwEAAAOAAAAZHJzL2Uyb0RvYy54bWysVE1v2zAMvQ/YfxB0X+yk+SiMOEWWIsOA&#10;oC2QDD0rspwYkEWNUmJnv36UHKdbt9Owi0yJ5CP5SHr+0NaanRW6CkzOh4OUM2UkFJU55Pzbbv3p&#10;njPnhSmEBqNyflGOPyw+fpg3NlMjOIIuFDICMS5rbM6P3tssSZw8qlq4AVhlSFkC1sLTFQ9JgaIh&#10;9FonozSdJg1gYRGkco5eHzslX0T8slTSP5elU57pnFNuPp4Yz304k8VcZAcU9ljJaxriH7KoRWUo&#10;6A3qUXjBTlj9AVVXEsFB6QcS6gTKspIq1kDVDNN31WyPwqpYC5Hj7I0m9/9g5dP5BVlV5Hw0HM6m&#10;k9l4MuPMiJp6tVOtZ5+hZaNAU2NdRtZbS/a+pWdqd//u6DFU35ZYhy/VxUhPhF9uJAcwGZwmd9NZ&#10;SipJuuF4nJJM8Mmbt0XnvyioWRByjtTEyK04b5zvTHuTEMyBrop1pXW8hMFRK43sLKjl+0PMkcB/&#10;s9KGNTmf3k3SCGwguHfI2lAuodaupiD5dt9GimY3IvZQXIgHhG6gnJXripLdCOdfBNIEUX20Ff6Z&#10;jlIDBYOrxNkR8Mff3oM9NZa0nDU0kTl3308CFWf6q6GWh/HtBeyFfS+YU70CqnhI+2ZlFMkBve7F&#10;EqF+pWVZhiikEkZSrJxLj/1l5bvNoHWTarmMZjSmVviN2VoZwAPHgfxd+yrQXjvkqbdP0E+ryN41&#10;qrMNngaWJw9lFbsYqO14vDJOIx7n4LqOYYd+vUert5/G4icAAAD//wMAUEsDBBQABgAIAAAAIQB3&#10;n2A73AAAAAsBAAAPAAAAZHJzL2Rvd25yZXYueG1sTI/PToQwEMbvJr5DMybe3CK6wCJlsxpNvLL6&#10;AIXOAkqnSLuAb+940uN888v3p9ivdhAzTr53pOB2E4FAapzpqVXw/vZyk4HwQZPRgyNU8I0e9uXl&#10;RaFz4xaqcD6GVrAJ+Vwr6EIYcyl906HVfuNGJP6d3GR14HNqpZn0wuZ2kHEUJdLqnjih0yM+ddh8&#10;Hs9WwYxVV20/Hp938SIPtX4l+krulLq+Wg8PIAKu4Q+G3/pcHUruVLszGS8GBUm8TRhVEN9nPIqJ&#10;LElZqVlJoxRkWcj/G8ofAAAA//8DAFBLAQItABQABgAIAAAAIQC2gziS/gAAAOEBAAATAAAAAAAA&#10;AAAAAAAAAAAAAABbQ29udGVudF9UeXBlc10ueG1sUEsBAi0AFAAGAAgAAAAhADj9If/WAAAAlAEA&#10;AAsAAAAAAAAAAAAAAAAALwEAAF9yZWxzLy5yZWxzUEsBAi0AFAAGAAgAAAAhAOKkjuxEAgAAfAQA&#10;AA4AAAAAAAAAAAAAAAAALgIAAGRycy9lMm9Eb2MueG1sUEsBAi0AFAAGAAgAAAAhAHefYDvcAAAA&#10;CwEAAA8AAAAAAAAAAAAAAAAAngQAAGRycy9kb3ducmV2LnhtbFBLBQYAAAAABAAEAPMAAACnBQAA&#10;AAA=&#10;" fillcolor="white [3212]" stroked="f" strokeweight=".5pt">
                <v:textbox inset="0,0,0,0">
                  <w:txbxContent>
                    <w:p w14:paraId="29B91985" w14:textId="77777777" w:rsidR="00B06983" w:rsidRPr="009B6177" w:rsidRDefault="00B06983" w:rsidP="00262896">
                      <w:pPr>
                        <w:jc w:val="center"/>
                        <w:rPr>
                          <w:rFonts w:asciiTheme="majorHAnsi" w:hAnsiTheme="majorHAnsi" w:cstheme="majorHAnsi"/>
                          <w:sz w:val="16"/>
                          <w:szCs w:val="16"/>
                          <w:lang w:val="lv-LV"/>
                        </w:rPr>
                      </w:pPr>
                      <w:r w:rsidRPr="003A4D84">
                        <w:rPr>
                          <w:rFonts w:asciiTheme="majorHAnsi" w:hAnsiTheme="majorHAnsi" w:cstheme="majorHAnsi"/>
                          <w:sz w:val="16"/>
                          <w:szCs w:val="16"/>
                          <w:lang w:val="lv-LV"/>
                        </w:rPr>
                        <w:t>Papīrs un papīra produkti</w:t>
                      </w:r>
                    </w:p>
                  </w:txbxContent>
                </v:textbox>
              </v:shape>
            </w:pict>
          </mc:Fallback>
        </mc:AlternateContent>
      </w:r>
      <w:r>
        <w:rPr>
          <w:noProof/>
          <w14:ligatures w14:val="standardContextual"/>
        </w:rPr>
        <mc:AlternateContent>
          <mc:Choice Requires="wps">
            <w:drawing>
              <wp:anchor distT="0" distB="0" distL="114300" distR="114300" simplePos="0" relativeHeight="251658255" behindDoc="0" locked="0" layoutInCell="1" allowOverlap="1" wp14:anchorId="559AA975" wp14:editId="2963CDB7">
                <wp:simplePos x="0" y="0"/>
                <wp:positionH relativeFrom="column">
                  <wp:posOffset>4747260</wp:posOffset>
                </wp:positionH>
                <wp:positionV relativeFrom="paragraph">
                  <wp:posOffset>1193800</wp:posOffset>
                </wp:positionV>
                <wp:extent cx="1536700" cy="144000"/>
                <wp:effectExtent l="0" t="0" r="6350" b="8890"/>
                <wp:wrapNone/>
                <wp:docPr id="1827083117" name="Text Box 2"/>
                <wp:cNvGraphicFramePr/>
                <a:graphic xmlns:a="http://schemas.openxmlformats.org/drawingml/2006/main">
                  <a:graphicData uri="http://schemas.microsoft.com/office/word/2010/wordprocessingShape">
                    <wps:wsp>
                      <wps:cNvSpPr txBox="1"/>
                      <wps:spPr>
                        <a:xfrm>
                          <a:off x="0" y="0"/>
                          <a:ext cx="1536700" cy="144000"/>
                        </a:xfrm>
                        <a:prstGeom prst="rect">
                          <a:avLst/>
                        </a:prstGeom>
                        <a:solidFill>
                          <a:schemeClr val="bg1"/>
                        </a:solidFill>
                        <a:ln w="6350">
                          <a:noFill/>
                        </a:ln>
                      </wps:spPr>
                      <wps:txbx>
                        <w:txbxContent>
                          <w:p w14:paraId="3D14C807" w14:textId="77777777" w:rsidR="00B06983" w:rsidRPr="009B6177" w:rsidRDefault="00B06983" w:rsidP="00262896">
                            <w:pPr>
                              <w:rPr>
                                <w:rFonts w:asciiTheme="majorHAnsi" w:hAnsiTheme="majorHAnsi" w:cstheme="majorHAnsi"/>
                                <w:sz w:val="16"/>
                                <w:szCs w:val="16"/>
                                <w:lang w:val="lv-LV"/>
                              </w:rPr>
                            </w:pPr>
                            <w:r w:rsidRPr="003A4D84">
                              <w:rPr>
                                <w:rFonts w:asciiTheme="majorHAnsi" w:hAnsiTheme="majorHAnsi" w:cstheme="majorHAnsi"/>
                                <w:sz w:val="16"/>
                                <w:szCs w:val="16"/>
                                <w:lang w:val="lv-LV"/>
                              </w:rPr>
                              <w:t>Citi nemetāliskie minerālie produkti</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9AA975" id="_x0000_s1105" type="#_x0000_t202" style="position:absolute;margin-left:373.8pt;margin-top:94pt;width:121pt;height:11.35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xK4QwIAAHwEAAAOAAAAZHJzL2Uyb0RvYy54bWysVFGP2jAMfp+0/xDlfbTAHaCKcmKcmCah&#10;u5NguueQplApjTMn0LJfPyel3Hbb07SX1Intz/Znu/OHttbsrNBVYHI+HKScKSOhqMwh5992608z&#10;zpwXphAajMr5RTn+sPj4Yd7YTI3gCLpQyAjEuKyxOT96b7MkcfKoauEGYJUhZQlYC09XPCQFiobQ&#10;a52M0nSSNICFRZDKOXp97JR8EfHLUkn/XJZOeaZzTrn5eGI89+FMFnORHVDYYyWvaYh/yKIWlaGg&#10;N6hH4QU7YfUHVF1JBAelH0ioEyjLSqpYA1UzTN9Vsz0Kq2ItRI6zN5rc/4OVT+cXZFVBvZuNpuls&#10;PBxOOTOipl7tVOvZZ2jZKNDUWJeR9daSvW/pmVz6d0ePofq2xDp8qS5GeiL8ciM5gMngdD+eTFNS&#10;SdIN7+5Skgk+efO26PwXBTULQs6Rmhi5FeeN851pbxKCOdBVsa60jpcwOGqlkZ0FtXx/iDkS+G9W&#10;2rAm55PxfRqBDQT3DlkbyiXU2tUUJN/u20jRdNwXvIfiQjwgdAPlrFxXlOxGOP8ikCaI6qOt8M90&#10;lBooGFwlzo6AP/72HuypsaTlrKGJzLn7fhKoONNfDbU8jG8vYC/se8Gc6hVQxUPaNyujSA7odS+W&#10;CPUrLcsyRCGVMJJi5Vx67C8r320GrZtUy2U0ozG1wm/M1soAHjgO5O/aV4H22iFPvX2CflpF9q5R&#10;nW3wNLA8eSir2MVAbcfjlXEa8TgH13UMO/TrPVq9/TQWPwEAAP//AwBQSwMEFAAGAAgAAAAhAJ2v&#10;D0/dAAAACwEAAA8AAABkcnMvZG93bnJldi54bWxMj81OhEAQhO8mvsOkTby5w6Lytwyb1WjildUH&#10;GKAFVqYHmVnAt7c9rceu+lJdle9XM4gZJ9dbUrDdBCCQatv01Cr4eH+9S0A4r6nRgyVU8IMO9sX1&#10;Va6zxi5U4nz0reAQcplW0Hk/ZlK6ukOj3caOSOx92sloz+fUymbSC4ebQYZBEEmje+IPnR7xucP6&#10;63g2CmYsu/Lx9PSShos8VPqN6Du6V+r2Zj3sQHhc/QWGv/pcHQruVNkzNU4MCuKHOGKUjSThUUyk&#10;ScpKpSDcBjHIIpf/NxS/AAAA//8DAFBLAQItABQABgAIAAAAIQC2gziS/gAAAOEBAAATAAAAAAAA&#10;AAAAAAAAAAAAAABbQ29udGVudF9UeXBlc10ueG1sUEsBAi0AFAAGAAgAAAAhADj9If/WAAAAlAEA&#10;AAsAAAAAAAAAAAAAAAAALwEAAF9yZWxzLy5yZWxzUEsBAi0AFAAGAAgAAAAhAC7jErhDAgAAfAQA&#10;AA4AAAAAAAAAAAAAAAAALgIAAGRycy9lMm9Eb2MueG1sUEsBAi0AFAAGAAgAAAAhAJ2vD0/dAAAA&#10;CwEAAA8AAAAAAAAAAAAAAAAAnQQAAGRycy9kb3ducmV2LnhtbFBLBQYAAAAABAAEAPMAAACnBQAA&#10;AAA=&#10;" fillcolor="white [3212]" stroked="f" strokeweight=".5pt">
                <v:textbox inset="0,0,0,0">
                  <w:txbxContent>
                    <w:p w14:paraId="3D14C807" w14:textId="77777777" w:rsidR="00B06983" w:rsidRPr="009B6177" w:rsidRDefault="00B06983" w:rsidP="00262896">
                      <w:pPr>
                        <w:rPr>
                          <w:rFonts w:asciiTheme="majorHAnsi" w:hAnsiTheme="majorHAnsi" w:cstheme="majorHAnsi"/>
                          <w:sz w:val="16"/>
                          <w:szCs w:val="16"/>
                          <w:lang w:val="lv-LV"/>
                        </w:rPr>
                      </w:pPr>
                      <w:r w:rsidRPr="003A4D84">
                        <w:rPr>
                          <w:rFonts w:asciiTheme="majorHAnsi" w:hAnsiTheme="majorHAnsi" w:cstheme="majorHAnsi"/>
                          <w:sz w:val="16"/>
                          <w:szCs w:val="16"/>
                          <w:lang w:val="lv-LV"/>
                        </w:rPr>
                        <w:t>Citi nemetāliskie minerālie produkti</w:t>
                      </w:r>
                    </w:p>
                  </w:txbxContent>
                </v:textbox>
              </v:shape>
            </w:pict>
          </mc:Fallback>
        </mc:AlternateContent>
      </w:r>
      <w:r>
        <w:rPr>
          <w:noProof/>
          <w14:ligatures w14:val="standardContextual"/>
        </w:rPr>
        <mc:AlternateContent>
          <mc:Choice Requires="wps">
            <w:drawing>
              <wp:anchor distT="0" distB="0" distL="114300" distR="114300" simplePos="0" relativeHeight="251658254" behindDoc="0" locked="0" layoutInCell="1" allowOverlap="1" wp14:anchorId="74D7A1A5" wp14:editId="0F6131AD">
                <wp:simplePos x="0" y="0"/>
                <wp:positionH relativeFrom="column">
                  <wp:posOffset>2137410</wp:posOffset>
                </wp:positionH>
                <wp:positionV relativeFrom="paragraph">
                  <wp:posOffset>1604010</wp:posOffset>
                </wp:positionV>
                <wp:extent cx="1803400" cy="144000"/>
                <wp:effectExtent l="0" t="0" r="6350" b="8890"/>
                <wp:wrapNone/>
                <wp:docPr id="1373465714" name="Text Box 2"/>
                <wp:cNvGraphicFramePr/>
                <a:graphic xmlns:a="http://schemas.openxmlformats.org/drawingml/2006/main">
                  <a:graphicData uri="http://schemas.microsoft.com/office/word/2010/wordprocessingShape">
                    <wps:wsp>
                      <wps:cNvSpPr txBox="1"/>
                      <wps:spPr>
                        <a:xfrm>
                          <a:off x="0" y="0"/>
                          <a:ext cx="1803400" cy="144000"/>
                        </a:xfrm>
                        <a:prstGeom prst="rect">
                          <a:avLst/>
                        </a:prstGeom>
                        <a:solidFill>
                          <a:schemeClr val="bg1"/>
                        </a:solidFill>
                        <a:ln w="6350">
                          <a:noFill/>
                        </a:ln>
                      </wps:spPr>
                      <wps:txbx>
                        <w:txbxContent>
                          <w:p w14:paraId="614A7DAC" w14:textId="77777777" w:rsidR="00B06983" w:rsidRPr="009B6177" w:rsidRDefault="00B06983" w:rsidP="00262896">
                            <w:pPr>
                              <w:rPr>
                                <w:rFonts w:asciiTheme="majorHAnsi" w:hAnsiTheme="majorHAnsi" w:cstheme="majorHAnsi"/>
                                <w:sz w:val="16"/>
                                <w:szCs w:val="16"/>
                                <w:lang w:val="lv-LV"/>
                              </w:rPr>
                            </w:pPr>
                            <w:r w:rsidRPr="003A4D84">
                              <w:rPr>
                                <w:rFonts w:asciiTheme="majorHAnsi" w:hAnsiTheme="majorHAnsi" w:cstheme="majorHAnsi"/>
                                <w:sz w:val="16"/>
                                <w:szCs w:val="16"/>
                                <w:lang w:val="lv-LV"/>
                              </w:rPr>
                              <w:t>Gumija un plastmasas produkti</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D7A1A5" id="_x0000_s1106" type="#_x0000_t202" style="position:absolute;margin-left:168.3pt;margin-top:126.3pt;width:142pt;height:11.3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GHFQgIAAHwEAAAOAAAAZHJzL2Uyb0RvYy54bWysVEuP2jAQvlfqf7B8LwmPhVVEWFFWVJXQ&#10;7kpQ7dk4DkRyPO7YkNBf37FD2HbbU9WLM/a8v28m84e21uys0FVgcj4cpJwpI6GozCHn33brT/ec&#10;OS9MITQYlfOLcvxh8fHDvLGZGsERdKGQURDjssbm/Oi9zZLEyaOqhRuAVYaUJWAtPF3xkBQoGope&#10;62SUptOkASwsglTO0etjp+SLGL8slfTPZemUZzrnVJuPJ8ZzH85kMRfZAYU9VvJahviHKmpRGUp6&#10;C/UovGAnrP4IVVcSwUHpBxLqBMqykir2QN0M03fdbI/CqtgLgePsDSb3/8LKp/MLsqog7saz8WR6&#10;NxtOODOiJq52qvXsM7RsFGBqrMvIemvJ3rf0TC79u6PH0H1bYh2+1BcjPQF+uYEcgsngdJ+OJymp&#10;JOmGExIjC8mbt0XnvyioWRByjkRixFacN85TJWTam4RkDnRVrCut4yUMjlppZGdBlO8PsUby+M1K&#10;G9bkfDq+S2NgA8G9i6wNJQi9dj0Fybf7NkI0m/QN76G4EA4I3UA5K9cVFbsRzr8IpAmi/mgr/DMd&#10;pQZKBleJsyPgj7+9B3silrScNTSROXffTwIVZ/qrIcrD+PYC9sK+F8ypXgF1PKR9szKK5IBe92KJ&#10;UL/SsixDFlIJIylXzqXH/rLy3WbQukm1XEYzGlMr/MZsrQzBA8YB/F37KtBeGfLE7RP00yqyd0R1&#10;tsHTwPLkoawiiwHaDscr4jTikdzrOoYd+vUerd5+GoufAAAA//8DAFBLAwQUAAYACAAAACEA7OnT&#10;f9sAAAALAQAADwAAAGRycy9kb3ducmV2LnhtbEyPQU+EMBCF7yb+h2ZMvLnFElCRslmNJl5Z/QEF&#10;RorSKdIu4L93POntzbyXN9+U+82NYsE5DJ40XO8SEEit7wbqNby9Pl/dggjRUGdGT6jhGwPsq/Oz&#10;0hSdX6nG5Rh7wSUUCqPBxjgVUobWojNh5yck9t797Ezkce5lN5uVy90oVZLk0pmB+II1Ez5abD+P&#10;J6dhwdrW2cfD051a5aExL0Rfear15cV2uAcRcYt/YfjFZ3SomKnxJ+qCGDWkaZ5zVIPKFAtO5Cph&#10;0fDmJktBVqX8/0P1AwAA//8DAFBLAQItABQABgAIAAAAIQC2gziS/gAAAOEBAAATAAAAAAAAAAAA&#10;AAAAAAAAAABbQ29udGVudF9UeXBlc10ueG1sUEsBAi0AFAAGAAgAAAAhADj9If/WAAAAlAEAAAsA&#10;AAAAAAAAAAAAAAAALwEAAF9yZWxzLy5yZWxzUEsBAi0AFAAGAAgAAAAhAFKMYcVCAgAAfAQAAA4A&#10;AAAAAAAAAAAAAAAALgIAAGRycy9lMm9Eb2MueG1sUEsBAi0AFAAGAAgAAAAhAOzp03/bAAAACwEA&#10;AA8AAAAAAAAAAAAAAAAAnAQAAGRycy9kb3ducmV2LnhtbFBLBQYAAAAABAAEAPMAAACkBQAAAAA=&#10;" fillcolor="white [3212]" stroked="f" strokeweight=".5pt">
                <v:textbox inset="0,0,0,0">
                  <w:txbxContent>
                    <w:p w14:paraId="614A7DAC" w14:textId="77777777" w:rsidR="00B06983" w:rsidRPr="009B6177" w:rsidRDefault="00B06983" w:rsidP="00262896">
                      <w:pPr>
                        <w:rPr>
                          <w:rFonts w:asciiTheme="majorHAnsi" w:hAnsiTheme="majorHAnsi" w:cstheme="majorHAnsi"/>
                          <w:sz w:val="16"/>
                          <w:szCs w:val="16"/>
                          <w:lang w:val="lv-LV"/>
                        </w:rPr>
                      </w:pPr>
                      <w:r w:rsidRPr="003A4D84">
                        <w:rPr>
                          <w:rFonts w:asciiTheme="majorHAnsi" w:hAnsiTheme="majorHAnsi" w:cstheme="majorHAnsi"/>
                          <w:sz w:val="16"/>
                          <w:szCs w:val="16"/>
                          <w:lang w:val="lv-LV"/>
                        </w:rPr>
                        <w:t>Gumija un plastmasas produkti</w:t>
                      </w:r>
                    </w:p>
                  </w:txbxContent>
                </v:textbox>
              </v:shape>
            </w:pict>
          </mc:Fallback>
        </mc:AlternateContent>
      </w:r>
      <w:r>
        <w:rPr>
          <w:noProof/>
          <w14:ligatures w14:val="standardContextual"/>
        </w:rPr>
        <mc:AlternateContent>
          <mc:Choice Requires="wps">
            <w:drawing>
              <wp:anchor distT="0" distB="0" distL="114300" distR="114300" simplePos="0" relativeHeight="251658253" behindDoc="0" locked="0" layoutInCell="1" allowOverlap="1" wp14:anchorId="1EBB81B5" wp14:editId="1A6BB7A6">
                <wp:simplePos x="0" y="0"/>
                <wp:positionH relativeFrom="column">
                  <wp:posOffset>3242310</wp:posOffset>
                </wp:positionH>
                <wp:positionV relativeFrom="paragraph">
                  <wp:posOffset>1121410</wp:posOffset>
                </wp:positionV>
                <wp:extent cx="1803400" cy="203200"/>
                <wp:effectExtent l="0" t="0" r="6350" b="6350"/>
                <wp:wrapNone/>
                <wp:docPr id="984273525" name="Text Box 2"/>
                <wp:cNvGraphicFramePr/>
                <a:graphic xmlns:a="http://schemas.openxmlformats.org/drawingml/2006/main">
                  <a:graphicData uri="http://schemas.microsoft.com/office/word/2010/wordprocessingShape">
                    <wps:wsp>
                      <wps:cNvSpPr txBox="1"/>
                      <wps:spPr>
                        <a:xfrm>
                          <a:off x="0" y="0"/>
                          <a:ext cx="1803400" cy="203200"/>
                        </a:xfrm>
                        <a:prstGeom prst="rect">
                          <a:avLst/>
                        </a:prstGeom>
                        <a:solidFill>
                          <a:schemeClr val="bg1"/>
                        </a:solidFill>
                        <a:ln w="6350">
                          <a:noFill/>
                        </a:ln>
                      </wps:spPr>
                      <wps:txbx>
                        <w:txbxContent>
                          <w:p w14:paraId="01C4141E" w14:textId="77777777" w:rsidR="00B06983" w:rsidRPr="009B6177" w:rsidRDefault="00B06983" w:rsidP="00262896">
                            <w:pPr>
                              <w:rPr>
                                <w:rFonts w:asciiTheme="majorHAnsi" w:hAnsiTheme="majorHAnsi" w:cstheme="majorHAnsi"/>
                                <w:sz w:val="16"/>
                                <w:szCs w:val="16"/>
                                <w:lang w:val="lv-LV"/>
                              </w:rPr>
                            </w:pPr>
                            <w:r w:rsidRPr="003A4D84">
                              <w:rPr>
                                <w:rFonts w:asciiTheme="majorHAnsi" w:hAnsiTheme="majorHAnsi" w:cstheme="majorHAnsi"/>
                                <w:sz w:val="16"/>
                                <w:szCs w:val="16"/>
                                <w:lang w:val="lv-LV"/>
                              </w:rPr>
                              <w:t>Kokss un rafinētie naftas produkti</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BB81B5" id="_x0000_s1107" type="#_x0000_t202" style="position:absolute;margin-left:255.3pt;margin-top:88.3pt;width:142pt;height:16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VdzQwIAAHsEAAAOAAAAZHJzL2Uyb0RvYy54bWysVFFv2jAQfp+0/2D5fSSE0jJEqBgV0yTU&#10;VoKpz8ZxIJLj886GhP36nR1Cu25P016cs+/8+e777jK7b2vNTgpdBSbnw0HKmTISisrsc/59u/o0&#10;4cx5YQqhwaicn5Xj9/OPH2aNnaoMDqALhYxAjJs2NucH7+00SZw8qFq4AVhlyFkC1sLTFvdJgaIh&#10;9FonWZreJg1gYRGkco5OHzonn0f8slTSP5WlU57pnFNuPq4Y111Yk/lMTPco7KGSlzTEP2RRi8rQ&#10;o1eoB+EFO2L1B1RdSQQHpR9IqBMoy0qqWANVM0zfVbM5CKtiLUSOs1ea3P+DlY+nZ2RVkfPPk5vs&#10;bjTOxpwZUZNUW9V69gValgWWGuumFLyxFO5bOia1+3NHh6H4tsQ6fKksRn7i+3zlOIDJcGmSjm5S&#10;cknyZemIRAwwyetti85/VVCzYOQcScNIrTitne9C+5DwmANdFatK67gJfaOWGtlJkOK7fcyRwH+L&#10;0oY1Ob8djdMIbCBc75C1oVxCrV1NwfLtro0M3Y37gndQnIkHhK6fnJWripJdC+efBVIDUX00FP6J&#10;llIDPQYXi7MD4M+/nYd40pW8nDXUkDl3P44CFWf6myHFQ/f2BvbGrjfMsV4CVTykcbMymnQBve7N&#10;EqF+oVlZhFfIJYykt3IuPfabpe8Gg6ZNqsUihlGXWuHXZmNlAA8cB/K37YtAe1HIk7aP0DermL4T&#10;qosNNw0sjh7KKqoYqO14vDBOHR774DKNYYTe7mPU6z9j/gsAAP//AwBQSwMEFAAGAAgAAAAhAGQF&#10;mRXdAAAACwEAAA8AAABkcnMvZG93bnJldi54bWxMj8FOwzAQRO9I/IO1SNyo00DTNsSpCgKJawof&#10;4MRLHIjXIXaT8PcsJ7jNap5mZ4rD4nox4Rg6TwrWqwQEUuNNR62Ct9fnmx2IEDUZ3XtCBd8Y4FBe&#10;XhQ6N36mCqdTbAWHUMi1AhvjkEsZGotOh5UfkNh796PTkc+xlWbUM4e7XqZJkkmnO+IPVg/4aLH5&#10;PJ2dggkrW20+Hp726SyPtX4h+spulbq+Wo73ICIu8Q+G3/pcHUruVPszmSB6BZt1kjHKxjZjwcR2&#10;f8eiVpAmuwxkWcj/G8ofAAAA//8DAFBLAQItABQABgAIAAAAIQC2gziS/gAAAOEBAAATAAAAAAAA&#10;AAAAAAAAAAAAAABbQ29udGVudF9UeXBlc10ueG1sUEsBAi0AFAAGAAgAAAAhADj9If/WAAAAlAEA&#10;AAsAAAAAAAAAAAAAAAAALwEAAF9yZWxzLy5yZWxzUEsBAi0AFAAGAAgAAAAhADAZV3NDAgAAewQA&#10;AA4AAAAAAAAAAAAAAAAALgIAAGRycy9lMm9Eb2MueG1sUEsBAi0AFAAGAAgAAAAhAGQFmRXdAAAA&#10;CwEAAA8AAAAAAAAAAAAAAAAAnQQAAGRycy9kb3ducmV2LnhtbFBLBQYAAAAABAAEAPMAAACnBQAA&#10;AAA=&#10;" fillcolor="white [3212]" stroked="f" strokeweight=".5pt">
                <v:textbox inset="0,0,0,0">
                  <w:txbxContent>
                    <w:p w14:paraId="01C4141E" w14:textId="77777777" w:rsidR="00B06983" w:rsidRPr="009B6177" w:rsidRDefault="00B06983" w:rsidP="00262896">
                      <w:pPr>
                        <w:rPr>
                          <w:rFonts w:asciiTheme="majorHAnsi" w:hAnsiTheme="majorHAnsi" w:cstheme="majorHAnsi"/>
                          <w:sz w:val="16"/>
                          <w:szCs w:val="16"/>
                          <w:lang w:val="lv-LV"/>
                        </w:rPr>
                      </w:pPr>
                      <w:r w:rsidRPr="003A4D84">
                        <w:rPr>
                          <w:rFonts w:asciiTheme="majorHAnsi" w:hAnsiTheme="majorHAnsi" w:cstheme="majorHAnsi"/>
                          <w:sz w:val="16"/>
                          <w:szCs w:val="16"/>
                          <w:lang w:val="lv-LV"/>
                        </w:rPr>
                        <w:t>Kokss un rafinētie naftas produkti</w:t>
                      </w:r>
                    </w:p>
                  </w:txbxContent>
                </v:textbox>
              </v:shape>
            </w:pict>
          </mc:Fallback>
        </mc:AlternateContent>
      </w:r>
      <w:r>
        <w:rPr>
          <w:noProof/>
          <w14:ligatures w14:val="standardContextual"/>
        </w:rPr>
        <mc:AlternateContent>
          <mc:Choice Requires="wps">
            <w:drawing>
              <wp:anchor distT="0" distB="0" distL="114300" distR="114300" simplePos="0" relativeHeight="251658252" behindDoc="0" locked="0" layoutInCell="1" allowOverlap="1" wp14:anchorId="31712C4E" wp14:editId="5DBD6D5F">
                <wp:simplePos x="0" y="0"/>
                <wp:positionH relativeFrom="column">
                  <wp:posOffset>4207510</wp:posOffset>
                </wp:positionH>
                <wp:positionV relativeFrom="paragraph">
                  <wp:posOffset>321310</wp:posOffset>
                </wp:positionV>
                <wp:extent cx="1803400" cy="203200"/>
                <wp:effectExtent l="0" t="0" r="6350" b="6350"/>
                <wp:wrapNone/>
                <wp:docPr id="1296138249" name="Text Box 2"/>
                <wp:cNvGraphicFramePr/>
                <a:graphic xmlns:a="http://schemas.openxmlformats.org/drawingml/2006/main">
                  <a:graphicData uri="http://schemas.microsoft.com/office/word/2010/wordprocessingShape">
                    <wps:wsp>
                      <wps:cNvSpPr txBox="1"/>
                      <wps:spPr>
                        <a:xfrm>
                          <a:off x="0" y="0"/>
                          <a:ext cx="1803400" cy="203200"/>
                        </a:xfrm>
                        <a:prstGeom prst="rect">
                          <a:avLst/>
                        </a:prstGeom>
                        <a:solidFill>
                          <a:schemeClr val="bg1"/>
                        </a:solidFill>
                        <a:ln w="6350">
                          <a:noFill/>
                        </a:ln>
                      </wps:spPr>
                      <wps:txbx>
                        <w:txbxContent>
                          <w:p w14:paraId="5A447433" w14:textId="77777777" w:rsidR="00B06983" w:rsidRPr="009B6177" w:rsidRDefault="00B06983" w:rsidP="00262896">
                            <w:pPr>
                              <w:rPr>
                                <w:rFonts w:asciiTheme="majorHAnsi" w:hAnsiTheme="majorHAnsi" w:cstheme="majorHAnsi"/>
                                <w:sz w:val="16"/>
                                <w:szCs w:val="16"/>
                                <w:lang w:val="lv-LV"/>
                              </w:rPr>
                            </w:pPr>
                            <w:r>
                              <w:rPr>
                                <w:rFonts w:asciiTheme="majorHAnsi" w:hAnsiTheme="majorHAnsi" w:cstheme="majorHAnsi"/>
                                <w:sz w:val="16"/>
                                <w:szCs w:val="16"/>
                                <w:lang w:val="lv-LV"/>
                              </w:rPr>
                              <w:t>Apļa izmērs = 2019. gada apgrozījums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712C4E" id="_x0000_s1108" type="#_x0000_t202" style="position:absolute;margin-left:331.3pt;margin-top:25.3pt;width:142pt;height:16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tYWQwIAAHwEAAAOAAAAZHJzL2Uyb0RvYy54bWysVMFu2zAMvQ/YPwi6L3acLkuDOEWWIsOA&#10;oi2QDD0rshwbkEWNUmJnXz9KjtOt22nYRaZE8pF8JL246xrNTgpdDSbn41HKmTISitoccv5tt/kw&#10;48x5YQqhwaicn5Xjd8v37xatnasMKtCFQkYgxs1bm/PKeztPEicr1Qg3AqsMKUvARni64iEpULSE&#10;3ugkS9Np0gIWFkEq5+j1vlfyZcQvSyX9U1k65ZnOOeXm44nx3IczWS7E/IDCVrW8pCH+IYtG1IaC&#10;XqHuhRfsiPUfUE0tERyUfiShSaAsa6liDVTNOH1TzbYSVsVaiBxnrzS5/wcrH0/PyOqCepfdTseT&#10;WXZzy5kRDfVqpzrPPkPHskBTa92crLeW7H1Hz+QyvDt6DNV3JTbhS3Ux0hPh5yvJAUwGp1k6uUlJ&#10;JUmXpRPqYoBJXr0tOv9FQcOCkHOkJkZuxenB+d50MAnBHOi62NRax0sYHLXWyE6CWr4/xBwJ/Dcr&#10;bVib8+nkYxqBDQT3HlkbyiXU2tcUJN/tu0jRp+lQ8B6KM/GA0A+Us3JTU7IPwvlngTRBVB9thX+i&#10;o9RAweAicVYB/vjbe7CnxpKWs5YmMufu+1Gg4kx/NdTyML6DgIOwHwRzbNZAFY9p36yMIjmg14NY&#10;IjQvtCyrEIVUwkiKlXPpcbisfb8ZtG5SrVbRjMbUCv9gtlYG8MBxIH/XvQi0lw556u0jDNMq5m8a&#10;1dsGTwOro4eyjl0M1PY8XhinEY9zcFnHsEO/3qPV609j+RMAAP//AwBQSwMEFAAGAAgAAAAhAPnm&#10;6w7bAAAACQEAAA8AAABkcnMvZG93bnJldi54bWxMj8FOwzAQRO9I/IO1SNyoQ6BWm8apCgKJawof&#10;4MTbJBCvQ+wm4e9ZTvS0u5rR7Jt8v7heTDiGzpOG+1UCAqn2tqNGw8f7690GRIiGrOk9oYYfDLAv&#10;rq9yk1k/U4nTMTaCQyhkRkMb45BJGeoWnQkrPyCxdvKjM5HPsZF2NDOHu16mSaKkMx3xh9YM+Nxi&#10;/XU8Ow0Tlm25/nx62aazPFTmjehbPWh9e7McdiAiLvHfDH/4jA4FM1X+TDaIXoNSqWKrhnXCkw3b&#10;R8VLpWHDgixyedmg+AUAAP//AwBQSwECLQAUAAYACAAAACEAtoM4kv4AAADhAQAAEwAAAAAAAAAA&#10;AAAAAAAAAAAAW0NvbnRlbnRfVHlwZXNdLnhtbFBLAQItABQABgAIAAAAIQA4/SH/1gAAAJQBAAAL&#10;AAAAAAAAAAAAAAAAAC8BAABfcmVscy8ucmVsc1BLAQItABQABgAIAAAAIQD8CtYWQwIAAHwEAAAO&#10;AAAAAAAAAAAAAAAAAC4CAABkcnMvZTJvRG9jLnhtbFBLAQItABQABgAIAAAAIQD55usO2wAAAAkB&#10;AAAPAAAAAAAAAAAAAAAAAJ0EAABkcnMvZG93bnJldi54bWxQSwUGAAAAAAQABADzAAAApQUAAAAA&#10;" fillcolor="white [3212]" stroked="f" strokeweight=".5pt">
                <v:textbox inset="0,0,0,0">
                  <w:txbxContent>
                    <w:p w14:paraId="5A447433" w14:textId="77777777" w:rsidR="00B06983" w:rsidRPr="009B6177" w:rsidRDefault="00B06983" w:rsidP="00262896">
                      <w:pPr>
                        <w:rPr>
                          <w:rFonts w:asciiTheme="majorHAnsi" w:hAnsiTheme="majorHAnsi" w:cstheme="majorHAnsi"/>
                          <w:sz w:val="16"/>
                          <w:szCs w:val="16"/>
                          <w:lang w:val="lv-LV"/>
                        </w:rPr>
                      </w:pPr>
                      <w:r>
                        <w:rPr>
                          <w:rFonts w:asciiTheme="majorHAnsi" w:hAnsiTheme="majorHAnsi" w:cstheme="majorHAnsi"/>
                          <w:sz w:val="16"/>
                          <w:szCs w:val="16"/>
                          <w:lang w:val="lv-LV"/>
                        </w:rPr>
                        <w:t>Apļa izmērs = 2019. gada apgrozījums</w:t>
                      </w:r>
                    </w:p>
                  </w:txbxContent>
                </v:textbox>
              </v:shape>
            </w:pict>
          </mc:Fallback>
        </mc:AlternateContent>
      </w:r>
      <w:r>
        <w:rPr>
          <w:rFonts w:ascii="Verdana Pro Cond Light" w:hAnsi="Verdana Pro Cond Light"/>
          <w:noProof/>
          <w:sz w:val="18"/>
          <w:szCs w:val="18"/>
        </w:rPr>
        <w:drawing>
          <wp:inline distT="0" distB="0" distL="0" distR="0" wp14:anchorId="4719C8D4" wp14:editId="433A3566">
            <wp:extent cx="6120130" cy="2791460"/>
            <wp:effectExtent l="0" t="0" r="0" b="8890"/>
            <wp:docPr id="73917301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120130" cy="2791460"/>
                    </a:xfrm>
                    <a:prstGeom prst="rect">
                      <a:avLst/>
                    </a:prstGeom>
                    <a:noFill/>
                    <a:ln>
                      <a:noFill/>
                    </a:ln>
                  </pic:spPr>
                </pic:pic>
              </a:graphicData>
            </a:graphic>
          </wp:inline>
        </w:drawing>
      </w:r>
    </w:p>
    <w:p w14:paraId="73490065" w14:textId="77777777" w:rsidR="00262896" w:rsidRPr="007D65E7" w:rsidRDefault="00262896" w:rsidP="00262896">
      <w:pPr>
        <w:widowControl/>
        <w:spacing w:before="240" w:after="120" w:line="240" w:lineRule="auto"/>
        <w:jc w:val="both"/>
        <w:rPr>
          <w:rFonts w:ascii="Arial Nova Cond Light" w:hAnsi="Arial Nova Cond Light"/>
          <w:bCs/>
          <w:iCs/>
          <w:sz w:val="16"/>
          <w:lang w:val="lv-LV"/>
        </w:rPr>
      </w:pPr>
      <w:r w:rsidRPr="007D65E7">
        <w:rPr>
          <w:rFonts w:ascii="Arial Nova Cond Light" w:hAnsi="Arial Nova Cond Light"/>
          <w:bCs/>
          <w:iCs/>
          <w:sz w:val="16"/>
          <w:lang w:val="lv-LV"/>
        </w:rPr>
        <w:t>Avots:</w:t>
      </w:r>
      <w:r w:rsidRPr="00097491">
        <w:rPr>
          <w:rFonts w:ascii="Arial Nova Cond Light" w:hAnsi="Arial Nova Cond Light"/>
          <w:sz w:val="16"/>
          <w:lang w:val="lv-LV"/>
        </w:rPr>
        <w:t xml:space="preserve"> </w:t>
      </w:r>
      <w:r w:rsidRPr="007D65E7">
        <w:rPr>
          <w:rFonts w:ascii="Arial Nova Cond Light" w:hAnsi="Arial Nova Cond Light"/>
          <w:bCs/>
          <w:iCs/>
          <w:sz w:val="16"/>
          <w:lang w:val="lv-LV"/>
        </w:rPr>
        <w:t>Eurostat, OECD tirdzniecības pievienotās vērtības datubāze (TiVA) un ECB aprēķini.</w:t>
      </w:r>
    </w:p>
    <w:p w14:paraId="52A11ABA" w14:textId="77777777" w:rsidR="00262896" w:rsidRPr="007D65E7" w:rsidRDefault="00262896" w:rsidP="00262896">
      <w:pPr>
        <w:widowControl/>
        <w:spacing w:after="120" w:line="240" w:lineRule="auto"/>
        <w:jc w:val="both"/>
        <w:rPr>
          <w:rFonts w:ascii="Verdana Pro Cond Light" w:hAnsi="Verdana Pro Cond Light" w:cs="Arial"/>
          <w:lang w:val="lv-LV"/>
        </w:rPr>
      </w:pPr>
    </w:p>
    <w:p w14:paraId="098B2B1D" w14:textId="77777777" w:rsidR="00262896" w:rsidRPr="007D65E7" w:rsidRDefault="00262896" w:rsidP="00262896">
      <w:pPr>
        <w:widowControl/>
        <w:spacing w:after="120" w:line="240" w:lineRule="auto"/>
        <w:rPr>
          <w:rFonts w:ascii="Verdana Pro Cond Light" w:hAnsi="Verdana Pro Cond Light" w:cs="Arial"/>
          <w:b/>
          <w:bCs/>
          <w:lang w:val="lv-LV"/>
        </w:rPr>
      </w:pPr>
      <w:r w:rsidRPr="007D65E7">
        <w:rPr>
          <w:rFonts w:ascii="Verdana Pro Cond Light" w:hAnsi="Verdana Pro Cond Light" w:cs="Arial"/>
          <w:lang w:val="lv-LV"/>
        </w:rPr>
        <w:t xml:space="preserve">Ziņojumā ir atzīts, ka </w:t>
      </w:r>
      <w:r w:rsidRPr="007D65E7">
        <w:rPr>
          <w:rFonts w:ascii="Verdana Pro Cond Light" w:hAnsi="Verdana Pro Cond Light" w:cs="Arial"/>
          <w:b/>
          <w:bCs/>
          <w:lang w:val="lv-LV"/>
        </w:rPr>
        <w:t>augstās enerģijas izmaksas Eiropā ir šķērslis izaugsmei, savukārt ražošanas un tīkla jaudas trūkums varētu kavēt digitālo tehnoloģiju izplatību un transporta elektrifikāciju.</w:t>
      </w:r>
    </w:p>
    <w:p w14:paraId="3B01AD56" w14:textId="77777777" w:rsidR="00262896" w:rsidRPr="007D65E7" w:rsidRDefault="00262896" w:rsidP="00262896">
      <w:pPr>
        <w:widowControl/>
        <w:spacing w:after="120" w:line="240" w:lineRule="auto"/>
        <w:rPr>
          <w:rFonts w:ascii="Verdana Pro Cond Light" w:hAnsi="Verdana Pro Cond Light" w:cs="Arial"/>
          <w:lang w:val="lv-LV"/>
        </w:rPr>
      </w:pPr>
      <w:r w:rsidRPr="007D65E7">
        <w:rPr>
          <w:rFonts w:ascii="Verdana Pro Cond Light" w:hAnsi="Verdana Pro Cond Light" w:cs="Arial"/>
          <w:lang w:val="lv-LV"/>
        </w:rPr>
        <w:t>Dragi norāda, ka ES dekarbonizācijas mērķi ir ambiciozāki nekā konkurentiem, radot papildu īstermiņa izmaksas Eiropas rūpniecībai. ES ir ieviesusi saistošus tiesību aktus, lai līdz 2030. gadam samazinātu siltumnīcefekta gāzu emisijas vismaz par 55 % salīdzinājumā ar 1990. gada līmeni. Turpretim ASV ir noteikušas nesaistošu mērķi līdz 2030. gadam samazināt oglekļa emisijas par 50–52 % zem (augstākā) 2005. gada līmeņa, savukārt Ķīnas mērķis ir tikai sasniegt savu oglekļa emisiju maksimumu līdz desmitgades beigām. Šīs atšķirības rada lielas īstermiņa investīciju vajadzības ES uzņēmumiem, ar kurām nesaskaras to konkurenti.</w:t>
      </w:r>
    </w:p>
    <w:p w14:paraId="4A637FC1" w14:textId="77777777" w:rsidR="00262896" w:rsidRPr="007D65E7" w:rsidRDefault="00262896" w:rsidP="00262896">
      <w:pPr>
        <w:widowControl/>
        <w:spacing w:after="120" w:line="240" w:lineRule="auto"/>
        <w:rPr>
          <w:rFonts w:ascii="Verdana Pro Cond Light" w:hAnsi="Verdana Pro Cond Light" w:cs="Arial"/>
          <w:lang w:val="lv-LV"/>
        </w:rPr>
      </w:pPr>
      <w:r w:rsidRPr="007D65E7">
        <w:rPr>
          <w:rFonts w:ascii="Verdana Pro Cond Light" w:hAnsi="Verdana Pro Cond Light" w:cs="Arial"/>
          <w:lang w:val="lv-LV"/>
        </w:rPr>
        <w:t>Tajā pašā laikā, dekarbonizācija dod Eiropai iespēju pazemināt enerģijas cenas un ieņemt vadību “tīro tehnoloģiju” jomā, vienlaikus kļūstot arī energodrošākai.</w:t>
      </w:r>
    </w:p>
    <w:p w14:paraId="6628DBD6" w14:textId="77777777" w:rsidR="00262896" w:rsidRPr="007D65E7" w:rsidRDefault="00262896" w:rsidP="00262896">
      <w:pPr>
        <w:widowControl/>
        <w:spacing w:after="120" w:line="240" w:lineRule="auto"/>
        <w:rPr>
          <w:rFonts w:ascii="Verdana Pro Cond Light" w:hAnsi="Verdana Pro Cond Light" w:cs="Arial"/>
          <w:lang w:val="lv-LV"/>
        </w:rPr>
      </w:pPr>
      <w:r w:rsidRPr="007D65E7">
        <w:rPr>
          <w:rFonts w:ascii="Verdana Pro Cond Light" w:hAnsi="Verdana Pro Cond Light" w:cs="Arial"/>
          <w:lang w:val="lv-LV"/>
        </w:rPr>
        <w:t>Lai gan Eiropa ir vāja digitālo inovāciju jomā, tā ir līderis tīro tehnoloģiju inovācijā (sk. 3.3. attēlu zemāk), kas paver iespējas. Saskaņā ar Starptautiskās Enerģētikas aģentūras (IEA) datiem vairāk nekā viena trešdaļa no nepieciešamā CO2 emisiju samazinājuma visā pasaulē 2050. gadā ir atkarīga no tehnoloģijām, kas pašlaik ir demonstrācijas vai prototipa fāzē. Eiropas enerģētikas sistēmas elektrifikācija veicinās ES ilgtspējīgas transporta nozares izaugsmi. ES uzņēmumi ir “pirmais virzītājspēks” citās ilgtspējīga transporta apakšnozarēs. Piemēram, ES pieder 60 % no pasaules augstvērtīgajiem patentiem, un tā ieņem pirmo vietu pasaulē novatoriskāko uzņēmumu reitingos zema oglekļa satura degvielu jomā, kas ir būtiski aviācijas un jūras transporta dekarbonizācijai vidējā termiņā un, iespējams, arī lieljaudas transportlīdzekļiem.</w:t>
      </w:r>
    </w:p>
    <w:p w14:paraId="353E5A28" w14:textId="77777777" w:rsidR="00041C6C" w:rsidRDefault="00041C6C">
      <w:pPr>
        <w:widowControl/>
        <w:spacing w:after="160" w:line="259" w:lineRule="auto"/>
        <w:rPr>
          <w:rFonts w:ascii="Verdana Pro Cond Light" w:hAnsi="Verdana Pro Cond Light" w:cs="Arial"/>
          <w:szCs w:val="20"/>
          <w:lang w:val="lv-LV"/>
        </w:rPr>
      </w:pPr>
      <w:r>
        <w:rPr>
          <w:rFonts w:ascii="Verdana Pro Cond Light" w:hAnsi="Verdana Pro Cond Light" w:cs="Arial"/>
          <w:szCs w:val="20"/>
          <w:lang w:val="lv-LV"/>
        </w:rPr>
        <w:br w:type="page"/>
      </w:r>
    </w:p>
    <w:p w14:paraId="4886A0F2" w14:textId="5049AB52" w:rsidR="00262896" w:rsidRPr="003A4D84" w:rsidRDefault="00262896" w:rsidP="00262896">
      <w:pPr>
        <w:widowControl/>
        <w:spacing w:before="120" w:after="120" w:line="240" w:lineRule="auto"/>
        <w:jc w:val="right"/>
        <w:rPr>
          <w:rFonts w:ascii="Verdana Pro Cond Light" w:hAnsi="Verdana Pro Cond Light" w:cs="Arial"/>
          <w:szCs w:val="20"/>
          <w:lang w:val="lv-LV"/>
        </w:rPr>
      </w:pPr>
      <w:r w:rsidRPr="003A4D84">
        <w:rPr>
          <w:rFonts w:ascii="Verdana Pro Cond Light" w:hAnsi="Verdana Pro Cond Light" w:cs="Arial"/>
          <w:szCs w:val="20"/>
          <w:lang w:val="lv-LV"/>
        </w:rPr>
        <w:lastRenderedPageBreak/>
        <w:t>3.</w:t>
      </w:r>
      <w:r>
        <w:rPr>
          <w:rFonts w:ascii="Verdana Pro Cond Light" w:hAnsi="Verdana Pro Cond Light" w:cs="Arial"/>
          <w:szCs w:val="20"/>
          <w:lang w:val="lv-LV"/>
        </w:rPr>
        <w:t>3</w:t>
      </w:r>
      <w:r w:rsidRPr="003A4D84">
        <w:rPr>
          <w:rFonts w:ascii="Verdana Pro Cond Light" w:hAnsi="Verdana Pro Cond Light" w:cs="Arial"/>
          <w:szCs w:val="20"/>
          <w:lang w:val="lv-LV"/>
        </w:rPr>
        <w:t>. attēls</w:t>
      </w:r>
    </w:p>
    <w:p w14:paraId="6FD93595" w14:textId="77777777" w:rsidR="00262896" w:rsidRDefault="00262896" w:rsidP="00262896">
      <w:pPr>
        <w:widowControl/>
        <w:spacing w:after="120" w:line="240" w:lineRule="auto"/>
        <w:jc w:val="center"/>
        <w:rPr>
          <w:rFonts w:ascii="Verdana Pro Cond Light" w:hAnsi="Verdana Pro Cond Light"/>
          <w:sz w:val="18"/>
          <w:szCs w:val="18"/>
          <w:lang w:val="lv-LV"/>
        </w:rPr>
      </w:pPr>
      <w:r w:rsidRPr="007D65E7">
        <w:rPr>
          <w:rFonts w:ascii="Verdana Pro Cond Light" w:hAnsi="Verdana Pro Cond Light"/>
          <w:b/>
          <w:lang w:val="lv-LV"/>
        </w:rPr>
        <w:t>ES pozīcija sarežģītu (digitālo un zaļo) tehnoloģiju jomā</w:t>
      </w:r>
      <w:r>
        <w:rPr>
          <w:rFonts w:ascii="Verdana Pro Cond Light" w:hAnsi="Verdana Pro Cond Light"/>
          <w:b/>
          <w:lang w:val="lv-LV"/>
        </w:rPr>
        <w:br/>
      </w:r>
      <w:r>
        <w:rPr>
          <w:rFonts w:ascii="Verdana Pro Cond Light" w:hAnsi="Verdana Pro Cond Light"/>
          <w:sz w:val="18"/>
          <w:szCs w:val="18"/>
          <w:lang w:val="lv-LV"/>
        </w:rPr>
        <w:t>2019.-2022. gadā</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4"/>
        <w:gridCol w:w="5886"/>
        <w:gridCol w:w="680"/>
      </w:tblGrid>
      <w:tr w:rsidR="00262896" w:rsidRPr="007D65E7" w14:paraId="2E17644B" w14:textId="77777777" w:rsidTr="0002297E">
        <w:trPr>
          <w:jc w:val="center"/>
        </w:trPr>
        <w:tc>
          <w:tcPr>
            <w:tcW w:w="2134" w:type="dxa"/>
          </w:tcPr>
          <w:p w14:paraId="7AE994E1" w14:textId="77777777" w:rsidR="00262896" w:rsidRPr="007D65E7" w:rsidRDefault="00262896" w:rsidP="0002297E">
            <w:pPr>
              <w:widowControl/>
              <w:spacing w:before="200" w:after="0" w:line="240" w:lineRule="auto"/>
              <w:jc w:val="right"/>
              <w:rPr>
                <w:rFonts w:asciiTheme="majorHAnsi" w:hAnsiTheme="majorHAnsi" w:cstheme="majorHAnsi"/>
                <w:sz w:val="16"/>
                <w:szCs w:val="16"/>
                <w:lang w:val="lv-LV"/>
              </w:rPr>
            </w:pPr>
            <w:r w:rsidRPr="007D65E7">
              <w:rPr>
                <w:rFonts w:asciiTheme="majorHAnsi" w:hAnsiTheme="majorHAnsi" w:cstheme="majorHAnsi"/>
                <w:sz w:val="16"/>
                <w:szCs w:val="16"/>
                <w:lang w:val="lv-LV"/>
              </w:rPr>
              <w:t>Lietu internets</w:t>
            </w:r>
          </w:p>
          <w:p w14:paraId="6E017066" w14:textId="77777777" w:rsidR="00262896" w:rsidRPr="007D65E7" w:rsidRDefault="00262896" w:rsidP="0002297E">
            <w:pPr>
              <w:widowControl/>
              <w:spacing w:before="36" w:after="0" w:line="240" w:lineRule="auto"/>
              <w:jc w:val="right"/>
              <w:rPr>
                <w:rFonts w:asciiTheme="majorHAnsi" w:hAnsiTheme="majorHAnsi" w:cstheme="majorHAnsi"/>
                <w:sz w:val="16"/>
                <w:szCs w:val="16"/>
                <w:lang w:val="lv-LV"/>
              </w:rPr>
            </w:pPr>
            <w:r w:rsidRPr="007D65E7">
              <w:rPr>
                <w:rFonts w:asciiTheme="majorHAnsi" w:hAnsiTheme="majorHAnsi" w:cstheme="majorHAnsi"/>
                <w:sz w:val="16"/>
                <w:szCs w:val="16"/>
                <w:lang w:val="lv-LV"/>
              </w:rPr>
              <w:t>Mākslīgais intelekts</w:t>
            </w:r>
          </w:p>
          <w:p w14:paraId="4841F237" w14:textId="77777777" w:rsidR="00262896" w:rsidRPr="007D65E7" w:rsidRDefault="00262896" w:rsidP="0002297E">
            <w:pPr>
              <w:widowControl/>
              <w:spacing w:before="36" w:after="0" w:line="240" w:lineRule="auto"/>
              <w:jc w:val="right"/>
              <w:rPr>
                <w:rFonts w:asciiTheme="majorHAnsi" w:hAnsiTheme="majorHAnsi" w:cstheme="majorHAnsi"/>
                <w:sz w:val="16"/>
                <w:szCs w:val="16"/>
                <w:lang w:val="lv-LV"/>
              </w:rPr>
            </w:pPr>
            <w:r w:rsidRPr="007D65E7">
              <w:rPr>
                <w:rFonts w:asciiTheme="majorHAnsi" w:hAnsiTheme="majorHAnsi" w:cstheme="majorHAnsi"/>
                <w:sz w:val="16"/>
                <w:szCs w:val="16"/>
                <w:lang w:val="lv-LV"/>
              </w:rPr>
              <w:t>Kriptogrāfija un blokķēdes tehnoloģijas</w:t>
            </w:r>
          </w:p>
          <w:p w14:paraId="24F5F6E2" w14:textId="77777777" w:rsidR="00262896" w:rsidRPr="007D65E7" w:rsidRDefault="00262896" w:rsidP="0002297E">
            <w:pPr>
              <w:widowControl/>
              <w:spacing w:before="36" w:after="0" w:line="240" w:lineRule="auto"/>
              <w:jc w:val="right"/>
              <w:rPr>
                <w:rFonts w:asciiTheme="majorHAnsi" w:hAnsiTheme="majorHAnsi" w:cstheme="majorHAnsi"/>
                <w:sz w:val="16"/>
                <w:szCs w:val="16"/>
                <w:lang w:val="lv-LV"/>
              </w:rPr>
            </w:pPr>
            <w:r w:rsidRPr="007D65E7">
              <w:rPr>
                <w:rFonts w:asciiTheme="majorHAnsi" w:hAnsiTheme="majorHAnsi" w:cstheme="majorHAnsi"/>
                <w:sz w:val="16"/>
                <w:szCs w:val="16"/>
                <w:lang w:val="lv-LV"/>
              </w:rPr>
              <w:t>Kiberdrošība</w:t>
            </w:r>
          </w:p>
          <w:p w14:paraId="0B0CF9D9" w14:textId="77777777" w:rsidR="00262896" w:rsidRPr="007D65E7" w:rsidRDefault="00262896" w:rsidP="0002297E">
            <w:pPr>
              <w:widowControl/>
              <w:spacing w:before="36" w:after="0" w:line="240" w:lineRule="auto"/>
              <w:jc w:val="right"/>
              <w:rPr>
                <w:rFonts w:asciiTheme="majorHAnsi" w:hAnsiTheme="majorHAnsi" w:cstheme="majorHAnsi"/>
                <w:sz w:val="16"/>
                <w:szCs w:val="16"/>
                <w:lang w:val="lv-LV"/>
              </w:rPr>
            </w:pPr>
            <w:r w:rsidRPr="007D65E7">
              <w:rPr>
                <w:rFonts w:asciiTheme="majorHAnsi" w:hAnsiTheme="majorHAnsi" w:cstheme="majorHAnsi"/>
                <w:sz w:val="16"/>
                <w:szCs w:val="16"/>
                <w:lang w:val="lv-LV"/>
              </w:rPr>
              <w:t>Mākoņskaitļošana</w:t>
            </w:r>
          </w:p>
          <w:p w14:paraId="0BD9A0B9" w14:textId="77777777" w:rsidR="00262896" w:rsidRPr="007D65E7" w:rsidRDefault="00262896" w:rsidP="0002297E">
            <w:pPr>
              <w:widowControl/>
              <w:spacing w:before="36" w:after="0" w:line="240" w:lineRule="auto"/>
              <w:jc w:val="right"/>
              <w:rPr>
                <w:rFonts w:asciiTheme="majorHAnsi" w:hAnsiTheme="majorHAnsi" w:cstheme="majorHAnsi"/>
                <w:sz w:val="16"/>
                <w:szCs w:val="16"/>
                <w:lang w:val="lv-LV"/>
              </w:rPr>
            </w:pPr>
            <w:r>
              <w:rPr>
                <w:noProof/>
                <w14:ligatures w14:val="standardContextual"/>
              </w:rPr>
              <mc:AlternateContent>
                <mc:Choice Requires="wps">
                  <w:drawing>
                    <wp:anchor distT="0" distB="0" distL="114300" distR="114300" simplePos="0" relativeHeight="251658262" behindDoc="0" locked="0" layoutInCell="1" allowOverlap="1" wp14:anchorId="2B1F4F5D" wp14:editId="6B347D4C">
                      <wp:simplePos x="0" y="0"/>
                      <wp:positionH relativeFrom="column">
                        <wp:posOffset>-996291</wp:posOffset>
                      </wp:positionH>
                      <wp:positionV relativeFrom="paragraph">
                        <wp:posOffset>259398</wp:posOffset>
                      </wp:positionV>
                      <wp:extent cx="1767385" cy="143510"/>
                      <wp:effectExtent l="0" t="7302" r="0" b="0"/>
                      <wp:wrapNone/>
                      <wp:docPr id="282874992" name="Text Box 2"/>
                      <wp:cNvGraphicFramePr/>
                      <a:graphic xmlns:a="http://schemas.openxmlformats.org/drawingml/2006/main">
                        <a:graphicData uri="http://schemas.microsoft.com/office/word/2010/wordprocessingShape">
                          <wps:wsp>
                            <wps:cNvSpPr txBox="1"/>
                            <wps:spPr>
                              <a:xfrm rot="16200000">
                                <a:off x="0" y="0"/>
                                <a:ext cx="1767385" cy="143510"/>
                              </a:xfrm>
                              <a:prstGeom prst="rect">
                                <a:avLst/>
                              </a:prstGeom>
                              <a:solidFill>
                                <a:schemeClr val="bg1"/>
                              </a:solidFill>
                              <a:ln w="6350">
                                <a:noFill/>
                              </a:ln>
                            </wps:spPr>
                            <wps:txbx>
                              <w:txbxContent>
                                <w:p w14:paraId="0F2AB64E" w14:textId="77777777" w:rsidR="00B06983" w:rsidRPr="00CB51FA" w:rsidRDefault="00B06983" w:rsidP="00262896">
                                  <w:pPr>
                                    <w:jc w:val="center"/>
                                    <w:rPr>
                                      <w:rFonts w:asciiTheme="majorHAnsi" w:hAnsiTheme="majorHAnsi" w:cstheme="majorHAnsi"/>
                                      <w:b/>
                                      <w:bCs/>
                                      <w:sz w:val="16"/>
                                      <w:szCs w:val="16"/>
                                      <w:lang w:val="lv-LV"/>
                                    </w:rPr>
                                  </w:pPr>
                                  <w:r w:rsidRPr="00CB51FA">
                                    <w:rPr>
                                      <w:rFonts w:asciiTheme="majorHAnsi" w:hAnsiTheme="majorHAnsi" w:cstheme="majorHAnsi"/>
                                      <w:b/>
                                      <w:bCs/>
                                      <w:sz w:val="16"/>
                                      <w:szCs w:val="16"/>
                                      <w:lang w:val="lv-LV"/>
                                    </w:rPr>
                                    <w:t>Tehnoloģiskās sarežģītības indekss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1F4F5D" id="_x0000_s1109" type="#_x0000_t202" style="position:absolute;left:0;text-align:left;margin-left:-78.45pt;margin-top:20.45pt;width:139.15pt;height:11.3pt;rotation:-90;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DRJTQIAAIoEAAAOAAAAZHJzL2Uyb0RvYy54bWysVE2P2jAQvVfqf7B8LyGwfCwirCgrqkpo&#10;dyWo9mwcByI5HndsSOiv79ghbLvtqWoO1ng8fp73Zibzh6bS7KzQlWAynvb6nCkjIS/NIePfdutP&#10;U86cFyYXGozK+EU5/rD4+GFe25kawBF0rpARiHGz2mb86L2dJYmTR1UJ1wOrDB0WgJXwtMVDkqOo&#10;Cb3SyaDfHyc1YG4RpHKOvI/tIV9E/KJQ0j8XhVOe6YxTbj6uGNd9WJPFXMwOKOyxlNc0xD9kUYnS&#10;0KM3qEfhBTth+QdUVUoEB4XvSagSKIpSqsiB2KT9d2y2R2FV5ELiOHuTyf0/WPl0fkFW5hkfTAfT&#10;yd39/YAzIyoq1U41nn2Ghg2CSrV1MwreWgr3Dbmp2p3fkTOQbwqsGAKJnI6pOPRFTYglo3CS/3KT&#10;PGDLgDEZT4bTEWeSztK74SiNNUlasABq0fkvCioWjIwjlTSiivPGeUqMQruQEO5Al/m61DpuQhup&#10;lUZ2FtQA+0NMmW78FqUNqzM+Ho7adA2E6y2yNvRAoN5SDJZv9k0UbDLp+O8hv5AskTmxdFauS0p2&#10;I5x/EUj9RE6aEf9MS6GBHoOrxdkR8Mff/CGeykynnNXUnxl3308CFWf6q6EGCM3cGdgZ+84wp2oF&#10;xDiN2USTLqDXnVkgVK80OsvwCh0JI+mtjEuP3Wbl2zmh4ZNquYxh1LRW+I3ZWhnAu/rsmleB9loh&#10;T7V9gq53xexdodrYcNPA8uShKGMVg7StjlfFqeFjca/DGSbq132MevuFLH4CAAD//wMAUEsDBBQA&#10;BgAIAAAAIQCWcZGc3QAAAAoBAAAPAAAAZHJzL2Rvd25yZXYueG1sTI/NTsMwEITvSLyDtUjcUicF&#10;QhriVPyoEuqNQO9uvHUi4nUUu214e5YTvc1oP83OVOvZDeKEU+g9KcgWKQik1puerIKvz01SgAhR&#10;k9GDJ1TwgwHW9fVVpUvjz/SBpyZawSEUSq2gi3EspQxth06HhR+R+Hbwk9OR7WSlmfSZw90gl2ma&#10;S6d74g+dHvG1w/a7OToF2wLfMDd2s7PbPJqH964pshelbm/m5ycQEef4D8Nffa4ONXfa+yOZIAYF&#10;yXLFWyKL4pEFE0l+D2LP5Cq7A1lX8nJC/QsAAP//AwBQSwECLQAUAAYACAAAACEAtoM4kv4AAADh&#10;AQAAEwAAAAAAAAAAAAAAAAAAAAAAW0NvbnRlbnRfVHlwZXNdLnhtbFBLAQItABQABgAIAAAAIQA4&#10;/SH/1gAAAJQBAAALAAAAAAAAAAAAAAAAAC8BAABfcmVscy8ucmVsc1BLAQItABQABgAIAAAAIQCF&#10;gDRJTQIAAIoEAAAOAAAAAAAAAAAAAAAAAC4CAABkcnMvZTJvRG9jLnhtbFBLAQItABQABgAIAAAA&#10;IQCWcZGc3QAAAAoBAAAPAAAAAAAAAAAAAAAAAKcEAABkcnMvZG93bnJldi54bWxQSwUGAAAAAAQA&#10;BADzAAAAsQUAAAAA&#10;" fillcolor="white [3212]" stroked="f" strokeweight=".5pt">
                      <v:textbox inset="0,0,0,0">
                        <w:txbxContent>
                          <w:p w14:paraId="0F2AB64E" w14:textId="77777777" w:rsidR="00B06983" w:rsidRPr="00CB51FA" w:rsidRDefault="00B06983" w:rsidP="00262896">
                            <w:pPr>
                              <w:jc w:val="center"/>
                              <w:rPr>
                                <w:rFonts w:asciiTheme="majorHAnsi" w:hAnsiTheme="majorHAnsi" w:cstheme="majorHAnsi"/>
                                <w:b/>
                                <w:bCs/>
                                <w:sz w:val="16"/>
                                <w:szCs w:val="16"/>
                                <w:lang w:val="lv-LV"/>
                              </w:rPr>
                            </w:pPr>
                            <w:r w:rsidRPr="00CB51FA">
                              <w:rPr>
                                <w:rFonts w:asciiTheme="majorHAnsi" w:hAnsiTheme="majorHAnsi" w:cstheme="majorHAnsi"/>
                                <w:b/>
                                <w:bCs/>
                                <w:sz w:val="16"/>
                                <w:szCs w:val="16"/>
                                <w:lang w:val="lv-LV"/>
                              </w:rPr>
                              <w:t>Tehnoloģiskās sarežģītības indekss</w:t>
                            </w:r>
                          </w:p>
                        </w:txbxContent>
                      </v:textbox>
                    </v:shape>
                  </w:pict>
                </mc:Fallback>
              </mc:AlternateContent>
            </w:r>
            <w:r w:rsidRPr="007D65E7">
              <w:rPr>
                <w:rFonts w:asciiTheme="majorHAnsi" w:hAnsiTheme="majorHAnsi" w:cstheme="majorHAnsi"/>
                <w:sz w:val="16"/>
                <w:szCs w:val="16"/>
                <w:lang w:val="lv-LV"/>
              </w:rPr>
              <w:t>Kvantu skaitļošana</w:t>
            </w:r>
          </w:p>
          <w:p w14:paraId="36F79719" w14:textId="77777777" w:rsidR="00262896" w:rsidRPr="007D65E7" w:rsidRDefault="00262896" w:rsidP="0002297E">
            <w:pPr>
              <w:widowControl/>
              <w:spacing w:before="36" w:after="0" w:line="240" w:lineRule="auto"/>
              <w:jc w:val="right"/>
              <w:rPr>
                <w:rFonts w:asciiTheme="majorHAnsi" w:hAnsiTheme="majorHAnsi" w:cstheme="majorHAnsi"/>
                <w:sz w:val="16"/>
                <w:szCs w:val="16"/>
                <w:lang w:val="lv-LV"/>
              </w:rPr>
            </w:pPr>
            <w:r w:rsidRPr="007D65E7">
              <w:rPr>
                <w:rFonts w:asciiTheme="majorHAnsi" w:hAnsiTheme="majorHAnsi" w:cstheme="majorHAnsi"/>
                <w:sz w:val="16"/>
                <w:szCs w:val="16"/>
                <w:lang w:val="lv-LV"/>
              </w:rPr>
              <w:t>Hidroenerģija</w:t>
            </w:r>
          </w:p>
          <w:p w14:paraId="536C7545" w14:textId="77777777" w:rsidR="00262896" w:rsidRPr="007D65E7" w:rsidRDefault="00262896" w:rsidP="0002297E">
            <w:pPr>
              <w:widowControl/>
              <w:spacing w:before="36" w:after="0" w:line="240" w:lineRule="auto"/>
              <w:jc w:val="right"/>
              <w:rPr>
                <w:rFonts w:asciiTheme="majorHAnsi" w:hAnsiTheme="majorHAnsi" w:cstheme="majorHAnsi"/>
                <w:sz w:val="16"/>
                <w:szCs w:val="16"/>
                <w:lang w:val="lv-LV"/>
              </w:rPr>
            </w:pPr>
            <w:r w:rsidRPr="007D65E7">
              <w:rPr>
                <w:rFonts w:asciiTheme="majorHAnsi" w:hAnsiTheme="majorHAnsi" w:cstheme="majorHAnsi"/>
                <w:sz w:val="16"/>
                <w:szCs w:val="16"/>
                <w:lang w:val="lv-LV"/>
              </w:rPr>
              <w:t>Ģeotermālā enerģija</w:t>
            </w:r>
          </w:p>
          <w:p w14:paraId="02DBB415" w14:textId="77777777" w:rsidR="00262896" w:rsidRPr="007D65E7" w:rsidRDefault="00262896" w:rsidP="0002297E">
            <w:pPr>
              <w:widowControl/>
              <w:spacing w:before="36" w:after="0" w:line="240" w:lineRule="auto"/>
              <w:jc w:val="right"/>
              <w:rPr>
                <w:rFonts w:asciiTheme="majorHAnsi" w:hAnsiTheme="majorHAnsi" w:cstheme="majorHAnsi"/>
                <w:sz w:val="16"/>
                <w:szCs w:val="16"/>
                <w:lang w:val="lv-LV"/>
              </w:rPr>
            </w:pPr>
            <w:r w:rsidRPr="007D65E7">
              <w:rPr>
                <w:rFonts w:asciiTheme="majorHAnsi" w:hAnsiTheme="majorHAnsi" w:cstheme="majorHAnsi"/>
                <w:sz w:val="16"/>
                <w:szCs w:val="16"/>
                <w:lang w:val="lv-LV"/>
              </w:rPr>
              <w:t>Kodolenerģija</w:t>
            </w:r>
          </w:p>
          <w:p w14:paraId="41983F34" w14:textId="77777777" w:rsidR="00262896" w:rsidRPr="007D65E7" w:rsidRDefault="00262896" w:rsidP="0002297E">
            <w:pPr>
              <w:widowControl/>
              <w:spacing w:before="36" w:after="0" w:line="240" w:lineRule="auto"/>
              <w:jc w:val="right"/>
              <w:rPr>
                <w:rFonts w:asciiTheme="majorHAnsi" w:hAnsiTheme="majorHAnsi" w:cstheme="majorHAnsi"/>
                <w:sz w:val="16"/>
                <w:szCs w:val="16"/>
                <w:lang w:val="lv-LV"/>
              </w:rPr>
            </w:pPr>
            <w:r w:rsidRPr="007D65E7">
              <w:rPr>
                <w:rFonts w:asciiTheme="majorHAnsi" w:hAnsiTheme="majorHAnsi" w:cstheme="majorHAnsi"/>
                <w:sz w:val="16"/>
                <w:szCs w:val="16"/>
                <w:lang w:val="lv-LV"/>
              </w:rPr>
              <w:t>Saules enerģija</w:t>
            </w:r>
          </w:p>
          <w:p w14:paraId="08BD82DE" w14:textId="77777777" w:rsidR="00262896" w:rsidRPr="007D65E7" w:rsidRDefault="00262896" w:rsidP="0002297E">
            <w:pPr>
              <w:widowControl/>
              <w:spacing w:before="36" w:after="0" w:line="240" w:lineRule="auto"/>
              <w:jc w:val="right"/>
              <w:rPr>
                <w:rFonts w:asciiTheme="majorHAnsi" w:hAnsiTheme="majorHAnsi" w:cstheme="majorHAnsi"/>
                <w:sz w:val="16"/>
                <w:szCs w:val="16"/>
                <w:lang w:val="lv-LV"/>
              </w:rPr>
            </w:pPr>
            <w:r w:rsidRPr="007D65E7">
              <w:rPr>
                <w:rFonts w:asciiTheme="majorHAnsi" w:hAnsiTheme="majorHAnsi" w:cstheme="majorHAnsi"/>
                <w:sz w:val="16"/>
                <w:szCs w:val="16"/>
                <w:lang w:val="lv-LV"/>
              </w:rPr>
              <w:t>Baterijau tehnoloģijas</w:t>
            </w:r>
          </w:p>
          <w:p w14:paraId="69522203" w14:textId="77777777" w:rsidR="00262896" w:rsidRPr="007D65E7" w:rsidRDefault="00262896" w:rsidP="0002297E">
            <w:pPr>
              <w:widowControl/>
              <w:spacing w:before="36" w:after="0" w:line="240" w:lineRule="auto"/>
              <w:jc w:val="right"/>
              <w:rPr>
                <w:rFonts w:asciiTheme="majorHAnsi" w:hAnsiTheme="majorHAnsi" w:cstheme="majorHAnsi"/>
                <w:sz w:val="16"/>
                <w:szCs w:val="16"/>
                <w:lang w:val="lv-LV"/>
              </w:rPr>
            </w:pPr>
            <w:r w:rsidRPr="007D65E7">
              <w:rPr>
                <w:rFonts w:asciiTheme="majorHAnsi" w:hAnsiTheme="majorHAnsi" w:cstheme="majorHAnsi"/>
                <w:sz w:val="16"/>
                <w:szCs w:val="16"/>
                <w:lang w:val="lv-LV"/>
              </w:rPr>
              <w:t>Biodegvielas</w:t>
            </w:r>
          </w:p>
          <w:p w14:paraId="0EEFC31B" w14:textId="77777777" w:rsidR="00262896" w:rsidRDefault="00262896" w:rsidP="0002297E">
            <w:pPr>
              <w:widowControl/>
              <w:spacing w:before="36" w:after="0" w:line="240" w:lineRule="auto"/>
              <w:jc w:val="right"/>
              <w:rPr>
                <w:rFonts w:asciiTheme="majorHAnsi" w:hAnsiTheme="majorHAnsi" w:cstheme="majorHAnsi"/>
                <w:sz w:val="16"/>
                <w:szCs w:val="16"/>
                <w:lang w:val="lv-LV"/>
              </w:rPr>
            </w:pPr>
            <w:r w:rsidRPr="007D65E7">
              <w:rPr>
                <w:rFonts w:asciiTheme="majorHAnsi" w:hAnsiTheme="majorHAnsi" w:cstheme="majorHAnsi"/>
                <w:sz w:val="16"/>
                <w:szCs w:val="16"/>
                <w:lang w:val="lv-LV"/>
              </w:rPr>
              <w:t>Vēja enerģija</w:t>
            </w:r>
          </w:p>
          <w:p w14:paraId="1F1C9982" w14:textId="77777777" w:rsidR="00262896" w:rsidRPr="007D65E7" w:rsidRDefault="00262896" w:rsidP="0002297E">
            <w:pPr>
              <w:widowControl/>
              <w:spacing w:before="36" w:after="0" w:line="240" w:lineRule="auto"/>
              <w:jc w:val="right"/>
              <w:rPr>
                <w:rFonts w:asciiTheme="majorHAnsi" w:hAnsiTheme="majorHAnsi" w:cstheme="majorHAnsi"/>
                <w:sz w:val="16"/>
                <w:szCs w:val="16"/>
                <w:lang w:val="lv-LV"/>
              </w:rPr>
            </w:pPr>
            <w:r w:rsidRPr="007D65E7">
              <w:rPr>
                <w:rFonts w:asciiTheme="majorHAnsi" w:hAnsiTheme="majorHAnsi" w:cstheme="majorHAnsi"/>
                <w:sz w:val="16"/>
                <w:szCs w:val="16"/>
                <w:lang w:val="lv-LV"/>
              </w:rPr>
              <w:t>Ūdeņradis</w:t>
            </w:r>
          </w:p>
          <w:p w14:paraId="2739DAA2" w14:textId="77777777" w:rsidR="00262896" w:rsidRPr="007D65E7" w:rsidRDefault="00262896" w:rsidP="0002297E">
            <w:pPr>
              <w:widowControl/>
              <w:spacing w:before="36" w:after="0" w:line="240" w:lineRule="auto"/>
              <w:jc w:val="right"/>
              <w:rPr>
                <w:rFonts w:asciiTheme="majorHAnsi" w:hAnsiTheme="majorHAnsi" w:cstheme="majorHAnsi"/>
                <w:sz w:val="16"/>
                <w:szCs w:val="16"/>
                <w:lang w:val="lv-LV"/>
              </w:rPr>
            </w:pPr>
            <w:r w:rsidRPr="007D65E7">
              <w:rPr>
                <w:rFonts w:asciiTheme="majorHAnsi" w:hAnsiTheme="majorHAnsi" w:cstheme="majorHAnsi"/>
                <w:sz w:val="16"/>
                <w:szCs w:val="16"/>
                <w:lang w:val="lv-LV"/>
              </w:rPr>
              <w:t>Zaļais transports</w:t>
            </w:r>
          </w:p>
        </w:tc>
        <w:tc>
          <w:tcPr>
            <w:tcW w:w="5886" w:type="dxa"/>
          </w:tcPr>
          <w:p w14:paraId="71853A7C" w14:textId="77777777" w:rsidR="00262896" w:rsidRPr="007D65E7" w:rsidRDefault="00262896" w:rsidP="0002297E">
            <w:pPr>
              <w:widowControl/>
              <w:spacing w:after="0" w:line="240" w:lineRule="auto"/>
              <w:jc w:val="center"/>
              <w:rPr>
                <w:rFonts w:asciiTheme="majorHAnsi" w:hAnsiTheme="majorHAnsi" w:cstheme="majorHAnsi"/>
                <w:sz w:val="16"/>
                <w:szCs w:val="16"/>
                <w:lang w:val="lv-LV"/>
              </w:rPr>
            </w:pPr>
            <w:r w:rsidRPr="007D65E7">
              <w:rPr>
                <w:rFonts w:asciiTheme="majorHAnsi" w:hAnsiTheme="majorHAnsi" w:cstheme="majorHAnsi"/>
                <w:noProof/>
                <w:sz w:val="16"/>
                <w:szCs w:val="16"/>
                <w14:ligatures w14:val="standardContextual"/>
              </w:rPr>
              <w:drawing>
                <wp:inline distT="0" distB="0" distL="0" distR="0" wp14:anchorId="57B7B6A2" wp14:editId="3DE63F97">
                  <wp:extent cx="3600000" cy="2786517"/>
                  <wp:effectExtent l="0" t="0" r="63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EU_izgriezts.png"/>
                          <pic:cNvPicPr/>
                        </pic:nvPicPr>
                        <pic:blipFill rotWithShape="1">
                          <a:blip r:embed="rId26">
                            <a:extLst>
                              <a:ext uri="{28A0092B-C50C-407E-A947-70E740481C1C}">
                                <a14:useLocalDpi xmlns:a14="http://schemas.microsoft.com/office/drawing/2010/main" val="0"/>
                              </a:ext>
                            </a:extLst>
                          </a:blip>
                          <a:srcRect l="38578" r="13015" b="26972"/>
                          <a:stretch/>
                        </pic:blipFill>
                        <pic:spPr bwMode="auto">
                          <a:xfrm>
                            <a:off x="0" y="0"/>
                            <a:ext cx="3600000" cy="2786517"/>
                          </a:xfrm>
                          <a:prstGeom prst="rect">
                            <a:avLst/>
                          </a:prstGeom>
                          <a:ln>
                            <a:noFill/>
                          </a:ln>
                          <a:extLst>
                            <a:ext uri="{53640926-AAD7-44D8-BBD7-CCE9431645EC}">
                              <a14:shadowObscured xmlns:a14="http://schemas.microsoft.com/office/drawing/2010/main"/>
                            </a:ext>
                          </a:extLst>
                        </pic:spPr>
                      </pic:pic>
                    </a:graphicData>
                  </a:graphic>
                </wp:inline>
              </w:drawing>
            </w:r>
          </w:p>
        </w:tc>
        <w:tc>
          <w:tcPr>
            <w:tcW w:w="680" w:type="dxa"/>
          </w:tcPr>
          <w:p w14:paraId="1F21ABBF" w14:textId="77777777" w:rsidR="00262896" w:rsidRPr="007D65E7" w:rsidRDefault="00262896" w:rsidP="0002297E">
            <w:pPr>
              <w:widowControl/>
              <w:spacing w:after="0" w:line="240" w:lineRule="auto"/>
              <w:rPr>
                <w:rFonts w:asciiTheme="majorHAnsi" w:hAnsiTheme="majorHAnsi" w:cstheme="majorHAnsi"/>
                <w:lang w:val="lv-LV"/>
              </w:rPr>
            </w:pPr>
          </w:p>
          <w:p w14:paraId="69C68C3C" w14:textId="77777777" w:rsidR="00262896" w:rsidRDefault="00262896" w:rsidP="0002297E">
            <w:pPr>
              <w:widowControl/>
              <w:spacing w:after="0" w:line="240" w:lineRule="auto"/>
              <w:rPr>
                <w:rFonts w:asciiTheme="majorHAnsi" w:hAnsiTheme="majorHAnsi" w:cstheme="majorHAnsi"/>
                <w:sz w:val="16"/>
                <w:szCs w:val="16"/>
                <w:lang w:val="lv-LV"/>
              </w:rPr>
            </w:pPr>
            <w:r>
              <w:rPr>
                <w:rFonts w:asciiTheme="majorHAnsi" w:hAnsiTheme="majorHAnsi" w:cstheme="majorHAnsi"/>
                <w:sz w:val="16"/>
                <w:szCs w:val="16"/>
                <w:lang w:val="lv-LV"/>
              </w:rPr>
              <w:t>Ķīna</w:t>
            </w:r>
          </w:p>
          <w:p w14:paraId="00FECF70" w14:textId="77777777" w:rsidR="00262896" w:rsidRDefault="00262896" w:rsidP="0002297E">
            <w:pPr>
              <w:widowControl/>
              <w:spacing w:before="80" w:after="0" w:line="240" w:lineRule="auto"/>
              <w:rPr>
                <w:rFonts w:asciiTheme="majorHAnsi" w:hAnsiTheme="majorHAnsi" w:cstheme="majorHAnsi"/>
                <w:sz w:val="16"/>
                <w:szCs w:val="16"/>
                <w:lang w:val="lv-LV"/>
              </w:rPr>
            </w:pPr>
            <w:r>
              <w:rPr>
                <w:rFonts w:asciiTheme="majorHAnsi" w:hAnsiTheme="majorHAnsi" w:cstheme="majorHAnsi"/>
                <w:sz w:val="16"/>
                <w:szCs w:val="16"/>
                <w:lang w:val="lv-LV"/>
              </w:rPr>
              <w:t>ES</w:t>
            </w:r>
          </w:p>
          <w:p w14:paraId="4A68B5E8" w14:textId="77777777" w:rsidR="00262896" w:rsidRPr="007D65E7" w:rsidRDefault="00262896" w:rsidP="0002297E">
            <w:pPr>
              <w:widowControl/>
              <w:spacing w:before="80" w:after="0" w:line="240" w:lineRule="auto"/>
              <w:rPr>
                <w:rFonts w:asciiTheme="majorHAnsi" w:hAnsiTheme="majorHAnsi" w:cstheme="majorHAnsi"/>
                <w:sz w:val="16"/>
                <w:szCs w:val="16"/>
                <w:lang w:val="lv-LV"/>
              </w:rPr>
            </w:pPr>
            <w:r>
              <w:rPr>
                <w:rFonts w:asciiTheme="majorHAnsi" w:hAnsiTheme="majorHAnsi" w:cstheme="majorHAnsi"/>
                <w:sz w:val="16"/>
                <w:szCs w:val="16"/>
                <w:lang w:val="lv-LV"/>
              </w:rPr>
              <w:t>ASV</w:t>
            </w:r>
          </w:p>
        </w:tc>
      </w:tr>
      <w:tr w:rsidR="00262896" w:rsidRPr="007D65E7" w14:paraId="46046B7E" w14:textId="77777777" w:rsidTr="0002297E">
        <w:trPr>
          <w:jc w:val="center"/>
        </w:trPr>
        <w:tc>
          <w:tcPr>
            <w:tcW w:w="2134" w:type="dxa"/>
          </w:tcPr>
          <w:p w14:paraId="526F5C79" w14:textId="77777777" w:rsidR="00262896" w:rsidRPr="007D65E7" w:rsidRDefault="00262896" w:rsidP="0002297E">
            <w:pPr>
              <w:widowControl/>
              <w:spacing w:after="0" w:line="240" w:lineRule="auto"/>
              <w:jc w:val="center"/>
              <w:rPr>
                <w:rFonts w:asciiTheme="majorHAnsi" w:hAnsiTheme="majorHAnsi" w:cstheme="majorHAnsi"/>
                <w:sz w:val="16"/>
                <w:szCs w:val="16"/>
                <w:lang w:val="lv-LV"/>
              </w:rPr>
            </w:pPr>
          </w:p>
        </w:tc>
        <w:tc>
          <w:tcPr>
            <w:tcW w:w="5886" w:type="dxa"/>
          </w:tcPr>
          <w:p w14:paraId="153B75E3" w14:textId="5B0B6EE5" w:rsidR="00262896" w:rsidRPr="00CB51FA" w:rsidRDefault="00E2157A" w:rsidP="0002297E">
            <w:pPr>
              <w:widowControl/>
              <w:spacing w:after="0" w:line="240" w:lineRule="auto"/>
              <w:jc w:val="center"/>
              <w:rPr>
                <w:rFonts w:asciiTheme="majorHAnsi" w:hAnsiTheme="majorHAnsi" w:cstheme="majorHAnsi"/>
                <w:b/>
                <w:bCs/>
                <w:sz w:val="16"/>
                <w:szCs w:val="16"/>
                <w:highlight w:val="yellow"/>
                <w:lang w:val="lv-LV"/>
              </w:rPr>
            </w:pPr>
            <w:r w:rsidRPr="003678A3">
              <w:rPr>
                <w:rFonts w:asciiTheme="majorHAnsi" w:hAnsiTheme="majorHAnsi" w:cstheme="majorHAnsi"/>
                <w:b/>
                <w:bCs/>
                <w:sz w:val="16"/>
                <w:szCs w:val="16"/>
                <w:lang w:val="lv-LV"/>
              </w:rPr>
              <w:t>Tehnoloģiskās ietilpības līdzīb</w:t>
            </w:r>
            <w:r>
              <w:rPr>
                <w:rFonts w:asciiTheme="majorHAnsi" w:hAnsiTheme="majorHAnsi" w:cstheme="majorHAnsi"/>
                <w:b/>
                <w:bCs/>
                <w:sz w:val="16"/>
                <w:szCs w:val="16"/>
                <w:lang w:val="lv-LV"/>
              </w:rPr>
              <w:t>a</w:t>
            </w:r>
          </w:p>
        </w:tc>
        <w:tc>
          <w:tcPr>
            <w:tcW w:w="680" w:type="dxa"/>
          </w:tcPr>
          <w:p w14:paraId="25263678" w14:textId="77777777" w:rsidR="00262896" w:rsidRPr="007D65E7" w:rsidRDefault="00262896" w:rsidP="0002297E">
            <w:pPr>
              <w:widowControl/>
              <w:spacing w:after="0" w:line="240" w:lineRule="auto"/>
              <w:jc w:val="center"/>
              <w:rPr>
                <w:rFonts w:asciiTheme="majorHAnsi" w:hAnsiTheme="majorHAnsi" w:cstheme="majorHAnsi"/>
                <w:sz w:val="16"/>
                <w:szCs w:val="16"/>
                <w:lang w:val="lv-LV"/>
              </w:rPr>
            </w:pPr>
          </w:p>
        </w:tc>
      </w:tr>
    </w:tbl>
    <w:p w14:paraId="329C88B5" w14:textId="77777777" w:rsidR="00262896" w:rsidRPr="00CB51FA" w:rsidRDefault="00262896" w:rsidP="00262896">
      <w:pPr>
        <w:widowControl/>
        <w:spacing w:before="120" w:after="120" w:line="240" w:lineRule="auto"/>
        <w:ind w:firstLine="426"/>
        <w:jc w:val="both"/>
        <w:rPr>
          <w:rFonts w:ascii="Arial Nova Cond Light" w:hAnsi="Arial Nova Cond Light"/>
          <w:bCs/>
          <w:iCs/>
          <w:sz w:val="16"/>
          <w:lang w:val="lv-LV"/>
        </w:rPr>
      </w:pPr>
      <w:r w:rsidRPr="00CB51FA">
        <w:rPr>
          <w:rFonts w:ascii="Arial Nova Cond Light" w:hAnsi="Arial Nova Cond Light"/>
          <w:bCs/>
          <w:iCs/>
          <w:sz w:val="16"/>
          <w:lang w:val="lv-LV"/>
        </w:rPr>
        <w:t>Avots:</w:t>
      </w:r>
      <w:r w:rsidRPr="00097491">
        <w:rPr>
          <w:rFonts w:ascii="Arial Nova Cond Light" w:hAnsi="Arial Nova Cond Light"/>
          <w:sz w:val="16"/>
        </w:rPr>
        <w:t xml:space="preserve"> </w:t>
      </w:r>
      <w:r w:rsidRPr="00CB51FA">
        <w:rPr>
          <w:rFonts w:ascii="Arial Nova Cond Light" w:hAnsi="Arial Nova Cond Light"/>
          <w:bCs/>
          <w:iCs/>
          <w:sz w:val="16"/>
          <w:lang w:val="lv-LV"/>
        </w:rPr>
        <w:t xml:space="preserve">Eiropas </w:t>
      </w:r>
      <w:r>
        <w:rPr>
          <w:rFonts w:ascii="Arial Nova Cond Light" w:hAnsi="Arial Nova Cond Light"/>
          <w:bCs/>
          <w:iCs/>
          <w:sz w:val="16"/>
          <w:lang w:val="lv-LV"/>
        </w:rPr>
        <w:t>K</w:t>
      </w:r>
      <w:r w:rsidRPr="00CB51FA">
        <w:rPr>
          <w:rFonts w:ascii="Arial Nova Cond Light" w:hAnsi="Arial Nova Cond Light"/>
          <w:bCs/>
          <w:iCs/>
          <w:sz w:val="16"/>
          <w:lang w:val="lv-LV"/>
        </w:rPr>
        <w:t>omisija,</w:t>
      </w:r>
      <w:r w:rsidRPr="00CB51FA">
        <w:rPr>
          <w:rFonts w:ascii="Arial Nova Cond Light" w:hAnsi="Arial Nova Cond Light"/>
        </w:rPr>
        <w:t xml:space="preserve"> </w:t>
      </w:r>
      <w:r w:rsidRPr="00CB51FA">
        <w:rPr>
          <w:rFonts w:ascii="Arial Nova Cond Light" w:hAnsi="Arial Nova Cond Light"/>
          <w:bCs/>
          <w:iCs/>
          <w:sz w:val="16"/>
          <w:lang w:val="lv-LV"/>
        </w:rPr>
        <w:t>Pētniecības un inovācijas ģenerāldirektorāts (DG RTD).</w:t>
      </w:r>
    </w:p>
    <w:p w14:paraId="3A35499E" w14:textId="77777777" w:rsidR="00262896" w:rsidRPr="00CB51FA" w:rsidRDefault="00262896" w:rsidP="00262896">
      <w:pPr>
        <w:widowControl/>
        <w:spacing w:after="120" w:line="240" w:lineRule="auto"/>
        <w:rPr>
          <w:rFonts w:ascii="Verdana Pro Cond Light" w:hAnsi="Verdana Pro Cond Light" w:cs="Arial"/>
          <w:lang w:val="lv-LV"/>
        </w:rPr>
      </w:pPr>
    </w:p>
    <w:p w14:paraId="2955FF47" w14:textId="77777777" w:rsidR="00262896" w:rsidRPr="004C2ACE" w:rsidRDefault="00262896" w:rsidP="00262896">
      <w:pPr>
        <w:widowControl/>
        <w:spacing w:after="120" w:line="240" w:lineRule="auto"/>
        <w:rPr>
          <w:rFonts w:ascii="Verdana Pro Cond Light" w:hAnsi="Verdana Pro Cond Light" w:cs="Arial"/>
          <w:lang w:val="lv-LV"/>
        </w:rPr>
      </w:pPr>
      <w:r w:rsidRPr="00CB51FA">
        <w:rPr>
          <w:rFonts w:ascii="Verdana Pro Cond Light" w:hAnsi="Verdana Pro Cond Light" w:cs="Arial"/>
          <w:lang w:val="lv-LV"/>
        </w:rPr>
        <w:t xml:space="preserve">Tomēr nav garantēts, ka ES pieprasījumu pēc tīrajām tehnoloģijām apmierinās ES piedāvājums, ņemot vērā pieaugošo Ķīnas jaudu un mērogu. </w:t>
      </w:r>
      <w:r w:rsidRPr="004C2ACE">
        <w:rPr>
          <w:rFonts w:ascii="Verdana Pro Cond Light" w:hAnsi="Verdana Pro Cond Light" w:cs="Arial"/>
          <w:lang w:val="lv-LV"/>
        </w:rPr>
        <w:t>Eiropai ir jāpieņem dažas fundamentālas izvēles par to, kā turpināt savu dekarbonizācijas ceļu, saglabājot savas nozares konkurētspēju. Ekonomists uzsver, ka jāizmanto jaukta stratēģija, kura apvieno dažādus politikas instrumentus un pieejas dažādām nozarēm. Šīs stratēģijas īstenošanai būs nepieciešams kopīgs dekarbonizācijas un konkurētspējas plāns, kurā ir visas politikas saskaņotas ar ES mērķiem.</w:t>
      </w:r>
    </w:p>
    <w:p w14:paraId="632F0834" w14:textId="77777777" w:rsidR="00262896" w:rsidRPr="00CB51FA" w:rsidRDefault="00262896" w:rsidP="00262896">
      <w:pPr>
        <w:widowControl/>
        <w:spacing w:after="120" w:line="240" w:lineRule="auto"/>
        <w:rPr>
          <w:rFonts w:ascii="Verdana Pro Cond Light" w:hAnsi="Verdana Pro Cond Light" w:cs="Arial"/>
          <w:lang w:val="lv-LV"/>
        </w:rPr>
      </w:pPr>
      <w:r w:rsidRPr="00CB51FA">
        <w:rPr>
          <w:rFonts w:ascii="Verdana Pro Cond Light" w:hAnsi="Verdana Pro Cond Light" w:cs="Arial"/>
          <w:lang w:val="lv-LV"/>
        </w:rPr>
        <w:t>ES jācenšas palielināt jaunu investīciju ilgtermiņa kreditēšanas spēju Eiropā, piemēram, piemērojot vietējās prasības, un nodrošināt minimālo tehnoloģiskās suverenitātes līmeni. Pēdējo var panākt, piemēram, pieprasot ārvalstu uzņēmumiem, kas vēlas ražot Eiropā, slēgt kopuzņēmumus ar vietējiem uzņēmumiem. Drošības apsvērumi laika gaitā var izraisīt izmaiņas stratēģiskas nozīmes nozaru klasifikācijā.</w:t>
      </w:r>
    </w:p>
    <w:p w14:paraId="1E5AA2B0" w14:textId="77777777" w:rsidR="00262896" w:rsidRPr="00CB51FA" w:rsidRDefault="00262896" w:rsidP="00262896">
      <w:pPr>
        <w:widowControl/>
        <w:spacing w:after="120" w:line="240" w:lineRule="auto"/>
        <w:rPr>
          <w:rFonts w:ascii="Verdana Pro Cond Light" w:hAnsi="Verdana Pro Cond Light" w:cs="Arial"/>
          <w:lang w:val="lv-LV"/>
        </w:rPr>
      </w:pPr>
      <w:r w:rsidRPr="004C2ACE">
        <w:rPr>
          <w:rFonts w:ascii="Verdana Pro Cond Light" w:hAnsi="Verdana Pro Cond Light" w:cs="Arial"/>
          <w:lang w:val="lv-LV"/>
        </w:rPr>
        <w:t xml:space="preserve">Ziņojumā atzīmēts, ka Eiropas inovāciju potenciāls </w:t>
      </w:r>
      <w:r>
        <w:rPr>
          <w:rFonts w:ascii="Verdana Pro Cond Light" w:hAnsi="Verdana Pro Cond Light" w:cs="Arial"/>
          <w:lang w:val="lv-LV"/>
        </w:rPr>
        <w:t xml:space="preserve">šobrīd </w:t>
      </w:r>
      <w:r w:rsidRPr="004C2ACE">
        <w:rPr>
          <w:rFonts w:ascii="Verdana Pro Cond Light" w:hAnsi="Verdana Pro Cond Light" w:cs="Arial"/>
          <w:lang w:val="lv-LV"/>
        </w:rPr>
        <w:t xml:space="preserve">nerezultējas kā ražošanas pārākums tīro tehnoloģiju jomā, neskatoties uz ES iekšējā tirgus lielumu. </w:t>
      </w:r>
      <w:r w:rsidRPr="00CB51FA">
        <w:rPr>
          <w:rFonts w:ascii="Verdana Pro Cond Light" w:hAnsi="Verdana Pro Cond Light" w:cs="Arial"/>
          <w:lang w:val="lv-LV"/>
        </w:rPr>
        <w:t>Lai gan Eiropa ir pasaules līderis tīro tehnoloģiju inovācijās, tā iznieko agrīnās stadijas priekšrocības savas inovācijas ekosistēmas nepilnību dēļ. Pamatojoties uz pašreizējo politiku, Ķīnas tehnoloģiju izmantošana var būt lētākais ceļš, lai sasniegtu dažus no zaļajiem mērķiem. Pateicoties straujajam inovāciju tempam, zemajām ražošanas izmaksām un valsts subsīdijām, kas Ķīnā ir četras reizes lielākas nekā citās lielākajās ekonomikās, valsts šobrīd dominē tīro tehnoloģiju eksportā pasaulē. L</w:t>
      </w:r>
      <w:r>
        <w:rPr>
          <w:rFonts w:ascii="Verdana Pro Cond Light" w:hAnsi="Verdana Pro Cond Light" w:cs="Arial"/>
          <w:lang w:val="lv-LV"/>
        </w:rPr>
        <w:t>ī</w:t>
      </w:r>
      <w:r w:rsidRPr="00CB51FA">
        <w:rPr>
          <w:rFonts w:ascii="Verdana Pro Cond Light" w:hAnsi="Verdana Pro Cond Light" w:cs="Arial"/>
          <w:lang w:val="lv-LV"/>
        </w:rPr>
        <w:t>dz ar to Ķīnā paredzams ievērojams jaudas pārpalikums: vēlākais līdz 2030.</w:t>
      </w:r>
      <w:r>
        <w:rPr>
          <w:rFonts w:ascii="Verdana Pro Cond Light" w:hAnsi="Verdana Pro Cond Light" w:cs="Arial"/>
          <w:lang w:val="lv-LV"/>
        </w:rPr>
        <w:t> </w:t>
      </w:r>
      <w:r w:rsidRPr="00CB51FA">
        <w:rPr>
          <w:rFonts w:ascii="Verdana Pro Cond Light" w:hAnsi="Verdana Pro Cond Light" w:cs="Arial"/>
          <w:lang w:val="lv-LV"/>
        </w:rPr>
        <w:t>gadam. Turklāt, reaģējot uz negodīgu konkurenci, arvien vairāk valstu paaugstina tarifu un beztarifu barjeras pret Ķīnu, kas novirzīs Ķīnas jaud</w:t>
      </w:r>
      <w:r>
        <w:rPr>
          <w:rFonts w:ascii="Verdana Pro Cond Light" w:hAnsi="Verdana Pro Cond Light" w:cs="Arial"/>
          <w:lang w:val="lv-LV"/>
        </w:rPr>
        <w:t>u</w:t>
      </w:r>
      <w:r w:rsidRPr="00CB51FA">
        <w:rPr>
          <w:rFonts w:ascii="Verdana Pro Cond Light" w:hAnsi="Verdana Pro Cond Light" w:cs="Arial"/>
          <w:lang w:val="lv-LV"/>
        </w:rPr>
        <w:t xml:space="preserve"> pārpalikumu uz ES tirgu. Tā piemēram, š.g. maijā ASV paziņoja par ievērojamiem tarifu paaugstinājumiem virknei produktu.</w:t>
      </w:r>
    </w:p>
    <w:p w14:paraId="161FEDB7" w14:textId="77777777" w:rsidR="00262896" w:rsidRPr="004C2ACE" w:rsidRDefault="00262896" w:rsidP="00262896">
      <w:pPr>
        <w:widowControl/>
        <w:spacing w:after="120" w:line="240" w:lineRule="auto"/>
        <w:rPr>
          <w:rFonts w:ascii="Verdana Pro Cond Light" w:hAnsi="Verdana Pro Cond Light" w:cs="Arial"/>
          <w:lang w:val="lv-LV"/>
        </w:rPr>
      </w:pPr>
      <w:r w:rsidRPr="004C2ACE">
        <w:rPr>
          <w:rFonts w:ascii="Verdana Pro Cond Light" w:hAnsi="Verdana Pro Cond Light" w:cs="Arial"/>
          <w:lang w:val="lv-LV"/>
        </w:rPr>
        <w:t xml:space="preserve">M.Dragi atzīmē, ka </w:t>
      </w:r>
      <w:r>
        <w:rPr>
          <w:rFonts w:ascii="Verdana Pro Cond Light" w:hAnsi="Verdana Pro Cond Light" w:cs="Arial"/>
          <w:lang w:val="lv-LV"/>
        </w:rPr>
        <w:t>a</w:t>
      </w:r>
      <w:r w:rsidRPr="004C2ACE">
        <w:rPr>
          <w:rFonts w:ascii="Verdana Pro Cond Light" w:hAnsi="Verdana Pro Cond Light" w:cs="Arial"/>
          <w:lang w:val="lv-LV"/>
        </w:rPr>
        <w:t xml:space="preserve">pdraudējums Eiropas pozīcijai tīro tehnoloģiju jomā galvenokārt ir saistīts ar </w:t>
      </w:r>
      <w:r w:rsidRPr="004C2ACE">
        <w:rPr>
          <w:rFonts w:ascii="Verdana Pro Cond Light" w:hAnsi="Verdana Pro Cond Light" w:cs="Arial"/>
          <w:b/>
          <w:bCs/>
          <w:lang w:val="lv-LV"/>
        </w:rPr>
        <w:t>rūpniecības stratēģijas trūkumu,</w:t>
      </w:r>
      <w:r w:rsidRPr="004C2ACE">
        <w:rPr>
          <w:rFonts w:ascii="Verdana Pro Cond Light" w:hAnsi="Verdana Pro Cond Light" w:cs="Arial"/>
          <w:lang w:val="lv-LV"/>
        </w:rPr>
        <w:t xml:space="preserve"> salīdzinot ar citiem lielākajiem reģioniem.</w:t>
      </w:r>
    </w:p>
    <w:p w14:paraId="61EF4CA9" w14:textId="77777777" w:rsidR="00262896" w:rsidRPr="00CB51FA" w:rsidRDefault="00262896" w:rsidP="00262896">
      <w:pPr>
        <w:widowControl/>
        <w:spacing w:after="120" w:line="240" w:lineRule="auto"/>
        <w:rPr>
          <w:rFonts w:ascii="Verdana Pro Cond Light" w:hAnsi="Verdana Pro Cond Light" w:cs="Arial"/>
          <w:lang w:val="lv-LV"/>
        </w:rPr>
      </w:pPr>
      <w:r w:rsidRPr="00CB51FA">
        <w:rPr>
          <w:rFonts w:ascii="Verdana Pro Cond Light" w:hAnsi="Verdana Pro Cond Light" w:cs="Arial"/>
          <w:lang w:val="lv-LV"/>
        </w:rPr>
        <w:t xml:space="preserve">ES ražotāji galvenokārt cieš no pieprasījuma stabilitātes trūkuma un ražošanas izmaksu atšķirībām, ko pastiprina nevienlīdzīgi konkurences apstākļi ar citām lielākajām ekonomikām, kas nodrošina ievērojamas subsīdijas un rada tirdzniecības šķēršļus. Eiropas Komisija lēš, ka Ķīnas subsīdijas tīro tehnoloģiju ražošanai jau sen ir bijušas divas reizes lielākas nekā ES subsīdijas attiecībā pret IKP, savukārt valsts ir aizsargājusi savu vietējo saules </w:t>
      </w:r>
      <w:r>
        <w:rPr>
          <w:rFonts w:ascii="Verdana Pro Cond Light" w:hAnsi="Verdana Pro Cond Light" w:cs="Arial"/>
          <w:lang w:val="lv-LV"/>
        </w:rPr>
        <w:t>fotoelektrisko (</w:t>
      </w:r>
      <w:r w:rsidRPr="00CB51FA">
        <w:rPr>
          <w:rFonts w:ascii="Verdana Pro Cond Light" w:hAnsi="Verdana Pro Cond Light" w:cs="Arial"/>
          <w:lang w:val="lv-LV"/>
        </w:rPr>
        <w:t>PV</w:t>
      </w:r>
      <w:r>
        <w:rPr>
          <w:rFonts w:ascii="Verdana Pro Cond Light" w:hAnsi="Verdana Pro Cond Light" w:cs="Arial"/>
          <w:lang w:val="lv-LV"/>
        </w:rPr>
        <w:t>) paneļu</w:t>
      </w:r>
      <w:r w:rsidRPr="00CB51FA">
        <w:rPr>
          <w:rFonts w:ascii="Verdana Pro Cond Light" w:hAnsi="Verdana Pro Cond Light" w:cs="Arial"/>
          <w:lang w:val="lv-LV"/>
        </w:rPr>
        <w:t xml:space="preserve">, vēja enerģijas ražošanas iekārtu un </w:t>
      </w:r>
      <w:r>
        <w:rPr>
          <w:rFonts w:ascii="Verdana Pro Cond Light" w:hAnsi="Verdana Pro Cond Light" w:cs="Arial"/>
          <w:lang w:val="lv-LV"/>
        </w:rPr>
        <w:t>elektrisko transportlīdzekļu (</w:t>
      </w:r>
      <w:r w:rsidRPr="00CB51FA">
        <w:rPr>
          <w:rFonts w:ascii="Verdana Pro Cond Light" w:hAnsi="Verdana Pro Cond Light" w:cs="Arial"/>
          <w:lang w:val="lv-LV"/>
        </w:rPr>
        <w:t>EV</w:t>
      </w:r>
      <w:r>
        <w:rPr>
          <w:rFonts w:ascii="Verdana Pro Cond Light" w:hAnsi="Verdana Pro Cond Light" w:cs="Arial"/>
          <w:lang w:val="lv-LV"/>
        </w:rPr>
        <w:t>)</w:t>
      </w:r>
      <w:r w:rsidRPr="00CB51FA">
        <w:rPr>
          <w:rFonts w:ascii="Verdana Pro Cond Light" w:hAnsi="Verdana Pro Cond Light" w:cs="Arial"/>
          <w:lang w:val="lv-LV"/>
        </w:rPr>
        <w:t xml:space="preserve"> akumulatoru tirgu.</w:t>
      </w:r>
    </w:p>
    <w:p w14:paraId="345CDEAA" w14:textId="77777777" w:rsidR="00262896" w:rsidRPr="004C2ACE" w:rsidRDefault="00262896" w:rsidP="00262896">
      <w:pPr>
        <w:widowControl/>
        <w:spacing w:after="120" w:line="240" w:lineRule="auto"/>
        <w:rPr>
          <w:rFonts w:ascii="Verdana Pro Cond Light" w:hAnsi="Verdana Pro Cond Light" w:cs="Arial"/>
          <w:lang w:val="lv-LV"/>
        </w:rPr>
      </w:pPr>
      <w:r w:rsidRPr="004C2ACE">
        <w:rPr>
          <w:rFonts w:ascii="Verdana Pro Cond Light" w:hAnsi="Verdana Pro Cond Light" w:cs="Arial"/>
          <w:lang w:val="lv-LV"/>
        </w:rPr>
        <w:lastRenderedPageBreak/>
        <w:t>ES bateriju nozares pozitīv</w:t>
      </w:r>
      <w:r>
        <w:rPr>
          <w:rFonts w:ascii="Verdana Pro Cond Light" w:hAnsi="Verdana Pro Cond Light" w:cs="Arial"/>
          <w:lang w:val="lv-LV"/>
        </w:rPr>
        <w:t>ā</w:t>
      </w:r>
      <w:r w:rsidRPr="004C2ACE">
        <w:rPr>
          <w:rFonts w:ascii="Verdana Pro Cond Light" w:hAnsi="Verdana Pro Cond Light" w:cs="Arial"/>
          <w:lang w:val="lv-LV"/>
        </w:rPr>
        <w:t>s perspektīvas liecina, ka mērķtiecīgi politikas centieni var gūt panākumus, pat ja spēlētāji no ārpussavienības var gūt vislielāko labumu.</w:t>
      </w:r>
    </w:p>
    <w:p w14:paraId="69D6EF7B" w14:textId="77777777" w:rsidR="00262896" w:rsidRPr="00CB51FA" w:rsidRDefault="00262896" w:rsidP="00262896">
      <w:pPr>
        <w:widowControl/>
        <w:spacing w:after="120" w:line="240" w:lineRule="auto"/>
        <w:rPr>
          <w:rFonts w:ascii="Verdana Pro Cond Light" w:hAnsi="Verdana Pro Cond Light" w:cs="Arial"/>
          <w:lang w:val="lv-LV"/>
        </w:rPr>
      </w:pPr>
      <w:r w:rsidRPr="00CB51FA">
        <w:rPr>
          <w:rFonts w:ascii="Verdana Pro Cond Light" w:hAnsi="Verdana Pro Cond Light" w:cs="Arial"/>
          <w:lang w:val="lv-LV"/>
        </w:rPr>
        <w:t>Ziņojumā ir uzsvērts, ka ES ir pasaulē lielākā gāzes un sašķidrinātās dabasgāzes importētāja, tomēr tās potenciālā koplīgumu slēgšanas spēja netiek pietiekami izmantota un pārmērīgi paļaujas uz tūlītējām cenām, radot Eiropai riskus ar nepastāvīgākām dabasgāzes cenām. Gāzes atvasināto instrumentu tirgu finansiālie un uzvedības aspekti var saasināt šo nepastāvību un pastiprināt šoku ietekmi. Daži nefinanšu uzņēmumi veic lielāko daļu tirdzniecības darbību Eiropas gāzes tirgos. 5 labākajiem uzņēmumiem dažās tirdzniecības vietās pieder aptuveni 60% pozīciju, un to pozīcijas no 2022. gada februāra līdz novembrim ievērojami palielinājās par gandrīz 200</w:t>
      </w:r>
      <w:r>
        <w:rPr>
          <w:rFonts w:ascii="Verdana Pro Cond Light" w:hAnsi="Verdana Pro Cond Light" w:cs="Arial"/>
          <w:lang w:val="lv-LV"/>
        </w:rPr>
        <w:t> </w:t>
      </w:r>
      <w:r w:rsidRPr="00CB51FA">
        <w:rPr>
          <w:rFonts w:ascii="Verdana Pro Cond Light" w:hAnsi="Verdana Pro Cond Light" w:cs="Arial"/>
          <w:lang w:val="lv-LV"/>
        </w:rPr>
        <w:t>%.</w:t>
      </w:r>
    </w:p>
    <w:p w14:paraId="75AE25B6" w14:textId="77777777" w:rsidR="00262896" w:rsidRPr="00CB51FA" w:rsidRDefault="00262896" w:rsidP="00262896">
      <w:pPr>
        <w:widowControl/>
        <w:spacing w:after="120" w:line="240" w:lineRule="auto"/>
        <w:rPr>
          <w:rFonts w:ascii="Verdana Pro Cond Light" w:hAnsi="Verdana Pro Cond Light" w:cs="Arial"/>
          <w:lang w:val="lv-LV"/>
        </w:rPr>
      </w:pPr>
      <w:r w:rsidRPr="00CB51FA">
        <w:rPr>
          <w:rFonts w:ascii="Verdana Pro Cond Light" w:hAnsi="Verdana Pro Cond Light" w:cs="Arial"/>
          <w:lang w:val="lv-LV"/>
        </w:rPr>
        <w:t xml:space="preserve">“Neelastīgās” nozares cieš ne tikai no augstajām enerģijas cenām, bet arī no sabiedrības atbalsta trūkuma, lai sasniegtu dekarbonizācijas mērķus un ieguldījumus ilgtspējīgā degvielā. </w:t>
      </w:r>
      <w:r w:rsidRPr="004C2ACE">
        <w:rPr>
          <w:rFonts w:ascii="Verdana Pro Cond Light" w:hAnsi="Verdana Pro Cond Light" w:cs="Arial"/>
          <w:lang w:val="lv-LV"/>
        </w:rPr>
        <w:br/>
        <w:t xml:space="preserve">Kopumā transportam var būt izšķiroša nozīme ES ekonomikas dekarbonizācijā, bet vai tas Eiropai izdosies, ir atkarīgs no plānošanas. </w:t>
      </w:r>
      <w:r w:rsidRPr="00CB51FA">
        <w:rPr>
          <w:rFonts w:ascii="Verdana Pro Cond Light" w:hAnsi="Verdana Pro Cond Light" w:cs="Arial"/>
          <w:lang w:val="lv-LV"/>
        </w:rPr>
        <w:t>Transports rada vienu ceturtdaļu no visām siltumnīcefekta gāzu emisijām, un atšķirībā no citām nozarēm transporta radītās CO2 emisijas joprojām ir lielākas nekā 1990. gadā. Automobiļu nozare ir labs piemērs ES plānošanas trūkumam, piemērojot klimata politiku bez rūpniecības politikas.  Ķīnas automobiļu ražotāju tirgus daļa EV tirgū Eiropā pieauga no 5% 2015. gadā līdz gandrīz 15% 2023. gadā, savukārt Eiropas autoražotāju daļa Eiropas EV tirgū samazinājās no 80% līdz 60%.</w:t>
      </w:r>
    </w:p>
    <w:p w14:paraId="34E9A3C4" w14:textId="77777777" w:rsidR="00262896" w:rsidRPr="00CB51FA" w:rsidRDefault="00262896" w:rsidP="00262896">
      <w:pPr>
        <w:widowControl/>
        <w:spacing w:after="120" w:line="240" w:lineRule="auto"/>
        <w:rPr>
          <w:rFonts w:ascii="Verdana Pro Cond Light" w:hAnsi="Verdana Pro Cond Light" w:cs="Arial"/>
          <w:lang w:val="lv-LV"/>
        </w:rPr>
      </w:pPr>
      <w:r w:rsidRPr="0079140F">
        <w:rPr>
          <w:rFonts w:ascii="Verdana Pro Cond Light" w:hAnsi="Verdana Pro Cond Light" w:cs="Arial"/>
          <w:lang w:val="lv-LV"/>
        </w:rPr>
        <w:t xml:space="preserve">Runājot par rekomendācijām, M.Dragi norāda, ka enerģētikas nozares galvenais mērķis ir </w:t>
      </w:r>
      <w:bookmarkStart w:id="22" w:name="_Hlk177855701"/>
      <w:r w:rsidRPr="0079140F">
        <w:rPr>
          <w:rFonts w:ascii="Verdana Pro Cond Light" w:hAnsi="Verdana Pro Cond Light" w:cs="Arial"/>
          <w:b/>
          <w:bCs/>
          <w:lang w:val="lv-LV"/>
        </w:rPr>
        <w:t xml:space="preserve">samazināt enerģijas izmaksas galalietotājiem, </w:t>
      </w:r>
      <w:r>
        <w:rPr>
          <w:rFonts w:ascii="Verdana Pro Cond Light" w:hAnsi="Verdana Pro Cond Light" w:cs="Arial"/>
          <w:b/>
          <w:bCs/>
          <w:lang w:val="lv-LV"/>
        </w:rPr>
        <w:t>pilnībā izmantojot enerģētikas</w:t>
      </w:r>
      <w:r w:rsidRPr="0079140F">
        <w:rPr>
          <w:rFonts w:ascii="Verdana Pro Cond Light" w:hAnsi="Verdana Pro Cond Light" w:cs="Arial"/>
          <w:b/>
          <w:bCs/>
          <w:lang w:val="lv-LV"/>
        </w:rPr>
        <w:t xml:space="preserve"> dekarbonizācijas priekšrocības</w:t>
      </w:r>
      <w:bookmarkEnd w:id="22"/>
      <w:r w:rsidRPr="0079140F">
        <w:rPr>
          <w:rFonts w:ascii="Verdana Pro Cond Light" w:hAnsi="Verdana Pro Cond Light" w:cs="Arial"/>
          <w:b/>
          <w:bCs/>
          <w:lang w:val="lv-LV"/>
        </w:rPr>
        <w:t>.</w:t>
      </w:r>
      <w:r w:rsidRPr="0079140F">
        <w:rPr>
          <w:rFonts w:ascii="Verdana Pro Cond Light" w:hAnsi="Verdana Pro Cond Light" w:cs="Arial"/>
          <w:lang w:val="lv-LV"/>
        </w:rPr>
        <w:t xml:space="preserve"> </w:t>
      </w:r>
      <w:r w:rsidRPr="00CB51FA">
        <w:rPr>
          <w:rFonts w:ascii="Verdana Pro Cond Light" w:hAnsi="Verdana Pro Cond Light" w:cs="Arial"/>
          <w:lang w:val="lv-LV"/>
        </w:rPr>
        <w:t xml:space="preserve">Tajā pašā laikā, lai pārnestu dekarbonizācijas priekšrocības, ir vajadzīga politika, kas labāk atdalītu dabasgāzes cenu no tīras enerģijas. ES būtu jānodala maksa par atjaunojamo enerģiju un kodolenerģiju no fosilā kurināmā enerģijas ģenerācijas, pamatojoties uz instrumentiem, kas ieviesti saskaņā ar jauno elektroenerģijas tirgus dizainu, piemēram, PPP </w:t>
      </w:r>
      <w:r>
        <w:rPr>
          <w:rFonts w:ascii="Verdana Pro Cond Light" w:hAnsi="Verdana Pro Cond Light" w:cs="Arial"/>
          <w:lang w:val="lv-LV"/>
        </w:rPr>
        <w:t>(</w:t>
      </w:r>
      <w:r w:rsidRPr="001A1A67">
        <w:rPr>
          <w:rFonts w:ascii="Verdana Pro Cond Light" w:hAnsi="Verdana Pro Cond Light" w:cs="Arial"/>
          <w:i/>
          <w:iCs/>
          <w:lang w:val="lv-LV"/>
        </w:rPr>
        <w:t>public private partnership</w:t>
      </w:r>
      <w:r>
        <w:rPr>
          <w:rFonts w:ascii="Verdana Pro Cond Light" w:hAnsi="Verdana Pro Cond Light" w:cs="Arial"/>
          <w:lang w:val="lv-LV"/>
        </w:rPr>
        <w:t xml:space="preserve">) </w:t>
      </w:r>
      <w:r w:rsidRPr="00CB51FA">
        <w:rPr>
          <w:rFonts w:ascii="Verdana Pro Cond Light" w:hAnsi="Verdana Pro Cond Light" w:cs="Arial"/>
          <w:lang w:val="lv-LV"/>
        </w:rPr>
        <w:t>un divvirzienu</w:t>
      </w:r>
      <w:r>
        <w:rPr>
          <w:rFonts w:ascii="Verdana Pro Cond Light" w:hAnsi="Verdana Pro Cond Light" w:cs="Arial"/>
          <w:lang w:val="lv-LV"/>
        </w:rPr>
        <w:t xml:space="preserve"> starpības līgumi</w:t>
      </w:r>
      <w:r w:rsidRPr="00CB51FA">
        <w:rPr>
          <w:rFonts w:ascii="Verdana Pro Cond Light" w:hAnsi="Verdana Pro Cond Light" w:cs="Arial"/>
          <w:lang w:val="lv-LV"/>
        </w:rPr>
        <w:t xml:space="preserve"> </w:t>
      </w:r>
      <w:r>
        <w:rPr>
          <w:rFonts w:ascii="Verdana Pro Cond Light" w:hAnsi="Verdana Pro Cond Light" w:cs="Arial"/>
          <w:lang w:val="lv-LV"/>
        </w:rPr>
        <w:t>(</w:t>
      </w:r>
      <w:r w:rsidRPr="00CB51FA">
        <w:rPr>
          <w:rFonts w:ascii="Verdana Pro Cond Light" w:hAnsi="Verdana Pro Cond Light" w:cs="Arial"/>
          <w:lang w:val="lv-LV"/>
        </w:rPr>
        <w:t>C</w:t>
      </w:r>
      <w:r>
        <w:rPr>
          <w:rFonts w:ascii="Verdana Pro Cond Light" w:hAnsi="Verdana Pro Cond Light" w:cs="Arial"/>
          <w:lang w:val="lv-LV"/>
        </w:rPr>
        <w:t>F</w:t>
      </w:r>
      <w:r w:rsidRPr="00CB51FA">
        <w:rPr>
          <w:rFonts w:ascii="Verdana Pro Cond Light" w:hAnsi="Verdana Pro Cond Light" w:cs="Arial"/>
          <w:lang w:val="lv-LV"/>
        </w:rPr>
        <w:t>D</w:t>
      </w:r>
      <w:r>
        <w:rPr>
          <w:rFonts w:ascii="Verdana Pro Cond Light" w:hAnsi="Verdana Pro Cond Light" w:cs="Arial"/>
          <w:lang w:val="lv-LV"/>
        </w:rPr>
        <w:t xml:space="preserve">, </w:t>
      </w:r>
      <w:r w:rsidRPr="00CB51FA">
        <w:rPr>
          <w:rFonts w:ascii="Verdana Pro Cond Light" w:hAnsi="Verdana Pro Cond Light" w:cs="Arial"/>
          <w:lang w:val="lv-LV"/>
        </w:rPr>
        <w:t>contracts for difference), un pakāpeniski attiecinot PPP un CFD uz visiem atjaunojamiem un kodolenerģijas aktīviem saskaņotā veidā.</w:t>
      </w:r>
    </w:p>
    <w:p w14:paraId="023C585E" w14:textId="77777777" w:rsidR="00262896" w:rsidRDefault="00262896" w:rsidP="00262896">
      <w:pPr>
        <w:widowControl/>
        <w:spacing w:after="120" w:line="240" w:lineRule="auto"/>
        <w:rPr>
          <w:rFonts w:ascii="Verdana Pro Cond Light" w:hAnsi="Verdana Pro Cond Light" w:cs="Arial"/>
          <w:b/>
          <w:bCs/>
          <w:lang w:val="lv-LV"/>
        </w:rPr>
      </w:pPr>
      <w:r w:rsidRPr="004C2ACE">
        <w:rPr>
          <w:rFonts w:ascii="Verdana Pro Cond Light" w:hAnsi="Verdana Pro Cond Light" w:cs="Arial"/>
          <w:lang w:val="lv-LV"/>
        </w:rPr>
        <w:t xml:space="preserve">Otrs galvenais mērķis ir </w:t>
      </w:r>
      <w:bookmarkStart w:id="23" w:name="_Hlk177855725"/>
      <w:r w:rsidRPr="004C2ACE">
        <w:rPr>
          <w:rFonts w:ascii="Verdana Pro Cond Light" w:hAnsi="Verdana Pro Cond Light" w:cs="Arial"/>
          <w:b/>
          <w:bCs/>
          <w:lang w:val="lv-LV"/>
        </w:rPr>
        <w:t>paātrināt dekarbonizāciju rentablā veidā</w:t>
      </w:r>
      <w:r w:rsidRPr="004C2ACE">
        <w:rPr>
          <w:rFonts w:ascii="Verdana Pro Cond Light" w:hAnsi="Verdana Pro Cond Light" w:cs="Arial"/>
          <w:lang w:val="lv-LV"/>
        </w:rPr>
        <w:t>, izmantojot visus pieejamos risinājumus, izmantojot</w:t>
      </w:r>
      <w:r w:rsidRPr="004C2ACE">
        <w:rPr>
          <w:rFonts w:ascii="Verdana Pro Cond Light" w:hAnsi="Verdana Pro Cond Light" w:cs="Arial"/>
          <w:b/>
          <w:bCs/>
          <w:lang w:val="lv-LV"/>
        </w:rPr>
        <w:t xml:space="preserve"> tehnoloģiski neitrālu pieeju</w:t>
      </w:r>
      <w:bookmarkEnd w:id="23"/>
      <w:r w:rsidRPr="004C2ACE">
        <w:rPr>
          <w:rFonts w:ascii="Verdana Pro Cond Light" w:hAnsi="Verdana Pro Cond Light" w:cs="Arial"/>
          <w:b/>
          <w:bCs/>
          <w:lang w:val="lv-LV"/>
        </w:rPr>
        <w:t>.</w:t>
      </w:r>
    </w:p>
    <w:p w14:paraId="6016D089" w14:textId="77777777" w:rsidR="00262896" w:rsidRPr="00CB51FA" w:rsidRDefault="00262896" w:rsidP="00262896">
      <w:pPr>
        <w:widowControl/>
        <w:spacing w:after="120" w:line="240" w:lineRule="auto"/>
        <w:rPr>
          <w:rFonts w:ascii="Verdana Pro Cond Light" w:hAnsi="Verdana Pro Cond Light" w:cs="Arial"/>
          <w:lang w:val="lv-LV"/>
        </w:rPr>
      </w:pPr>
      <w:r w:rsidRPr="00CB51FA">
        <w:rPr>
          <w:rFonts w:ascii="Verdana Pro Cond Light" w:hAnsi="Verdana Pro Cond Light" w:cs="Arial"/>
          <w:lang w:val="lv-LV"/>
        </w:rPr>
        <w:t>Šai pieejai būtu jāiekļauj atjaunojamie energoresursi, kodolenerģija, ūdeņradis, bioenerģija un oglekļa uztveršana, izmantošana un uzglabāšana, un tā būtu jāatbalsta ar masveida valsts un privātā finansējuma mobilizāciju.</w:t>
      </w:r>
    </w:p>
    <w:p w14:paraId="664AEF10" w14:textId="77777777" w:rsidR="00262896" w:rsidRPr="00CB51FA" w:rsidRDefault="00262896" w:rsidP="00262896">
      <w:pPr>
        <w:widowControl/>
        <w:spacing w:after="120" w:line="240" w:lineRule="auto"/>
        <w:rPr>
          <w:rFonts w:ascii="Verdana Pro Cond Light" w:hAnsi="Verdana Pro Cond Light" w:cs="Arial"/>
          <w:lang w:val="lv-LV"/>
        </w:rPr>
      </w:pPr>
      <w:r w:rsidRPr="004C2ACE">
        <w:rPr>
          <w:rFonts w:ascii="Verdana Pro Cond Light" w:hAnsi="Verdana Pro Cond Light" w:cs="Arial"/>
          <w:lang w:val="lv-LV"/>
        </w:rPr>
        <w:t xml:space="preserve">Galvenais elements dekarbonizācijas paātrināšanā būs kolektīvs </w:t>
      </w:r>
      <w:bookmarkStart w:id="24" w:name="_Hlk177855775"/>
      <w:r w:rsidRPr="004C2ACE">
        <w:rPr>
          <w:rFonts w:ascii="Verdana Pro Cond Light" w:hAnsi="Verdana Pro Cond Light" w:cs="Arial"/>
          <w:b/>
          <w:bCs/>
          <w:lang w:val="lv-LV"/>
        </w:rPr>
        <w:t>ES fokuss uz tīkliem</w:t>
      </w:r>
      <w:bookmarkEnd w:id="24"/>
      <w:r w:rsidRPr="004C2ACE">
        <w:rPr>
          <w:rFonts w:ascii="Verdana Pro Cond Light" w:hAnsi="Verdana Pro Cond Light" w:cs="Arial"/>
          <w:lang w:val="lv-LV"/>
        </w:rPr>
        <w:t xml:space="preserve">. </w:t>
      </w:r>
      <w:r w:rsidRPr="00CB51FA">
        <w:rPr>
          <w:rFonts w:ascii="Verdana Pro Cond Light" w:hAnsi="Verdana Pro Cond Light" w:cs="Arial"/>
          <w:lang w:val="lv-LV"/>
        </w:rPr>
        <w:t>Ilgstošs un nenoteikts atļauju piešķiršanas process jaunai elektroapgādei un tīkliem ir galvenais šķērslis ātrākai jaunas jaudas uzstādīšanai. Investīcijām gan elektroenerģijas ražošanā, gan tīklos ir vajadzīgi vairāki gadi starp priekšizpēti un projekta pabeigšanu.</w:t>
      </w:r>
    </w:p>
    <w:p w14:paraId="63C21ABE" w14:textId="77777777" w:rsidR="00262896" w:rsidRPr="00CB51FA" w:rsidRDefault="00262896" w:rsidP="00262896">
      <w:pPr>
        <w:widowControl/>
        <w:spacing w:after="120" w:line="240" w:lineRule="auto"/>
        <w:rPr>
          <w:rFonts w:ascii="Verdana Pro Cond Light" w:hAnsi="Verdana Pro Cond Light" w:cs="Arial"/>
          <w:lang w:val="lv-LV"/>
        </w:rPr>
      </w:pPr>
      <w:r w:rsidRPr="00CB51FA">
        <w:rPr>
          <w:rFonts w:ascii="Verdana Pro Cond Light" w:hAnsi="Verdana Pro Cond Light" w:cs="Arial"/>
          <w:lang w:val="lv-LV"/>
        </w:rPr>
        <w:t>Visbeidzot, laika gaitā enerģijas nodokļi ir kļuvuši par svarīgu budžeta ieņēmumu avotu, veicinot augstākas mazumtirdzniecības cenas.</w:t>
      </w:r>
    </w:p>
    <w:p w14:paraId="2888D460" w14:textId="77777777" w:rsidR="00262896" w:rsidRPr="00CB51FA" w:rsidRDefault="00262896" w:rsidP="00262896">
      <w:pPr>
        <w:widowControl/>
        <w:spacing w:after="120" w:line="240" w:lineRule="auto"/>
        <w:rPr>
          <w:rFonts w:ascii="Verdana Pro Cond Light" w:hAnsi="Verdana Pro Cond Light" w:cs="Arial"/>
          <w:lang w:val="lv-LV"/>
        </w:rPr>
      </w:pPr>
      <w:r w:rsidRPr="004C2ACE">
        <w:rPr>
          <w:rFonts w:ascii="Verdana Pro Cond Light" w:hAnsi="Verdana Pro Cond Light" w:cs="Arial"/>
          <w:lang w:val="lv-LV"/>
        </w:rPr>
        <w:t xml:space="preserve">Paralēli ES būtu jāizstrādā patiesai </w:t>
      </w:r>
      <w:bookmarkStart w:id="25" w:name="_Hlk177855860"/>
      <w:r w:rsidRPr="004C2ACE">
        <w:rPr>
          <w:rFonts w:ascii="Verdana Pro Cond Light" w:hAnsi="Verdana Pro Cond Light" w:cs="Arial"/>
          <w:b/>
          <w:bCs/>
          <w:lang w:val="lv-LV"/>
        </w:rPr>
        <w:t>Enerģētikas savienībai nepieciešamā pārvaldīb</w:t>
      </w:r>
      <w:r w:rsidRPr="004C2ACE">
        <w:rPr>
          <w:rFonts w:ascii="Verdana Pro Cond Light" w:hAnsi="Verdana Pro Cond Light" w:cs="Arial"/>
          <w:lang w:val="lv-LV"/>
        </w:rPr>
        <w:t>a</w:t>
      </w:r>
      <w:bookmarkEnd w:id="25"/>
      <w:r w:rsidRPr="004C2ACE">
        <w:rPr>
          <w:rFonts w:ascii="Verdana Pro Cond Light" w:hAnsi="Verdana Pro Cond Light" w:cs="Arial"/>
          <w:lang w:val="lv-LV"/>
        </w:rPr>
        <w:t>, lai lēmumi un pārrobežu nozīmes tirgus funkcijas tik</w:t>
      </w:r>
      <w:r>
        <w:rPr>
          <w:rFonts w:ascii="Verdana Pro Cond Light" w:hAnsi="Verdana Pro Cond Light" w:cs="Arial"/>
          <w:lang w:val="lv-LV"/>
        </w:rPr>
        <w:t>tu</w:t>
      </w:r>
      <w:r w:rsidRPr="004C2ACE">
        <w:rPr>
          <w:rFonts w:ascii="Verdana Pro Cond Light" w:hAnsi="Verdana Pro Cond Light" w:cs="Arial"/>
          <w:lang w:val="lv-LV"/>
        </w:rPr>
        <w:t xml:space="preserve"> veiktas centralizēti. </w:t>
      </w:r>
      <w:r w:rsidRPr="00CB51FA">
        <w:rPr>
          <w:rFonts w:ascii="Verdana Pro Cond Light" w:hAnsi="Verdana Pro Cond Light" w:cs="Arial"/>
          <w:lang w:val="lv-LV"/>
        </w:rPr>
        <w:t>Lai gan “neelastīgas” nozares gūs labumu no zemākām enerģijas cenām, ES vajadzētu izvēlēties pragmatisku pieeju dekarbonizācijai, lai izvairītos no iespējamiem kompromisiem.</w:t>
      </w:r>
    </w:p>
    <w:p w14:paraId="24482930" w14:textId="77777777" w:rsidR="00262896" w:rsidRPr="00CB51FA" w:rsidRDefault="00262896" w:rsidP="00262896">
      <w:pPr>
        <w:widowControl/>
        <w:spacing w:after="120" w:line="240" w:lineRule="auto"/>
        <w:rPr>
          <w:rFonts w:ascii="Verdana Pro Cond Light" w:hAnsi="Verdana Pro Cond Light" w:cs="Arial"/>
          <w:lang w:val="lv-LV"/>
        </w:rPr>
      </w:pPr>
      <w:r w:rsidRPr="00CB51FA">
        <w:rPr>
          <w:rFonts w:ascii="Verdana Pro Cond Light" w:hAnsi="Verdana Pro Cond Light" w:cs="Arial"/>
          <w:lang w:val="lv-LV"/>
        </w:rPr>
        <w:t xml:space="preserve">Lai gūtu labumu no dekarbonizācijas centieniem, Eiropai vajadzētu pārorientēt savu atbalstu tīro tehnoloģiju ražošanai, </w:t>
      </w:r>
      <w:r w:rsidRPr="00CB51FA">
        <w:rPr>
          <w:rFonts w:ascii="Verdana Pro Cond Light" w:hAnsi="Verdana Pro Cond Light" w:cs="Arial"/>
          <w:b/>
          <w:bCs/>
          <w:lang w:val="lv-LV"/>
        </w:rPr>
        <w:t>koncentrējoties uz tehnoloģijām, kurās tai ir vadošā loma</w:t>
      </w:r>
      <w:r w:rsidRPr="00CB51FA">
        <w:rPr>
          <w:rFonts w:ascii="Verdana Pro Cond Light" w:hAnsi="Verdana Pro Cond Light" w:cs="Arial"/>
          <w:lang w:val="lv-LV"/>
        </w:rPr>
        <w:t xml:space="preserve"> vai kurās ir stratēģiska perspektīva iekšējas kapacitātes attīstībai. Tāpat, tirdzniecības politika būs būtiska, lai </w:t>
      </w:r>
      <w:r w:rsidRPr="00CB51FA">
        <w:rPr>
          <w:rFonts w:ascii="Verdana Pro Cond Light" w:hAnsi="Verdana Pro Cond Light" w:cs="Arial"/>
          <w:b/>
          <w:bCs/>
          <w:lang w:val="lv-LV"/>
        </w:rPr>
        <w:t>apvienotu dekarbonizāciju ar konkurētspēju</w:t>
      </w:r>
      <w:r w:rsidRPr="00CB51FA">
        <w:rPr>
          <w:rFonts w:ascii="Verdana Pro Cond Light" w:hAnsi="Verdana Pro Cond Light" w:cs="Arial"/>
          <w:lang w:val="lv-LV"/>
        </w:rPr>
        <w:t>, nodrošinot piegādes ķēdes, jaunu tirgu izaugsmi un mazinot ar valsts atbalstu kropļoto konkurenci.</w:t>
      </w:r>
    </w:p>
    <w:p w14:paraId="7F60E6C2" w14:textId="77777777" w:rsidR="00262896" w:rsidRPr="00CB51FA" w:rsidRDefault="00262896" w:rsidP="00262896">
      <w:pPr>
        <w:widowControl/>
        <w:spacing w:after="120" w:line="240" w:lineRule="auto"/>
        <w:rPr>
          <w:rFonts w:ascii="Verdana Pro Cond Light" w:hAnsi="Verdana Pro Cond Light" w:cs="Arial"/>
          <w:lang w:val="lv-LV"/>
        </w:rPr>
      </w:pPr>
      <w:r w:rsidRPr="004C2ACE">
        <w:rPr>
          <w:rFonts w:ascii="Verdana Pro Cond Light" w:hAnsi="Verdana Pro Cond Light" w:cs="Arial"/>
          <w:lang w:val="lv-LV"/>
        </w:rPr>
        <w:t xml:space="preserve">Dragi uzsver, ka savas dekarbonizācijas stratēģijas ietvaros ES būtu jāizstrādā </w:t>
      </w:r>
      <w:r w:rsidRPr="004C2ACE">
        <w:rPr>
          <w:rFonts w:ascii="Verdana Pro Cond Light" w:hAnsi="Verdana Pro Cond Light" w:cs="Arial"/>
          <w:b/>
          <w:bCs/>
          <w:lang w:val="lv-LV"/>
        </w:rPr>
        <w:t>rūpnieciskās rīcības plāns automobiļu nozarei</w:t>
      </w:r>
      <w:r w:rsidRPr="004C2ACE">
        <w:rPr>
          <w:rFonts w:ascii="Verdana Pro Cond Light" w:hAnsi="Verdana Pro Cond Light" w:cs="Arial"/>
          <w:lang w:val="lv-LV"/>
        </w:rPr>
        <w:t xml:space="preserve">. </w:t>
      </w:r>
      <w:r w:rsidRPr="00CB51FA">
        <w:rPr>
          <w:rFonts w:ascii="Verdana Pro Cond Light" w:hAnsi="Verdana Pro Cond Light" w:cs="Arial"/>
          <w:lang w:val="lv-LV"/>
        </w:rPr>
        <w:t>Raugoties nākotnē, ziņojumā ieteikts izstrādāt ES rūpniecības ceļvedi, kurā ņemta vērā vērtību ķēžu horizontālā konverģence (t.i., elektrifikācija, digitalizācija un cirkulācija) un vertikālā konverģence (t.i., kritiskās izejvielas, akumulatori, transporta un uzlādes infrastruktūra) automobiļu ekosistēm</w:t>
      </w:r>
      <w:r>
        <w:rPr>
          <w:rFonts w:ascii="Verdana Pro Cond Light" w:hAnsi="Verdana Pro Cond Light" w:cs="Arial"/>
          <w:lang w:val="lv-LV"/>
        </w:rPr>
        <w:t>ā</w:t>
      </w:r>
      <w:r w:rsidRPr="00CB51FA">
        <w:rPr>
          <w:rFonts w:ascii="Verdana Pro Cond Light" w:hAnsi="Verdana Pro Cond Light" w:cs="Arial"/>
          <w:lang w:val="lv-LV"/>
        </w:rPr>
        <w:t xml:space="preserve">. M.Dragi uzsver, ka ir jāplāno plašāka ES stratēģija </w:t>
      </w:r>
      <w:r w:rsidRPr="00CB51FA">
        <w:rPr>
          <w:rFonts w:ascii="Verdana Pro Cond Light" w:hAnsi="Verdana Pro Cond Light" w:cs="Arial"/>
          <w:lang w:val="lv-LV"/>
        </w:rPr>
        <w:lastRenderedPageBreak/>
        <w:t>pārrobežu un transporta veidu integrācijai un ilgtspējīga transporta konkurētspējai, nevis tikai kohēzijai.</w:t>
      </w:r>
      <w:r w:rsidRPr="00CB51FA">
        <w:rPr>
          <w:rStyle w:val="FootnoteReference"/>
          <w:rFonts w:ascii="Verdana Pro Cond Light" w:hAnsi="Verdana Pro Cond Light" w:cs="Arial"/>
          <w:lang w:val="lv-LV"/>
        </w:rPr>
        <w:footnoteReference w:id="23"/>
      </w:r>
    </w:p>
    <w:p w14:paraId="438195E4" w14:textId="77777777" w:rsidR="00262896" w:rsidRPr="004C2ACE" w:rsidRDefault="00262896" w:rsidP="00262896">
      <w:pPr>
        <w:widowControl/>
        <w:spacing w:after="120" w:line="240" w:lineRule="auto"/>
        <w:rPr>
          <w:rFonts w:ascii="Verdana Pro Cond Light" w:hAnsi="Verdana Pro Cond Light"/>
          <w:lang w:val="lv-LV"/>
        </w:rPr>
      </w:pPr>
      <w:r w:rsidRPr="004C2ACE">
        <w:rPr>
          <w:rFonts w:ascii="Verdana Pro Cond Light" w:hAnsi="Verdana Pro Cond Light"/>
          <w:lang w:val="lv-LV"/>
        </w:rPr>
        <w:t>M.Dragi ziņojumā sniegtās rekomendācijas ir būtiskas arī Latvijas enerģētikas pārejas veiksmīgai īstenošanai.</w:t>
      </w:r>
    </w:p>
    <w:p w14:paraId="5D601794" w14:textId="77777777" w:rsidR="00262896" w:rsidRPr="001A1A67" w:rsidRDefault="00262896" w:rsidP="00262896">
      <w:pPr>
        <w:widowControl/>
        <w:spacing w:after="120" w:line="240" w:lineRule="auto"/>
        <w:rPr>
          <w:rFonts w:ascii="Verdana Pro Cond Light" w:hAnsi="Verdana Pro Cond Light"/>
          <w:sz w:val="18"/>
          <w:szCs w:val="18"/>
          <w:lang w:val="lv-LV"/>
        </w:rPr>
      </w:pPr>
    </w:p>
    <w:p w14:paraId="4A757B1B" w14:textId="77777777" w:rsidR="00262896" w:rsidRPr="001A1A67" w:rsidRDefault="00262896" w:rsidP="00262896">
      <w:pPr>
        <w:widowControl/>
        <w:spacing w:after="120" w:line="240" w:lineRule="auto"/>
        <w:rPr>
          <w:rFonts w:ascii="Verdana Pro Cond Light" w:hAnsi="Verdana Pro Cond Light"/>
          <w:b/>
          <w:bCs/>
          <w:lang w:val="lv-LV"/>
        </w:rPr>
      </w:pPr>
      <w:r w:rsidRPr="001A1A67">
        <w:rPr>
          <w:rFonts w:ascii="Verdana Pro Cond Light" w:hAnsi="Verdana Pro Cond Light"/>
          <w:b/>
          <w:bCs/>
          <w:lang w:val="lv-LV"/>
        </w:rPr>
        <w:t>Secinājumi</w:t>
      </w:r>
    </w:p>
    <w:p w14:paraId="18009BB2" w14:textId="77777777" w:rsidR="00262896" w:rsidRPr="001A1A67" w:rsidRDefault="00262896" w:rsidP="00262896">
      <w:pPr>
        <w:pStyle w:val="ListParagraph"/>
        <w:numPr>
          <w:ilvl w:val="0"/>
          <w:numId w:val="24"/>
        </w:numPr>
        <w:spacing w:before="40" w:after="160" w:line="240" w:lineRule="auto"/>
        <w:ind w:left="714" w:hanging="357"/>
        <w:contextualSpacing w:val="0"/>
        <w:rPr>
          <w:rFonts w:ascii="Verdana Pro Cond Light" w:hAnsi="Verdana Pro Cond Light" w:cs="Arial"/>
          <w:lang w:val="lv-LV"/>
        </w:rPr>
      </w:pPr>
      <w:r w:rsidRPr="001A1A67">
        <w:rPr>
          <w:rFonts w:ascii="Verdana Pro Cond Light" w:hAnsi="Verdana Pro Cond Light"/>
          <w:lang w:val="lv-LV"/>
        </w:rPr>
        <w:t>ES saglabās iesākto virzību uz Eiropas Zaļā kursa mērķiem, veicinot tādu industriālo politiku, kas palīdzētu līdz 2040. gadam par 90 % samazināt emisijas un līdz 2050. gadam panākt klimata neitralitāti.</w:t>
      </w:r>
    </w:p>
    <w:p w14:paraId="6A61A9D1" w14:textId="77777777" w:rsidR="00262896" w:rsidRPr="001A1A67" w:rsidRDefault="00262896" w:rsidP="00262896">
      <w:pPr>
        <w:pStyle w:val="ListParagraph"/>
        <w:numPr>
          <w:ilvl w:val="0"/>
          <w:numId w:val="24"/>
        </w:numPr>
        <w:spacing w:before="40" w:after="160" w:line="240" w:lineRule="auto"/>
        <w:ind w:left="714" w:hanging="357"/>
        <w:contextualSpacing w:val="0"/>
        <w:rPr>
          <w:rFonts w:ascii="Verdana Pro Cond Light" w:hAnsi="Verdana Pro Cond Light" w:cs="Arial"/>
          <w:lang w:val="lv-LV"/>
        </w:rPr>
      </w:pPr>
      <w:r w:rsidRPr="001A1A67">
        <w:rPr>
          <w:rFonts w:ascii="Verdana Pro Cond Light" w:hAnsi="Verdana Pro Cond Light" w:cs="Arial"/>
          <w:bCs/>
          <w:lang w:val="lv-LV"/>
        </w:rPr>
        <w:t xml:space="preserve">Vitāli nepieciešams izstrādat un īstenot </w:t>
      </w:r>
      <w:r w:rsidRPr="001A1A67">
        <w:rPr>
          <w:rFonts w:ascii="Verdana Pro Cond Light" w:hAnsi="Verdana Pro Cond Light" w:cs="Arial"/>
          <w:lang w:val="lv-LV"/>
        </w:rPr>
        <w:t>kopīgu dekarbonizācijas un konkurētspējas plānu. Ja Eiropas ambiciozajiem klimata mērķiem tiks izstrādāts saskaņots plāns to sasniegšanai, dekarbonizācija Eiropai būs iespēja. Taču, ja ES nesaskaņos savu politiku, pastāv risks, ka dekarbonizācija var būt pretrunā ar konkurētspēju un izaugsmi.</w:t>
      </w:r>
    </w:p>
    <w:p w14:paraId="3FBCB2EF" w14:textId="77777777" w:rsidR="00262896" w:rsidRDefault="00262896" w:rsidP="00262896">
      <w:pPr>
        <w:pStyle w:val="ListParagraph"/>
        <w:numPr>
          <w:ilvl w:val="0"/>
          <w:numId w:val="24"/>
        </w:numPr>
        <w:spacing w:before="40" w:after="160" w:line="240" w:lineRule="auto"/>
        <w:ind w:left="714" w:hanging="357"/>
        <w:contextualSpacing w:val="0"/>
        <w:rPr>
          <w:rFonts w:ascii="Verdana Pro Cond Light" w:hAnsi="Verdana Pro Cond Light" w:cs="Arial"/>
          <w:lang w:val="lv-LV"/>
        </w:rPr>
      </w:pPr>
      <w:r w:rsidRPr="001A1A67">
        <w:rPr>
          <w:rFonts w:ascii="Verdana Pro Cond Light" w:hAnsi="Verdana Pro Cond Light" w:cs="Arial"/>
          <w:lang w:val="lv-LV"/>
        </w:rPr>
        <w:t>Dekarbonizācija varētu būt iespēja Eiropai gan uzņemties vadību jaunu tīru tehnoloģiju un aprites risinājumu jomā, gan pārorientēt elektroenerģijas ražošanu uz drošiem, zemu izmaksu tīras enerģijas avotiem, kuros ES ir dāsnas dabas bagātības. Tomēr vai Eiropa varēs izmantot šo iespēju, būs atkarīgs no tā, vai ekonomiska un konkurētspējas politika ir sinhronizēta ar ES dekarbonizācijas mērķiem.</w:t>
      </w:r>
    </w:p>
    <w:p w14:paraId="452945E7" w14:textId="77777777" w:rsidR="00262896" w:rsidRPr="001A1A67" w:rsidRDefault="00262896" w:rsidP="00262896">
      <w:pPr>
        <w:pStyle w:val="ListParagraph"/>
        <w:numPr>
          <w:ilvl w:val="0"/>
          <w:numId w:val="24"/>
        </w:numPr>
        <w:spacing w:before="40" w:after="160" w:line="240" w:lineRule="auto"/>
        <w:ind w:left="714" w:hanging="357"/>
        <w:contextualSpacing w:val="0"/>
        <w:rPr>
          <w:rFonts w:ascii="Verdana Pro Cond Light" w:hAnsi="Verdana Pro Cond Light" w:cs="Arial"/>
          <w:lang w:val="lv-LV"/>
        </w:rPr>
      </w:pPr>
      <w:r w:rsidRPr="001A1A67">
        <w:rPr>
          <w:rFonts w:ascii="Verdana Pro Cond Light" w:hAnsi="Verdana Pro Cond Light" w:cs="Arial"/>
          <w:lang w:val="lv-LV"/>
        </w:rPr>
        <w:t xml:space="preserve">Apdraudējums Eiropas pozīcijai tīro tehnoloģiju jomā galvenokārt ir saistīts ar </w:t>
      </w:r>
      <w:r w:rsidRPr="001A1A67">
        <w:rPr>
          <w:rFonts w:ascii="Verdana Pro Cond Light" w:hAnsi="Verdana Pro Cond Light" w:cs="Arial"/>
          <w:bCs/>
          <w:lang w:val="lv-LV"/>
        </w:rPr>
        <w:t>rūpniecības stratēģijas trūkumu</w:t>
      </w:r>
      <w:r w:rsidRPr="001A1A67">
        <w:rPr>
          <w:rFonts w:ascii="Verdana Pro Cond Light" w:hAnsi="Verdana Pro Cond Light" w:cs="Arial"/>
          <w:lang w:val="lv-LV"/>
        </w:rPr>
        <w:t>.</w:t>
      </w:r>
    </w:p>
    <w:p w14:paraId="5B6B88E8" w14:textId="77777777" w:rsidR="00262896" w:rsidRPr="001A1A67" w:rsidRDefault="00262896" w:rsidP="00262896">
      <w:pPr>
        <w:pStyle w:val="ListParagraph"/>
        <w:numPr>
          <w:ilvl w:val="0"/>
          <w:numId w:val="24"/>
        </w:numPr>
        <w:spacing w:before="40" w:after="160" w:line="240" w:lineRule="auto"/>
        <w:ind w:left="714" w:hanging="357"/>
        <w:contextualSpacing w:val="0"/>
        <w:rPr>
          <w:rFonts w:ascii="Verdana Pro Cond Light" w:hAnsi="Verdana Pro Cond Light" w:cs="Arial"/>
          <w:lang w:val="lv-LV"/>
        </w:rPr>
      </w:pPr>
      <w:r w:rsidRPr="001A1A67">
        <w:rPr>
          <w:rFonts w:ascii="Verdana Pro Cond Light" w:hAnsi="Verdana Pro Cond Light" w:cs="Arial"/>
          <w:lang w:val="lv-LV"/>
        </w:rPr>
        <w:t>ES un Latvijas izaicinājumi un riski Zaļā kursa īstenošanā ir diezgan līdzīgi, jo arī Latvijā nepieciešama lielāka konkurētspējas, izaugsmes un rūpniecības politikas koordinācija ar Zaļā kursa ieviešanas plāniem.</w:t>
      </w:r>
    </w:p>
    <w:p w14:paraId="47700BE4" w14:textId="77777777" w:rsidR="00262896" w:rsidRPr="001A1A67" w:rsidRDefault="00262896" w:rsidP="00262896">
      <w:pPr>
        <w:widowControl/>
        <w:spacing w:after="0" w:line="240" w:lineRule="auto"/>
        <w:rPr>
          <w:rFonts w:ascii="Verdana Pro Cond Light" w:hAnsi="Verdana Pro Cond Light"/>
          <w:sz w:val="2"/>
          <w:szCs w:val="2"/>
          <w:lang w:val="lv-LV"/>
        </w:rPr>
      </w:pPr>
      <w:r w:rsidRPr="001A1A67">
        <w:rPr>
          <w:rFonts w:ascii="Verdana Pro Cond Light" w:hAnsi="Verdana Pro Cond Light"/>
          <w:sz w:val="2"/>
          <w:szCs w:val="2"/>
          <w:lang w:val="lv-LV"/>
        </w:rPr>
        <w:br w:type="page"/>
      </w:r>
    </w:p>
    <w:p w14:paraId="61BFF0DA" w14:textId="77777777" w:rsidR="00041C6C" w:rsidRDefault="00041C6C" w:rsidP="00041C6C">
      <w:pPr>
        <w:widowControl/>
        <w:spacing w:after="120" w:line="240" w:lineRule="auto"/>
        <w:jc w:val="both"/>
        <w:rPr>
          <w:rFonts w:ascii="Verdana Pro Cond Light" w:hAnsi="Verdana Pro Cond Light" w:cs="Arial"/>
          <w:lang w:val="lv-LV"/>
        </w:rPr>
      </w:pPr>
      <w:bookmarkStart w:id="26" w:name="_Toc176185140"/>
      <w:bookmarkStart w:id="27" w:name="_Toc178018162"/>
    </w:p>
    <w:p w14:paraId="4404803B" w14:textId="77777777" w:rsidR="00041C6C" w:rsidRDefault="00041C6C" w:rsidP="00041C6C">
      <w:pPr>
        <w:widowControl/>
        <w:spacing w:after="120" w:line="240" w:lineRule="auto"/>
        <w:jc w:val="both"/>
        <w:rPr>
          <w:rFonts w:ascii="Verdana Pro Cond Light" w:hAnsi="Verdana Pro Cond Light" w:cs="Arial"/>
          <w:lang w:val="lv-LV"/>
        </w:rPr>
      </w:pPr>
    </w:p>
    <w:p w14:paraId="626FB14F" w14:textId="77777777" w:rsidR="00041C6C" w:rsidRDefault="00041C6C" w:rsidP="00041C6C">
      <w:pPr>
        <w:widowControl/>
        <w:spacing w:after="120" w:line="240" w:lineRule="auto"/>
        <w:jc w:val="both"/>
        <w:rPr>
          <w:rFonts w:ascii="Verdana Pro Cond Light" w:hAnsi="Verdana Pro Cond Light" w:cs="Arial"/>
          <w:lang w:val="lv-LV"/>
        </w:rPr>
      </w:pPr>
    </w:p>
    <w:p w14:paraId="3084FAFA" w14:textId="7BB824FB" w:rsidR="00262896" w:rsidRPr="00041C6C" w:rsidRDefault="00262896" w:rsidP="00041C6C">
      <w:pPr>
        <w:widowControl/>
        <w:spacing w:after="120" w:line="240" w:lineRule="auto"/>
        <w:jc w:val="both"/>
        <w:rPr>
          <w:rFonts w:ascii="Verdana Pro Cond Light" w:hAnsi="Verdana Pro Cond Light" w:cs="Arial"/>
          <w:lang w:val="lv-LV"/>
        </w:rPr>
      </w:pPr>
      <w:r w:rsidRPr="00041C6C">
        <w:rPr>
          <w:rFonts w:ascii="Verdana Pro Cond Light" w:hAnsi="Verdana Pro Cond Light" w:cs="Arial"/>
          <w:noProof/>
        </w:rPr>
        <w:drawing>
          <wp:anchor distT="0" distB="0" distL="114300" distR="114300" simplePos="0" relativeHeight="251658263" behindDoc="1" locked="0" layoutInCell="1" allowOverlap="1" wp14:anchorId="45225C6C" wp14:editId="7C3251C3">
            <wp:simplePos x="0" y="0"/>
            <wp:positionH relativeFrom="page">
              <wp:posOffset>0</wp:posOffset>
            </wp:positionH>
            <wp:positionV relativeFrom="page">
              <wp:posOffset>0</wp:posOffset>
            </wp:positionV>
            <wp:extent cx="7560000" cy="3600000"/>
            <wp:effectExtent l="0" t="0" r="3175" b="635"/>
            <wp:wrapNone/>
            <wp:docPr id="1634954984" name="Picture 8" descr="Light bulb on green gras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34954984" name="Picture 1634954984" descr="Light bulb on green grass"/>
                    <pic:cNvPicPr/>
                  </pic:nvPicPr>
                  <pic:blipFill rotWithShape="1">
                    <a:blip r:embed="rId27" cstate="print">
                      <a:duotone>
                        <a:schemeClr val="accent1">
                          <a:shade val="45000"/>
                          <a:satMod val="135000"/>
                        </a:schemeClr>
                        <a:prstClr val="white"/>
                      </a:duotone>
                      <a:alphaModFix amt="50000"/>
                      <a:extLst>
                        <a:ext uri="{28A0092B-C50C-407E-A947-70E740481C1C}">
                          <a14:useLocalDpi xmlns:a14="http://schemas.microsoft.com/office/drawing/2010/main" val="0"/>
                        </a:ext>
                      </a:extLst>
                    </a:blip>
                    <a:srcRect t="15228" b="14090"/>
                    <a:stretch/>
                  </pic:blipFill>
                  <pic:spPr bwMode="auto">
                    <a:xfrm>
                      <a:off x="0" y="0"/>
                      <a:ext cx="7560000" cy="3600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89D17CB" w14:textId="77777777" w:rsidR="00262896" w:rsidRPr="00041C6C" w:rsidRDefault="00262896" w:rsidP="00041C6C">
      <w:pPr>
        <w:widowControl/>
        <w:spacing w:after="120" w:line="240" w:lineRule="auto"/>
        <w:jc w:val="both"/>
        <w:rPr>
          <w:rFonts w:ascii="Verdana Pro Cond Light" w:hAnsi="Verdana Pro Cond Light" w:cs="Arial"/>
          <w:lang w:val="lv-LV"/>
        </w:rPr>
      </w:pPr>
    </w:p>
    <w:p w14:paraId="3DA6B1D2" w14:textId="77777777" w:rsidR="00262896" w:rsidRPr="00041C6C" w:rsidRDefault="00262896" w:rsidP="00041C6C">
      <w:pPr>
        <w:widowControl/>
        <w:spacing w:after="120" w:line="240" w:lineRule="auto"/>
        <w:jc w:val="both"/>
        <w:rPr>
          <w:rFonts w:ascii="Verdana Pro Cond Light" w:hAnsi="Verdana Pro Cond Light" w:cs="Arial"/>
          <w:lang w:val="lv-LV"/>
        </w:rPr>
      </w:pPr>
    </w:p>
    <w:p w14:paraId="3F008E7F" w14:textId="77777777" w:rsidR="00262896" w:rsidRPr="004C2ACE" w:rsidRDefault="00262896" w:rsidP="00262896">
      <w:pPr>
        <w:pStyle w:val="Heading1"/>
        <w:widowControl/>
        <w:rPr>
          <w:lang w:val="lv-LV"/>
        </w:rPr>
      </w:pPr>
      <w:bookmarkStart w:id="28" w:name="_Toc183697485"/>
      <w:r w:rsidRPr="004C2ACE">
        <w:rPr>
          <w:lang w:val="lv-LV"/>
        </w:rPr>
        <w:t>4. Klimata un enerģētikas mērķu 2030.gadam sasniegšanai nepieciešamās investīcijas</w:t>
      </w:r>
      <w:bookmarkEnd w:id="26"/>
      <w:r w:rsidRPr="004C2ACE">
        <w:rPr>
          <w:lang w:val="lv-LV"/>
        </w:rPr>
        <w:t xml:space="preserve"> Eiropas Savienības valstīs</w:t>
      </w:r>
      <w:bookmarkEnd w:id="27"/>
      <w:bookmarkEnd w:id="28"/>
    </w:p>
    <w:p w14:paraId="13676360" w14:textId="77777777" w:rsidR="00262896" w:rsidRDefault="00262896" w:rsidP="00262896">
      <w:pPr>
        <w:widowControl/>
        <w:spacing w:after="120" w:line="240" w:lineRule="auto"/>
        <w:jc w:val="both"/>
        <w:rPr>
          <w:rFonts w:ascii="Verdana Pro Cond Light" w:hAnsi="Verdana Pro Cond Light" w:cs="Arial"/>
          <w:lang w:val="lv-LV"/>
        </w:rPr>
      </w:pPr>
      <w:bookmarkStart w:id="29" w:name="_Hlk176717443"/>
    </w:p>
    <w:p w14:paraId="005C0710" w14:textId="77777777" w:rsidR="00262896" w:rsidRDefault="00262896" w:rsidP="00262896">
      <w:pPr>
        <w:widowControl/>
        <w:spacing w:after="120" w:line="240" w:lineRule="auto"/>
        <w:jc w:val="both"/>
        <w:rPr>
          <w:rFonts w:ascii="Verdana Pro Cond Light" w:hAnsi="Verdana Pro Cond Light" w:cs="Arial"/>
          <w:lang w:val="lv-LV"/>
        </w:rPr>
      </w:pPr>
    </w:p>
    <w:p w14:paraId="6587923B" w14:textId="77777777" w:rsidR="00262896" w:rsidRPr="00775AAF" w:rsidRDefault="00262896" w:rsidP="00262896">
      <w:pPr>
        <w:widowControl/>
        <w:spacing w:after="120" w:line="240" w:lineRule="auto"/>
        <w:rPr>
          <w:rFonts w:ascii="Verdana Pro Cond Light" w:hAnsi="Verdana Pro Cond Light" w:cs="Arial"/>
          <w:lang w:val="lv-LV"/>
        </w:rPr>
      </w:pPr>
      <w:r w:rsidRPr="00775AAF">
        <w:rPr>
          <w:rFonts w:ascii="Verdana Pro Cond Light" w:hAnsi="Verdana Pro Cond Light" w:cs="Arial"/>
          <w:lang w:val="lv-LV"/>
        </w:rPr>
        <w:t>Zaļā kursa un klimatneitralitātes iniciatīvu finansējuma mērķis ir atbalstīt klimata pārmaiņu mazināšanas un zaļās pārkārtošanas darbības. Šis finansējums sastāv no nacionālā, pašvaldību un starptautiskā finansējuma, un to veido publiskie, privātie un alternatīvie finansējuma avoti.</w:t>
      </w:r>
    </w:p>
    <w:bookmarkEnd w:id="29"/>
    <w:p w14:paraId="1D01BBBA" w14:textId="77777777" w:rsidR="00262896" w:rsidRPr="00775AAF" w:rsidRDefault="00262896" w:rsidP="00262896">
      <w:pPr>
        <w:widowControl/>
        <w:spacing w:after="120" w:line="240" w:lineRule="auto"/>
        <w:rPr>
          <w:rFonts w:ascii="Verdana Pro Cond Light" w:hAnsi="Verdana Pro Cond Light" w:cs="Arial"/>
          <w:lang w:val="lv-LV"/>
        </w:rPr>
      </w:pPr>
      <w:r w:rsidRPr="00775AAF">
        <w:rPr>
          <w:rFonts w:ascii="Verdana Pro Cond Light" w:hAnsi="Verdana Pro Cond Light" w:cs="Arial"/>
          <w:lang w:val="lv-LV"/>
        </w:rPr>
        <w:t>Atbilstoši McKinsey Globalā Institūta pētījumam, kapitāla izdevumi fiziskajiem aktīviem</w:t>
      </w:r>
      <w:r>
        <w:rPr>
          <w:rFonts w:ascii="Verdana Pro Cond Light" w:hAnsi="Verdana Pro Cond Light" w:cs="Arial"/>
          <w:lang w:val="lv-LV"/>
        </w:rPr>
        <w:t>,</w:t>
      </w:r>
      <w:r w:rsidRPr="00775AAF">
        <w:rPr>
          <w:rFonts w:ascii="Verdana Pro Cond Light" w:hAnsi="Verdana Pro Cond Light" w:cs="Arial"/>
          <w:lang w:val="lv-LV"/>
        </w:rPr>
        <w:t xml:space="preserve"> enerģētikas un zemes izmantošanas sistēmām pārejot uz klimatneitrālo ekonomiku līdz 2050. gadam</w:t>
      </w:r>
      <w:r>
        <w:rPr>
          <w:rFonts w:ascii="Verdana Pro Cond Light" w:hAnsi="Verdana Pro Cond Light" w:cs="Arial"/>
          <w:lang w:val="lv-LV"/>
        </w:rPr>
        <w:t>,</w:t>
      </w:r>
      <w:r w:rsidRPr="00775AAF">
        <w:rPr>
          <w:rFonts w:ascii="Verdana Pro Cond Light" w:hAnsi="Verdana Pro Cond Light" w:cs="Arial"/>
          <w:lang w:val="lv-LV"/>
        </w:rPr>
        <w:t xml:space="preserve"> pasaulē varētu veidot aptuveni 275 triljonus USD jeb vidēji 9,2 triljonus USD gadā, kas ir ikgadējs pieaugums par 3,5</w:t>
      </w:r>
      <w:r>
        <w:rPr>
          <w:rFonts w:ascii="Verdana Pro Cond Light" w:hAnsi="Verdana Pro Cond Light" w:cs="Arial"/>
          <w:lang w:val="lv-LV"/>
        </w:rPr>
        <w:t> </w:t>
      </w:r>
      <w:r w:rsidRPr="00775AAF">
        <w:rPr>
          <w:rFonts w:ascii="Verdana Pro Cond Light" w:hAnsi="Verdana Pro Cond Light" w:cs="Arial"/>
          <w:lang w:val="lv-LV"/>
        </w:rPr>
        <w:t>triljoniem USD. 3,5 triljoni USD 2020. gadā ir līdzvērtīgi aptuveni pusei no pasaules uzņēmumu peļņas, vienai ceturtdaļai no kopējiem nodokļu ieņēmumiem un 7 procentiem no mājsaimniecību izdevumiem. Turklāt ikgadējie izdevumi būtu jāpārdala no aktīviem ar augstu emisiju līmeni uz zemu emisiju aktīviem. Vienlaikus, pieaugot kopējiem ienākumiem un iedzīvotāju skaitam, kā arī ņemot vērā regulējuma izmaiņas, izmaksu pieaugums varētu būtu mazāks, bet jebkurā gadījumā sastādītu aptuveni 1 triljonu USD gadā. Atbilstoši pētnieku aplēsēm, nepieciešamie izdevumi zaļās transformācijas nodrošināšanai pieaugs līdz pat 8,8 procentiem no IKP laika posmā no 2026. līdz 2030. gadam un tad sāks samazināties. Tajā pašā laikā daudziem ieguldījumiem veidojas pozitīvs atdeves efekts un tās nebūtu korekti uzskatīt tikai par izmaksām. Būtiski atzīmēt, ka arī tehnoloģiskās inovācijas varētu samazināt kapitāla izmaksas ātrāk nekā gaidīts</w:t>
      </w:r>
      <w:r w:rsidRPr="00775AAF">
        <w:rPr>
          <w:rStyle w:val="FootnoteReference"/>
          <w:rFonts w:ascii="Verdana Pro Cond Light" w:hAnsi="Verdana Pro Cond Light" w:cs="Arial"/>
          <w:lang w:val="lv-LV"/>
        </w:rPr>
        <w:footnoteReference w:id="24"/>
      </w:r>
      <w:r w:rsidRPr="00775AAF">
        <w:rPr>
          <w:rFonts w:ascii="Verdana Pro Cond Light" w:hAnsi="Verdana Pro Cond Light" w:cs="Arial"/>
          <w:lang w:val="lv-LV"/>
        </w:rPr>
        <w:t>.</w:t>
      </w:r>
    </w:p>
    <w:p w14:paraId="668B8BB6" w14:textId="77777777" w:rsidR="00262896" w:rsidRPr="00775AAF" w:rsidRDefault="00262896" w:rsidP="00262896">
      <w:pPr>
        <w:widowControl/>
        <w:spacing w:after="120" w:line="240" w:lineRule="auto"/>
        <w:rPr>
          <w:rFonts w:ascii="Verdana Pro Cond Light" w:hAnsi="Verdana Pro Cond Light" w:cs="Arial"/>
          <w:lang w:val="lv-LV"/>
        </w:rPr>
      </w:pPr>
      <w:bookmarkStart w:id="30" w:name="_Hlk176717456"/>
      <w:r w:rsidRPr="00775AAF">
        <w:rPr>
          <w:rFonts w:ascii="Verdana Pro Cond Light" w:hAnsi="Verdana Pro Cond Light" w:cs="Arial"/>
          <w:lang w:val="lv-LV"/>
        </w:rPr>
        <w:t xml:space="preserve">Atbilstoši Eiropas Komisijas novērtējumam un Pasaules Ekonomikas Foruma sniegtajai informācijai, ES dalībvalstu nepieciešamās papildu investīcijas </w:t>
      </w:r>
      <w:r>
        <w:rPr>
          <w:rFonts w:ascii="Verdana Pro Cond Light" w:hAnsi="Verdana Pro Cond Light" w:cs="Arial"/>
          <w:lang w:val="lv-LV"/>
        </w:rPr>
        <w:t>Z</w:t>
      </w:r>
      <w:r w:rsidRPr="00775AAF">
        <w:rPr>
          <w:rFonts w:ascii="Verdana Pro Cond Light" w:hAnsi="Verdana Pro Cond Light" w:cs="Arial"/>
          <w:lang w:val="lv-LV"/>
        </w:rPr>
        <w:t>aļā kursa mērķu sasniegšanai līdz 2030.gadam ir novērtētas vairāk nekā 620 miljardu eiro apmērā gadā</w:t>
      </w:r>
      <w:bookmarkEnd w:id="30"/>
      <w:r w:rsidRPr="00775AAF">
        <w:rPr>
          <w:rFonts w:ascii="Verdana Pro Cond Light" w:hAnsi="Verdana Pro Cond Light" w:cs="Arial"/>
          <w:lang w:val="lv-LV"/>
        </w:rPr>
        <w:t>.</w:t>
      </w:r>
      <w:r w:rsidRPr="00775AAF">
        <w:rPr>
          <w:rStyle w:val="FootnoteReference"/>
          <w:rFonts w:ascii="Verdana Pro Cond Light" w:hAnsi="Verdana Pro Cond Light" w:cs="Arial"/>
          <w:lang w:val="lv-LV"/>
        </w:rPr>
        <w:footnoteReference w:id="25"/>
      </w:r>
    </w:p>
    <w:p w14:paraId="127BA75A" w14:textId="77777777" w:rsidR="00262896" w:rsidRPr="00775AAF" w:rsidRDefault="00262896" w:rsidP="00262896">
      <w:pPr>
        <w:widowControl/>
        <w:spacing w:after="120" w:line="240" w:lineRule="auto"/>
        <w:jc w:val="both"/>
        <w:rPr>
          <w:rFonts w:ascii="Verdana Pro Cond Light" w:hAnsi="Verdana Pro Cond Light" w:cs="Arial"/>
          <w:lang w:val="lv-LV"/>
        </w:rPr>
      </w:pPr>
    </w:p>
    <w:p w14:paraId="2CCFE031" w14:textId="77777777" w:rsidR="00262896" w:rsidRPr="00775AAF" w:rsidRDefault="00262896" w:rsidP="00262896">
      <w:pPr>
        <w:widowControl/>
        <w:spacing w:after="120" w:line="240" w:lineRule="auto"/>
        <w:rPr>
          <w:rFonts w:ascii="Verdana Pro Cond Light" w:hAnsi="Verdana Pro Cond Light" w:cs="Arial"/>
          <w:lang w:val="lv-LV"/>
        </w:rPr>
      </w:pPr>
      <w:r w:rsidRPr="00775AAF">
        <w:rPr>
          <w:rFonts w:ascii="Verdana Pro Cond Light" w:hAnsi="Verdana Pro Cond Light" w:cs="Arial"/>
          <w:lang w:val="lv-LV"/>
        </w:rPr>
        <w:br w:type="page"/>
      </w:r>
    </w:p>
    <w:p w14:paraId="3DD88FFE" w14:textId="77777777" w:rsidR="00262896" w:rsidRPr="00775AAF" w:rsidRDefault="00262896" w:rsidP="00262896">
      <w:pPr>
        <w:widowControl/>
        <w:spacing w:after="120" w:line="240" w:lineRule="auto"/>
        <w:jc w:val="right"/>
        <w:rPr>
          <w:rFonts w:ascii="Verdana Pro Cond Light" w:hAnsi="Verdana Pro Cond Light" w:cs="Arial"/>
          <w:lang w:val="lv-LV"/>
        </w:rPr>
      </w:pPr>
      <w:r w:rsidRPr="00775AAF">
        <w:rPr>
          <w:rFonts w:ascii="Verdana Pro Cond Light" w:hAnsi="Verdana Pro Cond Light" w:cs="Arial"/>
          <w:lang w:val="lv-LV"/>
        </w:rPr>
        <w:lastRenderedPageBreak/>
        <w:t>4.1. attēls</w:t>
      </w:r>
    </w:p>
    <w:p w14:paraId="3818D519" w14:textId="77777777" w:rsidR="00262896" w:rsidRPr="00F85C28" w:rsidRDefault="00262896" w:rsidP="00262896">
      <w:pPr>
        <w:widowControl/>
        <w:tabs>
          <w:tab w:val="center" w:pos="2552"/>
          <w:tab w:val="center" w:pos="7371"/>
        </w:tabs>
        <w:spacing w:after="120" w:line="240" w:lineRule="auto"/>
        <w:rPr>
          <w:rFonts w:ascii="Verdana Pro Cond Light" w:hAnsi="Verdana Pro Cond Light"/>
          <w:bCs/>
          <w:sz w:val="18"/>
          <w:szCs w:val="18"/>
          <w:lang w:val="lv-LV"/>
        </w:rPr>
      </w:pPr>
      <w:r>
        <w:rPr>
          <w:rFonts w:ascii="Verdana Pro Cond Light" w:hAnsi="Verdana Pro Cond Light"/>
          <w:b/>
          <w:lang w:val="lv-LV"/>
        </w:rPr>
        <w:tab/>
      </w:r>
      <w:r w:rsidRPr="00775AAF">
        <w:rPr>
          <w:rFonts w:ascii="Verdana Pro Cond Light" w:hAnsi="Verdana Pro Cond Light"/>
          <w:b/>
          <w:lang w:val="lv-LV"/>
        </w:rPr>
        <w:t xml:space="preserve">ES investīcijas tīrā enerģijā </w:t>
      </w:r>
      <w:r>
        <w:rPr>
          <w:rFonts w:ascii="Verdana Pro Cond Light" w:hAnsi="Verdana Pro Cond Light"/>
          <w:b/>
          <w:lang w:val="lv-LV"/>
        </w:rPr>
        <w:tab/>
        <w:t>R</w:t>
      </w:r>
      <w:r w:rsidRPr="00775AAF">
        <w:rPr>
          <w:rFonts w:ascii="Verdana Pro Cond Light" w:hAnsi="Verdana Pro Cond Light"/>
          <w:b/>
          <w:lang w:val="lv-LV"/>
        </w:rPr>
        <w:t>eģionālais salīdzinājums</w:t>
      </w:r>
      <w:r>
        <w:rPr>
          <w:rFonts w:ascii="Verdana Pro Cond Light" w:hAnsi="Verdana Pro Cond Light"/>
          <w:b/>
          <w:lang w:val="lv-LV"/>
        </w:rPr>
        <w:br/>
      </w:r>
      <w:r>
        <w:rPr>
          <w:rFonts w:ascii="Verdana Pro Cond Light" w:hAnsi="Verdana Pro Cond Light"/>
          <w:bCs/>
          <w:sz w:val="18"/>
          <w:szCs w:val="18"/>
          <w:lang w:val="lv-LV"/>
        </w:rPr>
        <w:tab/>
      </w:r>
      <w:r w:rsidRPr="00F85C28">
        <w:rPr>
          <w:rFonts w:ascii="Verdana Pro Cond Light" w:hAnsi="Verdana Pro Cond Light"/>
          <w:bCs/>
          <w:sz w:val="18"/>
          <w:szCs w:val="18"/>
          <w:lang w:val="lv-LV"/>
        </w:rPr>
        <w:t>miljardi eiro, pa nozarēm 2021.–2022. gad</w:t>
      </w:r>
      <w:r>
        <w:rPr>
          <w:rFonts w:ascii="Verdana Pro Cond Light" w:hAnsi="Verdana Pro Cond Light"/>
          <w:bCs/>
          <w:sz w:val="18"/>
          <w:szCs w:val="18"/>
          <w:lang w:val="lv-LV"/>
        </w:rPr>
        <w:t>ā</w:t>
      </w:r>
      <w:r w:rsidRPr="00F85C28">
        <w:rPr>
          <w:rFonts w:ascii="Verdana Pro Cond Light" w:hAnsi="Verdana Pro Cond Light"/>
          <w:bCs/>
          <w:sz w:val="18"/>
          <w:szCs w:val="18"/>
          <w:lang w:val="lv-LV"/>
        </w:rPr>
        <w:tab/>
        <w:t>miljard</w:t>
      </w:r>
      <w:r>
        <w:rPr>
          <w:rFonts w:ascii="Verdana Pro Cond Light" w:hAnsi="Verdana Pro Cond Light"/>
          <w:bCs/>
          <w:sz w:val="18"/>
          <w:szCs w:val="18"/>
          <w:lang w:val="lv-LV"/>
        </w:rPr>
        <w:t>i</w:t>
      </w:r>
      <w:r w:rsidRPr="00F85C28">
        <w:rPr>
          <w:rFonts w:ascii="Verdana Pro Cond Light" w:hAnsi="Verdana Pro Cond Light"/>
          <w:bCs/>
          <w:sz w:val="18"/>
          <w:szCs w:val="18"/>
          <w:lang w:val="lv-LV"/>
        </w:rPr>
        <w:t xml:space="preserve"> eiro, 2015.-2023</w:t>
      </w:r>
      <w:r>
        <w:rPr>
          <w:rFonts w:ascii="Verdana Pro Cond Light" w:hAnsi="Verdana Pro Cond Light"/>
          <w:bCs/>
          <w:sz w:val="18"/>
          <w:szCs w:val="18"/>
          <w:lang w:val="lv-LV"/>
        </w:rPr>
        <w:t>. gadā</w:t>
      </w:r>
    </w:p>
    <w:p w14:paraId="2BB3E10C" w14:textId="77777777" w:rsidR="00262896" w:rsidRPr="00EC56D3" w:rsidRDefault="00262896" w:rsidP="00262896">
      <w:pPr>
        <w:widowControl/>
        <w:spacing w:after="0" w:line="240" w:lineRule="auto"/>
        <w:jc w:val="center"/>
        <w:rPr>
          <w:rFonts w:ascii="Minion Pro" w:hAnsi="Minion Pro" w:cs="Arial"/>
          <w:lang w:val="lv-LV"/>
        </w:rPr>
      </w:pPr>
      <w:r>
        <w:rPr>
          <w:noProof/>
          <w14:ligatures w14:val="standardContextual"/>
        </w:rPr>
        <mc:AlternateContent>
          <mc:Choice Requires="wps">
            <w:drawing>
              <wp:anchor distT="0" distB="0" distL="114300" distR="114300" simplePos="0" relativeHeight="251658272" behindDoc="0" locked="0" layoutInCell="1" allowOverlap="1" wp14:anchorId="0C1D7F7E" wp14:editId="62B0CCA1">
                <wp:simplePos x="0" y="0"/>
                <wp:positionH relativeFrom="column">
                  <wp:posOffset>4810125</wp:posOffset>
                </wp:positionH>
                <wp:positionV relativeFrom="paragraph">
                  <wp:posOffset>191770</wp:posOffset>
                </wp:positionV>
                <wp:extent cx="1214323" cy="180000"/>
                <wp:effectExtent l="0" t="0" r="5080" b="0"/>
                <wp:wrapNone/>
                <wp:docPr id="953514427" name="Text Box 2"/>
                <wp:cNvGraphicFramePr/>
                <a:graphic xmlns:a="http://schemas.openxmlformats.org/drawingml/2006/main">
                  <a:graphicData uri="http://schemas.microsoft.com/office/word/2010/wordprocessingShape">
                    <wps:wsp>
                      <wps:cNvSpPr txBox="1"/>
                      <wps:spPr>
                        <a:xfrm>
                          <a:off x="0" y="0"/>
                          <a:ext cx="1214323" cy="180000"/>
                        </a:xfrm>
                        <a:prstGeom prst="rect">
                          <a:avLst/>
                        </a:prstGeom>
                        <a:solidFill>
                          <a:schemeClr val="bg1"/>
                        </a:solidFill>
                        <a:ln w="6350">
                          <a:noFill/>
                        </a:ln>
                      </wps:spPr>
                      <wps:txbx>
                        <w:txbxContent>
                          <w:p w14:paraId="74A0766B" w14:textId="77777777" w:rsidR="00B06983" w:rsidRPr="00F85C28" w:rsidRDefault="00B06983" w:rsidP="00262896">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Novērtējums 2023. gadam</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1D7F7E" id="_x0000_s1110" type="#_x0000_t202" style="position:absolute;left:0;text-align:left;margin-left:378.75pt;margin-top:15.1pt;width:95.6pt;height:14.15pt;z-index:2516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8+bRAIAAHsEAAAOAAAAZHJzL2Uyb0RvYy54bWysVFFv2jAQfp+0/2D5fQQCtAwRKkbFNKlq&#10;K8HUZ+M4JJLj886GhP36nR1Cu25P03gwZ9/5833f3WVx19aanRS6CkzGR4MhZ8pIyCtzyPj33ebT&#10;jDPnhcmFBqMyflaO3y0/flg0dq5SKEHnChmBGDdvbMZL7+08SZwsVS3cAKwy5CwAa+Fpi4ckR9EQ&#10;eq2TdDi8SRrA3CJI5Ryd3ndOvoz4RaGkfyoKpzzTGafcfFwxrvuwJsuFmB9Q2LKSlzTEP2RRi8rQ&#10;o1eoe+EFO2L1B1RdSQQHhR9IqBMoikqqyIHYjIbv2GxLYVXkQuI4e5XJ/T9Y+Xh6RlblGf88HU9H&#10;k0l6y5kRNZVqp1rPvkDL0qBSY92cgreWwn1Lx1Tt/tzRYSDfFliHf6LFyE96n68aBzAZLqWjyTgd&#10;cybJN5oN6RdgktfbFp3/qqBmwcg4Ug2jtOL04HwX2oeExxzoKt9UWsdN6Bu11shOgiq+P8QcCfy3&#10;KG1Yk/Gb8XQYgQ2E6x2yNpRL4NpxCpZv921U6HbWE95DfiYdELp+clZuKkr2QTj/LJAaiKjTUPgn&#10;WgoN9BhcLM5KwJ9/Ow/xVFfyctZQQ2bc/TgKVJzpb4YqHrq3N7A39r1hjvUaiPGIxs3KaNIF9Lo3&#10;C4T6hWZlFV4hlzCS3sq49Nhv1r4bDJo2qVarGEZdaoV/MFsrA3jQOIi/a18E2kuFPNX2EfpmFfN3&#10;hepiw00Dq6OHoopVDNJ2Ol4Upw6PfXCZxjBCb/cx6vWbsfwFAAD//wMAUEsDBBQABgAIAAAAIQBK&#10;h2BA3AAAAAkBAAAPAAAAZHJzL2Rvd25yZXYueG1sTI/BToQwFEX3Jv5D80zcOUXGDgxSJqPRxC2j&#10;H1Dok6L0FWkH8O+tK12+3JN7zysPqx3YjJPvHUm43STAkFqne+okvL0+3+TAfFCk1eAIJXyjh0N1&#10;eVGqQruFapxPoWOxhHyhJJgQxoJz3xq0ym/ciBSzdzdZFeI5dVxPaonlduBpkuy4VT3FBaNGfDTY&#10;fp7OVsKMtanFx8PTPl34sVEvRF+7rZTXV+vxHljANfzB8Ksf1aGKTo07k/ZskJCJTERUwjZJgUVg&#10;f5dnwBoJIhfAq5L//6D6AQAA//8DAFBLAQItABQABgAIAAAAIQC2gziS/gAAAOEBAAATAAAAAAAA&#10;AAAAAAAAAAAAAABbQ29udGVudF9UeXBlc10ueG1sUEsBAi0AFAAGAAgAAAAhADj9If/WAAAAlAEA&#10;AAsAAAAAAAAAAAAAAAAALwEAAF9yZWxzLy5yZWxzUEsBAi0AFAAGAAgAAAAhAIFvz5tEAgAAewQA&#10;AA4AAAAAAAAAAAAAAAAALgIAAGRycy9lMm9Eb2MueG1sUEsBAi0AFAAGAAgAAAAhAEqHYEDcAAAA&#10;CQEAAA8AAAAAAAAAAAAAAAAAngQAAGRycy9kb3ducmV2LnhtbFBLBQYAAAAABAAEAPMAAACnBQAA&#10;AAA=&#10;" fillcolor="white [3212]" stroked="f" strokeweight=".5pt">
                <v:textbox inset="0,0,0,0">
                  <w:txbxContent>
                    <w:p w14:paraId="74A0766B" w14:textId="77777777" w:rsidR="00B06983" w:rsidRPr="00F85C28" w:rsidRDefault="00B06983" w:rsidP="00262896">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Novērtējums 2023. gadam</w:t>
                      </w:r>
                    </w:p>
                  </w:txbxContent>
                </v:textbox>
              </v:shape>
            </w:pict>
          </mc:Fallback>
        </mc:AlternateContent>
      </w:r>
      <w:r>
        <w:rPr>
          <w:noProof/>
          <w14:ligatures w14:val="standardContextual"/>
        </w:rPr>
        <mc:AlternateContent>
          <mc:Choice Requires="wps">
            <w:drawing>
              <wp:anchor distT="0" distB="0" distL="114300" distR="114300" simplePos="0" relativeHeight="251658271" behindDoc="0" locked="0" layoutInCell="1" allowOverlap="1" wp14:anchorId="33A71DBF" wp14:editId="2D2CF963">
                <wp:simplePos x="0" y="0"/>
                <wp:positionH relativeFrom="column">
                  <wp:posOffset>4537456</wp:posOffset>
                </wp:positionH>
                <wp:positionV relativeFrom="paragraph">
                  <wp:posOffset>3306445</wp:posOffset>
                </wp:positionV>
                <wp:extent cx="324000" cy="216000"/>
                <wp:effectExtent l="0" t="0" r="0" b="0"/>
                <wp:wrapNone/>
                <wp:docPr id="1395261954" name="Text Box 2"/>
                <wp:cNvGraphicFramePr/>
                <a:graphic xmlns:a="http://schemas.openxmlformats.org/drawingml/2006/main">
                  <a:graphicData uri="http://schemas.microsoft.com/office/word/2010/wordprocessingShape">
                    <wps:wsp>
                      <wps:cNvSpPr txBox="1"/>
                      <wps:spPr>
                        <a:xfrm>
                          <a:off x="0" y="0"/>
                          <a:ext cx="324000" cy="216000"/>
                        </a:xfrm>
                        <a:prstGeom prst="rect">
                          <a:avLst/>
                        </a:prstGeom>
                        <a:solidFill>
                          <a:schemeClr val="bg1"/>
                        </a:solidFill>
                        <a:ln w="6350">
                          <a:noFill/>
                        </a:ln>
                      </wps:spPr>
                      <wps:txbx>
                        <w:txbxContent>
                          <w:p w14:paraId="4AEBEDE4" w14:textId="77777777" w:rsidR="00B06983" w:rsidRPr="00F85C28" w:rsidRDefault="00B06983" w:rsidP="00262896">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Ķīna</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A71DBF" id="_x0000_s1111" type="#_x0000_t202" style="position:absolute;left:0;text-align:left;margin-left:357.3pt;margin-top:260.35pt;width:25.5pt;height:17pt;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txMQgIAAHsEAAAOAAAAZHJzL2Uyb0RvYy54bWysVE2P2jAQvVfqf7B8LwlhoQURVpQVVSW0&#10;uxJUezaOA5Ecjzs2JPTXd+wQtt32VPXijOfjeebNTOb3ba3ZWaGrwOR8OEg5U0ZCUZlDzr/t1h8+&#10;cea8MIXQYFTOL8rx+8X7d/PGzlQGR9CFQkYgxs0am/Oj93aWJE4eVS3cAKwyZCwBa+HpioekQNEQ&#10;eq2TLE0nSQNYWASpnCPtQ2fki4hflkr6p7J0yjOdc8rNxxPjuQ9nspiL2QGFPVbymob4hyxqURl6&#10;9Ab1ILxgJ6z+gKorieCg9AMJdQJlWUkVa6BqhumbarZHYVWshchx9kaT+3+w8vH8jKwqqHej6Tib&#10;DKfjO86MqKlXO9V69hlalgWaGutm5L215O9bUlNIr3ekDNW3JdbhS3UxshPhlxvJAUyScpTdpSlZ&#10;JJmy4STIhJ68Blt0/ouCmgUh50g9jNSK88b5zrV3CW850FWxrrSOlzA3aqWRnQV1fH+IKRL4b17a&#10;sCbnk9E4jcAGQniHrA3lEkrtSgqSb/dtZOjjtK93D8WFaEDo5slZua4o2Y1w/lkgDRDVR0vhn+go&#10;NdBjcJU4OwL++Js++FNfycpZQwOZc/f9JFBxpr8a6niY3l7AXtj3gjnVK6CKh7RuVkaRAtDrXiwR&#10;6hfalWV4hUzCSHor59Jjf1n5bjFo26RaLqMbTakVfmO2VgbwwHEgf9e+CLTXDnlq7SP0wypmbxrV&#10;+YZIA8uTh7KKXQzUdjxeGacJj3Nw3cawQr/eo9frP2PxEwAA//8DAFBLAwQUAAYACAAAACEAX2vN&#10;yNwAAAALAQAADwAAAGRycy9kb3ducmV2LnhtbEyPwU6EMBCG7ya+QzMm3tyyuIAiZbMaTbyy+gCF&#10;joDSKdIu4Ns7ntbj/PPln2+K/WoHMePke0cKtpsIBFLjTE+tgve3l5s7ED5oMnpwhAp+0MO+vLwo&#10;dG7cQhXOx9AKLiGfawVdCGMupW86tNpv3IjEuw83WR14nFppJr1wuR1kHEWptLonvtDpEZ86bL6O&#10;J6tgxqqrks/H5/t4kYdavxJ9p7dKXV+thwcQAddwhuFPn9WhZKfanch4MSjItruUUQVJHGUgmMjS&#10;hJOak2SXgSwL+f+H8hcAAP//AwBQSwECLQAUAAYACAAAACEAtoM4kv4AAADhAQAAEwAAAAAAAAAA&#10;AAAAAAAAAAAAW0NvbnRlbnRfVHlwZXNdLnhtbFBLAQItABQABgAIAAAAIQA4/SH/1gAAAJQBAAAL&#10;AAAAAAAAAAAAAAAAAC8BAABfcmVscy8ucmVsc1BLAQItABQABgAIAAAAIQAFTtxMQgIAAHsEAAAO&#10;AAAAAAAAAAAAAAAAAC4CAABkcnMvZTJvRG9jLnhtbFBLAQItABQABgAIAAAAIQBfa83I3AAAAAsB&#10;AAAPAAAAAAAAAAAAAAAAAJwEAABkcnMvZG93bnJldi54bWxQSwUGAAAAAAQABADzAAAApQUAAAAA&#10;" fillcolor="white [3212]" stroked="f" strokeweight=".5pt">
                <v:textbox inset="0,0,0,0">
                  <w:txbxContent>
                    <w:p w14:paraId="4AEBEDE4" w14:textId="77777777" w:rsidR="00B06983" w:rsidRPr="00F85C28" w:rsidRDefault="00B06983" w:rsidP="00262896">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Ķīna</w:t>
                      </w:r>
                    </w:p>
                  </w:txbxContent>
                </v:textbox>
              </v:shape>
            </w:pict>
          </mc:Fallback>
        </mc:AlternateContent>
      </w:r>
      <w:r>
        <w:rPr>
          <w:noProof/>
          <w14:ligatures w14:val="standardContextual"/>
        </w:rPr>
        <mc:AlternateContent>
          <mc:Choice Requires="wps">
            <w:drawing>
              <wp:anchor distT="0" distB="0" distL="114300" distR="114300" simplePos="0" relativeHeight="251658269" behindDoc="0" locked="0" layoutInCell="1" allowOverlap="1" wp14:anchorId="31680C01" wp14:editId="7FA14F50">
                <wp:simplePos x="0" y="0"/>
                <wp:positionH relativeFrom="column">
                  <wp:posOffset>3580435</wp:posOffset>
                </wp:positionH>
                <wp:positionV relativeFrom="paragraph">
                  <wp:posOffset>3300095</wp:posOffset>
                </wp:positionV>
                <wp:extent cx="323850" cy="215900"/>
                <wp:effectExtent l="0" t="0" r="0" b="0"/>
                <wp:wrapNone/>
                <wp:docPr id="1545088755" name="Text Box 2"/>
                <wp:cNvGraphicFramePr/>
                <a:graphic xmlns:a="http://schemas.openxmlformats.org/drawingml/2006/main">
                  <a:graphicData uri="http://schemas.microsoft.com/office/word/2010/wordprocessingShape">
                    <wps:wsp>
                      <wps:cNvSpPr txBox="1"/>
                      <wps:spPr>
                        <a:xfrm>
                          <a:off x="0" y="0"/>
                          <a:ext cx="323850" cy="215900"/>
                        </a:xfrm>
                        <a:prstGeom prst="rect">
                          <a:avLst/>
                        </a:prstGeom>
                        <a:solidFill>
                          <a:schemeClr val="bg1"/>
                        </a:solidFill>
                        <a:ln w="6350">
                          <a:noFill/>
                        </a:ln>
                      </wps:spPr>
                      <wps:txbx>
                        <w:txbxContent>
                          <w:p w14:paraId="581229F4" w14:textId="77777777" w:rsidR="00B06983" w:rsidRPr="00F85C28" w:rsidRDefault="00B06983" w:rsidP="00262896">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ASV</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680C01" id="_x0000_s1112" type="#_x0000_t202" style="position:absolute;left:0;text-align:left;margin-left:281.9pt;margin-top:259.85pt;width:25.5pt;height:17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nqEQgIAAHsEAAAOAAAAZHJzL2Uyb0RvYy54bWysVN9v0zAQfkfif7D8ztJ2dJRq6VQ2DSFN&#10;bNKG9uw6ThvJ8Zmz22T89Xx2mg0GT4gX53y/fPd9dzm/6FsrDoZDQ66U05OJFMZpqhq3LeW3h+t3&#10;CylCVK5Slpwp5ZMJ8mL19s1555dmRjuylWGBJC4sO1/KXYx+WRRB70yrwgl542CsiVsVceVtUbHq&#10;kL21xWwyOSs64sozaRMCtFeDUa5y/ro2Ot7WdTBR2FKitphPzucmncXqXC23rPyu0ccy1D9U0arG&#10;4dHnVFcqKrHn5o9UbaOZAtXxRFNbUF032uQe0M108qqb+53yJvcCcIJ/hin8v7T66+GORVOBu/n7&#10;+WSx+DCfS+FUC64eTB/FJ+rFLMHU+bCE972Hf+yhRsioD1Cm7vua2/RFXwJ2AP70DHJKpqE8nZ0u&#10;5rBomGbT+cdJJqF4CfYc4mdDrUhCKRkcZmjV4SZEFALX0SW9Fcg21XVjbb6kuTGXlsVBgfHNNpeI&#10;iN+8rBNdKc9OUUYKcpTCh8zW4YHU6tBSkmK/6TNCi1xpUm2oegIMTMM8Ba+vGxR7o0K8U4wBQn9Y&#10;iniLo7aEx+goSbEj/vE3ffIHr7BK0WEgSxm+7xUbKewXB8bT9I4Cj8JmFNy+vSR0PMW6eZ1FBHC0&#10;o1gztY/YlXV6BSblNN4qpY48Xi7jsBjYNm3W6+yGKfUq3rh7r1PyBFcC/6F/VOyPDEVQ+5XGYVXL&#10;V0QNvgPQ632kusksvuB4RBwTnsk9bmNaoV/v2evln7H6CQAA//8DAFBLAwQUAAYACAAAACEAEM+K&#10;M90AAAALAQAADwAAAGRycy9kb3ducmV2LnhtbEyPQU+EMBCF7yb+h2ZMvLmFRVgXKZvVaOKV1R9Q&#10;6AgonSLtAv57x5PeZt57efNNcVjtIGacfO9IQbyJQCA1zvTUKnh7fb65A+GDJqMHR6jgGz0cysuL&#10;QufGLVThfAqt4BLyuVbQhTDmUvqmQ6v9xo1I7L27yerA69RKM+mFy+0gt1GUSat74gudHvGxw+bz&#10;dLYKZqy6Kv14eNpvF3ms9QvRV5YodX21Hu9BBFzDXxh+8RkdSmaq3ZmMF4OCNEsYPfAQ73cgOJHF&#10;t6zUrKTJDmRZyP8/lD8AAAD//wMAUEsBAi0AFAAGAAgAAAAhALaDOJL+AAAA4QEAABMAAAAAAAAA&#10;AAAAAAAAAAAAAFtDb250ZW50X1R5cGVzXS54bWxQSwECLQAUAAYACAAAACEAOP0h/9YAAACUAQAA&#10;CwAAAAAAAAAAAAAAAAAvAQAAX3JlbHMvLnJlbHNQSwECLQAUAAYACAAAACEAUIp6hEICAAB7BAAA&#10;DgAAAAAAAAAAAAAAAAAuAgAAZHJzL2Uyb0RvYy54bWxQSwECLQAUAAYACAAAACEAEM+KM90AAAAL&#10;AQAADwAAAAAAAAAAAAAAAACcBAAAZHJzL2Rvd25yZXYueG1sUEsFBgAAAAAEAAQA8wAAAKYFAAAA&#10;AA==&#10;" fillcolor="white [3212]" stroked="f" strokeweight=".5pt">
                <v:textbox inset="0,0,0,0">
                  <w:txbxContent>
                    <w:p w14:paraId="581229F4" w14:textId="77777777" w:rsidR="00B06983" w:rsidRPr="00F85C28" w:rsidRDefault="00B06983" w:rsidP="00262896">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ASV</w:t>
                      </w:r>
                    </w:p>
                  </w:txbxContent>
                </v:textbox>
              </v:shape>
            </w:pict>
          </mc:Fallback>
        </mc:AlternateContent>
      </w:r>
      <w:r>
        <w:rPr>
          <w:noProof/>
          <w14:ligatures w14:val="standardContextual"/>
        </w:rPr>
        <mc:AlternateContent>
          <mc:Choice Requires="wps">
            <w:drawing>
              <wp:anchor distT="0" distB="0" distL="114300" distR="114300" simplePos="0" relativeHeight="251658270" behindDoc="0" locked="0" layoutInCell="1" allowOverlap="1" wp14:anchorId="6A6C9ECE" wp14:editId="641530A8">
                <wp:simplePos x="0" y="0"/>
                <wp:positionH relativeFrom="column">
                  <wp:posOffset>4055415</wp:posOffset>
                </wp:positionH>
                <wp:positionV relativeFrom="paragraph">
                  <wp:posOffset>3306445</wp:posOffset>
                </wp:positionV>
                <wp:extent cx="324000" cy="216000"/>
                <wp:effectExtent l="0" t="0" r="0" b="0"/>
                <wp:wrapNone/>
                <wp:docPr id="1519787438" name="Text Box 2"/>
                <wp:cNvGraphicFramePr/>
                <a:graphic xmlns:a="http://schemas.openxmlformats.org/drawingml/2006/main">
                  <a:graphicData uri="http://schemas.microsoft.com/office/word/2010/wordprocessingShape">
                    <wps:wsp>
                      <wps:cNvSpPr txBox="1"/>
                      <wps:spPr>
                        <a:xfrm>
                          <a:off x="0" y="0"/>
                          <a:ext cx="324000" cy="216000"/>
                        </a:xfrm>
                        <a:prstGeom prst="rect">
                          <a:avLst/>
                        </a:prstGeom>
                        <a:solidFill>
                          <a:schemeClr val="bg1"/>
                        </a:solidFill>
                        <a:ln w="6350">
                          <a:noFill/>
                        </a:ln>
                      </wps:spPr>
                      <wps:txbx>
                        <w:txbxContent>
                          <w:p w14:paraId="4BE06595" w14:textId="77777777" w:rsidR="00B06983" w:rsidRPr="00F85C28" w:rsidRDefault="00B06983" w:rsidP="00262896">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ES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6C9ECE" id="_x0000_s1113" type="#_x0000_t202" style="position:absolute;left:0;text-align:left;margin-left:319.3pt;margin-top:260.35pt;width:25.5pt;height:17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R5aQgIAAHsEAAAOAAAAZHJzL2Uyb0RvYy54bWysVN9v2jAQfp+0/8Hy+0iAlrKIUDEqpkmo&#10;rQRTn43jQCTH550NCfvrd3YI7bo9TXtxzvfj8913d5ndt7VmJ4WuApPz4SDlTBkJRWX2Of++XX2a&#10;cua8MIXQYFTOz8rx+/nHD7PGZmoEB9CFQkYgxmWNzfnBe5sliZMHVQs3AKsMGUvAWni64j4pUDSE&#10;XutklKaTpAEsLIJUzpH2oTPyecQvSyX9U1k65ZnOOeXm44nx3IUzmc9EtkdhD5W8pCH+IYtaVIYe&#10;vUI9CC/YEas/oOpKIjgo/UBCnUBZVlLFGqiaYfqums1BWBVrIXKcvdLk/h+sfDw9I6sK6t3t8PPd&#10;9O5mTB0zoqZebVXr2Rdo2SjQ1FiXkffGkr9vSU0hvd6RMlTflliHL9XFyE6En68kBzBJyvHoJk3J&#10;Isk0Gk6CTOjJa7BF578qqFkQco7Uw0itOK2d71x7l/CWA10Vq0rreAlzo5Ya2UlQx3f7mCKB/+al&#10;DWtyPhnfphHYQAjvkLWhXEKpXUlB8u2ujQxNr/XuoDgTDQjdPDkrVxUluxbOPwukAaL6aCn8Ex2l&#10;BnoMLhJnB8Cff9MHf+orWTlraCBz7n4cBSrO9DdDHQ/T2wvYC7teMMd6CVTxkNbNyihSAHrdiyVC&#10;/UK7sgivkEkYSW/lXHrsL0vfLQZtm1SLRXSjKbXCr83GygAeOA7kb9sXgfbSIU+tfYR+WEX2rlGd&#10;b4g0sDh6KKvYxUBtx+OFcZrwOAeXbQwr9PYevV7/GfNfAAAA//8DAFBLAwQUAAYACAAAACEAGPoo&#10;+d0AAAALAQAADwAAAGRycy9kb3ducmV2LnhtbEyPwU6EMBCG7ya+QzMm3twiKyyLlM1qNPHK6gMU&#10;OgJKp0i7gG/veNLj/PPln2+Kw2oHMePke0cKbjcRCKTGmZ5aBW+vzzcZCB80GT04QgXf6OFQXl4U&#10;OjduoQrnU2gFl5DPtYIuhDGX0jcdWu03bkTi3bubrA48Tq00k1643A4yjqJUWt0TX+j0iI8dNp+n&#10;s1UwY9VVycfD0z5e5LHWL0Rf6Vap66v1eA8i4Br+YPjVZ3Uo2al2ZzJeDArSbZYyqiCJox0IJtJs&#10;z0nNSXK3A1kW8v8P5Q8AAAD//wMAUEsBAi0AFAAGAAgAAAAhALaDOJL+AAAA4QEAABMAAAAAAAAA&#10;AAAAAAAAAAAAAFtDb250ZW50X1R5cGVzXS54bWxQSwECLQAUAAYACAAAACEAOP0h/9YAAACUAQAA&#10;CwAAAAAAAAAAAAAAAAAvAQAAX3JlbHMvLnJlbHNQSwECLQAUAAYACAAAACEAUqUeWkICAAB7BAAA&#10;DgAAAAAAAAAAAAAAAAAuAgAAZHJzL2Uyb0RvYy54bWxQSwECLQAUAAYACAAAACEAGPoo+d0AAAAL&#10;AQAADwAAAAAAAAAAAAAAAACcBAAAZHJzL2Rvd25yZXYueG1sUEsFBgAAAAAEAAQA8wAAAKYFAAAA&#10;AA==&#10;" fillcolor="white [3212]" stroked="f" strokeweight=".5pt">
                <v:textbox inset="0,0,0,0">
                  <w:txbxContent>
                    <w:p w14:paraId="4BE06595" w14:textId="77777777" w:rsidR="00B06983" w:rsidRPr="00F85C28" w:rsidRDefault="00B06983" w:rsidP="00262896">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ES</w:t>
                      </w:r>
                    </w:p>
                  </w:txbxContent>
                </v:textbox>
              </v:shape>
            </w:pict>
          </mc:Fallback>
        </mc:AlternateContent>
      </w:r>
      <w:r>
        <w:rPr>
          <w:noProof/>
          <w14:ligatures w14:val="standardContextual"/>
        </w:rPr>
        <mc:AlternateContent>
          <mc:Choice Requires="wps">
            <w:drawing>
              <wp:anchor distT="0" distB="0" distL="114300" distR="114300" simplePos="0" relativeHeight="251658268" behindDoc="0" locked="0" layoutInCell="1" allowOverlap="1" wp14:anchorId="1BF8857C" wp14:editId="2825A177">
                <wp:simplePos x="0" y="0"/>
                <wp:positionH relativeFrom="column">
                  <wp:posOffset>2376500</wp:posOffset>
                </wp:positionH>
                <wp:positionV relativeFrom="paragraph">
                  <wp:posOffset>2927350</wp:posOffset>
                </wp:positionV>
                <wp:extent cx="576000" cy="314554"/>
                <wp:effectExtent l="0" t="0" r="0" b="9525"/>
                <wp:wrapNone/>
                <wp:docPr id="1729192565" name="Text Box 2"/>
                <wp:cNvGraphicFramePr/>
                <a:graphic xmlns:a="http://schemas.openxmlformats.org/drawingml/2006/main">
                  <a:graphicData uri="http://schemas.microsoft.com/office/word/2010/wordprocessingShape">
                    <wps:wsp>
                      <wps:cNvSpPr txBox="1"/>
                      <wps:spPr>
                        <a:xfrm>
                          <a:off x="0" y="0"/>
                          <a:ext cx="576000" cy="314554"/>
                        </a:xfrm>
                        <a:prstGeom prst="rect">
                          <a:avLst/>
                        </a:prstGeom>
                        <a:solidFill>
                          <a:schemeClr val="bg1"/>
                        </a:solidFill>
                        <a:ln w="6350">
                          <a:noFill/>
                        </a:ln>
                      </wps:spPr>
                      <wps:txbx>
                        <w:txbxContent>
                          <w:p w14:paraId="7AA5ED33" w14:textId="77777777" w:rsidR="00B06983" w:rsidRPr="00F85C28" w:rsidRDefault="00B06983" w:rsidP="00262896">
                            <w:pPr>
                              <w:jc w:val="center"/>
                              <w:rPr>
                                <w:rFonts w:asciiTheme="majorHAnsi" w:hAnsiTheme="majorHAnsi" w:cstheme="majorHAnsi"/>
                                <w:sz w:val="16"/>
                                <w:szCs w:val="16"/>
                                <w:lang w:val="lv-LV"/>
                              </w:rPr>
                            </w:pPr>
                            <w:r>
                              <w:rPr>
                                <w:rFonts w:asciiTheme="majorHAnsi" w:hAnsiTheme="majorHAnsi" w:cstheme="majorHAnsi"/>
                                <w:sz w:val="16"/>
                                <w:szCs w:val="16"/>
                                <w:lang w:val="lv-LV"/>
                              </w:rPr>
                              <w:t>Uzglabāšana</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F8857C" id="_x0000_s1114" type="#_x0000_t202" style="position:absolute;left:0;text-align:left;margin-left:187.15pt;margin-top:230.5pt;width:45.35pt;height:24.75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wCRAIAAHsEAAAOAAAAZHJzL2Uyb0RvYy54bWysVE1v2zAMvQ/YfxB0X+ykTdoacYosRYYB&#10;RVsgGXpWZDk2IIsapcTOfv0oOU63bqdhF5nixxP5SHp+3zWaHRW6GkzOx6OUM2UkFLXZ5/zbdv3p&#10;ljPnhSmEBqNyflKO3y8+fpi3NlMTqEAXChmBGJe1NueV9zZLEicr1Qg3AqsMGUvARni64j4pULSE&#10;3uhkkqazpAUsLIJUzpH2oTfyRcQvSyX9c1k65ZnOOeXm44nx3IUzWcxFtkdhq1qe0xD/kEUjakOP&#10;XqAehBfsgPUfUE0tERyUfiShSaAsa6liDVTNOH1XzaYSVsVaiBxnLzS5/wcrn44vyOqCenczuRvf&#10;TaazKWdGNNSrreo8+wwdmwSaWusy8t5Y8vcdqSlk0DtShuq7EpvwpboY2Ynw04XkACZJOb2ZpSlZ&#10;JJmuxtfT6XVASd6CLTr/RUHDgpBzpB5GasXx0fnedXAJbznQdbGutY6XMDdqpZEdBXV8t48pEvhv&#10;XtqwNuezq2kagQ2E8B5ZG8ollNqXFCTf7brI0O2Fhx0UJ6IBoZ8nZ+W6pmQfhfMvAmmAqD5aCv9M&#10;R6mBHoOzxFkF+ONv+uBPfSUrZy0NZM7d94NAxZn+aqjjYXoHAQdhNwjm0KyAKh7TulkZRQpArwex&#10;RGheaVeW4RUyCSPprZxLj8Nl5fvFoG2TarmMbjSlVvhHs7EygAeOA/nb7lWgPXfIU2ufYBhWkb1r&#10;VO8bIg0sDx7KOnYxUNvzeGacJjzOwXkbwwr9eo9eb/+MxU8AAAD//wMAUEsDBBQABgAIAAAAIQA3&#10;tJuH3gAAAAsBAAAPAAAAZHJzL2Rvd25yZXYueG1sTI/dToNAEEbvTXyHzZh4ZxfKjy2yNNVo4i3V&#10;B1hgBJSdRXYL+PaOV/VuJnPyzfnyw2oGMePkeksKwk0AAqm2TU+tgve3l7sdCOc1NXqwhAp+0MGh&#10;uL7KddbYhUqcT74VHEIu0wo678dMSld3aLTb2BGJbx92MtrzOrWymfTC4WaQ2yBIpdE98YdOj/jU&#10;Yf11OhsFM5ZdmXw+Pu+3izxW+pXoO42Uur1Zjw8gPK7+AsOfPqtDwU6VPVPjxKAguo8jRhXEacil&#10;mIjThIdKQRIGCcgil/87FL8AAAD//wMAUEsBAi0AFAAGAAgAAAAhALaDOJL+AAAA4QEAABMAAAAA&#10;AAAAAAAAAAAAAAAAAFtDb250ZW50X1R5cGVzXS54bWxQSwECLQAUAAYACAAAACEAOP0h/9YAAACU&#10;AQAACwAAAAAAAAAAAAAAAAAvAQAAX3JlbHMvLnJlbHNQSwECLQAUAAYACAAAACEAhv3sAkQCAAB7&#10;BAAADgAAAAAAAAAAAAAAAAAuAgAAZHJzL2Uyb0RvYy54bWxQSwECLQAUAAYACAAAACEAN7Sbh94A&#10;AAALAQAADwAAAAAAAAAAAAAAAACeBAAAZHJzL2Rvd25yZXYueG1sUEsFBgAAAAAEAAQA8wAAAKkF&#10;AAAAAA==&#10;" fillcolor="white [3212]" stroked="f" strokeweight=".5pt">
                <v:textbox inset="0,0,0,0">
                  <w:txbxContent>
                    <w:p w14:paraId="7AA5ED33" w14:textId="77777777" w:rsidR="00B06983" w:rsidRPr="00F85C28" w:rsidRDefault="00B06983" w:rsidP="00262896">
                      <w:pPr>
                        <w:jc w:val="center"/>
                        <w:rPr>
                          <w:rFonts w:asciiTheme="majorHAnsi" w:hAnsiTheme="majorHAnsi" w:cstheme="majorHAnsi"/>
                          <w:sz w:val="16"/>
                          <w:szCs w:val="16"/>
                          <w:lang w:val="lv-LV"/>
                        </w:rPr>
                      </w:pPr>
                      <w:r>
                        <w:rPr>
                          <w:rFonts w:asciiTheme="majorHAnsi" w:hAnsiTheme="majorHAnsi" w:cstheme="majorHAnsi"/>
                          <w:sz w:val="16"/>
                          <w:szCs w:val="16"/>
                          <w:lang w:val="lv-LV"/>
                        </w:rPr>
                        <w:t>Uzglabāšana</w:t>
                      </w:r>
                    </w:p>
                  </w:txbxContent>
                </v:textbox>
              </v:shape>
            </w:pict>
          </mc:Fallback>
        </mc:AlternateContent>
      </w:r>
      <w:r>
        <w:rPr>
          <w:noProof/>
          <w14:ligatures w14:val="standardContextual"/>
        </w:rPr>
        <mc:AlternateContent>
          <mc:Choice Requires="wps">
            <w:drawing>
              <wp:anchor distT="0" distB="0" distL="114300" distR="114300" simplePos="0" relativeHeight="251658267" behindDoc="0" locked="0" layoutInCell="1" allowOverlap="1" wp14:anchorId="46B02DA5" wp14:editId="6FD3DD7E">
                <wp:simplePos x="0" y="0"/>
                <wp:positionH relativeFrom="column">
                  <wp:posOffset>1934540</wp:posOffset>
                </wp:positionH>
                <wp:positionV relativeFrom="paragraph">
                  <wp:posOffset>2927350</wp:posOffset>
                </wp:positionV>
                <wp:extent cx="432000" cy="314554"/>
                <wp:effectExtent l="0" t="0" r="6350" b="9525"/>
                <wp:wrapNone/>
                <wp:docPr id="1971153076" name="Text Box 2"/>
                <wp:cNvGraphicFramePr/>
                <a:graphic xmlns:a="http://schemas.openxmlformats.org/drawingml/2006/main">
                  <a:graphicData uri="http://schemas.microsoft.com/office/word/2010/wordprocessingShape">
                    <wps:wsp>
                      <wps:cNvSpPr txBox="1"/>
                      <wps:spPr>
                        <a:xfrm>
                          <a:off x="0" y="0"/>
                          <a:ext cx="432000" cy="314554"/>
                        </a:xfrm>
                        <a:prstGeom prst="rect">
                          <a:avLst/>
                        </a:prstGeom>
                        <a:solidFill>
                          <a:schemeClr val="bg1"/>
                        </a:solidFill>
                        <a:ln w="6350">
                          <a:noFill/>
                        </a:ln>
                      </wps:spPr>
                      <wps:txbx>
                        <w:txbxContent>
                          <w:p w14:paraId="4A89C931" w14:textId="77777777" w:rsidR="00B06983" w:rsidRPr="00F85C28" w:rsidRDefault="00B06983" w:rsidP="00262896">
                            <w:pPr>
                              <w:spacing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Elektro- tīkli</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B02DA5" id="_x0000_s1115" type="#_x0000_t202" style="position:absolute;left:0;text-align:left;margin-left:152.35pt;margin-top:230.5pt;width:34pt;height:24.75pt;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9RAlQwIAAHsEAAAOAAAAZHJzL2Uyb0RvYy54bWysVEtv2zAMvg/YfxB0X5x3OyNOkaXIMCBo&#10;CyRDz4osxwZkUaOU2NmvHyXHbdftNOwiU3x8Ij+SXty1tWZnha4Ck/HRYMiZMhLyyhwz/n2/+XTL&#10;mfPC5EKDURm/KMfvlh8/LBqbqjGUoHOFjECMSxub8dJ7myaJk6WqhRuAVYaMBWAtPF3xmOQoGkKv&#10;dTIeDudJA5hbBKmcI+19Z+TLiF8USvrHonDKM51xys3HE+N5CGeyXIj0iMKWlbymIf4hi1pUhh59&#10;gboXXrATVn9A1ZVEcFD4gYQ6gaKopIo1UDWj4btqdqWwKtZC5Dj7QpP7f7Dy4fyErMqpd59vRqPZ&#10;ZHgz58yImnq1V61nX6Bl40BTY11K3jtL/r4lNYX0ekfKUH1bYB2+VBcjOxF+eSE5gElSTifUN7JI&#10;Mk1G09lsGlCS12CLzn9VULMgZByph5Facd4637n2LuEtB7rKN5XW8RLmRq01srOgjh+OMUUC/81L&#10;G9ZkfD6ZDSOwgRDeIWtDuYRSu5KC5NtDGxm6nfT1HiC/EA0I3Tw5KzcVJbsVzj8JpAGi+mgp/CMd&#10;hQZ6DK4SZyXgz7/pgz/1laycNTSQGXc/TgIVZ/qboY6H6e0F7IVDL5hTvQaqeETrZmUUKQC97sUC&#10;oX6mXVmFV8gkjKS3Mi499pe17xaDtk2q1Sq60ZRa4bdmZ2UADxwH8vfts0B77ZCn1j5AP6wifdeo&#10;zjdEGlidPBRV7GKgtuPxyjhNeJyD6zaGFXp7j16v/4zlLwAAAP//AwBQSwMEFAAGAAgAAAAhAP/Z&#10;YfHeAAAACwEAAA8AAABkcnMvZG93bnJldi54bWxMj91Og0AQRu9NfIfNmHhnl59CW2RpqtHEW6oP&#10;sMAIKDuL7Bbw7R2v9HJmTr45X35czSBmnFxvSUG4CUAg1bbpqVXw9vp8twfhvKZGD5ZQwTc6OBbX&#10;V7nOGrtQifPZt4JDyGVaQef9mEnp6g6Ndhs7IvHt3U5Gex6nVjaTXjjcDDIKglQa3RN/6PSIjx3W&#10;n+eLUTBj2ZXJx8PTIVrkqdIvRF9prNTtzXq6B+Fx9X8w/OqzOhTsVNkLNU4MCuJgu2NUwTYNuRQT&#10;8S7iTaUgCYMEZJHL/x2KHwAAAP//AwBQSwECLQAUAAYACAAAACEAtoM4kv4AAADhAQAAEwAAAAAA&#10;AAAAAAAAAAAAAAAAW0NvbnRlbnRfVHlwZXNdLnhtbFBLAQItABQABgAIAAAAIQA4/SH/1gAAAJQB&#10;AAALAAAAAAAAAAAAAAAAAC8BAABfcmVscy8ucmVsc1BLAQItABQABgAIAAAAIQA59RAlQwIAAHsE&#10;AAAOAAAAAAAAAAAAAAAAAC4CAABkcnMvZTJvRG9jLnhtbFBLAQItABQABgAIAAAAIQD/2WHx3gAA&#10;AAsBAAAPAAAAAAAAAAAAAAAAAJ0EAABkcnMvZG93bnJldi54bWxQSwUGAAAAAAQABADzAAAAqAUA&#10;AAAA&#10;" fillcolor="white [3212]" stroked="f" strokeweight=".5pt">
                <v:textbox inset="0,0,0,0">
                  <w:txbxContent>
                    <w:p w14:paraId="4A89C931" w14:textId="77777777" w:rsidR="00B06983" w:rsidRPr="00F85C28" w:rsidRDefault="00B06983" w:rsidP="00262896">
                      <w:pPr>
                        <w:spacing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Elektro- tīkli</w:t>
                      </w:r>
                    </w:p>
                  </w:txbxContent>
                </v:textbox>
              </v:shape>
            </w:pict>
          </mc:Fallback>
        </mc:AlternateContent>
      </w:r>
      <w:r>
        <w:rPr>
          <w:noProof/>
          <w14:ligatures w14:val="standardContextual"/>
        </w:rPr>
        <mc:AlternateContent>
          <mc:Choice Requires="wps">
            <w:drawing>
              <wp:anchor distT="0" distB="0" distL="114300" distR="114300" simplePos="0" relativeHeight="251658266" behindDoc="0" locked="0" layoutInCell="1" allowOverlap="1" wp14:anchorId="2DE520B6" wp14:editId="4A24BC5C">
                <wp:simplePos x="0" y="0"/>
                <wp:positionH relativeFrom="column">
                  <wp:posOffset>1378890</wp:posOffset>
                </wp:positionH>
                <wp:positionV relativeFrom="paragraph">
                  <wp:posOffset>2927350</wp:posOffset>
                </wp:positionV>
                <wp:extent cx="540000" cy="432000"/>
                <wp:effectExtent l="0" t="0" r="0" b="6350"/>
                <wp:wrapNone/>
                <wp:docPr id="254646730" name="Text Box 2"/>
                <wp:cNvGraphicFramePr/>
                <a:graphic xmlns:a="http://schemas.openxmlformats.org/drawingml/2006/main">
                  <a:graphicData uri="http://schemas.microsoft.com/office/word/2010/wordprocessingShape">
                    <wps:wsp>
                      <wps:cNvSpPr txBox="1"/>
                      <wps:spPr>
                        <a:xfrm>
                          <a:off x="0" y="0"/>
                          <a:ext cx="540000" cy="432000"/>
                        </a:xfrm>
                        <a:prstGeom prst="rect">
                          <a:avLst/>
                        </a:prstGeom>
                        <a:solidFill>
                          <a:schemeClr val="bg1"/>
                        </a:solidFill>
                        <a:ln w="6350">
                          <a:noFill/>
                        </a:ln>
                      </wps:spPr>
                      <wps:txbx>
                        <w:txbxContent>
                          <w:p w14:paraId="22F84CD2" w14:textId="77777777" w:rsidR="00B06983" w:rsidRPr="00F85C28" w:rsidRDefault="00B06983" w:rsidP="00262896">
                            <w:pPr>
                              <w:spacing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Atjaunojamā elektro-enerģija</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E520B6" id="_x0000_s1116" type="#_x0000_t202" style="position:absolute;left:0;text-align:left;margin-left:108.55pt;margin-top:230.5pt;width:42.5pt;height:34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dF7QwIAAHoEAAAOAAAAZHJzL2Uyb0RvYy54bWysVE1PGzEQvVfqf7B8LxtCSFHEBqUgqkoI&#10;kKDi7Hi9yUpejzt2skt/fZ+9WaC0p6o5OOOZ8Xy8N7PnF31rxd5waMiV8vhoIoVxmqrGbUr5/fH6&#10;05kUISpXKUvOlPLZBHmx/PjhvPMLM6Ut2cqwQBAXFp0v5TZGvyiKoLemVeGIvHEw1sStirjypqhY&#10;dYje2mI6mcyLjrjyTNqEAO3VYJTLHL+ujY53dR1MFLaUqC3mk/O5TmexPFeLDSu/bfShDPUPVbSq&#10;cUj6EupKRSV23PwRqm00U6A6HmlqC6rrRpvcA7o5nrzr5mGrvMm9AJzgX2AK/y+svt3fs2iqUk5P&#10;Z/PZ/PMJUHKqBVWPpo/iC/VimlDqfFjA+cHDPfZQg+1RH6BMzfc1t+kfbQnYEen5BeMUTEN5Opvg&#10;J4WGaXYCCjMHxetjzyF+NdSKJJSSQWFGVu1vQkQhcB1dUq5AtqmuG2vzJY2NubQs9gqErze5RLz4&#10;zcs60ZVyfnI6yYEdpedDZOuQILU6tJSk2K/7DNDZbOx3TdUzYGAaxil4fd2g2BsV4r1izA/6w07E&#10;Oxy1JSSjgyTFlvjn3/TJH7TCKkWHeSxl+LFTbKSw3xwIR8g4CjwK61Fwu/aS0PExts3rLOIBRzuK&#10;NVP7hFVZpSwwKaeRq5Q68ni5jMNeYNm0Wa2yG4bUq3jjHrxOwRPGCfzH/kmxPzAUQe0tjbOqFu+I&#10;GnzTS0erXaS6ySwmaAccD4hjwDO5h2VMG/T2nr1ePxnLXwAAAP//AwBQSwMEFAAGAAgAAAAhAG8d&#10;cS7dAAAACwEAAA8AAABkcnMvZG93bnJldi54bWxMj8FOg0AQhu8mvsNmTLzZBWqxRZamGk28Un2A&#10;hZ0Cys4iuwV8e8dTPc7Ml3++P98vthcTjr5zpCBeRSCQamc6ahR8vL/ebUH4oMno3hEq+EEP++L6&#10;KteZcTOVOB1DIziEfKYVtCEMmZS+btFqv3IDEt9ObrQ68Dg20ox65nDbyySKUml1R/yh1QM+t1h/&#10;Hc9WwYRlW24+n152ySwPlX4j+k7XSt3eLIdHEAGXcIHhT5/VoWCnyp3JeNErSOKHmFEF92nMpZhY&#10;RwlvKgWbZBeBLHL5v0PxCwAA//8DAFBLAQItABQABgAIAAAAIQC2gziS/gAAAOEBAAATAAAAAAAA&#10;AAAAAAAAAAAAAABbQ29udGVudF9UeXBlc10ueG1sUEsBAi0AFAAGAAgAAAAhADj9If/WAAAAlAEA&#10;AAsAAAAAAAAAAAAAAAAALwEAAF9yZWxzLy5yZWxzUEsBAi0AFAAGAAgAAAAhABIV0XtDAgAAegQA&#10;AA4AAAAAAAAAAAAAAAAALgIAAGRycy9lMm9Eb2MueG1sUEsBAi0AFAAGAAgAAAAhAG8dcS7dAAAA&#10;CwEAAA8AAAAAAAAAAAAAAAAAnQQAAGRycy9kb3ducmV2LnhtbFBLBQYAAAAABAAEAPMAAACnBQAA&#10;AAA=&#10;" fillcolor="white [3212]" stroked="f" strokeweight=".5pt">
                <v:textbox inset="0,0,0,0">
                  <w:txbxContent>
                    <w:p w14:paraId="22F84CD2" w14:textId="77777777" w:rsidR="00B06983" w:rsidRPr="00F85C28" w:rsidRDefault="00B06983" w:rsidP="00262896">
                      <w:pPr>
                        <w:spacing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Atjaunojamā elektro-enerģija</w:t>
                      </w:r>
                    </w:p>
                  </w:txbxContent>
                </v:textbox>
              </v:shape>
            </w:pict>
          </mc:Fallback>
        </mc:AlternateContent>
      </w:r>
      <w:r>
        <w:rPr>
          <w:noProof/>
          <w14:ligatures w14:val="standardContextual"/>
        </w:rPr>
        <mc:AlternateContent>
          <mc:Choice Requires="wps">
            <w:drawing>
              <wp:anchor distT="0" distB="0" distL="114300" distR="114300" simplePos="0" relativeHeight="251658265" behindDoc="0" locked="0" layoutInCell="1" allowOverlap="1" wp14:anchorId="7E5AF1E1" wp14:editId="01FE4A7D">
                <wp:simplePos x="0" y="0"/>
                <wp:positionH relativeFrom="column">
                  <wp:posOffset>872947</wp:posOffset>
                </wp:positionH>
                <wp:positionV relativeFrom="paragraph">
                  <wp:posOffset>2927350</wp:posOffset>
                </wp:positionV>
                <wp:extent cx="504000" cy="314554"/>
                <wp:effectExtent l="0" t="0" r="0" b="9525"/>
                <wp:wrapNone/>
                <wp:docPr id="127772894" name="Text Box 2"/>
                <wp:cNvGraphicFramePr/>
                <a:graphic xmlns:a="http://schemas.openxmlformats.org/drawingml/2006/main">
                  <a:graphicData uri="http://schemas.microsoft.com/office/word/2010/wordprocessingShape">
                    <wps:wsp>
                      <wps:cNvSpPr txBox="1"/>
                      <wps:spPr>
                        <a:xfrm>
                          <a:off x="0" y="0"/>
                          <a:ext cx="504000" cy="314554"/>
                        </a:xfrm>
                        <a:prstGeom prst="rect">
                          <a:avLst/>
                        </a:prstGeom>
                        <a:solidFill>
                          <a:schemeClr val="bg1"/>
                        </a:solidFill>
                        <a:ln w="6350">
                          <a:noFill/>
                        </a:ln>
                      </wps:spPr>
                      <wps:txbx>
                        <w:txbxContent>
                          <w:p w14:paraId="2AA7DCF9" w14:textId="77777777" w:rsidR="00B06983" w:rsidRPr="00F85C28" w:rsidRDefault="00B06983" w:rsidP="00262896">
                            <w:pPr>
                              <w:spacing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Citi gala patērētāji</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5AF1E1" id="_x0000_s1117" type="#_x0000_t202" style="position:absolute;left:0;text-align:left;margin-left:68.75pt;margin-top:230.5pt;width:39.7pt;height:24.75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b3yQwIAAHoEAAAOAAAAZHJzL2Uyb0RvYy54bWysVN9v2jAQfp+0/8Hy+0ig0LKIUDEqpkmo&#10;rQRTn43jQCTH550NCfvrd3YI7bo9TXtxzvfj8913d5ndt7VmJ4WuApPz4SDlTBkJRWX2Of++XX2a&#10;cua8MIXQYFTOz8rx+/nHD7PGZmoEB9CFQkYgxmWNzfnBe5sliZMHVQs3AKsMGUvAWni64j4pUDSE&#10;XutklKa3SQNYWASpnCPtQ2fk84hflkr6p7J0yjOdc8rNxxPjuQtnMp+JbI/CHip5SUP8Qxa1qAw9&#10;eoV6EF6wI1Z/QNWVRHBQ+oGEOoGyrKSKNVA1w/RdNZuDsCrWQuQ4e6XJ/T9Y+Xh6RlYV1LvR3d3d&#10;aPp5zJkRNbVqq1rPvkDLRoGlxrqMnDeW3H1Laoro9Y6Uofi2xDp8qSxGduL7fOU4gElSTtJxmpJF&#10;kulmOJ5MxgEleQ226PxXBTULQs6RWhiZFae1851r7xLecqCrYlVpHS9hbNRSIzsJavhuH1Mk8N+8&#10;tGFNzm9vJmkENhDCO2RtKJdQaldSkHy7ayNB00lf7w6KM9GA0I2Ts3JVUbJr4fyzQJofqo92wj/R&#10;UWqgx+AicXYA/Pk3ffCntpKVs4bmMefux1Gg4kx/M9TwMLy9gL2w6wVzrJdAFQ9p26yMIgWg171Y&#10;ItQvtCqL8AqZhJH0Vs6lx/6y9N1e0LJJtVhENxpSK/zabKwM4IHjQP62fRFoLx3y1NpH6GdVZO8a&#10;1fmGSAOLo4eyil0M1HY8XhinAY9zcFnGsEFv79Hr9Zcx/wUAAP//AwBQSwMEFAAGAAgAAAAhAOO4&#10;su7dAAAACwEAAA8AAABkcnMvZG93bnJldi54bWxMj9FOhDAQRd9N/IdmTHxzC6ygi5TNajTxldUP&#10;KHQElE6RdgH/3vFpfbyZkzvnFvvVDmLGyfeOFMSbCARS40xPrYL3t5ebexA+aDJ6cIQKftDDvry8&#10;KHRu3EIVzsfQCi4hn2sFXQhjLqVvOrTab9yIxLcPN1kdOE6tNJNeuNwOMomiTFrdE3/o9IhPHTZf&#10;x5NVMGPVVenn4/MuWeSh1q9E39lWqeur9fAAIuAazjD86bM6lOxUuxMZLwbO27uUUQW3WcyjmEji&#10;bAeiVpDGUQqyLOT/DeUvAAAA//8DAFBLAQItABQABgAIAAAAIQC2gziS/gAAAOEBAAATAAAAAAAA&#10;AAAAAAAAAAAAAABbQ29udGVudF9UeXBlc10ueG1sUEsBAi0AFAAGAAgAAAAhADj9If/WAAAAlAEA&#10;AAsAAAAAAAAAAAAAAAAALwEAAF9yZWxzLy5yZWxzUEsBAi0AFAAGAAgAAAAhAMIhvfJDAgAAegQA&#10;AA4AAAAAAAAAAAAAAAAALgIAAGRycy9lMm9Eb2MueG1sUEsBAi0AFAAGAAgAAAAhAOO4su7dAAAA&#10;CwEAAA8AAAAAAAAAAAAAAAAAnQQAAGRycy9kb3ducmV2LnhtbFBLBQYAAAAABAAEAPMAAACnBQAA&#10;AAA=&#10;" fillcolor="white [3212]" stroked="f" strokeweight=".5pt">
                <v:textbox inset="0,0,0,0">
                  <w:txbxContent>
                    <w:p w14:paraId="2AA7DCF9" w14:textId="77777777" w:rsidR="00B06983" w:rsidRPr="00F85C28" w:rsidRDefault="00B06983" w:rsidP="00262896">
                      <w:pPr>
                        <w:spacing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Citi gala patērētāji</w:t>
                      </w:r>
                    </w:p>
                  </w:txbxContent>
                </v:textbox>
              </v:shape>
            </w:pict>
          </mc:Fallback>
        </mc:AlternateContent>
      </w:r>
      <w:r>
        <w:rPr>
          <w:noProof/>
          <w14:ligatures w14:val="standardContextual"/>
        </w:rPr>
        <mc:AlternateContent>
          <mc:Choice Requires="wps">
            <w:drawing>
              <wp:anchor distT="0" distB="0" distL="114300" distR="114300" simplePos="0" relativeHeight="251658264" behindDoc="0" locked="0" layoutInCell="1" allowOverlap="1" wp14:anchorId="137C59BB" wp14:editId="248B16E1">
                <wp:simplePos x="0" y="0"/>
                <wp:positionH relativeFrom="column">
                  <wp:posOffset>303352</wp:posOffset>
                </wp:positionH>
                <wp:positionV relativeFrom="paragraph">
                  <wp:posOffset>2927350</wp:posOffset>
                </wp:positionV>
                <wp:extent cx="612000" cy="314554"/>
                <wp:effectExtent l="0" t="0" r="0" b="9525"/>
                <wp:wrapNone/>
                <wp:docPr id="601845648" name="Text Box 2"/>
                <wp:cNvGraphicFramePr/>
                <a:graphic xmlns:a="http://schemas.openxmlformats.org/drawingml/2006/main">
                  <a:graphicData uri="http://schemas.microsoft.com/office/word/2010/wordprocessingShape">
                    <wps:wsp>
                      <wps:cNvSpPr txBox="1"/>
                      <wps:spPr>
                        <a:xfrm>
                          <a:off x="0" y="0"/>
                          <a:ext cx="612000" cy="314554"/>
                        </a:xfrm>
                        <a:prstGeom prst="rect">
                          <a:avLst/>
                        </a:prstGeom>
                        <a:solidFill>
                          <a:schemeClr val="bg1"/>
                        </a:solidFill>
                        <a:ln w="6350">
                          <a:noFill/>
                        </a:ln>
                      </wps:spPr>
                      <wps:txbx>
                        <w:txbxContent>
                          <w:p w14:paraId="04D4F748" w14:textId="77777777" w:rsidR="00B06983" w:rsidRPr="00F85C28" w:rsidRDefault="00B06983" w:rsidP="00262896">
                            <w:pPr>
                              <w:spacing w:line="240" w:lineRule="auto"/>
                              <w:jc w:val="center"/>
                              <w:rPr>
                                <w:rFonts w:asciiTheme="majorHAnsi" w:hAnsiTheme="majorHAnsi" w:cstheme="majorHAnsi"/>
                                <w:sz w:val="16"/>
                                <w:szCs w:val="16"/>
                                <w:lang w:val="lv-LV"/>
                              </w:rPr>
                            </w:pPr>
                            <w:r w:rsidRPr="00F85C28">
                              <w:rPr>
                                <w:rFonts w:asciiTheme="majorHAnsi" w:hAnsiTheme="majorHAnsi" w:cstheme="majorHAnsi"/>
                                <w:sz w:val="16"/>
                                <w:szCs w:val="16"/>
                                <w:lang w:val="lv-LV"/>
                              </w:rPr>
                              <w:t>Energo- efektivitāte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7C59BB" id="_x0000_s1118" type="#_x0000_t202" style="position:absolute;left:0;text-align:left;margin-left:23.9pt;margin-top:230.5pt;width:48.2pt;height:24.75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EUlQgIAAHoEAAAOAAAAZHJzL2Uyb0RvYy54bWysVMFu2zAMvQ/YPwi6r07aJCiCOkXWosOA&#10;oi3QDj0rspwYkEWNUmJ3X78nOW63bqdhF5kSqSfyPdIXl31rxcFwaMiVcnoykcI4TVXjtqX89nTz&#10;6VyKEJWrlCVnSvligrxcffxw0fmlOaUd2cqwAIgLy86XchejXxZF0DvTqnBC3jg4a+JWRWx5W1Ss&#10;OqC3tjidTBZFR1x5Jm1CwOn14JSrjF/XRsf7ug4mCltK5BbzynndpLVYXajllpXfNfqYhvqHLFrV&#10;ODz6CnWtohJ7bv6AahvNFKiOJ5raguq60SbXgGqmk3fVPO6UN7kWkBP8K03h/8Hqu8MDi6Yq5WIy&#10;PZ/NFzMI5lQLqZ5MH8Vn6sVpYqnzYYngR4/w2OMYao/nAYep+L7mNn1RloAffL+8cpzANA4XU8gG&#10;j4brbDqbz2cJpXi77DnEL4ZakYxSMiTMzKrDbYhD6BiS3gpkm+qmsTZvUtuYK8vioCD4ZptTBPhv&#10;UdaJDomczScZ2FG6PiBbh1xSqUNJyYr9ps8EnS/GejdUvYAGpqGdgtc3DZK9VSE+KEb/oD7MRLzH&#10;UlvCY3S0pNgR//jbeYqHrPBK0aEfSxm+7xUbKexXB8FT844Gj8ZmNNy+vSJUPMW0eZ1NXOBoR7Nm&#10;ap8xKuv0ClzKabxVSh153FzFYS4wbNqs1zkMTepVvHWPXifwxHEi/6l/VuyPCkVIe0djr6rlO6GG&#10;2HTT0XofqW6yionagccj42jw3AfHYUwT9Os+R739MlY/AQAA//8DAFBLAwQUAAYACAAAACEAWq1D&#10;9t0AAAAKAQAADwAAAGRycy9kb3ducmV2LnhtbEyPQU+EMBCF7yb+h2ZMvLkFBNxFymY1mnhl9QcU&#10;OlKUTpF2Af+93dN6epm8lzffK/erGdiMk+stCYg3ETCk1qqeOgEf7693W2DOS1JysIQCftHBvrq+&#10;KmWh7EI1zkffsVBCrpACtPdjwblrNRrpNnZECt6nnYz04Zw6ria5hHIz8CSKcm5kT+GDliM+a2y/&#10;jycjYMZa19nX08suWfihkW9EP/m9ELc36+ERmMfVX8Jwxg/oUAWmxp5IOTYISB8CuQ+ax2HTOZCm&#10;CbBGQBZHGfCq5P8nVH8AAAD//wMAUEsBAi0AFAAGAAgAAAAhALaDOJL+AAAA4QEAABMAAAAAAAAA&#10;AAAAAAAAAAAAAFtDb250ZW50X1R5cGVzXS54bWxQSwECLQAUAAYACAAAACEAOP0h/9YAAACUAQAA&#10;CwAAAAAAAAAAAAAAAAAvAQAAX3JlbHMvLnJlbHNQSwECLQAUAAYACAAAACEAkShFJUICAAB6BAAA&#10;DgAAAAAAAAAAAAAAAAAuAgAAZHJzL2Uyb0RvYy54bWxQSwECLQAUAAYACAAAACEAWq1D9t0AAAAK&#10;AQAADwAAAAAAAAAAAAAAAACcBAAAZHJzL2Rvd25yZXYueG1sUEsFBgAAAAAEAAQA8wAAAKYFAAAA&#10;AA==&#10;" fillcolor="white [3212]" stroked="f" strokeweight=".5pt">
                <v:textbox inset="0,0,0,0">
                  <w:txbxContent>
                    <w:p w14:paraId="04D4F748" w14:textId="77777777" w:rsidR="00B06983" w:rsidRPr="00F85C28" w:rsidRDefault="00B06983" w:rsidP="00262896">
                      <w:pPr>
                        <w:spacing w:line="240" w:lineRule="auto"/>
                        <w:jc w:val="center"/>
                        <w:rPr>
                          <w:rFonts w:asciiTheme="majorHAnsi" w:hAnsiTheme="majorHAnsi" w:cstheme="majorHAnsi"/>
                          <w:sz w:val="16"/>
                          <w:szCs w:val="16"/>
                          <w:lang w:val="lv-LV"/>
                        </w:rPr>
                      </w:pPr>
                      <w:r w:rsidRPr="00F85C28">
                        <w:rPr>
                          <w:rFonts w:asciiTheme="majorHAnsi" w:hAnsiTheme="majorHAnsi" w:cstheme="majorHAnsi"/>
                          <w:sz w:val="16"/>
                          <w:szCs w:val="16"/>
                          <w:lang w:val="lv-LV"/>
                        </w:rPr>
                        <w:t>Energo- efektivitāte</w:t>
                      </w:r>
                    </w:p>
                  </w:txbxContent>
                </v:textbox>
              </v:shape>
            </w:pict>
          </mc:Fallback>
        </mc:AlternateContent>
      </w:r>
      <w:r w:rsidRPr="00EC56D3">
        <w:rPr>
          <w:rFonts w:ascii="Minion Pro" w:hAnsi="Minion Pro" w:cs="Arial"/>
          <w:noProof/>
        </w:rPr>
        <w:drawing>
          <wp:inline distT="0" distB="0" distL="0" distR="0" wp14:anchorId="06F98C36" wp14:editId="2E849842">
            <wp:extent cx="6120000" cy="3687494"/>
            <wp:effectExtent l="0" t="0" r="0" b="8255"/>
            <wp:docPr id="1382405262" name="Picture 1" descr="A graph of different colored bars and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2405262" name="Picture 1" descr="A graph of different colored bars and numbers&#10;&#10;Description automatically generated with medium confidence"/>
                    <pic:cNvPicPr/>
                  </pic:nvPicPr>
                  <pic:blipFill>
                    <a:blip r:embed="rId28"/>
                    <a:stretch>
                      <a:fillRect/>
                    </a:stretch>
                  </pic:blipFill>
                  <pic:spPr>
                    <a:xfrm>
                      <a:off x="0" y="0"/>
                      <a:ext cx="6120000" cy="3687494"/>
                    </a:xfrm>
                    <a:prstGeom prst="rect">
                      <a:avLst/>
                    </a:prstGeom>
                  </pic:spPr>
                </pic:pic>
              </a:graphicData>
            </a:graphic>
          </wp:inline>
        </w:drawing>
      </w:r>
    </w:p>
    <w:p w14:paraId="2ECD4F58" w14:textId="77777777" w:rsidR="00262896" w:rsidRPr="00F85C28" w:rsidRDefault="00262896" w:rsidP="00262896">
      <w:pPr>
        <w:widowControl/>
        <w:spacing w:before="120" w:after="120" w:line="240" w:lineRule="auto"/>
        <w:jc w:val="both"/>
        <w:rPr>
          <w:rFonts w:ascii="Arial Nova Cond Light" w:hAnsi="Arial Nova Cond Light" w:cs="Arial"/>
          <w:sz w:val="16"/>
          <w:szCs w:val="16"/>
          <w:lang w:val="lv-LV"/>
        </w:rPr>
      </w:pPr>
      <w:r w:rsidRPr="00F85C28">
        <w:rPr>
          <w:rFonts w:ascii="Arial Nova Cond Light" w:hAnsi="Arial Nova Cond Light"/>
          <w:sz w:val="16"/>
          <w:szCs w:val="16"/>
          <w:lang w:val="lv-LV"/>
        </w:rPr>
        <w:t xml:space="preserve">Avots: </w:t>
      </w:r>
      <w:r w:rsidRPr="00F85C28">
        <w:rPr>
          <w:rFonts w:ascii="Arial Nova Cond Light" w:hAnsi="Arial Nova Cond Light"/>
          <w:color w:val="000000" w:themeColor="text1"/>
          <w:sz w:val="16"/>
          <w:szCs w:val="16"/>
          <w:lang w:val="lv-LV"/>
        </w:rPr>
        <w:t>Eiropas Investīciju bankas Investīciju ziņojums 2023/2024</w:t>
      </w:r>
      <w:r w:rsidRPr="00F85C28">
        <w:rPr>
          <w:rStyle w:val="FootnoteReference"/>
          <w:rFonts w:ascii="Arial Nova Cond Light" w:hAnsi="Arial Nova Cond Light"/>
          <w:sz w:val="16"/>
          <w:szCs w:val="16"/>
          <w:lang w:val="lv-LV"/>
        </w:rPr>
        <w:footnoteReference w:id="26"/>
      </w:r>
    </w:p>
    <w:p w14:paraId="1569AF79" w14:textId="77777777" w:rsidR="00262896" w:rsidRPr="00F85C28" w:rsidRDefault="00262896" w:rsidP="00262896">
      <w:pPr>
        <w:widowControl/>
        <w:spacing w:line="240" w:lineRule="auto"/>
        <w:jc w:val="both"/>
        <w:rPr>
          <w:rFonts w:ascii="Verdana Pro Cond Light" w:hAnsi="Verdana Pro Cond Light" w:cs="Arial"/>
          <w:lang w:val="lv-LV"/>
        </w:rPr>
      </w:pPr>
    </w:p>
    <w:p w14:paraId="127D79E5" w14:textId="77777777" w:rsidR="00262896" w:rsidRPr="00F85C28" w:rsidRDefault="00262896" w:rsidP="00262896">
      <w:pPr>
        <w:widowControl/>
        <w:spacing w:line="240" w:lineRule="auto"/>
        <w:rPr>
          <w:rFonts w:ascii="Verdana Pro Cond Light" w:hAnsi="Verdana Pro Cond Light" w:cs="Arial"/>
          <w:lang w:val="lv-LV"/>
        </w:rPr>
      </w:pPr>
      <w:r w:rsidRPr="00F85C28">
        <w:rPr>
          <w:rFonts w:ascii="Verdana Pro Cond Light" w:hAnsi="Verdana Pro Cond Light" w:cs="Arial"/>
          <w:lang w:val="lv-LV"/>
        </w:rPr>
        <w:t xml:space="preserve">Zaļais kurss un REPowerEU politika deva skaidru signālu investoriem, lai paātrinātu pāreju un ātrāk atteiktos no fosilā kurināmā. Lai gan dati </w:t>
      </w:r>
      <w:r>
        <w:rPr>
          <w:rFonts w:ascii="Verdana Pro Cond Light" w:hAnsi="Verdana Pro Cond Light" w:cs="Arial"/>
          <w:lang w:val="lv-LV"/>
        </w:rPr>
        <w:t>4.1.</w:t>
      </w:r>
      <w:r w:rsidRPr="00F85C28">
        <w:rPr>
          <w:rFonts w:ascii="Verdana Pro Cond Light" w:hAnsi="Verdana Pro Cond Light" w:cs="Arial"/>
          <w:lang w:val="lv-LV"/>
        </w:rPr>
        <w:t xml:space="preserve"> attēlā atspoguļo investīcijas tīrajās enerģijas tehnoloģijās vien, investīcijām nepieciešamie aprēķinātie EUR 620 miljardi ietver arī iniciatīvas zaļajai pārejai un klimata pārmaiņu, vides, enerģētikas, transporta, rūpniecības, lauksaimniecības un ilgtspējīgu finanšu jomās, kas visas ir cieši saistītas.</w:t>
      </w:r>
    </w:p>
    <w:p w14:paraId="72B9FDDC" w14:textId="77777777" w:rsidR="00262896" w:rsidRPr="00F85C28" w:rsidRDefault="00262896" w:rsidP="00262896">
      <w:pPr>
        <w:widowControl/>
        <w:spacing w:line="240" w:lineRule="auto"/>
        <w:rPr>
          <w:rFonts w:ascii="Verdana Pro Cond Light" w:hAnsi="Verdana Pro Cond Light" w:cs="Arial"/>
          <w:lang w:val="lv-LV"/>
        </w:rPr>
      </w:pPr>
      <w:r>
        <w:rPr>
          <w:rFonts w:ascii="Verdana Pro Cond Light" w:hAnsi="Verdana Pro Cond Light" w:cs="Arial"/>
          <w:lang w:val="lv-LV"/>
        </w:rPr>
        <w:t>4.2</w:t>
      </w:r>
      <w:r w:rsidRPr="00F85C28">
        <w:rPr>
          <w:rFonts w:ascii="Verdana Pro Cond Light" w:hAnsi="Verdana Pro Cond Light" w:cs="Arial"/>
          <w:lang w:val="lv-LV"/>
        </w:rPr>
        <w:t xml:space="preserve"> attēlā ir redzams Eiropas Investīcijas Bankas investīciju ziņojumā atspoguļotais nepieciešam</w:t>
      </w:r>
      <w:r>
        <w:rPr>
          <w:rFonts w:ascii="Verdana Pro Cond Light" w:hAnsi="Verdana Pro Cond Light" w:cs="Arial"/>
          <w:lang w:val="lv-LV"/>
        </w:rPr>
        <w:t>ā</w:t>
      </w:r>
      <w:r w:rsidRPr="00F85C28">
        <w:rPr>
          <w:rFonts w:ascii="Verdana Pro Cond Light" w:hAnsi="Verdana Pro Cond Light" w:cs="Arial"/>
          <w:lang w:val="lv-LV"/>
        </w:rPr>
        <w:t xml:space="preserve"> finansējuma sadalījums, lai sasniegtu </w:t>
      </w:r>
      <w:r>
        <w:rPr>
          <w:rFonts w:ascii="Verdana Pro Cond Light" w:hAnsi="Verdana Pro Cond Light" w:cs="Arial"/>
          <w:lang w:val="lv-LV"/>
        </w:rPr>
        <w:t>Z</w:t>
      </w:r>
      <w:r w:rsidRPr="00F85C28">
        <w:rPr>
          <w:rFonts w:ascii="Verdana Pro Cond Light" w:hAnsi="Verdana Pro Cond Light" w:cs="Arial"/>
          <w:lang w:val="lv-LV"/>
        </w:rPr>
        <w:t>aļā kursa mērķus 2030</w:t>
      </w:r>
      <w:r>
        <w:rPr>
          <w:rFonts w:ascii="Verdana Pro Cond Light" w:hAnsi="Verdana Pro Cond Light" w:cs="Arial"/>
          <w:lang w:val="lv-LV"/>
        </w:rPr>
        <w:t>.</w:t>
      </w:r>
      <w:r w:rsidRPr="00F85C28">
        <w:rPr>
          <w:rFonts w:ascii="Verdana Pro Cond Light" w:hAnsi="Verdana Pro Cond Light" w:cs="Arial"/>
          <w:lang w:val="lv-LV"/>
        </w:rPr>
        <w:t xml:space="preserve"> gadam.</w:t>
      </w:r>
    </w:p>
    <w:p w14:paraId="644CDF8C" w14:textId="77777777" w:rsidR="00262896" w:rsidRPr="00F85C28" w:rsidRDefault="00262896" w:rsidP="00262896">
      <w:pPr>
        <w:widowControl/>
        <w:spacing w:after="160" w:line="240" w:lineRule="auto"/>
        <w:rPr>
          <w:rFonts w:ascii="Verdana Pro Cond Light" w:hAnsi="Verdana Pro Cond Light" w:cs="Arial"/>
          <w:lang w:val="lv-LV"/>
        </w:rPr>
      </w:pPr>
      <w:r w:rsidRPr="00F85C28">
        <w:rPr>
          <w:rFonts w:ascii="Verdana Pro Cond Light" w:hAnsi="Verdana Pro Cond Light" w:cs="Arial"/>
          <w:lang w:val="lv-LV"/>
        </w:rPr>
        <w:br w:type="page"/>
      </w:r>
    </w:p>
    <w:p w14:paraId="7428FD29" w14:textId="77777777" w:rsidR="00262896" w:rsidRPr="00F85C28" w:rsidRDefault="00262896" w:rsidP="00262896">
      <w:pPr>
        <w:widowControl/>
        <w:spacing w:after="120" w:line="240" w:lineRule="auto"/>
        <w:jc w:val="right"/>
        <w:rPr>
          <w:rFonts w:ascii="Verdana Pro Cond Light" w:hAnsi="Verdana Pro Cond Light" w:cs="Arial"/>
          <w:lang w:val="lv-LV"/>
        </w:rPr>
      </w:pPr>
      <w:r w:rsidRPr="00F85C28">
        <w:rPr>
          <w:rFonts w:ascii="Verdana Pro Cond Light" w:hAnsi="Verdana Pro Cond Light" w:cs="Arial"/>
          <w:lang w:val="lv-LV"/>
        </w:rPr>
        <w:lastRenderedPageBreak/>
        <w:t>4.2. attēls</w:t>
      </w:r>
    </w:p>
    <w:p w14:paraId="6384FF09" w14:textId="77777777" w:rsidR="00262896" w:rsidRDefault="00262896" w:rsidP="00262896">
      <w:pPr>
        <w:widowControl/>
        <w:spacing w:after="0" w:line="240" w:lineRule="auto"/>
        <w:jc w:val="center"/>
        <w:rPr>
          <w:rFonts w:ascii="Verdana Pro Cond Light" w:hAnsi="Verdana Pro Cond Light"/>
          <w:b/>
          <w:lang w:val="lv-LV"/>
        </w:rPr>
      </w:pPr>
      <w:r w:rsidRPr="00F85C28">
        <w:rPr>
          <w:rFonts w:ascii="Verdana Pro Cond Light" w:hAnsi="Verdana Pro Cond Light"/>
          <w:b/>
          <w:lang w:val="lv-LV"/>
        </w:rPr>
        <w:t>Nepieciešamie ieguldījumi, lai sasniegtu 2030. gada mērķus</w:t>
      </w:r>
    </w:p>
    <w:p w14:paraId="0038E0E7" w14:textId="77777777" w:rsidR="00262896" w:rsidRPr="00F85C28" w:rsidRDefault="00262896" w:rsidP="00262896">
      <w:pPr>
        <w:widowControl/>
        <w:tabs>
          <w:tab w:val="center" w:pos="3402"/>
          <w:tab w:val="center" w:pos="8080"/>
        </w:tabs>
        <w:spacing w:after="120" w:line="240" w:lineRule="auto"/>
        <w:rPr>
          <w:rFonts w:ascii="Verdana Pro Cond Light" w:hAnsi="Verdana Pro Cond Light"/>
          <w:b/>
          <w:lang w:val="lv-LV"/>
        </w:rPr>
      </w:pPr>
      <w:r>
        <w:rPr>
          <w:rFonts w:ascii="Verdana Pro Cond Light" w:hAnsi="Verdana Pro Cond Light"/>
          <w:b/>
          <w:i/>
          <w:iCs/>
          <w:lang w:val="lv-LV"/>
        </w:rPr>
        <w:tab/>
      </w:r>
      <w:r w:rsidRPr="00F85C28">
        <w:rPr>
          <w:rFonts w:ascii="Verdana Pro Cond Light" w:hAnsi="Verdana Pro Cond Light"/>
          <w:b/>
          <w:i/>
          <w:iCs/>
          <w:lang w:val="lv-LV"/>
        </w:rPr>
        <w:t>Fit for 55</w:t>
      </w:r>
      <w:r w:rsidRPr="00F85C28">
        <w:rPr>
          <w:rFonts w:ascii="Verdana Pro Cond Light" w:hAnsi="Verdana Pro Cond Light"/>
          <w:b/>
          <w:lang w:val="lv-LV"/>
        </w:rPr>
        <w:t xml:space="preserve"> un </w:t>
      </w:r>
      <w:r w:rsidRPr="00F85C28">
        <w:rPr>
          <w:rFonts w:ascii="Verdana Pro Cond Light" w:hAnsi="Verdana Pro Cond Light"/>
          <w:b/>
          <w:i/>
          <w:iCs/>
          <w:lang w:val="lv-LV"/>
        </w:rPr>
        <w:t>REPowerEU</w:t>
      </w:r>
      <w:r w:rsidRPr="00F85C28">
        <w:rPr>
          <w:rFonts w:ascii="Verdana Pro Cond Light" w:hAnsi="Verdana Pro Cond Light"/>
          <w:b/>
          <w:lang w:val="lv-LV"/>
        </w:rPr>
        <w:t xml:space="preserve"> </w:t>
      </w:r>
      <w:r>
        <w:rPr>
          <w:rFonts w:ascii="Verdana Pro Cond Light" w:hAnsi="Verdana Pro Cond Light"/>
          <w:b/>
          <w:lang w:val="lv-LV"/>
        </w:rPr>
        <w:tab/>
        <w:t>V</w:t>
      </w:r>
      <w:r w:rsidRPr="00F85C28">
        <w:rPr>
          <w:rFonts w:ascii="Verdana Pro Cond Light" w:hAnsi="Verdana Pro Cond Light"/>
          <w:b/>
          <w:lang w:val="lv-LV"/>
        </w:rPr>
        <w:t>ēja un saules enerģijas jaudas</w:t>
      </w:r>
    </w:p>
    <w:p w14:paraId="2118AF39" w14:textId="77777777" w:rsidR="00262896" w:rsidRPr="00EC56D3" w:rsidRDefault="00262896" w:rsidP="00262896">
      <w:pPr>
        <w:widowControl/>
        <w:spacing w:after="0" w:line="240" w:lineRule="auto"/>
        <w:jc w:val="both"/>
        <w:rPr>
          <w:rFonts w:ascii="Minion Pro" w:hAnsi="Minion Pro" w:cs="Arial"/>
          <w:lang w:val="lv-LV"/>
        </w:rPr>
      </w:pPr>
      <w:r>
        <w:rPr>
          <w:noProof/>
          <w14:ligatures w14:val="standardContextual"/>
        </w:rPr>
        <mc:AlternateContent>
          <mc:Choice Requires="wps">
            <w:drawing>
              <wp:anchor distT="0" distB="0" distL="114300" distR="114300" simplePos="0" relativeHeight="251658274" behindDoc="0" locked="0" layoutInCell="1" allowOverlap="1" wp14:anchorId="2FD1EF00" wp14:editId="23CA905E">
                <wp:simplePos x="0" y="0"/>
                <wp:positionH relativeFrom="column">
                  <wp:posOffset>4448810</wp:posOffset>
                </wp:positionH>
                <wp:positionV relativeFrom="paragraph">
                  <wp:posOffset>3028137</wp:posOffset>
                </wp:positionV>
                <wp:extent cx="1667865" cy="270663"/>
                <wp:effectExtent l="0" t="0" r="8890" b="0"/>
                <wp:wrapNone/>
                <wp:docPr id="1646284046" name="Text Box 2"/>
                <wp:cNvGraphicFramePr/>
                <a:graphic xmlns:a="http://schemas.openxmlformats.org/drawingml/2006/main">
                  <a:graphicData uri="http://schemas.microsoft.com/office/word/2010/wordprocessingShape">
                    <wps:wsp>
                      <wps:cNvSpPr txBox="1"/>
                      <wps:spPr>
                        <a:xfrm>
                          <a:off x="0" y="0"/>
                          <a:ext cx="1667865" cy="270663"/>
                        </a:xfrm>
                        <a:prstGeom prst="rect">
                          <a:avLst/>
                        </a:prstGeom>
                        <a:solidFill>
                          <a:schemeClr val="bg1"/>
                        </a:solidFill>
                        <a:ln w="6350">
                          <a:noFill/>
                        </a:ln>
                      </wps:spPr>
                      <wps:txbx>
                        <w:txbxContent>
                          <w:p w14:paraId="791F28D2" w14:textId="77777777" w:rsidR="00B06983" w:rsidRDefault="00B06983" w:rsidP="00262896">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 xml:space="preserve">Vēja enerģijas </w:t>
                            </w:r>
                            <w:r>
                              <w:rPr>
                                <w:rFonts w:asciiTheme="majorHAnsi" w:hAnsiTheme="majorHAnsi" w:cstheme="majorHAnsi"/>
                                <w:sz w:val="16"/>
                                <w:szCs w:val="16"/>
                                <w:lang w:val="lv-LV"/>
                              </w:rPr>
                              <w:tab/>
                              <w:t>Saules enerģijas</w:t>
                            </w:r>
                          </w:p>
                          <w:p w14:paraId="3B6DEBD0" w14:textId="77777777" w:rsidR="00B06983" w:rsidRPr="00F85C28" w:rsidRDefault="00B06983" w:rsidP="00262896">
                            <w:pPr>
                              <w:tabs>
                                <w:tab w:val="center" w:pos="567"/>
                                <w:tab w:val="center" w:pos="1985"/>
                              </w:tabs>
                              <w:spacing w:after="0" w:line="240" w:lineRule="auto"/>
                              <w:rPr>
                                <w:rFonts w:asciiTheme="majorHAnsi" w:hAnsiTheme="majorHAnsi" w:cstheme="majorHAnsi"/>
                                <w:sz w:val="16"/>
                                <w:szCs w:val="16"/>
                                <w:lang w:val="lv-LV"/>
                              </w:rPr>
                            </w:pPr>
                            <w:r>
                              <w:rPr>
                                <w:rFonts w:asciiTheme="majorHAnsi" w:hAnsiTheme="majorHAnsi" w:cstheme="majorHAnsi"/>
                                <w:sz w:val="16"/>
                                <w:szCs w:val="16"/>
                                <w:lang w:val="lv-LV"/>
                              </w:rPr>
                              <w:tab/>
                              <w:t>kapacitāte</w:t>
                            </w:r>
                            <w:r>
                              <w:rPr>
                                <w:rFonts w:asciiTheme="majorHAnsi" w:hAnsiTheme="majorHAnsi" w:cstheme="majorHAnsi"/>
                                <w:sz w:val="16"/>
                                <w:szCs w:val="16"/>
                                <w:lang w:val="lv-LV"/>
                              </w:rPr>
                              <w:tab/>
                              <w:t>kapacitāte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D1EF00" id="_x0000_s1119" type="#_x0000_t202" style="position:absolute;left:0;text-align:left;margin-left:350.3pt;margin-top:238.45pt;width:131.35pt;height:21.3pt;z-index:2516582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JTMRAIAAHwEAAAOAAAAZHJzL2Uyb0RvYy54bWysVFGP2jAMfp+0/xDlfbRwXEGIcmKcmCah&#10;u5NguueQplApjTMn0LJfPyel3Hbb07SX1Intz/Znu/OHttbsrNBVYHI+HKScKSOhqMwh5992609T&#10;zpwXphAajMr5RTn+sPj4Yd7YmRrBEXShkBGIcbPG5vzovZ0liZNHVQs3AKsMKUvAWni64iEpUDSE&#10;XutklKZZ0gAWFkEq5+j1sVPyRcQvSyX9c1k65ZnOOeXm44nx3IczWczF7IDCHit5TUP8Qxa1qAwF&#10;vUE9Ci/YCas/oOpKIjgo/UBCnUBZVlLFGqiaYfqumu1RWBVrIXKcvdHk/h+sfDq/IKsK6l02zkbT&#10;cTrOODOipl7tVOvZZ2jZKNDUWDcj660le9/SM7n0744eQ/VtiXX4Ul2M9ET45UZyAJPBKcsm0+ye&#10;M0m60STNsrsAk7x5W3T+i4KaBSHnSE2M3IrzxvnOtDcJwRzoqlhXWsdLGBy10sjOglq+P8QcCfw3&#10;K21Yk/Ps7j6NwAaCe4esDeUSau1qCpJv922kaDrpC95DcSEeELqBclauK0p2I5x/EUgTRKXTVvhn&#10;OkoNFAyuEmdHwB9/ew/21FjSctbQRObcfT8JVJzpr4ZaHsa3F7AX9r1gTvUKqOIh7ZuVUSQH9LoX&#10;S4T6lZZlGaKQShhJsXIuPfaXle82g9ZNquUymtGYWuE3ZmtlAA8cB/J37atAe+2Qp94+QT+tYvau&#10;UZ1t8DSwPHkoq9jFQG3H45VxGvE4B9d1DDv06z1avf00Fj8BAAD//wMAUEsDBBQABgAIAAAAIQBU&#10;J7Vv3AAAAAsBAAAPAAAAZHJzL2Rvd25yZXYueG1sTI/BToQwEEDvJv5DMybe3LKLsIIMm9Vo4pXV&#10;Dyh0BJROkXYB/9560uNkXt68KQ6rGcRMk+stI2w3EQjixuqeW4S31+ebOxDOK9ZqsEwI3+TgUF5e&#10;FCrXduGK5pNvRZCwyxVC5/2YS+majoxyGzsSh927nYzyYZxaqSe1BLkZ5C6KUmlUz+FCp0Z67Kj5&#10;PJ0NwkxVVyUfD0/ZbpHHWr0wf6Ux4vXVerwH4Wn1fzD85od0KENTbc+snRgQ9sEeUITbfZqBCESW&#10;xjGIGiHZZgnIspD/fyh/AAAA//8DAFBLAQItABQABgAIAAAAIQC2gziS/gAAAOEBAAATAAAAAAAA&#10;AAAAAAAAAAAAAABbQ29udGVudF9UeXBlc10ueG1sUEsBAi0AFAAGAAgAAAAhADj9If/WAAAAlAEA&#10;AAsAAAAAAAAAAAAAAAAALwEAAF9yZWxzLy5yZWxzUEsBAi0AFAAGAAgAAAAhADUMlMxEAgAAfAQA&#10;AA4AAAAAAAAAAAAAAAAALgIAAGRycy9lMm9Eb2MueG1sUEsBAi0AFAAGAAgAAAAhAFQntW/cAAAA&#10;CwEAAA8AAAAAAAAAAAAAAAAAngQAAGRycy9kb3ducmV2LnhtbFBLBQYAAAAABAAEAPMAAACnBQAA&#10;AAA=&#10;" fillcolor="white [3212]" stroked="f" strokeweight=".5pt">
                <v:textbox inset="0,0,0,0">
                  <w:txbxContent>
                    <w:p w14:paraId="791F28D2" w14:textId="77777777" w:rsidR="00B06983" w:rsidRDefault="00B06983" w:rsidP="00262896">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 xml:space="preserve">Vēja enerģijas </w:t>
                      </w:r>
                      <w:r>
                        <w:rPr>
                          <w:rFonts w:asciiTheme="majorHAnsi" w:hAnsiTheme="majorHAnsi" w:cstheme="majorHAnsi"/>
                          <w:sz w:val="16"/>
                          <w:szCs w:val="16"/>
                          <w:lang w:val="lv-LV"/>
                        </w:rPr>
                        <w:tab/>
                        <w:t>Saules enerģijas</w:t>
                      </w:r>
                    </w:p>
                    <w:p w14:paraId="3B6DEBD0" w14:textId="77777777" w:rsidR="00B06983" w:rsidRPr="00F85C28" w:rsidRDefault="00B06983" w:rsidP="00262896">
                      <w:pPr>
                        <w:tabs>
                          <w:tab w:val="center" w:pos="567"/>
                          <w:tab w:val="center" w:pos="1985"/>
                        </w:tabs>
                        <w:spacing w:after="0" w:line="240" w:lineRule="auto"/>
                        <w:rPr>
                          <w:rFonts w:asciiTheme="majorHAnsi" w:hAnsiTheme="majorHAnsi" w:cstheme="majorHAnsi"/>
                          <w:sz w:val="16"/>
                          <w:szCs w:val="16"/>
                          <w:lang w:val="lv-LV"/>
                        </w:rPr>
                      </w:pPr>
                      <w:r>
                        <w:rPr>
                          <w:rFonts w:asciiTheme="majorHAnsi" w:hAnsiTheme="majorHAnsi" w:cstheme="majorHAnsi"/>
                          <w:sz w:val="16"/>
                          <w:szCs w:val="16"/>
                          <w:lang w:val="lv-LV"/>
                        </w:rPr>
                        <w:tab/>
                        <w:t>kapacitāte</w:t>
                      </w:r>
                      <w:r>
                        <w:rPr>
                          <w:rFonts w:asciiTheme="majorHAnsi" w:hAnsiTheme="majorHAnsi" w:cstheme="majorHAnsi"/>
                          <w:sz w:val="16"/>
                          <w:szCs w:val="16"/>
                          <w:lang w:val="lv-LV"/>
                        </w:rPr>
                        <w:tab/>
                        <w:t>kapacitāte</w:t>
                      </w:r>
                    </w:p>
                  </w:txbxContent>
                </v:textbox>
              </v:shape>
            </w:pict>
          </mc:Fallback>
        </mc:AlternateContent>
      </w:r>
      <w:r w:rsidRPr="00BF748F">
        <w:rPr>
          <w:rFonts w:ascii="Minion Pro" w:hAnsi="Minion Pro"/>
          <w:noProof/>
          <w:sz w:val="24"/>
        </w:rPr>
        <mc:AlternateContent>
          <mc:Choice Requires="wps">
            <w:drawing>
              <wp:anchor distT="45720" distB="45720" distL="114300" distR="114300" simplePos="0" relativeHeight="251658273" behindDoc="0" locked="0" layoutInCell="1" allowOverlap="1" wp14:anchorId="2D1136EC" wp14:editId="0874CE3C">
                <wp:simplePos x="0" y="0"/>
                <wp:positionH relativeFrom="margin">
                  <wp:posOffset>150292</wp:posOffset>
                </wp:positionH>
                <wp:positionV relativeFrom="paragraph">
                  <wp:posOffset>3057779</wp:posOffset>
                </wp:positionV>
                <wp:extent cx="3928262" cy="1008000"/>
                <wp:effectExtent l="0" t="0" r="0" b="1905"/>
                <wp:wrapNone/>
                <wp:docPr id="441014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8262" cy="1008000"/>
                        </a:xfrm>
                        <a:prstGeom prst="rect">
                          <a:avLst/>
                        </a:prstGeom>
                        <a:solidFill>
                          <a:srgbClr val="FFFFFF"/>
                        </a:solidFill>
                        <a:ln w="9525">
                          <a:noFill/>
                          <a:miter lim="800000"/>
                          <a:headEnd/>
                          <a:tailEnd/>
                        </a:ln>
                      </wps:spPr>
                      <wps:txbx>
                        <w:txbxContent>
                          <w:p w14:paraId="02FC5738" w14:textId="77777777" w:rsidR="00B06983" w:rsidRPr="00097491" w:rsidRDefault="00B06983" w:rsidP="00262896">
                            <w:pPr>
                              <w:spacing w:before="190" w:after="0"/>
                              <w:jc w:val="right"/>
                              <w:rPr>
                                <w:rFonts w:ascii="Arial Nova Cond Light" w:hAnsi="Arial Nova Cond Light"/>
                                <w:sz w:val="16"/>
                                <w:szCs w:val="16"/>
                                <w:lang w:val="sv-SE"/>
                              </w:rPr>
                            </w:pPr>
                            <w:r w:rsidRPr="00097491">
                              <w:rPr>
                                <w:rFonts w:ascii="Arial Nova Cond Light" w:hAnsi="Arial Nova Cond Light"/>
                                <w:sz w:val="16"/>
                                <w:szCs w:val="16"/>
                                <w:lang w:val="sv-SE"/>
                              </w:rPr>
                              <w:t>Dzīvojamais sektors</w:t>
                            </w:r>
                          </w:p>
                          <w:p w14:paraId="25AAABDA" w14:textId="77777777" w:rsidR="00B06983" w:rsidRPr="00097491" w:rsidRDefault="00B06983" w:rsidP="00262896">
                            <w:pPr>
                              <w:spacing w:before="190" w:after="0"/>
                              <w:jc w:val="right"/>
                              <w:rPr>
                                <w:rFonts w:ascii="Arial Nova Cond Light" w:hAnsi="Arial Nova Cond Light"/>
                                <w:sz w:val="16"/>
                                <w:szCs w:val="16"/>
                                <w:lang w:val="sv-SE"/>
                              </w:rPr>
                            </w:pPr>
                            <w:r w:rsidRPr="00097491">
                              <w:rPr>
                                <w:rFonts w:ascii="Arial Nova Cond Light" w:hAnsi="Arial Nova Cond Light"/>
                                <w:sz w:val="16"/>
                                <w:szCs w:val="16"/>
                                <w:lang w:val="sv-SE"/>
                              </w:rPr>
                              <w:t>Rūpniecības sektors</w:t>
                            </w:r>
                          </w:p>
                          <w:p w14:paraId="1F8F9FFE" w14:textId="77777777" w:rsidR="00B06983" w:rsidRPr="00097491" w:rsidRDefault="00B06983" w:rsidP="00262896">
                            <w:pPr>
                              <w:spacing w:before="190" w:after="0"/>
                              <w:jc w:val="right"/>
                              <w:rPr>
                                <w:rFonts w:ascii="Arial Nova Cond Light" w:hAnsi="Arial Nova Cond Light"/>
                                <w:sz w:val="16"/>
                                <w:szCs w:val="16"/>
                                <w:lang w:val="sv-SE"/>
                              </w:rPr>
                            </w:pPr>
                            <w:r w:rsidRPr="00097491">
                              <w:rPr>
                                <w:rFonts w:ascii="Arial Nova Cond Light" w:hAnsi="Arial Nova Cond Light"/>
                                <w:sz w:val="16"/>
                                <w:szCs w:val="16"/>
                                <w:lang w:val="sv-SE"/>
                              </w:rPr>
                              <w:t>Ietaupiījumi</w:t>
                            </w:r>
                          </w:p>
                          <w:p w14:paraId="63F99CED" w14:textId="77777777" w:rsidR="00B06983" w:rsidRPr="00097491" w:rsidRDefault="00B06983" w:rsidP="00262896">
                            <w:pPr>
                              <w:spacing w:before="190" w:after="0"/>
                              <w:jc w:val="right"/>
                              <w:rPr>
                                <w:rFonts w:ascii="Arial Nova Cond Light" w:hAnsi="Arial Nova Cond Light"/>
                                <w:sz w:val="16"/>
                                <w:szCs w:val="16"/>
                                <w:lang w:val="sv-SE"/>
                              </w:rPr>
                            </w:pPr>
                          </w:p>
                          <w:p w14:paraId="7A061F23" w14:textId="77777777" w:rsidR="00B06983" w:rsidRPr="00097491" w:rsidRDefault="00B06983" w:rsidP="00262896">
                            <w:pPr>
                              <w:spacing w:before="190" w:after="0"/>
                              <w:jc w:val="right"/>
                              <w:rPr>
                                <w:rFonts w:ascii="Arial Nova Cond Light" w:hAnsi="Arial Nova Cond Light"/>
                                <w:sz w:val="16"/>
                                <w:szCs w:val="16"/>
                                <w:lang w:val="sv-SE"/>
                              </w:rPr>
                            </w:pPr>
                            <w:r w:rsidRPr="00097491">
                              <w:rPr>
                                <w:rFonts w:ascii="Arial Nova Cond Light" w:hAnsi="Arial Nova Cond Light"/>
                                <w:sz w:val="16"/>
                                <w:szCs w:val="16"/>
                                <w:lang w:val="sv-SE"/>
                              </w:rPr>
                              <w:t>Biometāns</w:t>
                            </w:r>
                          </w:p>
                          <w:p w14:paraId="57E58942" w14:textId="77777777" w:rsidR="00B06983" w:rsidRPr="00097491" w:rsidRDefault="00B06983" w:rsidP="00262896">
                            <w:pPr>
                              <w:spacing w:before="190" w:after="0"/>
                              <w:jc w:val="right"/>
                              <w:rPr>
                                <w:rFonts w:ascii="Arial Nova Cond Light" w:hAnsi="Arial Nova Cond Light"/>
                                <w:sz w:val="16"/>
                                <w:szCs w:val="16"/>
                                <w:lang w:val="sv-SE"/>
                              </w:rPr>
                            </w:pPr>
                            <w:r w:rsidRPr="00097491">
                              <w:rPr>
                                <w:rFonts w:ascii="Arial Nova Cond Light" w:hAnsi="Arial Nova Cond Light"/>
                                <w:sz w:val="16"/>
                                <w:szCs w:val="16"/>
                                <w:lang w:val="sv-SE"/>
                              </w:rPr>
                              <w:t>Atjaunojamais ūdeņradis</w:t>
                            </w:r>
                          </w:p>
                          <w:p w14:paraId="1BCF9972" w14:textId="77777777" w:rsidR="00B06983" w:rsidRPr="00097491" w:rsidRDefault="00B06983" w:rsidP="00262896">
                            <w:pPr>
                              <w:spacing w:before="190" w:after="0"/>
                              <w:jc w:val="right"/>
                              <w:rPr>
                                <w:rFonts w:ascii="Arial Nova Cond Light" w:hAnsi="Arial Nova Cond Light"/>
                                <w:sz w:val="16"/>
                                <w:szCs w:val="16"/>
                                <w:lang w:val="sv-SE"/>
                              </w:rPr>
                            </w:pPr>
                            <w:r w:rsidRPr="00097491">
                              <w:rPr>
                                <w:rFonts w:ascii="Arial Nova Cond Light" w:hAnsi="Arial Nova Cond Light"/>
                                <w:sz w:val="16"/>
                                <w:szCs w:val="16"/>
                                <w:lang w:val="sv-SE"/>
                              </w:rPr>
                              <w:t>Degvielas diversifikācija</w:t>
                            </w:r>
                          </w:p>
                          <w:p w14:paraId="063E768C" w14:textId="77777777" w:rsidR="00B06983" w:rsidRPr="00097491" w:rsidRDefault="00B06983" w:rsidP="00262896">
                            <w:pPr>
                              <w:spacing w:before="190" w:after="0"/>
                              <w:jc w:val="right"/>
                              <w:rPr>
                                <w:rFonts w:ascii="Arial Nova Cond Light" w:hAnsi="Arial Nova Cond Light"/>
                                <w:sz w:val="16"/>
                                <w:szCs w:val="16"/>
                                <w:lang w:val="sv-SE"/>
                              </w:rPr>
                            </w:pPr>
                          </w:p>
                          <w:p w14:paraId="25567AF4" w14:textId="77777777" w:rsidR="00B06983" w:rsidRPr="00097491" w:rsidRDefault="00B06983" w:rsidP="00262896">
                            <w:pPr>
                              <w:spacing w:before="190" w:after="0"/>
                              <w:jc w:val="right"/>
                              <w:rPr>
                                <w:rFonts w:ascii="Arial Nova Cond Light" w:hAnsi="Arial Nova Cond Light"/>
                                <w:sz w:val="16"/>
                                <w:szCs w:val="16"/>
                                <w:lang w:val="sv-SE"/>
                              </w:rPr>
                            </w:pPr>
                            <w:r w:rsidRPr="00097491">
                              <w:rPr>
                                <w:rFonts w:ascii="Arial Nova Cond Light" w:hAnsi="Arial Nova Cond Light"/>
                                <w:sz w:val="16"/>
                                <w:szCs w:val="16"/>
                                <w:lang w:val="sv-SE"/>
                              </w:rPr>
                              <w:t>Saules un vēja enerģija</w:t>
                            </w:r>
                          </w:p>
                          <w:p w14:paraId="01B7AEEC" w14:textId="77777777" w:rsidR="00B06983" w:rsidRPr="00097491" w:rsidRDefault="00B06983" w:rsidP="00262896">
                            <w:pPr>
                              <w:spacing w:before="190" w:after="0"/>
                              <w:jc w:val="right"/>
                              <w:rPr>
                                <w:rFonts w:ascii="Arial Nova Cond Light" w:hAnsi="Arial Nova Cond Light"/>
                                <w:sz w:val="16"/>
                                <w:szCs w:val="16"/>
                                <w:lang w:val="sv-SE"/>
                              </w:rPr>
                            </w:pPr>
                          </w:p>
                          <w:p w14:paraId="7EBE43C3" w14:textId="77777777" w:rsidR="00B06983" w:rsidRPr="00097491" w:rsidRDefault="00B06983" w:rsidP="00262896">
                            <w:pPr>
                              <w:spacing w:before="190" w:after="0"/>
                              <w:jc w:val="right"/>
                              <w:rPr>
                                <w:rFonts w:ascii="Arial Nova Cond Light" w:hAnsi="Arial Nova Cond Light"/>
                                <w:sz w:val="16"/>
                                <w:szCs w:val="16"/>
                                <w:lang w:val="sv-SE"/>
                              </w:rPr>
                            </w:pPr>
                            <w:r w:rsidRPr="00097491">
                              <w:rPr>
                                <w:rFonts w:ascii="Arial Nova Cond Light" w:hAnsi="Arial Nova Cond Light"/>
                                <w:sz w:val="16"/>
                                <w:szCs w:val="16"/>
                                <w:lang w:val="sv-SE"/>
                              </w:rPr>
                              <w:t>Elektrotīkli</w:t>
                            </w:r>
                          </w:p>
                          <w:p w14:paraId="643A7A3D" w14:textId="77777777" w:rsidR="00B06983" w:rsidRPr="00097491" w:rsidRDefault="00B06983" w:rsidP="00262896">
                            <w:pPr>
                              <w:spacing w:before="190" w:after="0"/>
                              <w:jc w:val="right"/>
                              <w:rPr>
                                <w:rFonts w:ascii="Arial Nova Cond Light" w:hAnsi="Arial Nova Cond Light"/>
                                <w:sz w:val="16"/>
                                <w:szCs w:val="16"/>
                                <w:lang w:val="sv-SE"/>
                              </w:rPr>
                            </w:pPr>
                            <w:r w:rsidRPr="00097491">
                              <w:rPr>
                                <w:rFonts w:ascii="Arial Nova Cond Light" w:hAnsi="Arial Nova Cond Light"/>
                                <w:sz w:val="16"/>
                                <w:szCs w:val="16"/>
                                <w:lang w:val="sv-SE"/>
                              </w:rPr>
                              <w:t>Enerģijas uzglabāšana</w:t>
                            </w:r>
                          </w:p>
                          <w:p w14:paraId="32706461" w14:textId="77777777" w:rsidR="00B06983" w:rsidRPr="00097491" w:rsidRDefault="00B06983" w:rsidP="00262896">
                            <w:pPr>
                              <w:spacing w:before="190" w:after="0"/>
                              <w:jc w:val="right"/>
                              <w:rPr>
                                <w:rFonts w:ascii="Arial Nova Cond Light" w:hAnsi="Arial Nova Cond Light"/>
                                <w:sz w:val="16"/>
                                <w:szCs w:val="16"/>
                                <w:lang w:val="sv-SE"/>
                              </w:rPr>
                            </w:pPr>
                            <w:r w:rsidRPr="00097491">
                              <w:rPr>
                                <w:rFonts w:ascii="Arial Nova Cond Light" w:hAnsi="Arial Nova Cond Light"/>
                                <w:sz w:val="16"/>
                                <w:szCs w:val="16"/>
                                <w:lang w:val="sv-SE"/>
                              </w:rPr>
                              <w:t>Naftas piegādes drošība</w:t>
                            </w:r>
                          </w:p>
                          <w:p w14:paraId="1CC7BE7F" w14:textId="77777777" w:rsidR="00B06983" w:rsidRPr="00124A6B" w:rsidRDefault="00B06983" w:rsidP="00262896">
                            <w:pPr>
                              <w:spacing w:before="190" w:after="0"/>
                              <w:jc w:val="right"/>
                              <w:rPr>
                                <w:rFonts w:ascii="Arial Nova Cond Light" w:hAnsi="Arial Nova Cond Light"/>
                                <w:sz w:val="16"/>
                                <w:szCs w:val="16"/>
                              </w:rPr>
                            </w:pPr>
                            <w:r w:rsidRPr="00124A6B">
                              <w:rPr>
                                <w:rFonts w:ascii="Arial Nova Cond Light" w:hAnsi="Arial Nova Cond Light"/>
                                <w:sz w:val="16"/>
                                <w:szCs w:val="16"/>
                              </w:rPr>
                              <w:t>Infrastruktūra</w:t>
                            </w: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1136EC" id="_x0000_s1120" type="#_x0000_t202" style="position:absolute;left:0;text-align:left;margin-left:11.85pt;margin-top:240.75pt;width:309.3pt;height:79.35pt;z-index:25165827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v79KgIAAC4EAAAOAAAAZHJzL2Uyb0RvYy54bWysU9uO2yAQfa/Uf0C8N7402U2sOKtttqkq&#10;bS/Sbj8AYxyjAkOBxN6/74CTNNq+VeUBMcxwOHNmZn03akWOwnkJpqbFLKdEGA6tNPua/njevVtS&#10;4gMzLVNgRE1fhKd3m7dv1oOtRAk9qFY4giDGV4OtaR+CrbLM815o5mdghUFnB06zgKbbZ61jA6Jr&#10;lZV5fpMN4FrrgAvv8fZhctJNwu86wcO3rvMiEFVT5BbS7tLexD3brFm1d8z2kp9osH9goZk0+OkF&#10;6oEFRg5O/gWlJXfgoQszDjqDrpNcpBwwmyJ/lc1Tz6xIuaA43l5k8v8Pln89fndEtjWdz4u8mBdY&#10;L8M0VupZjIF8gJGUUaTB+gpjnyxGhxGvsdgpYW8fgf/0xMC2Z2Yv7p2DoResRZJFfJldPZ1wfARp&#10;hi/Q4jfsECABjZ3TUUHUhCA6FuvlUqBIhePl+1W5LG9KSjj6ijxf5nkqYcaq83PrfPgkQJN4qKnD&#10;Dkjw7PjoQ6TDqnNI/M2Dku1OKpUMt2+2ypEjw27ZpZUyeBWmDBlqulqUi4RsIL5PjaRlwG5WUtc0&#10;UpvIsSrK8dG0KSQwqaYzMlHmpE+UZBInjM2Y6rFcnnVvoH1BxRxM3YvThoe4l7eo0oDNW1P/68Cc&#10;oER9Nij8qpjPY7cnY764LdFw157m2sMM7wFnIlAyHbchTUiUxMA9FqiTSbpYyYnMiTY2ZVL0NECx&#10;66/tFPVnzDe/AQAA//8DAFBLAwQUAAYACAAAACEAPl2ddd8AAAAKAQAADwAAAGRycy9kb3ducmV2&#10;LnhtbEyPwU7DMAyG70i8Q2QkbixZOspUmk4DiRPSJEbF2WtMU9YkVZN1hacnO8HNlj/9/v5yM9ue&#10;TTSGzjsFy4UARq7xunOtgvr95W4NLER0GnvvSME3BdhU11clFtqf3RtN+9iyFOJCgQpMjEPBeWgM&#10;WQwLP5BLt08/WoxpHVuuRzyncNtzKUTOLXYufTA40LOh5rg/WQWT+KmbDD1/3X3l9XFr5NO0+1Dq&#10;9mbePgKLNMc/GC76SR2q5HTwJ6cD6xXI7CGRClbr5T2wBOQrmQE7XAYhgVcl/1+h+gUAAP//AwBQ&#10;SwECLQAUAAYACAAAACEAtoM4kv4AAADhAQAAEwAAAAAAAAAAAAAAAAAAAAAAW0NvbnRlbnRfVHlw&#10;ZXNdLnhtbFBLAQItABQABgAIAAAAIQA4/SH/1gAAAJQBAAALAAAAAAAAAAAAAAAAAC8BAABfcmVs&#10;cy8ucmVsc1BLAQItABQABgAIAAAAIQBKFv79KgIAAC4EAAAOAAAAAAAAAAAAAAAAAC4CAABkcnMv&#10;ZTJvRG9jLnhtbFBLAQItABQABgAIAAAAIQA+XZ113wAAAAoBAAAPAAAAAAAAAAAAAAAAAIQEAABk&#10;cnMvZG93bnJldi54bWxQSwUGAAAAAAQABADzAAAAkAUAAAAA&#10;" stroked="f">
                <v:textbox style="layout-flow:vertical;mso-layout-flow-alt:bottom-to-top">
                  <w:txbxContent>
                    <w:p w14:paraId="02FC5738" w14:textId="77777777" w:rsidR="00B06983" w:rsidRPr="00097491" w:rsidRDefault="00B06983" w:rsidP="00262896">
                      <w:pPr>
                        <w:spacing w:before="190" w:after="0"/>
                        <w:jc w:val="right"/>
                        <w:rPr>
                          <w:rFonts w:ascii="Arial Nova Cond Light" w:hAnsi="Arial Nova Cond Light"/>
                          <w:sz w:val="16"/>
                          <w:szCs w:val="16"/>
                          <w:lang w:val="sv-SE"/>
                        </w:rPr>
                      </w:pPr>
                      <w:r w:rsidRPr="00097491">
                        <w:rPr>
                          <w:rFonts w:ascii="Arial Nova Cond Light" w:hAnsi="Arial Nova Cond Light"/>
                          <w:sz w:val="16"/>
                          <w:szCs w:val="16"/>
                          <w:lang w:val="sv-SE"/>
                        </w:rPr>
                        <w:t>Dzīvojamais sektors</w:t>
                      </w:r>
                    </w:p>
                    <w:p w14:paraId="25AAABDA" w14:textId="77777777" w:rsidR="00B06983" w:rsidRPr="00097491" w:rsidRDefault="00B06983" w:rsidP="00262896">
                      <w:pPr>
                        <w:spacing w:before="190" w:after="0"/>
                        <w:jc w:val="right"/>
                        <w:rPr>
                          <w:rFonts w:ascii="Arial Nova Cond Light" w:hAnsi="Arial Nova Cond Light"/>
                          <w:sz w:val="16"/>
                          <w:szCs w:val="16"/>
                          <w:lang w:val="sv-SE"/>
                        </w:rPr>
                      </w:pPr>
                      <w:r w:rsidRPr="00097491">
                        <w:rPr>
                          <w:rFonts w:ascii="Arial Nova Cond Light" w:hAnsi="Arial Nova Cond Light"/>
                          <w:sz w:val="16"/>
                          <w:szCs w:val="16"/>
                          <w:lang w:val="sv-SE"/>
                        </w:rPr>
                        <w:t>Rūpniecības sektors</w:t>
                      </w:r>
                    </w:p>
                    <w:p w14:paraId="1F8F9FFE" w14:textId="77777777" w:rsidR="00B06983" w:rsidRPr="00097491" w:rsidRDefault="00B06983" w:rsidP="00262896">
                      <w:pPr>
                        <w:spacing w:before="190" w:after="0"/>
                        <w:jc w:val="right"/>
                        <w:rPr>
                          <w:rFonts w:ascii="Arial Nova Cond Light" w:hAnsi="Arial Nova Cond Light"/>
                          <w:sz w:val="16"/>
                          <w:szCs w:val="16"/>
                          <w:lang w:val="sv-SE"/>
                        </w:rPr>
                      </w:pPr>
                      <w:r w:rsidRPr="00097491">
                        <w:rPr>
                          <w:rFonts w:ascii="Arial Nova Cond Light" w:hAnsi="Arial Nova Cond Light"/>
                          <w:sz w:val="16"/>
                          <w:szCs w:val="16"/>
                          <w:lang w:val="sv-SE"/>
                        </w:rPr>
                        <w:t>Ietaupiījumi</w:t>
                      </w:r>
                    </w:p>
                    <w:p w14:paraId="63F99CED" w14:textId="77777777" w:rsidR="00B06983" w:rsidRPr="00097491" w:rsidRDefault="00B06983" w:rsidP="00262896">
                      <w:pPr>
                        <w:spacing w:before="190" w:after="0"/>
                        <w:jc w:val="right"/>
                        <w:rPr>
                          <w:rFonts w:ascii="Arial Nova Cond Light" w:hAnsi="Arial Nova Cond Light"/>
                          <w:sz w:val="16"/>
                          <w:szCs w:val="16"/>
                          <w:lang w:val="sv-SE"/>
                        </w:rPr>
                      </w:pPr>
                    </w:p>
                    <w:p w14:paraId="7A061F23" w14:textId="77777777" w:rsidR="00B06983" w:rsidRPr="00097491" w:rsidRDefault="00B06983" w:rsidP="00262896">
                      <w:pPr>
                        <w:spacing w:before="190" w:after="0"/>
                        <w:jc w:val="right"/>
                        <w:rPr>
                          <w:rFonts w:ascii="Arial Nova Cond Light" w:hAnsi="Arial Nova Cond Light"/>
                          <w:sz w:val="16"/>
                          <w:szCs w:val="16"/>
                          <w:lang w:val="sv-SE"/>
                        </w:rPr>
                      </w:pPr>
                      <w:r w:rsidRPr="00097491">
                        <w:rPr>
                          <w:rFonts w:ascii="Arial Nova Cond Light" w:hAnsi="Arial Nova Cond Light"/>
                          <w:sz w:val="16"/>
                          <w:szCs w:val="16"/>
                          <w:lang w:val="sv-SE"/>
                        </w:rPr>
                        <w:t>Biometāns</w:t>
                      </w:r>
                    </w:p>
                    <w:p w14:paraId="57E58942" w14:textId="77777777" w:rsidR="00B06983" w:rsidRPr="00097491" w:rsidRDefault="00B06983" w:rsidP="00262896">
                      <w:pPr>
                        <w:spacing w:before="190" w:after="0"/>
                        <w:jc w:val="right"/>
                        <w:rPr>
                          <w:rFonts w:ascii="Arial Nova Cond Light" w:hAnsi="Arial Nova Cond Light"/>
                          <w:sz w:val="16"/>
                          <w:szCs w:val="16"/>
                          <w:lang w:val="sv-SE"/>
                        </w:rPr>
                      </w:pPr>
                      <w:r w:rsidRPr="00097491">
                        <w:rPr>
                          <w:rFonts w:ascii="Arial Nova Cond Light" w:hAnsi="Arial Nova Cond Light"/>
                          <w:sz w:val="16"/>
                          <w:szCs w:val="16"/>
                          <w:lang w:val="sv-SE"/>
                        </w:rPr>
                        <w:t>Atjaunojamais ūdeņradis</w:t>
                      </w:r>
                    </w:p>
                    <w:p w14:paraId="1BCF9972" w14:textId="77777777" w:rsidR="00B06983" w:rsidRPr="00097491" w:rsidRDefault="00B06983" w:rsidP="00262896">
                      <w:pPr>
                        <w:spacing w:before="190" w:after="0"/>
                        <w:jc w:val="right"/>
                        <w:rPr>
                          <w:rFonts w:ascii="Arial Nova Cond Light" w:hAnsi="Arial Nova Cond Light"/>
                          <w:sz w:val="16"/>
                          <w:szCs w:val="16"/>
                          <w:lang w:val="sv-SE"/>
                        </w:rPr>
                      </w:pPr>
                      <w:r w:rsidRPr="00097491">
                        <w:rPr>
                          <w:rFonts w:ascii="Arial Nova Cond Light" w:hAnsi="Arial Nova Cond Light"/>
                          <w:sz w:val="16"/>
                          <w:szCs w:val="16"/>
                          <w:lang w:val="sv-SE"/>
                        </w:rPr>
                        <w:t>Degvielas diversifikācija</w:t>
                      </w:r>
                    </w:p>
                    <w:p w14:paraId="063E768C" w14:textId="77777777" w:rsidR="00B06983" w:rsidRPr="00097491" w:rsidRDefault="00B06983" w:rsidP="00262896">
                      <w:pPr>
                        <w:spacing w:before="190" w:after="0"/>
                        <w:jc w:val="right"/>
                        <w:rPr>
                          <w:rFonts w:ascii="Arial Nova Cond Light" w:hAnsi="Arial Nova Cond Light"/>
                          <w:sz w:val="16"/>
                          <w:szCs w:val="16"/>
                          <w:lang w:val="sv-SE"/>
                        </w:rPr>
                      </w:pPr>
                    </w:p>
                    <w:p w14:paraId="25567AF4" w14:textId="77777777" w:rsidR="00B06983" w:rsidRPr="00097491" w:rsidRDefault="00B06983" w:rsidP="00262896">
                      <w:pPr>
                        <w:spacing w:before="190" w:after="0"/>
                        <w:jc w:val="right"/>
                        <w:rPr>
                          <w:rFonts w:ascii="Arial Nova Cond Light" w:hAnsi="Arial Nova Cond Light"/>
                          <w:sz w:val="16"/>
                          <w:szCs w:val="16"/>
                          <w:lang w:val="sv-SE"/>
                        </w:rPr>
                      </w:pPr>
                      <w:r w:rsidRPr="00097491">
                        <w:rPr>
                          <w:rFonts w:ascii="Arial Nova Cond Light" w:hAnsi="Arial Nova Cond Light"/>
                          <w:sz w:val="16"/>
                          <w:szCs w:val="16"/>
                          <w:lang w:val="sv-SE"/>
                        </w:rPr>
                        <w:t>Saules un vēja enerģija</w:t>
                      </w:r>
                    </w:p>
                    <w:p w14:paraId="01B7AEEC" w14:textId="77777777" w:rsidR="00B06983" w:rsidRPr="00097491" w:rsidRDefault="00B06983" w:rsidP="00262896">
                      <w:pPr>
                        <w:spacing w:before="190" w:after="0"/>
                        <w:jc w:val="right"/>
                        <w:rPr>
                          <w:rFonts w:ascii="Arial Nova Cond Light" w:hAnsi="Arial Nova Cond Light"/>
                          <w:sz w:val="16"/>
                          <w:szCs w:val="16"/>
                          <w:lang w:val="sv-SE"/>
                        </w:rPr>
                      </w:pPr>
                    </w:p>
                    <w:p w14:paraId="7EBE43C3" w14:textId="77777777" w:rsidR="00B06983" w:rsidRPr="00097491" w:rsidRDefault="00B06983" w:rsidP="00262896">
                      <w:pPr>
                        <w:spacing w:before="190" w:after="0"/>
                        <w:jc w:val="right"/>
                        <w:rPr>
                          <w:rFonts w:ascii="Arial Nova Cond Light" w:hAnsi="Arial Nova Cond Light"/>
                          <w:sz w:val="16"/>
                          <w:szCs w:val="16"/>
                          <w:lang w:val="sv-SE"/>
                        </w:rPr>
                      </w:pPr>
                      <w:r w:rsidRPr="00097491">
                        <w:rPr>
                          <w:rFonts w:ascii="Arial Nova Cond Light" w:hAnsi="Arial Nova Cond Light"/>
                          <w:sz w:val="16"/>
                          <w:szCs w:val="16"/>
                          <w:lang w:val="sv-SE"/>
                        </w:rPr>
                        <w:t>Elektrotīkli</w:t>
                      </w:r>
                    </w:p>
                    <w:p w14:paraId="643A7A3D" w14:textId="77777777" w:rsidR="00B06983" w:rsidRPr="00097491" w:rsidRDefault="00B06983" w:rsidP="00262896">
                      <w:pPr>
                        <w:spacing w:before="190" w:after="0"/>
                        <w:jc w:val="right"/>
                        <w:rPr>
                          <w:rFonts w:ascii="Arial Nova Cond Light" w:hAnsi="Arial Nova Cond Light"/>
                          <w:sz w:val="16"/>
                          <w:szCs w:val="16"/>
                          <w:lang w:val="sv-SE"/>
                        </w:rPr>
                      </w:pPr>
                      <w:r w:rsidRPr="00097491">
                        <w:rPr>
                          <w:rFonts w:ascii="Arial Nova Cond Light" w:hAnsi="Arial Nova Cond Light"/>
                          <w:sz w:val="16"/>
                          <w:szCs w:val="16"/>
                          <w:lang w:val="sv-SE"/>
                        </w:rPr>
                        <w:t>Enerģijas uzglabāšana</w:t>
                      </w:r>
                    </w:p>
                    <w:p w14:paraId="32706461" w14:textId="77777777" w:rsidR="00B06983" w:rsidRPr="00097491" w:rsidRDefault="00B06983" w:rsidP="00262896">
                      <w:pPr>
                        <w:spacing w:before="190" w:after="0"/>
                        <w:jc w:val="right"/>
                        <w:rPr>
                          <w:rFonts w:ascii="Arial Nova Cond Light" w:hAnsi="Arial Nova Cond Light"/>
                          <w:sz w:val="16"/>
                          <w:szCs w:val="16"/>
                          <w:lang w:val="sv-SE"/>
                        </w:rPr>
                      </w:pPr>
                      <w:r w:rsidRPr="00097491">
                        <w:rPr>
                          <w:rFonts w:ascii="Arial Nova Cond Light" w:hAnsi="Arial Nova Cond Light"/>
                          <w:sz w:val="16"/>
                          <w:szCs w:val="16"/>
                          <w:lang w:val="sv-SE"/>
                        </w:rPr>
                        <w:t>Naftas piegādes drošība</w:t>
                      </w:r>
                    </w:p>
                    <w:p w14:paraId="1CC7BE7F" w14:textId="77777777" w:rsidR="00B06983" w:rsidRPr="00124A6B" w:rsidRDefault="00B06983" w:rsidP="00262896">
                      <w:pPr>
                        <w:spacing w:before="190" w:after="0"/>
                        <w:jc w:val="right"/>
                        <w:rPr>
                          <w:rFonts w:ascii="Arial Nova Cond Light" w:hAnsi="Arial Nova Cond Light"/>
                          <w:sz w:val="16"/>
                          <w:szCs w:val="16"/>
                        </w:rPr>
                      </w:pPr>
                      <w:r w:rsidRPr="00124A6B">
                        <w:rPr>
                          <w:rFonts w:ascii="Arial Nova Cond Light" w:hAnsi="Arial Nova Cond Light"/>
                          <w:sz w:val="16"/>
                          <w:szCs w:val="16"/>
                        </w:rPr>
                        <w:t>Infrastruktūra</w:t>
                      </w:r>
                    </w:p>
                  </w:txbxContent>
                </v:textbox>
                <w10:wrap anchorx="margin"/>
              </v:shape>
            </w:pict>
          </mc:Fallback>
        </mc:AlternateContent>
      </w:r>
      <w:r w:rsidRPr="00EC56D3">
        <w:rPr>
          <w:rFonts w:ascii="Minion Pro" w:hAnsi="Minion Pro" w:cs="Arial"/>
          <w:noProof/>
        </w:rPr>
        <w:drawing>
          <wp:inline distT="0" distB="0" distL="0" distR="0" wp14:anchorId="041886C1" wp14:editId="3BF63B02">
            <wp:extent cx="6120000" cy="3864262"/>
            <wp:effectExtent l="0" t="0" r="0" b="3175"/>
            <wp:docPr id="11038282" name="Picture 1" descr="A graph of different colo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8282" name="Picture 1" descr="A graph of different colored bars&#10;&#10;Description automatically generated"/>
                    <pic:cNvPicPr/>
                  </pic:nvPicPr>
                  <pic:blipFill>
                    <a:blip r:embed="rId29"/>
                    <a:stretch>
                      <a:fillRect/>
                    </a:stretch>
                  </pic:blipFill>
                  <pic:spPr>
                    <a:xfrm>
                      <a:off x="0" y="0"/>
                      <a:ext cx="6120000" cy="3864262"/>
                    </a:xfrm>
                    <a:prstGeom prst="rect">
                      <a:avLst/>
                    </a:prstGeom>
                  </pic:spPr>
                </pic:pic>
              </a:graphicData>
            </a:graphic>
          </wp:inline>
        </w:drawing>
      </w:r>
    </w:p>
    <w:p w14:paraId="4B06E51D" w14:textId="77777777" w:rsidR="00262896" w:rsidRPr="00D804CB" w:rsidRDefault="00262896" w:rsidP="00262896">
      <w:pPr>
        <w:widowControl/>
        <w:spacing w:before="480" w:after="120" w:line="240" w:lineRule="auto"/>
        <w:jc w:val="both"/>
        <w:rPr>
          <w:rFonts w:ascii="Minion Pro" w:hAnsi="Minion Pro" w:cs="Arial"/>
          <w:sz w:val="24"/>
          <w:lang w:val="lv-LV"/>
        </w:rPr>
      </w:pPr>
      <w:r w:rsidRPr="00D804CB">
        <w:rPr>
          <w:rFonts w:ascii="Minion Pro" w:hAnsi="Minion Pro"/>
          <w:sz w:val="16"/>
          <w:szCs w:val="16"/>
          <w:lang w:val="lv-LV"/>
        </w:rPr>
        <w:t xml:space="preserve">Avots: </w:t>
      </w:r>
      <w:r w:rsidRPr="00D804CB">
        <w:rPr>
          <w:rFonts w:ascii="Minion Pro" w:hAnsi="Minion Pro"/>
          <w:color w:val="000000" w:themeColor="text1"/>
          <w:sz w:val="16"/>
          <w:szCs w:val="16"/>
          <w:lang w:val="lv-LV"/>
        </w:rPr>
        <w:t>Eiropas Investīciju bankas Investīciju ziņojums 2023/2024</w:t>
      </w:r>
      <w:r w:rsidRPr="00D804CB">
        <w:rPr>
          <w:rStyle w:val="FootnoteReference"/>
          <w:rFonts w:ascii="Minion Pro" w:hAnsi="Minion Pro"/>
          <w:lang w:val="lv-LV"/>
        </w:rPr>
        <w:footnoteReference w:id="27"/>
      </w:r>
    </w:p>
    <w:p w14:paraId="629075BB" w14:textId="77777777" w:rsidR="00262896" w:rsidRPr="00ED04C4" w:rsidRDefault="00262896" w:rsidP="00262896">
      <w:pPr>
        <w:widowControl/>
        <w:spacing w:after="120" w:line="240" w:lineRule="auto"/>
        <w:jc w:val="both"/>
        <w:rPr>
          <w:rFonts w:ascii="Verdana Pro Cond Light" w:hAnsi="Verdana Pro Cond Light" w:cs="Arial"/>
          <w:lang w:val="lv-LV"/>
        </w:rPr>
      </w:pPr>
    </w:p>
    <w:p w14:paraId="5B016BDC" w14:textId="77777777" w:rsidR="00262896" w:rsidRPr="00ED04C4" w:rsidRDefault="00262896" w:rsidP="00262896">
      <w:pPr>
        <w:widowControl/>
        <w:spacing w:after="120" w:line="240" w:lineRule="auto"/>
        <w:rPr>
          <w:rFonts w:ascii="Verdana Pro Cond Light" w:hAnsi="Verdana Pro Cond Light" w:cs="Arial"/>
          <w:lang w:val="lv-LV"/>
        </w:rPr>
      </w:pPr>
      <w:r w:rsidRPr="00ED04C4">
        <w:rPr>
          <w:rFonts w:ascii="Verdana Pro Cond Light" w:hAnsi="Verdana Pro Cond Light" w:cs="Arial"/>
          <w:lang w:val="lv-LV"/>
        </w:rPr>
        <w:t>Jāatzīmē, ka Eiropas Zaļais kurss uzņem spēku, jo investīcijas klimata pārmaiņu jomā ES 2022. gadā pieauga par 9%, sasniedzot 407 miljardus eiro gadā galvenajās 22 jomās. Šie ieguldījumi atjaunojamā enerģijā, ēku renovācijā un elektriskajos transportlīdzekļos nodrošina zemākas Eiropas siltumnīcefekta gāzu emisijas turpmākajos gados. Atbilstoši Klimata ekonomikas institūta (I4CE) ziņojumam “European Climate Investment Deficit report” lai sasniegtu ES 2030. gada mērķus, vidēji gadā būtu jāiegulda 813 miljardi eiro.</w:t>
      </w:r>
      <w:r w:rsidRPr="00ED04C4">
        <w:rPr>
          <w:rStyle w:val="FootnoteReference"/>
          <w:rFonts w:ascii="Verdana Pro Cond Light" w:hAnsi="Verdana Pro Cond Light" w:cs="Arial"/>
          <w:lang w:val="lv-LV"/>
        </w:rPr>
        <w:footnoteReference w:id="28"/>
      </w:r>
      <w:r w:rsidRPr="00ED04C4">
        <w:rPr>
          <w:rFonts w:ascii="Verdana Pro Cond Light" w:hAnsi="Verdana Pro Cond Light" w:cs="Arial"/>
          <w:lang w:val="lv-LV"/>
        </w:rPr>
        <w:t xml:space="preserve"> Šobrīd nodrošināto investīciju līmenis ir zemāks par mērķa sasniegšanai nepieciešamo – I4CE pētnieki secināja, ka Eiropas klimata investīciju deficīts ir vismaz 407 miljardi eiro jeb 2,5% no ES IKP. Citiem vārdiem sakot, investīcijas enerģētikas, transporta un ēku modernizācijā ir jādubulto, lai ES sasniegtu 2030. gada klimata mērķus.</w:t>
      </w:r>
    </w:p>
    <w:p w14:paraId="6093CA76" w14:textId="77777777" w:rsidR="00262896" w:rsidRPr="00ED04C4" w:rsidRDefault="00262896" w:rsidP="00262896">
      <w:pPr>
        <w:widowControl/>
        <w:spacing w:after="120" w:line="240" w:lineRule="auto"/>
        <w:rPr>
          <w:rFonts w:ascii="Verdana Pro Cond Light" w:hAnsi="Verdana Pro Cond Light" w:cs="Arial"/>
          <w:lang w:val="lv-LV"/>
        </w:rPr>
      </w:pPr>
      <w:r w:rsidRPr="00ED04C4">
        <w:rPr>
          <w:rFonts w:ascii="Verdana Pro Cond Light" w:hAnsi="Verdana Pro Cond Light" w:cs="Arial"/>
          <w:lang w:val="lv-LV"/>
        </w:rPr>
        <w:t xml:space="preserve">Vienlaikus Starptautiskā </w:t>
      </w:r>
      <w:r>
        <w:rPr>
          <w:rFonts w:ascii="Verdana Pro Cond Light" w:hAnsi="Verdana Pro Cond Light" w:cs="Arial"/>
          <w:lang w:val="lv-LV"/>
        </w:rPr>
        <w:t>Valūtas</w:t>
      </w:r>
      <w:r w:rsidRPr="00ED04C4">
        <w:rPr>
          <w:rFonts w:ascii="Verdana Pro Cond Light" w:hAnsi="Verdana Pro Cond Light" w:cs="Arial"/>
          <w:lang w:val="lv-LV"/>
        </w:rPr>
        <w:t xml:space="preserve"> Fonda (S</w:t>
      </w:r>
      <w:r>
        <w:rPr>
          <w:rFonts w:ascii="Verdana Pro Cond Light" w:hAnsi="Verdana Pro Cond Light" w:cs="Arial"/>
          <w:lang w:val="lv-LV"/>
        </w:rPr>
        <w:t>V</w:t>
      </w:r>
      <w:r w:rsidRPr="00ED04C4">
        <w:rPr>
          <w:rFonts w:ascii="Verdana Pro Cond Light" w:hAnsi="Verdana Pro Cond Light" w:cs="Arial"/>
          <w:lang w:val="lv-LV"/>
        </w:rPr>
        <w:t>F) izvērtējums, kas balstās uz dažādiem literatūras avotiem, liecina, ka labi izstrādātai un labi īstenotai klimatneitralitātes sasniegšanas stratēģijai var būt ievērojams efekts un atdeve. Pasaulē klimata pārmaiņu publiskās pielāgošanās vajadzības 2030. gadā tiek lēstas aptuveni ¼ procentu apmērā no pasaules gada IKP, bet ar ļoti lielām atšķirībām starp valstīm un būtisku nenoteiktību. S</w:t>
      </w:r>
      <w:r>
        <w:rPr>
          <w:rFonts w:ascii="Verdana Pro Cond Light" w:hAnsi="Verdana Pro Cond Light" w:cs="Arial"/>
          <w:lang w:val="lv-LV"/>
        </w:rPr>
        <w:t>V</w:t>
      </w:r>
      <w:r w:rsidRPr="00ED04C4">
        <w:rPr>
          <w:rFonts w:ascii="Verdana Pro Cond Light" w:hAnsi="Verdana Pro Cond Light" w:cs="Arial"/>
          <w:lang w:val="lv-LV"/>
        </w:rPr>
        <w:t>F analīze rāda, ka ikgadējās pielāgošanās izmaksas pārsniedz 1 procentu no IKP jaunattīstības valstīm un pārsniedz 10 procentus no IKP dažās salu valstīs.</w:t>
      </w:r>
      <w:r w:rsidRPr="00ED04C4">
        <w:rPr>
          <w:rStyle w:val="FootnoteReference"/>
          <w:rFonts w:ascii="Verdana Pro Cond Light" w:hAnsi="Verdana Pro Cond Light" w:cs="Arial"/>
          <w:lang w:val="lv-LV"/>
        </w:rPr>
        <w:footnoteReference w:id="29"/>
      </w:r>
    </w:p>
    <w:p w14:paraId="20CAEE28" w14:textId="77777777" w:rsidR="00262896" w:rsidRPr="00ED04C4" w:rsidRDefault="00262896" w:rsidP="00262896">
      <w:pPr>
        <w:widowControl/>
        <w:spacing w:after="120" w:line="240" w:lineRule="auto"/>
        <w:rPr>
          <w:rFonts w:ascii="Verdana Pro Cond Light" w:hAnsi="Verdana Pro Cond Light" w:cs="Arial"/>
          <w:lang w:val="lv-LV"/>
        </w:rPr>
      </w:pPr>
      <w:r w:rsidRPr="00ED04C4">
        <w:rPr>
          <w:rFonts w:ascii="Verdana Pro Cond Light" w:hAnsi="Verdana Pro Cond Light" w:cs="Arial"/>
          <w:lang w:val="lv-LV"/>
        </w:rPr>
        <w:lastRenderedPageBreak/>
        <w:t>Šobrīd ES dalībvalstu aktualizētie Nacionālo Enerģētikas un Klimata plānu (NEKP) projekti nesniedz detalizētu kopējo investīciju vajadzību aprēķinu, un tajos ietvertās aplēses ir ļoti aptuvenas. Plānos ir iekļauta tikai daļēja informācija par paredzamajām investīcijām, lai īstenotu plānotās politikas un pasākumus. Vienlaikus Plānā ir atspoguļoti dažādu pētījumu rezultāti, novērtējot nozaru investīciju vajadzības. Jāatzīst, ka ES dalībvalstu aplēses ir balstītas uz dažādām metodoloģijām, apgrūtinot to savstarpēju salīdzināšanu un apkopošanu.</w:t>
      </w:r>
    </w:p>
    <w:p w14:paraId="241F2D7B" w14:textId="77777777" w:rsidR="00262896" w:rsidRPr="00ED04C4" w:rsidRDefault="00262896" w:rsidP="00262896">
      <w:pPr>
        <w:widowControl/>
        <w:spacing w:after="120" w:line="240" w:lineRule="auto"/>
        <w:jc w:val="both"/>
        <w:rPr>
          <w:rFonts w:ascii="Verdana Pro Cond Light" w:hAnsi="Verdana Pro Cond Light" w:cs="Arial"/>
          <w:lang w:val="lv-LV"/>
        </w:rPr>
      </w:pPr>
      <w:r w:rsidRPr="00ED04C4">
        <w:rPr>
          <w:rFonts w:ascii="Verdana Pro Cond Light" w:hAnsi="Verdana Pro Cond Light" w:cs="Arial"/>
          <w:lang w:val="lv-LV"/>
        </w:rPr>
        <w:t>Zemāk ir sniegta informācija par atsevišķo ES dalībvalstu pieņēmumiem par izmaksām un investīcijām NEKP mērķu sasniegšanai.</w:t>
      </w:r>
    </w:p>
    <w:p w14:paraId="5B207CF5" w14:textId="77777777" w:rsidR="00262896" w:rsidRPr="00ED04C4" w:rsidRDefault="00262896" w:rsidP="00262896">
      <w:pPr>
        <w:widowControl/>
        <w:spacing w:after="120" w:line="240" w:lineRule="auto"/>
        <w:jc w:val="both"/>
        <w:rPr>
          <w:rFonts w:ascii="Verdana Pro Cond Light" w:hAnsi="Verdana Pro Cond Light" w:cs="Arial"/>
          <w:lang w:val="lv-LV"/>
        </w:rPr>
      </w:pPr>
      <w:r w:rsidRPr="00ED04C4">
        <w:rPr>
          <w:rFonts w:ascii="Verdana Pro Cond Light" w:hAnsi="Verdana Pro Cond Light" w:cs="Arial"/>
          <w:b/>
          <w:bCs/>
          <w:lang w:val="lv-LV"/>
        </w:rPr>
        <w:t xml:space="preserve">Lietuvā </w:t>
      </w:r>
      <w:r w:rsidRPr="00ED04C4">
        <w:rPr>
          <w:rFonts w:ascii="Verdana Pro Cond Light" w:hAnsi="Verdana Pro Cond Light" w:cs="Arial"/>
          <w:lang w:val="lv-LV"/>
        </w:rPr>
        <w:t>paredzams, ka NEKP noteiktie plānotie politikas mērķi un rādītāji mobilizēs aptuveni EUR 11,769 miljardus valsts un privāto līdzekļu. Aptuveni viena trešdaļa no nepieciešamā finansējuma (t.i. 4 miljardi eiro) varētu nākt no valsts ieguldījumiem, bet pārējais ir privāts finansējums. Finansējums ir paredzēts infrastruktūras, cilvēkresursu, pētniecības un eksperimentālās attīstības (P&amp;A) darbību un u.c. aktivitāšu izmaksu segšanai.</w:t>
      </w:r>
      <w:r w:rsidRPr="00ED04C4">
        <w:rPr>
          <w:rStyle w:val="FootnoteReference"/>
          <w:rFonts w:ascii="Verdana Pro Cond Light" w:hAnsi="Verdana Pro Cond Light" w:cs="Arial"/>
          <w:lang w:val="lv-LV"/>
        </w:rPr>
        <w:footnoteReference w:id="30"/>
      </w:r>
      <w:r w:rsidRPr="00ED04C4">
        <w:rPr>
          <w:rFonts w:ascii="Verdana Pro Cond Light" w:hAnsi="Verdana Pro Cond Light" w:cs="Arial"/>
          <w:lang w:val="lv-LV"/>
        </w:rPr>
        <w:t xml:space="preserve"> Attiecīgais finansējuma sadalījums Lietuvas NEKP projektā ir atspoguļots 10 gadu periodam. Tas nozīmē, ka šajā periodā gada vidējās Lietuvas plānotās investīcijas veido 1,68% no IKP, t.sk. publiskais finansējums ir ap 0,57% no IKP.</w:t>
      </w:r>
    </w:p>
    <w:p w14:paraId="0866A277" w14:textId="77777777" w:rsidR="00262896" w:rsidRPr="00ED04C4" w:rsidRDefault="00262896" w:rsidP="00262896">
      <w:pPr>
        <w:widowControl/>
        <w:spacing w:before="120" w:after="120" w:line="240" w:lineRule="auto"/>
        <w:jc w:val="right"/>
        <w:rPr>
          <w:rFonts w:ascii="Verdana Pro Cond Light" w:hAnsi="Verdana Pro Cond Light" w:cs="Arial"/>
          <w:lang w:val="lv-LV"/>
        </w:rPr>
      </w:pPr>
      <w:r w:rsidRPr="00ED04C4">
        <w:rPr>
          <w:rFonts w:ascii="Verdana Pro Cond Light" w:hAnsi="Verdana Pro Cond Light" w:cs="Arial"/>
          <w:lang w:val="lv-LV"/>
        </w:rPr>
        <w:t>4.1. tabula</w:t>
      </w:r>
    </w:p>
    <w:p w14:paraId="64737270" w14:textId="77777777" w:rsidR="00262896" w:rsidRDefault="00262896" w:rsidP="00262896">
      <w:pPr>
        <w:widowControl/>
        <w:spacing w:after="120" w:line="240" w:lineRule="auto"/>
        <w:jc w:val="center"/>
        <w:rPr>
          <w:rFonts w:ascii="Verdana Pro Cond Light" w:hAnsi="Verdana Pro Cond Light"/>
          <w:b/>
          <w:lang w:val="lv-LV"/>
        </w:rPr>
      </w:pPr>
      <w:r w:rsidRPr="00ED04C4">
        <w:rPr>
          <w:rFonts w:ascii="Verdana Pro Cond Light" w:hAnsi="Verdana Pro Cond Light"/>
          <w:b/>
          <w:lang w:val="lv-LV"/>
        </w:rPr>
        <w:t>Identificētās vajadzības plānoto politiku ieviešanai 2021.-2030.</w:t>
      </w:r>
      <w:r>
        <w:rPr>
          <w:rFonts w:ascii="Verdana Pro Cond Light" w:hAnsi="Verdana Pro Cond Light"/>
          <w:b/>
          <w:lang w:val="lv-LV"/>
        </w:rPr>
        <w:t> </w:t>
      </w:r>
      <w:r w:rsidRPr="00ED04C4">
        <w:rPr>
          <w:rFonts w:ascii="Verdana Pro Cond Light" w:hAnsi="Verdana Pro Cond Light"/>
          <w:b/>
          <w:lang w:val="lv-LV"/>
        </w:rPr>
        <w:t>gadā Lietuvā</w:t>
      </w:r>
    </w:p>
    <w:tbl>
      <w:tblPr>
        <w:tblStyle w:val="TableGrid"/>
        <w:tblW w:w="680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1701"/>
        <w:gridCol w:w="1701"/>
      </w:tblGrid>
      <w:tr w:rsidR="00262896" w:rsidRPr="00A93D72" w14:paraId="284F62F5" w14:textId="77777777" w:rsidTr="0002297E">
        <w:trPr>
          <w:jc w:val="center"/>
        </w:trPr>
        <w:tc>
          <w:tcPr>
            <w:tcW w:w="3402" w:type="dxa"/>
            <w:shd w:val="clear" w:color="auto" w:fill="4472C4" w:themeFill="accent1"/>
          </w:tcPr>
          <w:p w14:paraId="3BFA3045" w14:textId="77777777" w:rsidR="00262896" w:rsidRPr="00A93D72" w:rsidRDefault="00262896" w:rsidP="0002297E">
            <w:pPr>
              <w:widowControl/>
              <w:spacing w:before="40" w:after="40" w:line="240" w:lineRule="auto"/>
              <w:jc w:val="center"/>
              <w:rPr>
                <w:rFonts w:asciiTheme="majorHAnsi" w:hAnsiTheme="majorHAnsi" w:cstheme="majorHAnsi"/>
                <w:b/>
                <w:bCs/>
                <w:color w:val="FFFFFF" w:themeColor="background1"/>
                <w:sz w:val="16"/>
                <w:szCs w:val="16"/>
                <w:lang w:val="lv-LV"/>
              </w:rPr>
            </w:pPr>
            <w:r>
              <w:rPr>
                <w:rFonts w:asciiTheme="majorHAnsi" w:hAnsiTheme="majorHAnsi" w:cstheme="majorHAnsi"/>
                <w:b/>
                <w:bCs/>
                <w:color w:val="FFFFFF" w:themeColor="background1"/>
                <w:sz w:val="16"/>
                <w:szCs w:val="16"/>
                <w:lang w:val="lv-LV"/>
              </w:rPr>
              <w:t>Sektors</w:t>
            </w:r>
          </w:p>
        </w:tc>
        <w:tc>
          <w:tcPr>
            <w:tcW w:w="1701" w:type="dxa"/>
            <w:shd w:val="clear" w:color="auto" w:fill="4472C4" w:themeFill="accent1"/>
          </w:tcPr>
          <w:p w14:paraId="081A8B08" w14:textId="77777777" w:rsidR="00262896" w:rsidRDefault="00262896" w:rsidP="0002297E">
            <w:pPr>
              <w:widowControl/>
              <w:spacing w:before="40" w:after="40" w:line="240" w:lineRule="auto"/>
              <w:jc w:val="center"/>
              <w:rPr>
                <w:rFonts w:asciiTheme="majorHAnsi" w:hAnsiTheme="majorHAnsi" w:cstheme="majorHAnsi"/>
                <w:b/>
                <w:bCs/>
                <w:color w:val="FFFFFF" w:themeColor="background1"/>
                <w:sz w:val="16"/>
                <w:szCs w:val="16"/>
                <w:lang w:val="lv-LV"/>
              </w:rPr>
            </w:pPr>
            <w:r>
              <w:rPr>
                <w:rFonts w:asciiTheme="majorHAnsi" w:hAnsiTheme="majorHAnsi" w:cstheme="majorHAnsi"/>
                <w:b/>
                <w:bCs/>
                <w:color w:val="FFFFFF" w:themeColor="background1"/>
                <w:sz w:val="16"/>
                <w:szCs w:val="16"/>
                <w:lang w:val="lv-LV"/>
              </w:rPr>
              <w:t>Globālie līdzekļi</w:t>
            </w:r>
            <w:r>
              <w:rPr>
                <w:rFonts w:asciiTheme="majorHAnsi" w:hAnsiTheme="majorHAnsi" w:cstheme="majorHAnsi"/>
                <w:b/>
                <w:bCs/>
                <w:color w:val="FFFFFF" w:themeColor="background1"/>
                <w:sz w:val="16"/>
                <w:szCs w:val="16"/>
                <w:lang w:val="lv-LV"/>
              </w:rPr>
              <w:br/>
            </w:r>
            <w:r w:rsidRPr="00674542">
              <w:rPr>
                <w:rFonts w:asciiTheme="majorHAnsi" w:hAnsiTheme="majorHAnsi" w:cstheme="majorHAnsi"/>
                <w:color w:val="FFFFFF" w:themeColor="background1"/>
                <w:sz w:val="16"/>
                <w:szCs w:val="16"/>
                <w:lang w:val="lv-LV"/>
              </w:rPr>
              <w:t>milj. eiro</w:t>
            </w:r>
          </w:p>
        </w:tc>
        <w:tc>
          <w:tcPr>
            <w:tcW w:w="1701" w:type="dxa"/>
            <w:shd w:val="clear" w:color="auto" w:fill="4472C4" w:themeFill="accent1"/>
          </w:tcPr>
          <w:p w14:paraId="7D545BB6" w14:textId="77777777" w:rsidR="00262896" w:rsidRDefault="00262896" w:rsidP="0002297E">
            <w:pPr>
              <w:widowControl/>
              <w:spacing w:before="40" w:after="40" w:line="240" w:lineRule="auto"/>
              <w:jc w:val="center"/>
              <w:rPr>
                <w:rFonts w:asciiTheme="majorHAnsi" w:hAnsiTheme="majorHAnsi" w:cstheme="majorHAnsi"/>
                <w:b/>
                <w:bCs/>
                <w:color w:val="FFFFFF" w:themeColor="background1"/>
                <w:sz w:val="16"/>
                <w:szCs w:val="16"/>
                <w:lang w:val="lv-LV"/>
              </w:rPr>
            </w:pPr>
            <w:r>
              <w:rPr>
                <w:rFonts w:asciiTheme="majorHAnsi" w:hAnsiTheme="majorHAnsi" w:cstheme="majorHAnsi"/>
                <w:b/>
                <w:bCs/>
                <w:color w:val="FFFFFF" w:themeColor="background1"/>
                <w:sz w:val="16"/>
                <w:szCs w:val="16"/>
                <w:lang w:val="lv-LV"/>
              </w:rPr>
              <w:t>Valsts nauda</w:t>
            </w:r>
            <w:r>
              <w:rPr>
                <w:rFonts w:asciiTheme="majorHAnsi" w:hAnsiTheme="majorHAnsi" w:cstheme="majorHAnsi"/>
                <w:b/>
                <w:bCs/>
                <w:color w:val="FFFFFF" w:themeColor="background1"/>
                <w:sz w:val="16"/>
                <w:szCs w:val="16"/>
                <w:lang w:val="lv-LV"/>
              </w:rPr>
              <w:br/>
            </w:r>
            <w:r w:rsidRPr="00674542">
              <w:rPr>
                <w:rFonts w:asciiTheme="majorHAnsi" w:hAnsiTheme="majorHAnsi" w:cstheme="majorHAnsi"/>
                <w:color w:val="FFFFFF" w:themeColor="background1"/>
                <w:sz w:val="16"/>
                <w:szCs w:val="16"/>
                <w:lang w:val="lv-LV"/>
              </w:rPr>
              <w:t>milj. eiro</w:t>
            </w:r>
          </w:p>
        </w:tc>
      </w:tr>
      <w:tr w:rsidR="00262896" w:rsidRPr="00674542" w14:paraId="31526201" w14:textId="77777777" w:rsidTr="0002297E">
        <w:trPr>
          <w:jc w:val="center"/>
        </w:trPr>
        <w:tc>
          <w:tcPr>
            <w:tcW w:w="3402" w:type="dxa"/>
            <w:shd w:val="clear" w:color="auto" w:fill="D9E2F3" w:themeFill="accent1" w:themeFillTint="33"/>
            <w:vAlign w:val="bottom"/>
          </w:tcPr>
          <w:p w14:paraId="08942501" w14:textId="77777777" w:rsidR="00262896" w:rsidRPr="00674542" w:rsidRDefault="00262896" w:rsidP="0002297E">
            <w:pPr>
              <w:widowControl/>
              <w:spacing w:before="40" w:after="40" w:line="240" w:lineRule="auto"/>
              <w:rPr>
                <w:rFonts w:asciiTheme="majorHAnsi" w:hAnsiTheme="majorHAnsi" w:cstheme="majorHAnsi"/>
                <w:sz w:val="16"/>
                <w:szCs w:val="16"/>
                <w:lang w:val="lv-LV"/>
              </w:rPr>
            </w:pPr>
            <w:r w:rsidRPr="00674542">
              <w:rPr>
                <w:rFonts w:asciiTheme="majorHAnsi" w:eastAsia="Times New Roman" w:hAnsiTheme="majorHAnsi" w:cstheme="majorHAnsi"/>
                <w:color w:val="000000"/>
                <w:sz w:val="16"/>
                <w:szCs w:val="16"/>
              </w:rPr>
              <w:t>Transports</w:t>
            </w:r>
          </w:p>
        </w:tc>
        <w:tc>
          <w:tcPr>
            <w:tcW w:w="1701" w:type="dxa"/>
            <w:shd w:val="clear" w:color="auto" w:fill="D9E2F3" w:themeFill="accent1" w:themeFillTint="33"/>
            <w:vAlign w:val="bottom"/>
          </w:tcPr>
          <w:p w14:paraId="365C3C3B" w14:textId="77777777" w:rsidR="00262896" w:rsidRPr="00674542" w:rsidRDefault="00262896" w:rsidP="0002297E">
            <w:pPr>
              <w:widowControl/>
              <w:spacing w:before="40" w:after="40" w:line="240" w:lineRule="auto"/>
              <w:jc w:val="center"/>
              <w:rPr>
                <w:rFonts w:asciiTheme="majorHAnsi" w:hAnsiTheme="majorHAnsi" w:cstheme="majorHAnsi"/>
                <w:sz w:val="16"/>
                <w:szCs w:val="16"/>
                <w:lang w:val="lv-LV"/>
              </w:rPr>
            </w:pPr>
            <w:r w:rsidRPr="00674542">
              <w:rPr>
                <w:rFonts w:asciiTheme="majorHAnsi" w:eastAsia="Times New Roman" w:hAnsiTheme="majorHAnsi" w:cstheme="majorHAnsi"/>
                <w:color w:val="000000"/>
                <w:sz w:val="16"/>
                <w:szCs w:val="16"/>
              </w:rPr>
              <w:t>3</w:t>
            </w:r>
            <w:r>
              <w:rPr>
                <w:rFonts w:asciiTheme="majorHAnsi" w:eastAsia="Times New Roman" w:hAnsiTheme="majorHAnsi" w:cstheme="majorHAnsi"/>
                <w:color w:val="000000"/>
                <w:sz w:val="16"/>
                <w:szCs w:val="16"/>
              </w:rPr>
              <w:t> </w:t>
            </w:r>
            <w:r w:rsidRPr="00674542">
              <w:rPr>
                <w:rFonts w:asciiTheme="majorHAnsi" w:eastAsia="Times New Roman" w:hAnsiTheme="majorHAnsi" w:cstheme="majorHAnsi"/>
                <w:color w:val="000000"/>
                <w:sz w:val="16"/>
                <w:szCs w:val="16"/>
              </w:rPr>
              <w:t>009,57</w:t>
            </w:r>
          </w:p>
        </w:tc>
        <w:tc>
          <w:tcPr>
            <w:tcW w:w="1701" w:type="dxa"/>
            <w:shd w:val="clear" w:color="auto" w:fill="D9E2F3" w:themeFill="accent1" w:themeFillTint="33"/>
            <w:vAlign w:val="bottom"/>
          </w:tcPr>
          <w:p w14:paraId="0B7F6500" w14:textId="77777777" w:rsidR="00262896" w:rsidRPr="00674542" w:rsidRDefault="00262896" w:rsidP="0002297E">
            <w:pPr>
              <w:widowControl/>
              <w:spacing w:before="40" w:after="40" w:line="240" w:lineRule="auto"/>
              <w:jc w:val="center"/>
              <w:rPr>
                <w:rFonts w:asciiTheme="majorHAnsi" w:hAnsiTheme="majorHAnsi" w:cstheme="majorHAnsi"/>
                <w:sz w:val="16"/>
                <w:szCs w:val="16"/>
                <w:lang w:val="lv-LV"/>
              </w:rPr>
            </w:pPr>
            <w:r w:rsidRPr="00674542">
              <w:rPr>
                <w:rFonts w:asciiTheme="majorHAnsi" w:eastAsia="Times New Roman" w:hAnsiTheme="majorHAnsi" w:cstheme="majorHAnsi"/>
                <w:color w:val="000000"/>
                <w:sz w:val="16"/>
                <w:szCs w:val="16"/>
              </w:rPr>
              <w:t>747,61</w:t>
            </w:r>
          </w:p>
        </w:tc>
      </w:tr>
      <w:tr w:rsidR="00262896" w:rsidRPr="00674542" w14:paraId="6C89A91F" w14:textId="77777777" w:rsidTr="0002297E">
        <w:trPr>
          <w:jc w:val="center"/>
        </w:trPr>
        <w:tc>
          <w:tcPr>
            <w:tcW w:w="3402" w:type="dxa"/>
            <w:shd w:val="clear" w:color="auto" w:fill="B4C6E7" w:themeFill="accent1" w:themeFillTint="66"/>
            <w:vAlign w:val="bottom"/>
          </w:tcPr>
          <w:p w14:paraId="40869243" w14:textId="77777777" w:rsidR="00262896" w:rsidRPr="00674542" w:rsidRDefault="00262896" w:rsidP="0002297E">
            <w:pPr>
              <w:widowControl/>
              <w:spacing w:before="40" w:after="40" w:line="240" w:lineRule="auto"/>
              <w:rPr>
                <w:rFonts w:asciiTheme="majorHAnsi" w:hAnsiTheme="majorHAnsi" w:cstheme="majorHAnsi"/>
                <w:sz w:val="16"/>
                <w:szCs w:val="16"/>
                <w:lang w:val="lv-LV"/>
              </w:rPr>
            </w:pPr>
            <w:r w:rsidRPr="00674542">
              <w:rPr>
                <w:rFonts w:asciiTheme="majorHAnsi" w:eastAsia="Times New Roman" w:hAnsiTheme="majorHAnsi" w:cstheme="majorHAnsi"/>
                <w:color w:val="000000"/>
                <w:sz w:val="16"/>
                <w:szCs w:val="16"/>
              </w:rPr>
              <w:t>Rūpniecība</w:t>
            </w:r>
          </w:p>
        </w:tc>
        <w:tc>
          <w:tcPr>
            <w:tcW w:w="1701" w:type="dxa"/>
            <w:shd w:val="clear" w:color="auto" w:fill="B4C6E7" w:themeFill="accent1" w:themeFillTint="66"/>
            <w:vAlign w:val="bottom"/>
          </w:tcPr>
          <w:p w14:paraId="05A5DC46" w14:textId="77777777" w:rsidR="00262896" w:rsidRPr="00674542" w:rsidRDefault="00262896" w:rsidP="0002297E">
            <w:pPr>
              <w:widowControl/>
              <w:spacing w:before="40" w:after="40" w:line="240" w:lineRule="auto"/>
              <w:jc w:val="center"/>
              <w:rPr>
                <w:rFonts w:asciiTheme="majorHAnsi" w:hAnsiTheme="majorHAnsi" w:cstheme="majorHAnsi"/>
                <w:sz w:val="16"/>
                <w:szCs w:val="16"/>
                <w:lang w:val="lv-LV"/>
              </w:rPr>
            </w:pPr>
            <w:r w:rsidRPr="00674542">
              <w:rPr>
                <w:rFonts w:asciiTheme="majorHAnsi" w:eastAsia="Times New Roman" w:hAnsiTheme="majorHAnsi" w:cstheme="majorHAnsi"/>
                <w:color w:val="000000"/>
                <w:sz w:val="16"/>
                <w:szCs w:val="16"/>
              </w:rPr>
              <w:t>386,90</w:t>
            </w:r>
          </w:p>
        </w:tc>
        <w:tc>
          <w:tcPr>
            <w:tcW w:w="1701" w:type="dxa"/>
            <w:shd w:val="clear" w:color="auto" w:fill="B4C6E7" w:themeFill="accent1" w:themeFillTint="66"/>
            <w:vAlign w:val="bottom"/>
          </w:tcPr>
          <w:p w14:paraId="47002B4B" w14:textId="77777777" w:rsidR="00262896" w:rsidRPr="00674542" w:rsidRDefault="00262896" w:rsidP="0002297E">
            <w:pPr>
              <w:widowControl/>
              <w:spacing w:before="40" w:after="40" w:line="240" w:lineRule="auto"/>
              <w:jc w:val="center"/>
              <w:rPr>
                <w:rFonts w:asciiTheme="majorHAnsi" w:hAnsiTheme="majorHAnsi" w:cstheme="majorHAnsi"/>
                <w:sz w:val="16"/>
                <w:szCs w:val="16"/>
                <w:lang w:val="lv-LV"/>
              </w:rPr>
            </w:pPr>
            <w:r w:rsidRPr="00674542">
              <w:rPr>
                <w:rFonts w:asciiTheme="majorHAnsi" w:eastAsia="Times New Roman" w:hAnsiTheme="majorHAnsi" w:cstheme="majorHAnsi"/>
                <w:color w:val="000000"/>
                <w:sz w:val="16"/>
                <w:szCs w:val="16"/>
              </w:rPr>
              <w:t>169,04</w:t>
            </w:r>
          </w:p>
        </w:tc>
      </w:tr>
      <w:tr w:rsidR="00262896" w:rsidRPr="00674542" w14:paraId="765C8FA8" w14:textId="77777777" w:rsidTr="0002297E">
        <w:trPr>
          <w:jc w:val="center"/>
        </w:trPr>
        <w:tc>
          <w:tcPr>
            <w:tcW w:w="3402" w:type="dxa"/>
            <w:shd w:val="clear" w:color="auto" w:fill="D9E2F3" w:themeFill="accent1" w:themeFillTint="33"/>
            <w:vAlign w:val="bottom"/>
          </w:tcPr>
          <w:p w14:paraId="7829F209" w14:textId="77777777" w:rsidR="00262896" w:rsidRPr="00674542" w:rsidRDefault="00262896" w:rsidP="0002297E">
            <w:pPr>
              <w:widowControl/>
              <w:spacing w:before="40" w:after="40" w:line="240" w:lineRule="auto"/>
              <w:rPr>
                <w:rFonts w:asciiTheme="majorHAnsi" w:hAnsiTheme="majorHAnsi" w:cstheme="majorHAnsi"/>
                <w:sz w:val="16"/>
                <w:szCs w:val="16"/>
                <w:lang w:val="lv-LV"/>
              </w:rPr>
            </w:pPr>
            <w:r w:rsidRPr="00674542">
              <w:rPr>
                <w:rFonts w:asciiTheme="majorHAnsi" w:eastAsia="Times New Roman" w:hAnsiTheme="majorHAnsi" w:cstheme="majorHAnsi"/>
                <w:color w:val="000000"/>
                <w:sz w:val="16"/>
                <w:szCs w:val="16"/>
              </w:rPr>
              <w:t>Lauksaimniecība</w:t>
            </w:r>
          </w:p>
        </w:tc>
        <w:tc>
          <w:tcPr>
            <w:tcW w:w="1701" w:type="dxa"/>
            <w:shd w:val="clear" w:color="auto" w:fill="D9E2F3" w:themeFill="accent1" w:themeFillTint="33"/>
            <w:vAlign w:val="bottom"/>
          </w:tcPr>
          <w:p w14:paraId="7C373322" w14:textId="77777777" w:rsidR="00262896" w:rsidRPr="00674542" w:rsidRDefault="00262896" w:rsidP="0002297E">
            <w:pPr>
              <w:widowControl/>
              <w:spacing w:before="40" w:after="40" w:line="240" w:lineRule="auto"/>
              <w:jc w:val="center"/>
              <w:rPr>
                <w:rFonts w:asciiTheme="majorHAnsi" w:hAnsiTheme="majorHAnsi" w:cstheme="majorHAnsi"/>
                <w:sz w:val="16"/>
                <w:szCs w:val="16"/>
                <w:lang w:val="lv-LV"/>
              </w:rPr>
            </w:pPr>
            <w:r w:rsidRPr="00674542">
              <w:rPr>
                <w:rFonts w:asciiTheme="majorHAnsi" w:eastAsia="Times New Roman" w:hAnsiTheme="majorHAnsi" w:cstheme="majorHAnsi"/>
                <w:color w:val="000000"/>
                <w:sz w:val="16"/>
                <w:szCs w:val="16"/>
              </w:rPr>
              <w:t>222,20</w:t>
            </w:r>
          </w:p>
        </w:tc>
        <w:tc>
          <w:tcPr>
            <w:tcW w:w="1701" w:type="dxa"/>
            <w:shd w:val="clear" w:color="auto" w:fill="D9E2F3" w:themeFill="accent1" w:themeFillTint="33"/>
            <w:vAlign w:val="bottom"/>
          </w:tcPr>
          <w:p w14:paraId="6CB1A6E5" w14:textId="77777777" w:rsidR="00262896" w:rsidRPr="00674542" w:rsidRDefault="00262896" w:rsidP="0002297E">
            <w:pPr>
              <w:widowControl/>
              <w:spacing w:before="40" w:after="40" w:line="240" w:lineRule="auto"/>
              <w:jc w:val="center"/>
              <w:rPr>
                <w:rFonts w:asciiTheme="majorHAnsi" w:hAnsiTheme="majorHAnsi" w:cstheme="majorHAnsi"/>
                <w:sz w:val="16"/>
                <w:szCs w:val="16"/>
                <w:lang w:val="lv-LV"/>
              </w:rPr>
            </w:pPr>
            <w:r w:rsidRPr="00674542">
              <w:rPr>
                <w:rFonts w:asciiTheme="majorHAnsi" w:eastAsia="Times New Roman" w:hAnsiTheme="majorHAnsi" w:cstheme="majorHAnsi"/>
                <w:color w:val="000000"/>
                <w:sz w:val="16"/>
                <w:szCs w:val="16"/>
              </w:rPr>
              <w:t>126,34</w:t>
            </w:r>
          </w:p>
        </w:tc>
      </w:tr>
      <w:tr w:rsidR="00262896" w:rsidRPr="00674542" w14:paraId="1ED621C3" w14:textId="77777777" w:rsidTr="0002297E">
        <w:trPr>
          <w:jc w:val="center"/>
        </w:trPr>
        <w:tc>
          <w:tcPr>
            <w:tcW w:w="3402" w:type="dxa"/>
            <w:shd w:val="clear" w:color="auto" w:fill="B4C6E7" w:themeFill="accent1" w:themeFillTint="66"/>
            <w:vAlign w:val="bottom"/>
          </w:tcPr>
          <w:p w14:paraId="58001298" w14:textId="77777777" w:rsidR="00262896" w:rsidRPr="00674542" w:rsidRDefault="00262896" w:rsidP="0002297E">
            <w:pPr>
              <w:widowControl/>
              <w:spacing w:before="40" w:after="40" w:line="240" w:lineRule="auto"/>
              <w:rPr>
                <w:rFonts w:asciiTheme="majorHAnsi" w:hAnsiTheme="majorHAnsi" w:cstheme="majorHAnsi"/>
                <w:sz w:val="16"/>
                <w:szCs w:val="16"/>
                <w:lang w:val="lv-LV"/>
              </w:rPr>
            </w:pPr>
            <w:r w:rsidRPr="00674542">
              <w:rPr>
                <w:rFonts w:asciiTheme="majorHAnsi" w:eastAsia="Times New Roman" w:hAnsiTheme="majorHAnsi" w:cstheme="majorHAnsi"/>
                <w:color w:val="000000"/>
                <w:sz w:val="16"/>
                <w:szCs w:val="16"/>
              </w:rPr>
              <w:t>CO2 uzglabāšana</w:t>
            </w:r>
          </w:p>
        </w:tc>
        <w:tc>
          <w:tcPr>
            <w:tcW w:w="1701" w:type="dxa"/>
            <w:shd w:val="clear" w:color="auto" w:fill="B4C6E7" w:themeFill="accent1" w:themeFillTint="66"/>
            <w:vAlign w:val="bottom"/>
          </w:tcPr>
          <w:p w14:paraId="15D64715" w14:textId="77777777" w:rsidR="00262896" w:rsidRPr="00674542" w:rsidRDefault="00262896" w:rsidP="0002297E">
            <w:pPr>
              <w:widowControl/>
              <w:spacing w:before="40" w:after="40" w:line="240" w:lineRule="auto"/>
              <w:jc w:val="center"/>
              <w:rPr>
                <w:rFonts w:asciiTheme="majorHAnsi" w:hAnsiTheme="majorHAnsi" w:cstheme="majorHAnsi"/>
                <w:sz w:val="16"/>
                <w:szCs w:val="16"/>
                <w:lang w:val="lv-LV"/>
              </w:rPr>
            </w:pPr>
            <w:r w:rsidRPr="00674542">
              <w:rPr>
                <w:rFonts w:asciiTheme="majorHAnsi" w:eastAsia="Times New Roman" w:hAnsiTheme="majorHAnsi" w:cstheme="majorHAnsi"/>
                <w:color w:val="000000"/>
                <w:sz w:val="16"/>
                <w:szCs w:val="16"/>
              </w:rPr>
              <w:t>45,44</w:t>
            </w:r>
          </w:p>
        </w:tc>
        <w:tc>
          <w:tcPr>
            <w:tcW w:w="1701" w:type="dxa"/>
            <w:shd w:val="clear" w:color="auto" w:fill="B4C6E7" w:themeFill="accent1" w:themeFillTint="66"/>
            <w:vAlign w:val="bottom"/>
          </w:tcPr>
          <w:p w14:paraId="5871BFC1" w14:textId="77777777" w:rsidR="00262896" w:rsidRPr="00674542" w:rsidRDefault="00262896" w:rsidP="0002297E">
            <w:pPr>
              <w:widowControl/>
              <w:spacing w:before="40" w:after="40" w:line="240" w:lineRule="auto"/>
              <w:jc w:val="center"/>
              <w:rPr>
                <w:rFonts w:asciiTheme="majorHAnsi" w:hAnsiTheme="majorHAnsi" w:cstheme="majorHAnsi"/>
                <w:sz w:val="16"/>
                <w:szCs w:val="16"/>
                <w:lang w:val="lv-LV"/>
              </w:rPr>
            </w:pPr>
            <w:r w:rsidRPr="00674542">
              <w:rPr>
                <w:rFonts w:asciiTheme="majorHAnsi" w:eastAsia="Times New Roman" w:hAnsiTheme="majorHAnsi" w:cstheme="majorHAnsi"/>
                <w:color w:val="000000"/>
                <w:sz w:val="16"/>
                <w:szCs w:val="16"/>
              </w:rPr>
              <w:t>45,44</w:t>
            </w:r>
          </w:p>
        </w:tc>
      </w:tr>
      <w:tr w:rsidR="00262896" w:rsidRPr="00674542" w14:paraId="73D52679" w14:textId="77777777" w:rsidTr="0002297E">
        <w:trPr>
          <w:jc w:val="center"/>
        </w:trPr>
        <w:tc>
          <w:tcPr>
            <w:tcW w:w="3402" w:type="dxa"/>
            <w:shd w:val="clear" w:color="auto" w:fill="D9E2F3" w:themeFill="accent1" w:themeFillTint="33"/>
            <w:vAlign w:val="bottom"/>
          </w:tcPr>
          <w:p w14:paraId="17D9F6BB" w14:textId="77777777" w:rsidR="00262896" w:rsidRPr="00674542" w:rsidRDefault="00262896" w:rsidP="0002297E">
            <w:pPr>
              <w:widowControl/>
              <w:spacing w:before="40" w:after="40" w:line="240" w:lineRule="auto"/>
              <w:rPr>
                <w:rFonts w:asciiTheme="majorHAnsi" w:hAnsiTheme="majorHAnsi" w:cstheme="majorHAnsi"/>
                <w:sz w:val="16"/>
                <w:szCs w:val="16"/>
                <w:lang w:val="lv-LV"/>
              </w:rPr>
            </w:pPr>
            <w:r w:rsidRPr="00674542">
              <w:rPr>
                <w:rFonts w:asciiTheme="majorHAnsi" w:eastAsia="Times New Roman" w:hAnsiTheme="majorHAnsi" w:cstheme="majorHAnsi"/>
                <w:color w:val="000000"/>
                <w:sz w:val="16"/>
                <w:szCs w:val="16"/>
              </w:rPr>
              <w:t>Atkritumi</w:t>
            </w:r>
          </w:p>
        </w:tc>
        <w:tc>
          <w:tcPr>
            <w:tcW w:w="1701" w:type="dxa"/>
            <w:shd w:val="clear" w:color="auto" w:fill="D9E2F3" w:themeFill="accent1" w:themeFillTint="33"/>
            <w:vAlign w:val="bottom"/>
          </w:tcPr>
          <w:p w14:paraId="1FDB22F3" w14:textId="77777777" w:rsidR="00262896" w:rsidRPr="00674542" w:rsidRDefault="00262896" w:rsidP="0002297E">
            <w:pPr>
              <w:widowControl/>
              <w:spacing w:before="40" w:after="40" w:line="240" w:lineRule="auto"/>
              <w:jc w:val="center"/>
              <w:rPr>
                <w:rFonts w:asciiTheme="majorHAnsi" w:hAnsiTheme="majorHAnsi" w:cstheme="majorHAnsi"/>
                <w:sz w:val="16"/>
                <w:szCs w:val="16"/>
                <w:lang w:val="lv-LV"/>
              </w:rPr>
            </w:pPr>
            <w:r w:rsidRPr="00674542">
              <w:rPr>
                <w:rFonts w:asciiTheme="majorHAnsi" w:eastAsia="Times New Roman" w:hAnsiTheme="majorHAnsi" w:cstheme="majorHAnsi"/>
                <w:color w:val="000000"/>
                <w:sz w:val="16"/>
                <w:szCs w:val="16"/>
              </w:rPr>
              <w:t>3,00</w:t>
            </w:r>
          </w:p>
        </w:tc>
        <w:tc>
          <w:tcPr>
            <w:tcW w:w="1701" w:type="dxa"/>
            <w:shd w:val="clear" w:color="auto" w:fill="D9E2F3" w:themeFill="accent1" w:themeFillTint="33"/>
            <w:vAlign w:val="bottom"/>
          </w:tcPr>
          <w:p w14:paraId="34D894E7" w14:textId="77777777" w:rsidR="00262896" w:rsidRPr="00674542" w:rsidRDefault="00262896" w:rsidP="0002297E">
            <w:pPr>
              <w:widowControl/>
              <w:spacing w:before="40" w:after="40" w:line="240" w:lineRule="auto"/>
              <w:jc w:val="center"/>
              <w:rPr>
                <w:rFonts w:asciiTheme="majorHAnsi" w:hAnsiTheme="majorHAnsi" w:cstheme="majorHAnsi"/>
                <w:sz w:val="16"/>
                <w:szCs w:val="16"/>
                <w:lang w:val="lv-LV"/>
              </w:rPr>
            </w:pPr>
            <w:r w:rsidRPr="00674542">
              <w:rPr>
                <w:rFonts w:asciiTheme="majorHAnsi" w:eastAsia="Times New Roman" w:hAnsiTheme="majorHAnsi" w:cstheme="majorHAnsi"/>
                <w:color w:val="000000"/>
                <w:sz w:val="16"/>
                <w:szCs w:val="16"/>
              </w:rPr>
              <w:t>3,00</w:t>
            </w:r>
          </w:p>
        </w:tc>
      </w:tr>
      <w:tr w:rsidR="00262896" w:rsidRPr="00674542" w14:paraId="07D30D12" w14:textId="77777777" w:rsidTr="0002297E">
        <w:trPr>
          <w:jc w:val="center"/>
        </w:trPr>
        <w:tc>
          <w:tcPr>
            <w:tcW w:w="3402" w:type="dxa"/>
            <w:shd w:val="clear" w:color="auto" w:fill="B4C6E7" w:themeFill="accent1" w:themeFillTint="66"/>
            <w:vAlign w:val="bottom"/>
          </w:tcPr>
          <w:p w14:paraId="5331F7E0" w14:textId="77777777" w:rsidR="00262896" w:rsidRPr="00674542" w:rsidRDefault="00262896" w:rsidP="0002297E">
            <w:pPr>
              <w:widowControl/>
              <w:spacing w:before="40" w:after="40" w:line="240" w:lineRule="auto"/>
              <w:rPr>
                <w:rFonts w:asciiTheme="majorHAnsi" w:hAnsiTheme="majorHAnsi" w:cstheme="majorHAnsi"/>
                <w:sz w:val="16"/>
                <w:szCs w:val="16"/>
                <w:lang w:val="lv-LV"/>
              </w:rPr>
            </w:pPr>
            <w:r w:rsidRPr="00674542">
              <w:rPr>
                <w:rFonts w:asciiTheme="majorHAnsi" w:eastAsia="Times New Roman" w:hAnsiTheme="majorHAnsi" w:cstheme="majorHAnsi"/>
                <w:color w:val="000000"/>
                <w:sz w:val="16"/>
                <w:szCs w:val="16"/>
              </w:rPr>
              <w:t>Atjaunojamie energoresursi</w:t>
            </w:r>
          </w:p>
        </w:tc>
        <w:tc>
          <w:tcPr>
            <w:tcW w:w="1701" w:type="dxa"/>
            <w:shd w:val="clear" w:color="auto" w:fill="B4C6E7" w:themeFill="accent1" w:themeFillTint="66"/>
            <w:vAlign w:val="bottom"/>
          </w:tcPr>
          <w:p w14:paraId="3EFF3965" w14:textId="77777777" w:rsidR="00262896" w:rsidRPr="00674542" w:rsidRDefault="00262896" w:rsidP="0002297E">
            <w:pPr>
              <w:widowControl/>
              <w:spacing w:before="40" w:after="40" w:line="240" w:lineRule="auto"/>
              <w:jc w:val="center"/>
              <w:rPr>
                <w:rFonts w:asciiTheme="majorHAnsi" w:hAnsiTheme="majorHAnsi" w:cstheme="majorHAnsi"/>
                <w:sz w:val="16"/>
                <w:szCs w:val="16"/>
                <w:lang w:val="lv-LV"/>
              </w:rPr>
            </w:pPr>
            <w:r w:rsidRPr="00674542">
              <w:rPr>
                <w:rFonts w:asciiTheme="majorHAnsi" w:eastAsia="Times New Roman" w:hAnsiTheme="majorHAnsi" w:cstheme="majorHAnsi"/>
                <w:color w:val="000000"/>
                <w:sz w:val="16"/>
                <w:szCs w:val="16"/>
              </w:rPr>
              <w:t>864,10</w:t>
            </w:r>
          </w:p>
        </w:tc>
        <w:tc>
          <w:tcPr>
            <w:tcW w:w="1701" w:type="dxa"/>
            <w:shd w:val="clear" w:color="auto" w:fill="B4C6E7" w:themeFill="accent1" w:themeFillTint="66"/>
            <w:vAlign w:val="bottom"/>
          </w:tcPr>
          <w:p w14:paraId="6049BC8B" w14:textId="77777777" w:rsidR="00262896" w:rsidRPr="00674542" w:rsidRDefault="00262896" w:rsidP="0002297E">
            <w:pPr>
              <w:widowControl/>
              <w:spacing w:before="40" w:after="40" w:line="240" w:lineRule="auto"/>
              <w:jc w:val="center"/>
              <w:rPr>
                <w:rFonts w:asciiTheme="majorHAnsi" w:hAnsiTheme="majorHAnsi" w:cstheme="majorHAnsi"/>
                <w:sz w:val="16"/>
                <w:szCs w:val="16"/>
                <w:lang w:val="lv-LV"/>
              </w:rPr>
            </w:pPr>
            <w:r w:rsidRPr="00674542">
              <w:rPr>
                <w:rFonts w:asciiTheme="majorHAnsi" w:eastAsia="Times New Roman" w:hAnsiTheme="majorHAnsi" w:cstheme="majorHAnsi"/>
                <w:color w:val="000000"/>
                <w:sz w:val="16"/>
                <w:szCs w:val="16"/>
              </w:rPr>
              <w:t>726,20</w:t>
            </w:r>
          </w:p>
        </w:tc>
      </w:tr>
      <w:tr w:rsidR="00262896" w:rsidRPr="00674542" w14:paraId="651D9B28" w14:textId="77777777" w:rsidTr="0002297E">
        <w:trPr>
          <w:jc w:val="center"/>
        </w:trPr>
        <w:tc>
          <w:tcPr>
            <w:tcW w:w="3402" w:type="dxa"/>
            <w:shd w:val="clear" w:color="auto" w:fill="D9E2F3" w:themeFill="accent1" w:themeFillTint="33"/>
            <w:vAlign w:val="bottom"/>
          </w:tcPr>
          <w:p w14:paraId="46A92695" w14:textId="77777777" w:rsidR="00262896" w:rsidRPr="00674542" w:rsidRDefault="00262896" w:rsidP="0002297E">
            <w:pPr>
              <w:widowControl/>
              <w:spacing w:before="40" w:after="40" w:line="240" w:lineRule="auto"/>
              <w:rPr>
                <w:rFonts w:asciiTheme="majorHAnsi" w:hAnsiTheme="majorHAnsi" w:cstheme="majorHAnsi"/>
                <w:sz w:val="16"/>
                <w:szCs w:val="16"/>
                <w:lang w:val="lv-LV"/>
              </w:rPr>
            </w:pPr>
            <w:r w:rsidRPr="00674542">
              <w:rPr>
                <w:rFonts w:asciiTheme="majorHAnsi" w:eastAsia="Times New Roman" w:hAnsiTheme="majorHAnsi" w:cstheme="majorHAnsi"/>
                <w:color w:val="000000"/>
                <w:sz w:val="16"/>
                <w:szCs w:val="16"/>
              </w:rPr>
              <w:t>Energoefektivitāte</w:t>
            </w:r>
          </w:p>
        </w:tc>
        <w:tc>
          <w:tcPr>
            <w:tcW w:w="1701" w:type="dxa"/>
            <w:shd w:val="clear" w:color="auto" w:fill="D9E2F3" w:themeFill="accent1" w:themeFillTint="33"/>
            <w:vAlign w:val="bottom"/>
          </w:tcPr>
          <w:p w14:paraId="623A0110" w14:textId="77777777" w:rsidR="00262896" w:rsidRPr="00674542" w:rsidRDefault="00262896" w:rsidP="0002297E">
            <w:pPr>
              <w:widowControl/>
              <w:spacing w:before="40" w:after="40" w:line="240" w:lineRule="auto"/>
              <w:jc w:val="center"/>
              <w:rPr>
                <w:rFonts w:asciiTheme="majorHAnsi" w:hAnsiTheme="majorHAnsi" w:cstheme="majorHAnsi"/>
                <w:sz w:val="16"/>
                <w:szCs w:val="16"/>
                <w:lang w:val="lv-LV"/>
              </w:rPr>
            </w:pPr>
            <w:r w:rsidRPr="00674542">
              <w:rPr>
                <w:rFonts w:asciiTheme="majorHAnsi" w:eastAsia="Times New Roman" w:hAnsiTheme="majorHAnsi" w:cstheme="majorHAnsi"/>
                <w:color w:val="000000"/>
                <w:sz w:val="16"/>
                <w:szCs w:val="16"/>
              </w:rPr>
              <w:t>7</w:t>
            </w:r>
            <w:r>
              <w:rPr>
                <w:rFonts w:asciiTheme="majorHAnsi" w:eastAsia="Times New Roman" w:hAnsiTheme="majorHAnsi" w:cstheme="majorHAnsi"/>
                <w:color w:val="000000"/>
                <w:sz w:val="16"/>
                <w:szCs w:val="16"/>
              </w:rPr>
              <w:t> </w:t>
            </w:r>
            <w:r w:rsidRPr="00674542">
              <w:rPr>
                <w:rFonts w:asciiTheme="majorHAnsi" w:eastAsia="Times New Roman" w:hAnsiTheme="majorHAnsi" w:cstheme="majorHAnsi"/>
                <w:color w:val="000000"/>
                <w:sz w:val="16"/>
                <w:szCs w:val="16"/>
              </w:rPr>
              <w:t>064,94</w:t>
            </w:r>
          </w:p>
        </w:tc>
        <w:tc>
          <w:tcPr>
            <w:tcW w:w="1701" w:type="dxa"/>
            <w:shd w:val="clear" w:color="auto" w:fill="D9E2F3" w:themeFill="accent1" w:themeFillTint="33"/>
            <w:vAlign w:val="bottom"/>
          </w:tcPr>
          <w:p w14:paraId="6647A1F8" w14:textId="77777777" w:rsidR="00262896" w:rsidRPr="00674542" w:rsidRDefault="00262896" w:rsidP="0002297E">
            <w:pPr>
              <w:widowControl/>
              <w:spacing w:before="40" w:after="40" w:line="240" w:lineRule="auto"/>
              <w:jc w:val="center"/>
              <w:rPr>
                <w:rFonts w:asciiTheme="majorHAnsi" w:hAnsiTheme="majorHAnsi" w:cstheme="majorHAnsi"/>
                <w:sz w:val="16"/>
                <w:szCs w:val="16"/>
                <w:lang w:val="lv-LV"/>
              </w:rPr>
            </w:pPr>
            <w:r w:rsidRPr="00674542">
              <w:rPr>
                <w:rFonts w:asciiTheme="majorHAnsi" w:eastAsia="Times New Roman" w:hAnsiTheme="majorHAnsi" w:cstheme="majorHAnsi"/>
                <w:color w:val="000000"/>
                <w:sz w:val="16"/>
                <w:szCs w:val="16"/>
              </w:rPr>
              <w:t>2</w:t>
            </w:r>
            <w:r>
              <w:rPr>
                <w:rFonts w:asciiTheme="majorHAnsi" w:eastAsia="Times New Roman" w:hAnsiTheme="majorHAnsi" w:cstheme="majorHAnsi"/>
                <w:color w:val="000000"/>
                <w:sz w:val="16"/>
                <w:szCs w:val="16"/>
              </w:rPr>
              <w:t> </w:t>
            </w:r>
            <w:r w:rsidRPr="00674542">
              <w:rPr>
                <w:rFonts w:asciiTheme="majorHAnsi" w:eastAsia="Times New Roman" w:hAnsiTheme="majorHAnsi" w:cstheme="majorHAnsi"/>
                <w:color w:val="000000"/>
                <w:sz w:val="16"/>
                <w:szCs w:val="16"/>
              </w:rPr>
              <w:t>179,17</w:t>
            </w:r>
          </w:p>
        </w:tc>
      </w:tr>
      <w:tr w:rsidR="00262896" w:rsidRPr="00674542" w14:paraId="19912DF8" w14:textId="77777777" w:rsidTr="0002297E">
        <w:trPr>
          <w:jc w:val="center"/>
        </w:trPr>
        <w:tc>
          <w:tcPr>
            <w:tcW w:w="3402" w:type="dxa"/>
            <w:shd w:val="clear" w:color="auto" w:fill="B4C6E7" w:themeFill="accent1" w:themeFillTint="66"/>
            <w:vAlign w:val="bottom"/>
          </w:tcPr>
          <w:p w14:paraId="3BD6353C" w14:textId="77777777" w:rsidR="00262896" w:rsidRPr="00674542" w:rsidRDefault="00262896" w:rsidP="0002297E">
            <w:pPr>
              <w:widowControl/>
              <w:spacing w:before="40" w:after="40" w:line="240" w:lineRule="auto"/>
              <w:rPr>
                <w:rFonts w:asciiTheme="majorHAnsi" w:hAnsiTheme="majorHAnsi" w:cstheme="majorHAnsi"/>
                <w:sz w:val="16"/>
                <w:szCs w:val="16"/>
                <w:lang w:val="lv-LV"/>
              </w:rPr>
            </w:pPr>
            <w:r w:rsidRPr="00674542">
              <w:rPr>
                <w:rFonts w:asciiTheme="majorHAnsi" w:eastAsia="Times New Roman" w:hAnsiTheme="majorHAnsi" w:cstheme="majorHAnsi"/>
                <w:color w:val="000000"/>
                <w:sz w:val="16"/>
                <w:szCs w:val="16"/>
              </w:rPr>
              <w:t>Iekšējais tirgus</w:t>
            </w:r>
          </w:p>
        </w:tc>
        <w:tc>
          <w:tcPr>
            <w:tcW w:w="1701" w:type="dxa"/>
            <w:shd w:val="clear" w:color="auto" w:fill="B4C6E7" w:themeFill="accent1" w:themeFillTint="66"/>
            <w:vAlign w:val="bottom"/>
          </w:tcPr>
          <w:p w14:paraId="23C50143" w14:textId="77777777" w:rsidR="00262896" w:rsidRPr="00674542" w:rsidRDefault="00262896" w:rsidP="0002297E">
            <w:pPr>
              <w:widowControl/>
              <w:spacing w:before="40" w:after="40" w:line="240" w:lineRule="auto"/>
              <w:jc w:val="center"/>
              <w:rPr>
                <w:rFonts w:asciiTheme="majorHAnsi" w:hAnsiTheme="majorHAnsi" w:cstheme="majorHAnsi"/>
                <w:sz w:val="16"/>
                <w:szCs w:val="16"/>
                <w:lang w:val="lv-LV"/>
              </w:rPr>
            </w:pPr>
            <w:r w:rsidRPr="00674542">
              <w:rPr>
                <w:rFonts w:asciiTheme="majorHAnsi" w:eastAsia="Times New Roman" w:hAnsiTheme="majorHAnsi" w:cstheme="majorHAnsi"/>
                <w:color w:val="000000"/>
                <w:sz w:val="16"/>
                <w:szCs w:val="16"/>
              </w:rPr>
              <w:t>165,00</w:t>
            </w:r>
          </w:p>
        </w:tc>
        <w:tc>
          <w:tcPr>
            <w:tcW w:w="1701" w:type="dxa"/>
            <w:shd w:val="clear" w:color="auto" w:fill="B4C6E7" w:themeFill="accent1" w:themeFillTint="66"/>
            <w:vAlign w:val="bottom"/>
          </w:tcPr>
          <w:p w14:paraId="57CE1F3C" w14:textId="77777777" w:rsidR="00262896" w:rsidRPr="00674542" w:rsidRDefault="00262896" w:rsidP="0002297E">
            <w:pPr>
              <w:widowControl/>
              <w:spacing w:before="40" w:after="40" w:line="240" w:lineRule="auto"/>
              <w:jc w:val="center"/>
              <w:rPr>
                <w:rFonts w:asciiTheme="majorHAnsi" w:hAnsiTheme="majorHAnsi" w:cstheme="majorHAnsi"/>
                <w:sz w:val="16"/>
                <w:szCs w:val="16"/>
                <w:lang w:val="lv-LV"/>
              </w:rPr>
            </w:pPr>
            <w:r w:rsidRPr="00674542">
              <w:rPr>
                <w:rFonts w:asciiTheme="majorHAnsi" w:eastAsia="Times New Roman" w:hAnsiTheme="majorHAnsi" w:cstheme="majorHAnsi"/>
                <w:color w:val="000000"/>
                <w:sz w:val="16"/>
                <w:szCs w:val="16"/>
              </w:rPr>
              <w:t>0,00</w:t>
            </w:r>
          </w:p>
        </w:tc>
      </w:tr>
      <w:tr w:rsidR="00262896" w:rsidRPr="00674542" w14:paraId="7D7E8FD7" w14:textId="77777777" w:rsidTr="0002297E">
        <w:trPr>
          <w:jc w:val="center"/>
        </w:trPr>
        <w:tc>
          <w:tcPr>
            <w:tcW w:w="3402" w:type="dxa"/>
            <w:shd w:val="clear" w:color="auto" w:fill="D9E2F3" w:themeFill="accent1" w:themeFillTint="33"/>
            <w:vAlign w:val="bottom"/>
          </w:tcPr>
          <w:p w14:paraId="719D4F85" w14:textId="77777777" w:rsidR="00262896" w:rsidRPr="00674542" w:rsidRDefault="00262896" w:rsidP="0002297E">
            <w:pPr>
              <w:widowControl/>
              <w:spacing w:before="40" w:after="40" w:line="240" w:lineRule="auto"/>
              <w:rPr>
                <w:rFonts w:asciiTheme="majorHAnsi" w:hAnsiTheme="majorHAnsi" w:cstheme="majorHAnsi"/>
                <w:sz w:val="16"/>
                <w:szCs w:val="16"/>
                <w:lang w:val="lv-LV"/>
              </w:rPr>
            </w:pPr>
            <w:r w:rsidRPr="00674542">
              <w:rPr>
                <w:rFonts w:asciiTheme="majorHAnsi" w:eastAsia="Times New Roman" w:hAnsiTheme="majorHAnsi" w:cstheme="majorHAnsi"/>
                <w:color w:val="000000"/>
                <w:sz w:val="16"/>
                <w:szCs w:val="16"/>
              </w:rPr>
              <w:t>Energoapgādes drošība</w:t>
            </w:r>
          </w:p>
        </w:tc>
        <w:tc>
          <w:tcPr>
            <w:tcW w:w="1701" w:type="dxa"/>
            <w:shd w:val="clear" w:color="auto" w:fill="D9E2F3" w:themeFill="accent1" w:themeFillTint="33"/>
            <w:vAlign w:val="bottom"/>
          </w:tcPr>
          <w:p w14:paraId="3B0085A5" w14:textId="77777777" w:rsidR="00262896" w:rsidRPr="00674542" w:rsidRDefault="00262896" w:rsidP="0002297E">
            <w:pPr>
              <w:widowControl/>
              <w:spacing w:before="40" w:after="40" w:line="240" w:lineRule="auto"/>
              <w:jc w:val="center"/>
              <w:rPr>
                <w:rFonts w:asciiTheme="majorHAnsi" w:hAnsiTheme="majorHAnsi" w:cstheme="majorHAnsi"/>
                <w:sz w:val="16"/>
                <w:szCs w:val="16"/>
                <w:lang w:val="lv-LV"/>
              </w:rPr>
            </w:pPr>
            <w:r w:rsidRPr="00674542">
              <w:rPr>
                <w:rFonts w:asciiTheme="majorHAnsi" w:eastAsia="Times New Roman" w:hAnsiTheme="majorHAnsi" w:cstheme="majorHAnsi"/>
                <w:color w:val="000000"/>
                <w:sz w:val="16"/>
                <w:szCs w:val="16"/>
              </w:rPr>
              <w:t>0,00</w:t>
            </w:r>
          </w:p>
        </w:tc>
        <w:tc>
          <w:tcPr>
            <w:tcW w:w="1701" w:type="dxa"/>
            <w:shd w:val="clear" w:color="auto" w:fill="D9E2F3" w:themeFill="accent1" w:themeFillTint="33"/>
            <w:vAlign w:val="bottom"/>
          </w:tcPr>
          <w:p w14:paraId="1E13ED2D" w14:textId="77777777" w:rsidR="00262896" w:rsidRPr="00674542" w:rsidRDefault="00262896" w:rsidP="0002297E">
            <w:pPr>
              <w:widowControl/>
              <w:spacing w:before="40" w:after="40" w:line="240" w:lineRule="auto"/>
              <w:jc w:val="center"/>
              <w:rPr>
                <w:rFonts w:asciiTheme="majorHAnsi" w:hAnsiTheme="majorHAnsi" w:cstheme="majorHAnsi"/>
                <w:sz w:val="16"/>
                <w:szCs w:val="16"/>
                <w:lang w:val="lv-LV"/>
              </w:rPr>
            </w:pPr>
            <w:r w:rsidRPr="00674542">
              <w:rPr>
                <w:rFonts w:asciiTheme="majorHAnsi" w:eastAsia="Times New Roman" w:hAnsiTheme="majorHAnsi" w:cstheme="majorHAnsi"/>
                <w:color w:val="000000"/>
                <w:sz w:val="16"/>
                <w:szCs w:val="16"/>
              </w:rPr>
              <w:t>0,00</w:t>
            </w:r>
          </w:p>
        </w:tc>
      </w:tr>
      <w:tr w:rsidR="00262896" w:rsidRPr="00674542" w14:paraId="34C03172" w14:textId="77777777" w:rsidTr="0002297E">
        <w:trPr>
          <w:jc w:val="center"/>
        </w:trPr>
        <w:tc>
          <w:tcPr>
            <w:tcW w:w="3402" w:type="dxa"/>
            <w:shd w:val="clear" w:color="auto" w:fill="B4C6E7" w:themeFill="accent1" w:themeFillTint="66"/>
            <w:vAlign w:val="bottom"/>
          </w:tcPr>
          <w:p w14:paraId="7B6129A8" w14:textId="77777777" w:rsidR="00262896" w:rsidRPr="00674542" w:rsidRDefault="00262896" w:rsidP="0002297E">
            <w:pPr>
              <w:widowControl/>
              <w:spacing w:before="40" w:after="40" w:line="240" w:lineRule="auto"/>
              <w:rPr>
                <w:rFonts w:asciiTheme="majorHAnsi" w:hAnsiTheme="majorHAnsi" w:cstheme="majorHAnsi"/>
                <w:sz w:val="16"/>
                <w:szCs w:val="16"/>
                <w:lang w:val="lv-LV"/>
              </w:rPr>
            </w:pPr>
            <w:r w:rsidRPr="00674542">
              <w:rPr>
                <w:rFonts w:asciiTheme="majorHAnsi" w:eastAsia="Times New Roman" w:hAnsiTheme="majorHAnsi" w:cstheme="majorHAnsi"/>
                <w:color w:val="000000"/>
                <w:sz w:val="16"/>
                <w:szCs w:val="16"/>
              </w:rPr>
              <w:t>Pētniecība un attīstība</w:t>
            </w:r>
          </w:p>
        </w:tc>
        <w:tc>
          <w:tcPr>
            <w:tcW w:w="1701" w:type="dxa"/>
            <w:shd w:val="clear" w:color="auto" w:fill="B4C6E7" w:themeFill="accent1" w:themeFillTint="66"/>
            <w:vAlign w:val="bottom"/>
          </w:tcPr>
          <w:p w14:paraId="59880A4A" w14:textId="77777777" w:rsidR="00262896" w:rsidRPr="00674542" w:rsidRDefault="00262896" w:rsidP="0002297E">
            <w:pPr>
              <w:widowControl/>
              <w:spacing w:before="40" w:after="40" w:line="240" w:lineRule="auto"/>
              <w:jc w:val="center"/>
              <w:rPr>
                <w:rFonts w:asciiTheme="majorHAnsi" w:hAnsiTheme="majorHAnsi" w:cstheme="majorHAnsi"/>
                <w:sz w:val="16"/>
                <w:szCs w:val="16"/>
                <w:lang w:val="lv-LV"/>
              </w:rPr>
            </w:pPr>
            <w:r w:rsidRPr="00674542">
              <w:rPr>
                <w:rFonts w:asciiTheme="majorHAnsi" w:eastAsia="Times New Roman" w:hAnsiTheme="majorHAnsi" w:cstheme="majorHAnsi"/>
                <w:color w:val="000000"/>
                <w:sz w:val="16"/>
                <w:szCs w:val="16"/>
              </w:rPr>
              <w:t>8,70</w:t>
            </w:r>
          </w:p>
        </w:tc>
        <w:tc>
          <w:tcPr>
            <w:tcW w:w="1701" w:type="dxa"/>
            <w:shd w:val="clear" w:color="auto" w:fill="B4C6E7" w:themeFill="accent1" w:themeFillTint="66"/>
            <w:vAlign w:val="bottom"/>
          </w:tcPr>
          <w:p w14:paraId="52FFA740" w14:textId="77777777" w:rsidR="00262896" w:rsidRPr="00674542" w:rsidRDefault="00262896" w:rsidP="0002297E">
            <w:pPr>
              <w:widowControl/>
              <w:spacing w:before="40" w:after="40" w:line="240" w:lineRule="auto"/>
              <w:jc w:val="center"/>
              <w:rPr>
                <w:rFonts w:asciiTheme="majorHAnsi" w:hAnsiTheme="majorHAnsi" w:cstheme="majorHAnsi"/>
                <w:sz w:val="16"/>
                <w:szCs w:val="16"/>
                <w:lang w:val="lv-LV"/>
              </w:rPr>
            </w:pPr>
            <w:r w:rsidRPr="00674542">
              <w:rPr>
                <w:rFonts w:asciiTheme="majorHAnsi" w:eastAsia="Times New Roman" w:hAnsiTheme="majorHAnsi" w:cstheme="majorHAnsi"/>
                <w:color w:val="000000"/>
                <w:sz w:val="16"/>
                <w:szCs w:val="16"/>
              </w:rPr>
              <w:t>8,70</w:t>
            </w:r>
          </w:p>
        </w:tc>
      </w:tr>
      <w:tr w:rsidR="00262896" w:rsidRPr="00674542" w14:paraId="13E842A4" w14:textId="77777777" w:rsidTr="0002297E">
        <w:trPr>
          <w:jc w:val="center"/>
        </w:trPr>
        <w:tc>
          <w:tcPr>
            <w:tcW w:w="3402" w:type="dxa"/>
            <w:shd w:val="clear" w:color="auto" w:fill="4472C4" w:themeFill="accent1"/>
          </w:tcPr>
          <w:p w14:paraId="4C35AB2B" w14:textId="77777777" w:rsidR="00262896" w:rsidRPr="00674542" w:rsidRDefault="00262896" w:rsidP="0002297E">
            <w:pPr>
              <w:widowControl/>
              <w:spacing w:before="40" w:after="40" w:line="240" w:lineRule="auto"/>
              <w:rPr>
                <w:rFonts w:asciiTheme="majorHAnsi" w:hAnsiTheme="majorHAnsi" w:cstheme="majorHAnsi"/>
                <w:b/>
                <w:bCs/>
                <w:color w:val="FFFFFF" w:themeColor="background1"/>
                <w:sz w:val="16"/>
                <w:szCs w:val="16"/>
                <w:lang w:val="lv-LV"/>
              </w:rPr>
            </w:pPr>
            <w:r w:rsidRPr="00674542">
              <w:rPr>
                <w:rFonts w:asciiTheme="majorHAnsi" w:hAnsiTheme="majorHAnsi" w:cstheme="majorHAnsi"/>
                <w:b/>
                <w:bCs/>
                <w:color w:val="FFFFFF" w:themeColor="background1"/>
                <w:sz w:val="16"/>
                <w:szCs w:val="16"/>
                <w:lang w:val="lv-LV"/>
              </w:rPr>
              <w:t>Kopā</w:t>
            </w:r>
          </w:p>
        </w:tc>
        <w:tc>
          <w:tcPr>
            <w:tcW w:w="1701" w:type="dxa"/>
            <w:shd w:val="clear" w:color="auto" w:fill="4472C4" w:themeFill="accent1"/>
          </w:tcPr>
          <w:p w14:paraId="41F478C6" w14:textId="77777777" w:rsidR="00262896" w:rsidRPr="00674542" w:rsidRDefault="00262896" w:rsidP="0002297E">
            <w:pPr>
              <w:widowControl/>
              <w:spacing w:before="40" w:after="40" w:line="240" w:lineRule="auto"/>
              <w:jc w:val="center"/>
              <w:rPr>
                <w:rFonts w:asciiTheme="majorHAnsi" w:hAnsiTheme="majorHAnsi" w:cstheme="majorHAnsi"/>
                <w:b/>
                <w:bCs/>
                <w:color w:val="FFFFFF" w:themeColor="background1"/>
                <w:sz w:val="16"/>
                <w:szCs w:val="16"/>
                <w:lang w:val="lv-LV"/>
              </w:rPr>
            </w:pPr>
            <w:r w:rsidRPr="00674542">
              <w:rPr>
                <w:rFonts w:asciiTheme="majorHAnsi" w:hAnsiTheme="majorHAnsi" w:cstheme="majorHAnsi"/>
                <w:b/>
                <w:bCs/>
                <w:color w:val="FFFFFF" w:themeColor="background1"/>
                <w:sz w:val="16"/>
                <w:szCs w:val="16"/>
                <w:lang w:val="lv-LV"/>
              </w:rPr>
              <w:t>11 769,84</w:t>
            </w:r>
          </w:p>
        </w:tc>
        <w:tc>
          <w:tcPr>
            <w:tcW w:w="1701" w:type="dxa"/>
            <w:shd w:val="clear" w:color="auto" w:fill="4472C4" w:themeFill="accent1"/>
          </w:tcPr>
          <w:p w14:paraId="5ACA09D6" w14:textId="77777777" w:rsidR="00262896" w:rsidRPr="00674542" w:rsidRDefault="00262896" w:rsidP="0002297E">
            <w:pPr>
              <w:widowControl/>
              <w:spacing w:before="40" w:after="40" w:line="240" w:lineRule="auto"/>
              <w:jc w:val="center"/>
              <w:rPr>
                <w:rFonts w:asciiTheme="majorHAnsi" w:hAnsiTheme="majorHAnsi" w:cstheme="majorHAnsi"/>
                <w:b/>
                <w:bCs/>
                <w:color w:val="FFFFFF" w:themeColor="background1"/>
                <w:sz w:val="16"/>
                <w:szCs w:val="16"/>
                <w:lang w:val="lv-LV"/>
              </w:rPr>
            </w:pPr>
            <w:r w:rsidRPr="00674542">
              <w:rPr>
                <w:rFonts w:asciiTheme="majorHAnsi" w:hAnsiTheme="majorHAnsi" w:cstheme="majorHAnsi"/>
                <w:b/>
                <w:bCs/>
                <w:color w:val="FFFFFF" w:themeColor="background1"/>
                <w:sz w:val="16"/>
                <w:szCs w:val="16"/>
                <w:lang w:val="lv-LV"/>
              </w:rPr>
              <w:t>4 005,50</w:t>
            </w:r>
          </w:p>
        </w:tc>
      </w:tr>
    </w:tbl>
    <w:p w14:paraId="505156A2" w14:textId="77777777" w:rsidR="00262896" w:rsidRPr="002914D6" w:rsidRDefault="00262896" w:rsidP="00262896">
      <w:pPr>
        <w:widowControl/>
        <w:spacing w:before="120" w:after="120" w:line="240" w:lineRule="auto"/>
        <w:jc w:val="both"/>
        <w:rPr>
          <w:rFonts w:ascii="Arial Nova Cond Light" w:hAnsi="Arial Nova Cond Light"/>
          <w:sz w:val="16"/>
          <w:szCs w:val="16"/>
          <w:lang w:val="lv-LV"/>
        </w:rPr>
      </w:pPr>
      <w:r w:rsidRPr="00674542">
        <w:rPr>
          <w:rFonts w:ascii="Arial Nova Cond Light" w:hAnsi="Arial Nova Cond Light"/>
          <w:sz w:val="16"/>
          <w:szCs w:val="16"/>
          <w:lang w:val="lv-LV"/>
        </w:rPr>
        <w:t>Avots: Lietuvas Republikas enerģijas un klimata plāns 2021 - 2030</w:t>
      </w:r>
    </w:p>
    <w:p w14:paraId="5B756283" w14:textId="77777777" w:rsidR="00262896" w:rsidRPr="00674542" w:rsidRDefault="00262896" w:rsidP="00262896">
      <w:pPr>
        <w:widowControl/>
        <w:spacing w:after="120" w:line="240" w:lineRule="auto"/>
        <w:jc w:val="both"/>
        <w:rPr>
          <w:rFonts w:ascii="Verdana Pro Cond Light" w:hAnsi="Verdana Pro Cond Light" w:cs="Arial"/>
          <w:lang w:val="lv-LV"/>
        </w:rPr>
      </w:pPr>
    </w:p>
    <w:p w14:paraId="41511761" w14:textId="77777777" w:rsidR="00262896" w:rsidRPr="00674542" w:rsidRDefault="00262896" w:rsidP="00262896">
      <w:pPr>
        <w:widowControl/>
        <w:spacing w:after="120" w:line="240" w:lineRule="auto"/>
        <w:rPr>
          <w:rFonts w:ascii="Verdana Pro Cond Light" w:hAnsi="Verdana Pro Cond Light" w:cs="Arial"/>
          <w:lang w:val="lv-LV"/>
        </w:rPr>
      </w:pPr>
      <w:r w:rsidRPr="00674542">
        <w:rPr>
          <w:rFonts w:ascii="Verdana Pro Cond Light" w:hAnsi="Verdana Pro Cond Light" w:cs="Arial"/>
          <w:lang w:val="lv-LV"/>
        </w:rPr>
        <w:t>4.1. tabulā atspoguļot</w:t>
      </w:r>
      <w:r>
        <w:rPr>
          <w:rFonts w:ascii="Verdana Pro Cond Light" w:hAnsi="Verdana Pro Cond Light" w:cs="Arial"/>
          <w:lang w:val="lv-LV"/>
        </w:rPr>
        <w:t>aj</w:t>
      </w:r>
      <w:r w:rsidRPr="00674542">
        <w:rPr>
          <w:rFonts w:ascii="Verdana Pro Cond Light" w:hAnsi="Verdana Pro Cond Light" w:cs="Arial"/>
          <w:lang w:val="lv-LV"/>
        </w:rPr>
        <w:t>ā finansējuma sadalījum</w:t>
      </w:r>
      <w:r>
        <w:rPr>
          <w:rFonts w:ascii="Verdana Pro Cond Light" w:hAnsi="Verdana Pro Cond Light" w:cs="Arial"/>
          <w:lang w:val="lv-LV"/>
        </w:rPr>
        <w:t>ā</w:t>
      </w:r>
      <w:r w:rsidRPr="00674542">
        <w:rPr>
          <w:rFonts w:ascii="Verdana Pro Cond Light" w:hAnsi="Verdana Pro Cond Light" w:cs="Arial"/>
          <w:lang w:val="lv-LV"/>
        </w:rPr>
        <w:t xml:space="preserve"> var redzēt, ka lielākās investīcijas ir paredzētas energoefektivitātes pasākumiem un transporta jomā.</w:t>
      </w:r>
    </w:p>
    <w:p w14:paraId="5EFAAB45" w14:textId="77777777" w:rsidR="00262896" w:rsidRPr="00674542" w:rsidRDefault="00262896" w:rsidP="00262896">
      <w:pPr>
        <w:widowControl/>
        <w:spacing w:after="120" w:line="240" w:lineRule="auto"/>
        <w:rPr>
          <w:rFonts w:ascii="Verdana Pro Cond Light" w:hAnsi="Verdana Pro Cond Light" w:cs="Arial"/>
          <w:lang w:val="lv-LV"/>
        </w:rPr>
      </w:pPr>
      <w:r w:rsidRPr="00674542">
        <w:rPr>
          <w:rFonts w:ascii="Verdana Pro Cond Light" w:hAnsi="Verdana Pro Cond Light" w:cs="Arial"/>
          <w:b/>
          <w:bCs/>
          <w:lang w:val="lv-LV"/>
        </w:rPr>
        <w:t xml:space="preserve">Igaunija </w:t>
      </w:r>
      <w:r w:rsidRPr="00674542">
        <w:rPr>
          <w:rFonts w:ascii="Verdana Pro Cond Light" w:hAnsi="Verdana Pro Cond Light" w:cs="Arial"/>
          <w:lang w:val="lv-LV"/>
        </w:rPr>
        <w:t>NEKP mērķu sasniegšanai nepieciešamo ikgadējo finansējumu ir novērtējusi ne mazāk kā 1</w:t>
      </w:r>
      <w:r>
        <w:rPr>
          <w:rFonts w:ascii="Verdana Pro Cond Light" w:hAnsi="Verdana Pro Cond Light" w:cs="Arial"/>
          <w:lang w:val="lv-LV"/>
        </w:rPr>
        <w:t> </w:t>
      </w:r>
      <w:r w:rsidRPr="00674542">
        <w:rPr>
          <w:rFonts w:ascii="Verdana Pro Cond Light" w:hAnsi="Verdana Pro Cond Light" w:cs="Arial"/>
          <w:lang w:val="lv-LV"/>
        </w:rPr>
        <w:t>% no IKP apmērā gadā no publiskā sektora, kā arī 2</w:t>
      </w:r>
      <w:r>
        <w:rPr>
          <w:rFonts w:ascii="Verdana Pro Cond Light" w:hAnsi="Verdana Pro Cond Light" w:cs="Arial"/>
          <w:lang w:val="lv-LV"/>
        </w:rPr>
        <w:t> </w:t>
      </w:r>
      <w:r w:rsidRPr="00674542">
        <w:rPr>
          <w:rFonts w:ascii="Verdana Pro Cond Light" w:hAnsi="Verdana Pro Cond Light" w:cs="Arial"/>
          <w:lang w:val="lv-LV"/>
        </w:rPr>
        <w:t>% no IKP apmērā gadā no privātajiem finansējuma avotiem līdz 2035.</w:t>
      </w:r>
      <w:r>
        <w:rPr>
          <w:rFonts w:ascii="Verdana Pro Cond Light" w:hAnsi="Verdana Pro Cond Light" w:cs="Arial"/>
          <w:lang w:val="lv-LV"/>
        </w:rPr>
        <w:t> </w:t>
      </w:r>
      <w:r w:rsidRPr="00674542">
        <w:rPr>
          <w:rFonts w:ascii="Verdana Pro Cond Light" w:hAnsi="Verdana Pro Cond Light" w:cs="Arial"/>
          <w:lang w:val="lv-LV"/>
        </w:rPr>
        <w:t>gadam.</w:t>
      </w:r>
      <w:r w:rsidRPr="00674542">
        <w:rPr>
          <w:rStyle w:val="FootnoteReference"/>
          <w:rFonts w:ascii="Verdana Pro Cond Light" w:hAnsi="Verdana Pro Cond Light" w:cs="Arial"/>
          <w:lang w:val="lv-LV"/>
        </w:rPr>
        <w:footnoteReference w:id="31"/>
      </w:r>
    </w:p>
    <w:p w14:paraId="51895766" w14:textId="77777777" w:rsidR="00262896" w:rsidRPr="00674542" w:rsidRDefault="00262896" w:rsidP="00262896">
      <w:pPr>
        <w:widowControl/>
        <w:spacing w:after="120" w:line="240" w:lineRule="auto"/>
        <w:rPr>
          <w:rFonts w:ascii="Verdana Pro Cond Light" w:hAnsi="Verdana Pro Cond Light" w:cs="Arial"/>
          <w:lang w:val="lv-LV"/>
        </w:rPr>
      </w:pPr>
      <w:r w:rsidRPr="00674542">
        <w:rPr>
          <w:rFonts w:ascii="Verdana Pro Cond Light" w:hAnsi="Verdana Pro Cond Light" w:cs="Arial"/>
          <w:lang w:val="lv-LV"/>
        </w:rPr>
        <w:t>Kopējās izmaksas pārejai uz klimatneitrālo enerģijas ražošanu Igaunijā ir novērtētas 35,3 miljardu EUR apmērā (jeb 88% no gada IKP), vadoties pēc izpētēm, kas ir veiktas 2020.-2023.gadā. Attiecīgās izmaksas tiek sadalītas segmentos:</w:t>
      </w:r>
    </w:p>
    <w:p w14:paraId="1CEABC06" w14:textId="77777777" w:rsidR="00262896" w:rsidRPr="00674542" w:rsidRDefault="00262896" w:rsidP="00262896">
      <w:pPr>
        <w:pStyle w:val="ListParagraph"/>
        <w:widowControl/>
        <w:numPr>
          <w:ilvl w:val="0"/>
          <w:numId w:val="7"/>
        </w:numPr>
        <w:spacing w:after="120" w:line="240" w:lineRule="auto"/>
        <w:ind w:left="568" w:hanging="284"/>
        <w:contextualSpacing w:val="0"/>
        <w:jc w:val="both"/>
        <w:rPr>
          <w:rFonts w:ascii="Verdana Pro Cond Light" w:hAnsi="Verdana Pro Cond Light" w:cs="Arial"/>
          <w:lang w:val="lv-LV"/>
        </w:rPr>
      </w:pPr>
      <w:r w:rsidRPr="00674542">
        <w:rPr>
          <w:rFonts w:ascii="Verdana Pro Cond Light" w:hAnsi="Verdana Pro Cond Light" w:cs="Arial"/>
          <w:lang w:val="lv-LV"/>
        </w:rPr>
        <w:t>Elektroenerģijas sektora izmaksas ir novērtētas 9-14,6 miljardu EUR apmērā;</w:t>
      </w:r>
    </w:p>
    <w:p w14:paraId="743BEF18" w14:textId="77777777" w:rsidR="00262896" w:rsidRPr="00674542" w:rsidRDefault="00262896" w:rsidP="00262896">
      <w:pPr>
        <w:pStyle w:val="ListParagraph"/>
        <w:widowControl/>
        <w:numPr>
          <w:ilvl w:val="0"/>
          <w:numId w:val="7"/>
        </w:numPr>
        <w:spacing w:after="120" w:line="240" w:lineRule="auto"/>
        <w:ind w:left="568" w:hanging="284"/>
        <w:contextualSpacing w:val="0"/>
        <w:jc w:val="both"/>
        <w:rPr>
          <w:rFonts w:ascii="Verdana Pro Cond Light" w:hAnsi="Verdana Pro Cond Light" w:cs="Arial"/>
          <w:lang w:val="lv-LV"/>
        </w:rPr>
      </w:pPr>
      <w:r w:rsidRPr="00674542">
        <w:rPr>
          <w:rFonts w:ascii="Verdana Pro Cond Light" w:hAnsi="Verdana Pro Cond Light" w:cs="Arial"/>
          <w:lang w:val="lv-LV"/>
        </w:rPr>
        <w:t>Apkures sektora izmaksas ir novērtētas līdz 2,2 miljardiem EUR;</w:t>
      </w:r>
    </w:p>
    <w:p w14:paraId="3A505F69" w14:textId="77777777" w:rsidR="00262896" w:rsidRPr="00674542" w:rsidRDefault="00262896" w:rsidP="00262896">
      <w:pPr>
        <w:pStyle w:val="ListParagraph"/>
        <w:widowControl/>
        <w:numPr>
          <w:ilvl w:val="0"/>
          <w:numId w:val="7"/>
        </w:numPr>
        <w:spacing w:after="120" w:line="240" w:lineRule="auto"/>
        <w:ind w:left="568" w:hanging="284"/>
        <w:contextualSpacing w:val="0"/>
        <w:jc w:val="both"/>
        <w:rPr>
          <w:rFonts w:ascii="Verdana Pro Cond Light" w:hAnsi="Verdana Pro Cond Light" w:cs="Arial"/>
          <w:lang w:val="lv-LV"/>
        </w:rPr>
      </w:pPr>
      <w:r w:rsidRPr="00674542">
        <w:rPr>
          <w:rFonts w:ascii="Verdana Pro Cond Light" w:hAnsi="Verdana Pro Cond Light" w:cs="Arial"/>
          <w:lang w:val="lv-LV"/>
        </w:rPr>
        <w:t>Zemas emisijas gāzes sektora izmaksas ir 1,3 miljardi EUR biometāna scenārijā un 5,2 miljardi EUR ūdeņraža scenārijā;</w:t>
      </w:r>
    </w:p>
    <w:p w14:paraId="38690401" w14:textId="77777777" w:rsidR="00262896" w:rsidRPr="00674542" w:rsidRDefault="00262896" w:rsidP="00262896">
      <w:pPr>
        <w:pStyle w:val="ListParagraph"/>
        <w:widowControl/>
        <w:numPr>
          <w:ilvl w:val="0"/>
          <w:numId w:val="7"/>
        </w:numPr>
        <w:spacing w:after="120" w:line="240" w:lineRule="auto"/>
        <w:ind w:left="568" w:hanging="284"/>
        <w:contextualSpacing w:val="0"/>
        <w:jc w:val="both"/>
        <w:rPr>
          <w:rFonts w:ascii="Verdana Pro Cond Light" w:hAnsi="Verdana Pro Cond Light" w:cs="Arial"/>
          <w:lang w:val="lv-LV"/>
        </w:rPr>
      </w:pPr>
      <w:r w:rsidRPr="00674542">
        <w:rPr>
          <w:rFonts w:ascii="Verdana Pro Cond Light" w:hAnsi="Verdana Pro Cond Light" w:cs="Arial"/>
          <w:lang w:val="lv-LV"/>
        </w:rPr>
        <w:lastRenderedPageBreak/>
        <w:t>2030.gada energoefektivitātes mērķu sasniegšanai ir nepieciešamas investīcijas līdz 13,3 miljardiem EUR, t.sk. līdz 5 miljardiem EUR publiskā sektora investīcijas.</w:t>
      </w:r>
    </w:p>
    <w:p w14:paraId="2FCB716E" w14:textId="77777777" w:rsidR="00262896" w:rsidRDefault="00262896" w:rsidP="00262896">
      <w:pPr>
        <w:widowControl/>
        <w:spacing w:after="120" w:line="240" w:lineRule="auto"/>
        <w:jc w:val="right"/>
        <w:rPr>
          <w:rFonts w:ascii="Verdana Pro Cond Light" w:hAnsi="Verdana Pro Cond Light" w:cs="Arial"/>
          <w:lang w:val="lv-LV"/>
        </w:rPr>
      </w:pPr>
    </w:p>
    <w:p w14:paraId="2ACB6559" w14:textId="77777777" w:rsidR="00262896" w:rsidRPr="00674542" w:rsidRDefault="00262896" w:rsidP="00262896">
      <w:pPr>
        <w:widowControl/>
        <w:spacing w:after="120" w:line="240" w:lineRule="auto"/>
        <w:jc w:val="right"/>
        <w:rPr>
          <w:rFonts w:ascii="Verdana Pro Cond Light" w:hAnsi="Verdana Pro Cond Light" w:cs="Arial"/>
          <w:lang w:val="lv-LV"/>
        </w:rPr>
      </w:pPr>
      <w:r w:rsidRPr="00674542">
        <w:rPr>
          <w:rFonts w:ascii="Verdana Pro Cond Light" w:hAnsi="Verdana Pro Cond Light" w:cs="Arial"/>
          <w:lang w:val="lv-LV"/>
        </w:rPr>
        <w:t>4.3. attēls</w:t>
      </w:r>
    </w:p>
    <w:p w14:paraId="57FBDFBF" w14:textId="77777777" w:rsidR="00262896" w:rsidRDefault="00262896" w:rsidP="00262896">
      <w:pPr>
        <w:widowControl/>
        <w:spacing w:after="120" w:line="240" w:lineRule="auto"/>
        <w:jc w:val="center"/>
        <w:rPr>
          <w:rFonts w:ascii="Verdana Pro Cond Light" w:hAnsi="Verdana Pro Cond Light"/>
          <w:b/>
          <w:lang w:val="lv-LV"/>
        </w:rPr>
      </w:pPr>
      <w:r w:rsidRPr="00385DCE">
        <w:rPr>
          <w:rFonts w:ascii="Verdana Pro Cond Light" w:hAnsi="Verdana Pro Cond Light"/>
          <w:b/>
          <w:lang w:val="lv-LV"/>
        </w:rPr>
        <w:t>Igaunijas novērtētās izmaksas elektroenerģijas, gāzes un apkures sektorā</w:t>
      </w:r>
    </w:p>
    <w:tbl>
      <w:tblPr>
        <w:tblStyle w:val="TableGrid"/>
        <w:tblW w:w="963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1133"/>
        <w:gridCol w:w="1133"/>
        <w:gridCol w:w="3399"/>
        <w:gridCol w:w="1134"/>
      </w:tblGrid>
      <w:tr w:rsidR="000B3AAF" w:rsidRPr="00A93D72" w14:paraId="0A97BCAF" w14:textId="77777777" w:rsidTr="000B3AAF">
        <w:trPr>
          <w:jc w:val="center"/>
        </w:trPr>
        <w:tc>
          <w:tcPr>
            <w:tcW w:w="2835" w:type="dxa"/>
            <w:shd w:val="clear" w:color="auto" w:fill="4472C4" w:themeFill="accent1"/>
          </w:tcPr>
          <w:p w14:paraId="66F1FA11" w14:textId="77777777" w:rsidR="00385DCE" w:rsidRPr="00A93D72" w:rsidRDefault="00385DCE" w:rsidP="0002297E">
            <w:pPr>
              <w:spacing w:before="40" w:after="40" w:line="240" w:lineRule="auto"/>
              <w:jc w:val="center"/>
              <w:rPr>
                <w:rFonts w:asciiTheme="majorHAnsi" w:hAnsiTheme="majorHAnsi" w:cstheme="majorHAnsi"/>
                <w:b/>
                <w:bCs/>
                <w:color w:val="FFFFFF" w:themeColor="background1"/>
                <w:sz w:val="16"/>
                <w:szCs w:val="16"/>
                <w:lang w:val="lv-LV"/>
              </w:rPr>
            </w:pPr>
            <w:r>
              <w:rPr>
                <w:rFonts w:asciiTheme="majorHAnsi" w:hAnsiTheme="majorHAnsi" w:cstheme="majorHAnsi"/>
                <w:b/>
                <w:bCs/>
                <w:color w:val="FFFFFF" w:themeColor="background1"/>
                <w:sz w:val="16"/>
                <w:szCs w:val="16"/>
                <w:lang w:val="lv-LV"/>
              </w:rPr>
              <w:t>Izmaksas, milj. eiro</w:t>
            </w:r>
          </w:p>
        </w:tc>
        <w:tc>
          <w:tcPr>
            <w:tcW w:w="1133" w:type="dxa"/>
            <w:shd w:val="clear" w:color="auto" w:fill="4472C4" w:themeFill="accent1"/>
          </w:tcPr>
          <w:p w14:paraId="6C1359E1" w14:textId="77777777" w:rsidR="00385DCE" w:rsidRDefault="00385DCE" w:rsidP="0002297E">
            <w:pPr>
              <w:spacing w:before="40" w:after="40" w:line="240" w:lineRule="auto"/>
              <w:jc w:val="center"/>
              <w:rPr>
                <w:rFonts w:asciiTheme="majorHAnsi" w:hAnsiTheme="majorHAnsi" w:cstheme="majorHAnsi"/>
                <w:b/>
                <w:bCs/>
                <w:color w:val="FFFFFF" w:themeColor="background1"/>
                <w:sz w:val="16"/>
                <w:szCs w:val="16"/>
                <w:lang w:val="lv-LV"/>
              </w:rPr>
            </w:pPr>
            <w:r>
              <w:rPr>
                <w:rFonts w:asciiTheme="majorHAnsi" w:hAnsiTheme="majorHAnsi" w:cstheme="majorHAnsi"/>
                <w:b/>
                <w:bCs/>
                <w:color w:val="FFFFFF" w:themeColor="background1"/>
                <w:sz w:val="16"/>
                <w:szCs w:val="16"/>
                <w:lang w:val="lv-LV"/>
              </w:rPr>
              <w:t>2025-2030</w:t>
            </w:r>
          </w:p>
        </w:tc>
        <w:tc>
          <w:tcPr>
            <w:tcW w:w="1133" w:type="dxa"/>
            <w:shd w:val="clear" w:color="auto" w:fill="4472C4" w:themeFill="accent1"/>
          </w:tcPr>
          <w:p w14:paraId="3D6C08AC" w14:textId="77777777" w:rsidR="00385DCE" w:rsidRDefault="00385DCE" w:rsidP="0002297E">
            <w:pPr>
              <w:spacing w:before="40" w:after="40" w:line="240" w:lineRule="auto"/>
              <w:jc w:val="center"/>
              <w:rPr>
                <w:rFonts w:asciiTheme="majorHAnsi" w:hAnsiTheme="majorHAnsi" w:cstheme="majorHAnsi"/>
                <w:b/>
                <w:bCs/>
                <w:color w:val="FFFFFF" w:themeColor="background1"/>
                <w:sz w:val="16"/>
                <w:szCs w:val="16"/>
                <w:lang w:val="lv-LV"/>
              </w:rPr>
            </w:pPr>
            <w:r>
              <w:rPr>
                <w:rFonts w:asciiTheme="majorHAnsi" w:hAnsiTheme="majorHAnsi" w:cstheme="majorHAnsi"/>
                <w:b/>
                <w:bCs/>
                <w:color w:val="FFFFFF" w:themeColor="background1"/>
                <w:sz w:val="16"/>
                <w:szCs w:val="16"/>
                <w:lang w:val="lv-LV"/>
              </w:rPr>
              <w:t>2031-2035</w:t>
            </w:r>
          </w:p>
        </w:tc>
        <w:tc>
          <w:tcPr>
            <w:tcW w:w="3399" w:type="dxa"/>
            <w:shd w:val="clear" w:color="auto" w:fill="4472C4" w:themeFill="accent1"/>
          </w:tcPr>
          <w:p w14:paraId="749572BE" w14:textId="77777777" w:rsidR="00385DCE" w:rsidRDefault="00385DCE" w:rsidP="0002297E">
            <w:pPr>
              <w:spacing w:before="40" w:after="40" w:line="240" w:lineRule="auto"/>
              <w:jc w:val="center"/>
              <w:rPr>
                <w:rFonts w:asciiTheme="majorHAnsi" w:hAnsiTheme="majorHAnsi" w:cstheme="majorHAnsi"/>
                <w:b/>
                <w:bCs/>
                <w:color w:val="FFFFFF" w:themeColor="background1"/>
                <w:sz w:val="16"/>
                <w:szCs w:val="16"/>
                <w:lang w:val="lv-LV"/>
              </w:rPr>
            </w:pPr>
            <w:r>
              <w:rPr>
                <w:rFonts w:asciiTheme="majorHAnsi" w:hAnsiTheme="majorHAnsi" w:cstheme="majorHAnsi"/>
                <w:b/>
                <w:bCs/>
                <w:color w:val="FFFFFF" w:themeColor="background1"/>
                <w:sz w:val="16"/>
                <w:szCs w:val="16"/>
                <w:lang w:val="lv-LV"/>
              </w:rPr>
              <w:t>Finansējums avots</w:t>
            </w:r>
          </w:p>
        </w:tc>
        <w:tc>
          <w:tcPr>
            <w:tcW w:w="1134" w:type="dxa"/>
            <w:shd w:val="clear" w:color="auto" w:fill="4472C4" w:themeFill="accent1"/>
          </w:tcPr>
          <w:p w14:paraId="245FCF12" w14:textId="77777777" w:rsidR="00385DCE" w:rsidRDefault="00385DCE" w:rsidP="0002297E">
            <w:pPr>
              <w:spacing w:before="40" w:after="40" w:line="240" w:lineRule="auto"/>
              <w:jc w:val="center"/>
              <w:rPr>
                <w:rFonts w:asciiTheme="majorHAnsi" w:hAnsiTheme="majorHAnsi" w:cstheme="majorHAnsi"/>
                <w:b/>
                <w:bCs/>
                <w:color w:val="FFFFFF" w:themeColor="background1"/>
                <w:sz w:val="16"/>
                <w:szCs w:val="16"/>
                <w:lang w:val="lv-LV"/>
              </w:rPr>
            </w:pPr>
            <w:r>
              <w:rPr>
                <w:rFonts w:asciiTheme="majorHAnsi" w:hAnsiTheme="majorHAnsi" w:cstheme="majorHAnsi"/>
                <w:b/>
                <w:bCs/>
                <w:color w:val="FFFFFF" w:themeColor="background1"/>
                <w:sz w:val="16"/>
                <w:szCs w:val="16"/>
                <w:lang w:val="lv-LV"/>
              </w:rPr>
              <w:t>Apakšmērķis</w:t>
            </w:r>
          </w:p>
        </w:tc>
      </w:tr>
      <w:tr w:rsidR="000B3AAF" w:rsidRPr="00A93D72" w14:paraId="6DE9D35C" w14:textId="77777777" w:rsidTr="000B3AAF">
        <w:trPr>
          <w:jc w:val="center"/>
        </w:trPr>
        <w:tc>
          <w:tcPr>
            <w:tcW w:w="2835" w:type="dxa"/>
            <w:shd w:val="clear" w:color="auto" w:fill="4472C4" w:themeFill="accent1"/>
          </w:tcPr>
          <w:p w14:paraId="7A2E4290" w14:textId="77777777" w:rsidR="00385DCE" w:rsidRDefault="00385DCE" w:rsidP="0002297E">
            <w:pPr>
              <w:spacing w:before="40" w:after="40" w:line="240" w:lineRule="auto"/>
              <w:jc w:val="center"/>
              <w:rPr>
                <w:rFonts w:asciiTheme="majorHAnsi" w:hAnsiTheme="majorHAnsi" w:cstheme="majorHAnsi"/>
                <w:b/>
                <w:bCs/>
                <w:color w:val="FFFFFF" w:themeColor="background1"/>
                <w:sz w:val="16"/>
                <w:szCs w:val="16"/>
                <w:lang w:val="lv-LV"/>
              </w:rPr>
            </w:pPr>
            <w:r>
              <w:rPr>
                <w:rFonts w:asciiTheme="majorHAnsi" w:hAnsiTheme="majorHAnsi" w:cstheme="majorHAnsi"/>
                <w:b/>
                <w:bCs/>
                <w:color w:val="FFFFFF" w:themeColor="background1"/>
                <w:sz w:val="16"/>
                <w:szCs w:val="16"/>
                <w:lang w:val="lv-LV"/>
              </w:rPr>
              <w:t>Elektrība</w:t>
            </w:r>
          </w:p>
        </w:tc>
        <w:tc>
          <w:tcPr>
            <w:tcW w:w="1133" w:type="dxa"/>
            <w:shd w:val="clear" w:color="auto" w:fill="4472C4" w:themeFill="accent1"/>
          </w:tcPr>
          <w:p w14:paraId="5BBC88F8" w14:textId="77777777" w:rsidR="00385DCE" w:rsidRDefault="00385DCE" w:rsidP="0002297E">
            <w:pPr>
              <w:spacing w:before="40" w:after="40" w:line="240" w:lineRule="auto"/>
              <w:jc w:val="center"/>
              <w:rPr>
                <w:rFonts w:asciiTheme="majorHAnsi" w:hAnsiTheme="majorHAnsi" w:cstheme="majorHAnsi"/>
                <w:b/>
                <w:bCs/>
                <w:color w:val="FFFFFF" w:themeColor="background1"/>
                <w:sz w:val="16"/>
                <w:szCs w:val="16"/>
                <w:lang w:val="lv-LV"/>
              </w:rPr>
            </w:pPr>
          </w:p>
        </w:tc>
        <w:tc>
          <w:tcPr>
            <w:tcW w:w="1133" w:type="dxa"/>
            <w:shd w:val="clear" w:color="auto" w:fill="4472C4" w:themeFill="accent1"/>
          </w:tcPr>
          <w:p w14:paraId="6ADF7945" w14:textId="77777777" w:rsidR="00385DCE" w:rsidRDefault="00385DCE" w:rsidP="0002297E">
            <w:pPr>
              <w:spacing w:before="40" w:after="40" w:line="240" w:lineRule="auto"/>
              <w:jc w:val="center"/>
              <w:rPr>
                <w:rFonts w:asciiTheme="majorHAnsi" w:hAnsiTheme="majorHAnsi" w:cstheme="majorHAnsi"/>
                <w:b/>
                <w:bCs/>
                <w:color w:val="FFFFFF" w:themeColor="background1"/>
                <w:sz w:val="16"/>
                <w:szCs w:val="16"/>
                <w:lang w:val="lv-LV"/>
              </w:rPr>
            </w:pPr>
          </w:p>
        </w:tc>
        <w:tc>
          <w:tcPr>
            <w:tcW w:w="3399" w:type="dxa"/>
            <w:shd w:val="clear" w:color="auto" w:fill="4472C4" w:themeFill="accent1"/>
          </w:tcPr>
          <w:p w14:paraId="1A3C2A7B" w14:textId="77777777" w:rsidR="00385DCE" w:rsidRDefault="00385DCE" w:rsidP="0002297E">
            <w:pPr>
              <w:spacing w:before="40" w:after="40" w:line="240" w:lineRule="auto"/>
              <w:jc w:val="center"/>
              <w:rPr>
                <w:rFonts w:asciiTheme="majorHAnsi" w:hAnsiTheme="majorHAnsi" w:cstheme="majorHAnsi"/>
                <w:b/>
                <w:bCs/>
                <w:color w:val="FFFFFF" w:themeColor="background1"/>
                <w:sz w:val="16"/>
                <w:szCs w:val="16"/>
                <w:lang w:val="lv-LV"/>
              </w:rPr>
            </w:pPr>
          </w:p>
        </w:tc>
        <w:tc>
          <w:tcPr>
            <w:tcW w:w="1134" w:type="dxa"/>
            <w:shd w:val="clear" w:color="auto" w:fill="4472C4" w:themeFill="accent1"/>
          </w:tcPr>
          <w:p w14:paraId="11365F11" w14:textId="77777777" w:rsidR="00385DCE" w:rsidRDefault="00385DCE" w:rsidP="0002297E">
            <w:pPr>
              <w:spacing w:before="40" w:after="40" w:line="240" w:lineRule="auto"/>
              <w:jc w:val="center"/>
              <w:rPr>
                <w:rFonts w:asciiTheme="majorHAnsi" w:hAnsiTheme="majorHAnsi" w:cstheme="majorHAnsi"/>
                <w:b/>
                <w:bCs/>
                <w:color w:val="FFFFFF" w:themeColor="background1"/>
                <w:sz w:val="16"/>
                <w:szCs w:val="16"/>
                <w:lang w:val="lv-LV"/>
              </w:rPr>
            </w:pPr>
          </w:p>
        </w:tc>
      </w:tr>
      <w:tr w:rsidR="000B3AAF" w:rsidRPr="00674542" w14:paraId="4845F484" w14:textId="77777777" w:rsidTr="000B3AAF">
        <w:trPr>
          <w:jc w:val="center"/>
        </w:trPr>
        <w:tc>
          <w:tcPr>
            <w:tcW w:w="2835" w:type="dxa"/>
            <w:shd w:val="clear" w:color="auto" w:fill="D9E2F3" w:themeFill="accent1" w:themeFillTint="33"/>
            <w:vAlign w:val="bottom"/>
          </w:tcPr>
          <w:p w14:paraId="3E5E5580" w14:textId="77777777" w:rsidR="00385DCE" w:rsidRPr="00674542" w:rsidRDefault="00385DCE" w:rsidP="0002297E">
            <w:pPr>
              <w:spacing w:before="40" w:after="40" w:line="240" w:lineRule="auto"/>
              <w:rPr>
                <w:rFonts w:asciiTheme="majorHAnsi" w:hAnsiTheme="majorHAnsi" w:cstheme="majorHAnsi"/>
                <w:sz w:val="16"/>
                <w:szCs w:val="16"/>
                <w:lang w:val="lv-LV"/>
              </w:rPr>
            </w:pPr>
            <w:r w:rsidRPr="007605C7">
              <w:rPr>
                <w:rFonts w:asciiTheme="majorHAnsi" w:hAnsiTheme="majorHAnsi" w:cstheme="majorHAnsi"/>
                <w:sz w:val="16"/>
                <w:szCs w:val="16"/>
                <w:lang w:val="lv-LV"/>
              </w:rPr>
              <w:t>Konotrolēta jauda (ieskaitot stratēģikso rezervi)</w:t>
            </w:r>
          </w:p>
        </w:tc>
        <w:tc>
          <w:tcPr>
            <w:tcW w:w="1133" w:type="dxa"/>
            <w:shd w:val="clear" w:color="auto" w:fill="D9E2F3" w:themeFill="accent1" w:themeFillTint="33"/>
            <w:vAlign w:val="bottom"/>
          </w:tcPr>
          <w:p w14:paraId="4402EAB0" w14:textId="77777777" w:rsidR="00385DCE" w:rsidRPr="00674542" w:rsidRDefault="00385DCE" w:rsidP="0002297E">
            <w:pPr>
              <w:spacing w:before="40" w:after="4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240</w:t>
            </w:r>
          </w:p>
        </w:tc>
        <w:tc>
          <w:tcPr>
            <w:tcW w:w="1133" w:type="dxa"/>
            <w:shd w:val="clear" w:color="auto" w:fill="D9E2F3" w:themeFill="accent1" w:themeFillTint="33"/>
            <w:vAlign w:val="bottom"/>
          </w:tcPr>
          <w:p w14:paraId="3EF23DF3" w14:textId="77777777" w:rsidR="00385DCE" w:rsidRPr="00674542" w:rsidRDefault="00385DCE" w:rsidP="0002297E">
            <w:pPr>
              <w:spacing w:before="40" w:after="4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200</w:t>
            </w:r>
          </w:p>
        </w:tc>
        <w:tc>
          <w:tcPr>
            <w:tcW w:w="3399" w:type="dxa"/>
            <w:shd w:val="clear" w:color="auto" w:fill="D9E2F3" w:themeFill="accent1" w:themeFillTint="33"/>
          </w:tcPr>
          <w:p w14:paraId="6E3F6F36" w14:textId="77777777" w:rsidR="00385DCE" w:rsidRPr="00097491" w:rsidRDefault="00385DCE" w:rsidP="0002297E">
            <w:pPr>
              <w:spacing w:before="40" w:after="40" w:line="240" w:lineRule="auto"/>
              <w:jc w:val="center"/>
              <w:rPr>
                <w:rFonts w:asciiTheme="majorHAnsi" w:eastAsia="Times New Roman" w:hAnsiTheme="majorHAnsi" w:cstheme="majorHAnsi"/>
                <w:color w:val="000000"/>
                <w:sz w:val="16"/>
                <w:szCs w:val="16"/>
                <w:lang w:val="sv-SE"/>
              </w:rPr>
            </w:pPr>
            <w:r w:rsidRPr="00097491">
              <w:rPr>
                <w:rFonts w:asciiTheme="majorHAnsi" w:eastAsia="Times New Roman" w:hAnsiTheme="majorHAnsi" w:cstheme="majorHAnsi"/>
                <w:color w:val="000000"/>
                <w:sz w:val="16"/>
                <w:szCs w:val="16"/>
                <w:lang w:val="sv-SE"/>
              </w:rPr>
              <w:t>Nav lēmuma par finansējumu no valsts budžeta</w:t>
            </w:r>
          </w:p>
        </w:tc>
        <w:tc>
          <w:tcPr>
            <w:tcW w:w="1134" w:type="dxa"/>
            <w:shd w:val="clear" w:color="auto" w:fill="D9E2F3" w:themeFill="accent1" w:themeFillTint="33"/>
          </w:tcPr>
          <w:p w14:paraId="129A65F4" w14:textId="77777777" w:rsidR="00385DCE" w:rsidRPr="00674542" w:rsidRDefault="00385DCE" w:rsidP="0002297E">
            <w:pPr>
              <w:spacing w:before="40" w:after="40" w:line="240" w:lineRule="auto"/>
              <w:jc w:val="center"/>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EJ, TK</w:t>
            </w:r>
          </w:p>
        </w:tc>
      </w:tr>
      <w:tr w:rsidR="000B3AAF" w:rsidRPr="00674542" w14:paraId="79C056F0" w14:textId="77777777" w:rsidTr="000B3AAF">
        <w:trPr>
          <w:jc w:val="center"/>
        </w:trPr>
        <w:tc>
          <w:tcPr>
            <w:tcW w:w="2835" w:type="dxa"/>
            <w:shd w:val="clear" w:color="auto" w:fill="B4C6E7" w:themeFill="accent1" w:themeFillTint="66"/>
            <w:vAlign w:val="bottom"/>
          </w:tcPr>
          <w:p w14:paraId="3EC2529B" w14:textId="77777777" w:rsidR="00385DCE" w:rsidRPr="00674542" w:rsidRDefault="00385DCE" w:rsidP="0002297E">
            <w:pPr>
              <w:spacing w:before="40" w:after="40" w:line="240" w:lineRule="auto"/>
              <w:rPr>
                <w:rFonts w:asciiTheme="majorHAnsi" w:hAnsiTheme="majorHAnsi" w:cstheme="majorHAnsi"/>
                <w:sz w:val="16"/>
                <w:szCs w:val="16"/>
                <w:lang w:val="lv-LV"/>
              </w:rPr>
            </w:pPr>
            <w:r>
              <w:rPr>
                <w:rFonts w:asciiTheme="majorHAnsi" w:hAnsiTheme="majorHAnsi" w:cstheme="majorHAnsi"/>
                <w:sz w:val="16"/>
                <w:szCs w:val="16"/>
                <w:lang w:val="lv-LV"/>
              </w:rPr>
              <w:t>Ieskaitot kodolprogrammas izveidi?</w:t>
            </w:r>
          </w:p>
        </w:tc>
        <w:tc>
          <w:tcPr>
            <w:tcW w:w="1133" w:type="dxa"/>
            <w:shd w:val="clear" w:color="auto" w:fill="B4C6E7" w:themeFill="accent1" w:themeFillTint="66"/>
            <w:vAlign w:val="bottom"/>
          </w:tcPr>
          <w:p w14:paraId="3FE7D84E" w14:textId="77777777" w:rsidR="00385DCE" w:rsidRPr="00674542" w:rsidRDefault="00385DCE" w:rsidP="0002297E">
            <w:pPr>
              <w:spacing w:before="40" w:after="4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35</w:t>
            </w:r>
          </w:p>
        </w:tc>
        <w:tc>
          <w:tcPr>
            <w:tcW w:w="1133" w:type="dxa"/>
            <w:shd w:val="clear" w:color="auto" w:fill="B4C6E7" w:themeFill="accent1" w:themeFillTint="66"/>
            <w:vAlign w:val="bottom"/>
          </w:tcPr>
          <w:p w14:paraId="3C61F391" w14:textId="77777777" w:rsidR="00385DCE" w:rsidRPr="00674542" w:rsidRDefault="00385DCE" w:rsidP="0002297E">
            <w:pPr>
              <w:spacing w:before="40" w:after="40" w:line="240" w:lineRule="auto"/>
              <w:jc w:val="center"/>
              <w:rPr>
                <w:rFonts w:asciiTheme="majorHAnsi" w:hAnsiTheme="majorHAnsi" w:cstheme="majorHAnsi"/>
                <w:sz w:val="16"/>
                <w:szCs w:val="16"/>
                <w:lang w:val="lv-LV"/>
              </w:rPr>
            </w:pPr>
          </w:p>
        </w:tc>
        <w:tc>
          <w:tcPr>
            <w:tcW w:w="3399" w:type="dxa"/>
            <w:shd w:val="clear" w:color="auto" w:fill="B4C6E7" w:themeFill="accent1" w:themeFillTint="66"/>
          </w:tcPr>
          <w:p w14:paraId="14C9C33E" w14:textId="77777777" w:rsidR="00385DCE" w:rsidRPr="00097491" w:rsidRDefault="00385DCE" w:rsidP="0002297E">
            <w:pPr>
              <w:spacing w:before="40" w:after="40" w:line="240" w:lineRule="auto"/>
              <w:jc w:val="center"/>
              <w:rPr>
                <w:rFonts w:asciiTheme="majorHAnsi" w:eastAsia="Times New Roman" w:hAnsiTheme="majorHAnsi" w:cstheme="majorHAnsi"/>
                <w:color w:val="000000"/>
                <w:sz w:val="16"/>
                <w:szCs w:val="16"/>
                <w:lang w:val="sv-SE"/>
              </w:rPr>
            </w:pPr>
            <w:r w:rsidRPr="00097491">
              <w:rPr>
                <w:rFonts w:asciiTheme="majorHAnsi" w:eastAsia="Times New Roman" w:hAnsiTheme="majorHAnsi" w:cstheme="majorHAnsi"/>
                <w:color w:val="000000"/>
                <w:sz w:val="16"/>
                <w:szCs w:val="16"/>
                <w:lang w:val="sv-SE"/>
              </w:rPr>
              <w:t>Nav lēmuma par finansējumu no valsts budžeta</w:t>
            </w:r>
          </w:p>
        </w:tc>
        <w:tc>
          <w:tcPr>
            <w:tcW w:w="1134" w:type="dxa"/>
            <w:shd w:val="clear" w:color="auto" w:fill="B4C6E7" w:themeFill="accent1" w:themeFillTint="66"/>
          </w:tcPr>
          <w:p w14:paraId="1B53D287" w14:textId="77777777" w:rsidR="00385DCE" w:rsidRPr="00674542" w:rsidRDefault="00385DCE" w:rsidP="0002297E">
            <w:pPr>
              <w:spacing w:before="40" w:after="40" w:line="240" w:lineRule="auto"/>
              <w:jc w:val="center"/>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EJ, TK</w:t>
            </w:r>
          </w:p>
        </w:tc>
      </w:tr>
      <w:tr w:rsidR="000B3AAF" w:rsidRPr="00674542" w14:paraId="26160F99" w14:textId="77777777" w:rsidTr="000B3AAF">
        <w:trPr>
          <w:jc w:val="center"/>
        </w:trPr>
        <w:tc>
          <w:tcPr>
            <w:tcW w:w="2835" w:type="dxa"/>
            <w:shd w:val="clear" w:color="auto" w:fill="D9E2F3" w:themeFill="accent1" w:themeFillTint="33"/>
            <w:vAlign w:val="bottom"/>
          </w:tcPr>
          <w:p w14:paraId="62D4237B" w14:textId="77777777" w:rsidR="00385DCE" w:rsidRPr="00674542" w:rsidRDefault="00385DCE" w:rsidP="0002297E">
            <w:pPr>
              <w:spacing w:before="40" w:after="40" w:line="240" w:lineRule="auto"/>
              <w:rPr>
                <w:rFonts w:asciiTheme="majorHAnsi" w:hAnsiTheme="majorHAnsi" w:cstheme="majorHAnsi"/>
                <w:sz w:val="16"/>
                <w:szCs w:val="16"/>
                <w:lang w:val="lv-LV"/>
              </w:rPr>
            </w:pPr>
            <w:r>
              <w:rPr>
                <w:rFonts w:asciiTheme="majorHAnsi" w:hAnsiTheme="majorHAnsi" w:cstheme="majorHAnsi"/>
                <w:sz w:val="16"/>
                <w:szCs w:val="16"/>
                <w:lang w:val="lv-LV"/>
              </w:rPr>
              <w:t>Atomelektrostacija 2 reaktori, 600MW</w:t>
            </w:r>
          </w:p>
        </w:tc>
        <w:tc>
          <w:tcPr>
            <w:tcW w:w="1133" w:type="dxa"/>
            <w:shd w:val="clear" w:color="auto" w:fill="D9E2F3" w:themeFill="accent1" w:themeFillTint="33"/>
            <w:vAlign w:val="bottom"/>
          </w:tcPr>
          <w:p w14:paraId="7F620DE8" w14:textId="77777777" w:rsidR="00385DCE" w:rsidRPr="00674542" w:rsidRDefault="00385DCE" w:rsidP="0002297E">
            <w:pPr>
              <w:spacing w:before="40" w:after="4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w:t>
            </w:r>
          </w:p>
        </w:tc>
        <w:tc>
          <w:tcPr>
            <w:tcW w:w="1133" w:type="dxa"/>
            <w:shd w:val="clear" w:color="auto" w:fill="D9E2F3" w:themeFill="accent1" w:themeFillTint="33"/>
            <w:vAlign w:val="bottom"/>
          </w:tcPr>
          <w:p w14:paraId="6FBC7085" w14:textId="77777777" w:rsidR="00385DCE" w:rsidRPr="00674542" w:rsidRDefault="00385DCE" w:rsidP="0002297E">
            <w:pPr>
              <w:spacing w:before="40" w:after="4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3000</w:t>
            </w:r>
          </w:p>
        </w:tc>
        <w:tc>
          <w:tcPr>
            <w:tcW w:w="3399" w:type="dxa"/>
            <w:shd w:val="clear" w:color="auto" w:fill="D9E2F3" w:themeFill="accent1" w:themeFillTint="33"/>
          </w:tcPr>
          <w:p w14:paraId="2B35863E" w14:textId="77777777" w:rsidR="00385DCE" w:rsidRPr="00674542" w:rsidRDefault="00385DCE" w:rsidP="0002297E">
            <w:pPr>
              <w:spacing w:before="40" w:after="40" w:line="240" w:lineRule="auto"/>
              <w:jc w:val="center"/>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Aizdevums un pašu kapitāls</w:t>
            </w:r>
          </w:p>
        </w:tc>
        <w:tc>
          <w:tcPr>
            <w:tcW w:w="1134" w:type="dxa"/>
            <w:shd w:val="clear" w:color="auto" w:fill="D9E2F3" w:themeFill="accent1" w:themeFillTint="33"/>
          </w:tcPr>
          <w:p w14:paraId="3F6BCFF7" w14:textId="77777777" w:rsidR="00385DCE" w:rsidRPr="00674542" w:rsidRDefault="00385DCE" w:rsidP="0002297E">
            <w:pPr>
              <w:spacing w:before="40" w:after="40" w:line="240" w:lineRule="auto"/>
              <w:jc w:val="center"/>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EJ, TK</w:t>
            </w:r>
          </w:p>
        </w:tc>
      </w:tr>
      <w:tr w:rsidR="000B3AAF" w:rsidRPr="00674542" w14:paraId="053D8480" w14:textId="77777777" w:rsidTr="000B3AAF">
        <w:trPr>
          <w:jc w:val="center"/>
        </w:trPr>
        <w:tc>
          <w:tcPr>
            <w:tcW w:w="2835" w:type="dxa"/>
            <w:shd w:val="clear" w:color="auto" w:fill="B4C6E7" w:themeFill="accent1" w:themeFillTint="66"/>
            <w:vAlign w:val="bottom"/>
          </w:tcPr>
          <w:p w14:paraId="37612465" w14:textId="77777777" w:rsidR="00385DCE" w:rsidRPr="00674542" w:rsidRDefault="00385DCE" w:rsidP="0002297E">
            <w:pPr>
              <w:spacing w:before="40" w:after="40" w:line="240" w:lineRule="auto"/>
              <w:rPr>
                <w:rFonts w:asciiTheme="majorHAnsi" w:hAnsiTheme="majorHAnsi" w:cstheme="majorHAnsi"/>
                <w:sz w:val="16"/>
                <w:szCs w:val="16"/>
                <w:lang w:val="lv-LV"/>
              </w:rPr>
            </w:pPr>
            <w:r>
              <w:rPr>
                <w:rFonts w:asciiTheme="majorHAnsi" w:hAnsiTheme="majorHAnsi" w:cstheme="majorHAnsi"/>
                <w:sz w:val="16"/>
                <w:szCs w:val="16"/>
                <w:lang w:val="lv-LV"/>
              </w:rPr>
              <w:t>Enerģijas uzglabāšanas pilotprojekti</w:t>
            </w:r>
          </w:p>
        </w:tc>
        <w:tc>
          <w:tcPr>
            <w:tcW w:w="1133" w:type="dxa"/>
            <w:shd w:val="clear" w:color="auto" w:fill="B4C6E7" w:themeFill="accent1" w:themeFillTint="66"/>
            <w:vAlign w:val="bottom"/>
          </w:tcPr>
          <w:p w14:paraId="24BDF8EE" w14:textId="77777777" w:rsidR="00385DCE" w:rsidRPr="00674542" w:rsidRDefault="00385DCE" w:rsidP="0002297E">
            <w:pPr>
              <w:spacing w:before="40" w:after="4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9,6</w:t>
            </w:r>
          </w:p>
        </w:tc>
        <w:tc>
          <w:tcPr>
            <w:tcW w:w="1133" w:type="dxa"/>
            <w:shd w:val="clear" w:color="auto" w:fill="B4C6E7" w:themeFill="accent1" w:themeFillTint="66"/>
            <w:vAlign w:val="bottom"/>
          </w:tcPr>
          <w:p w14:paraId="27038BD1" w14:textId="77777777" w:rsidR="00385DCE" w:rsidRPr="00674542" w:rsidRDefault="00385DCE" w:rsidP="0002297E">
            <w:pPr>
              <w:spacing w:before="40" w:after="40" w:line="240" w:lineRule="auto"/>
              <w:jc w:val="center"/>
              <w:rPr>
                <w:rFonts w:asciiTheme="majorHAnsi" w:hAnsiTheme="majorHAnsi" w:cstheme="majorHAnsi"/>
                <w:sz w:val="16"/>
                <w:szCs w:val="16"/>
                <w:lang w:val="lv-LV"/>
              </w:rPr>
            </w:pPr>
          </w:p>
        </w:tc>
        <w:tc>
          <w:tcPr>
            <w:tcW w:w="3399" w:type="dxa"/>
            <w:shd w:val="clear" w:color="auto" w:fill="B4C6E7" w:themeFill="accent1" w:themeFillTint="66"/>
          </w:tcPr>
          <w:p w14:paraId="4E17A418" w14:textId="77777777" w:rsidR="00385DCE" w:rsidRPr="00674542" w:rsidRDefault="00385DCE" w:rsidP="0002297E">
            <w:pPr>
              <w:spacing w:before="40" w:after="40" w:line="240" w:lineRule="auto"/>
              <w:jc w:val="center"/>
              <w:rPr>
                <w:rFonts w:asciiTheme="majorHAnsi" w:eastAsia="Times New Roman" w:hAnsiTheme="majorHAnsi" w:cstheme="majorHAnsi"/>
                <w:color w:val="000000"/>
                <w:sz w:val="16"/>
                <w:szCs w:val="16"/>
              </w:rPr>
            </w:pPr>
            <w:r>
              <w:rPr>
                <w:rFonts w:asciiTheme="majorHAnsi" w:hAnsiTheme="majorHAnsi" w:cstheme="majorHAnsi"/>
                <w:sz w:val="16"/>
                <w:szCs w:val="16"/>
                <w:lang w:val="lv-LV"/>
              </w:rPr>
              <w:t>Atveseļošanās plāns</w:t>
            </w:r>
          </w:p>
        </w:tc>
        <w:tc>
          <w:tcPr>
            <w:tcW w:w="1134" w:type="dxa"/>
            <w:shd w:val="clear" w:color="auto" w:fill="B4C6E7" w:themeFill="accent1" w:themeFillTint="66"/>
          </w:tcPr>
          <w:p w14:paraId="7BFF1E62" w14:textId="77777777" w:rsidR="00385DCE" w:rsidRPr="00674542" w:rsidRDefault="00385DCE" w:rsidP="0002297E">
            <w:pPr>
              <w:spacing w:before="40" w:after="40" w:line="240" w:lineRule="auto"/>
              <w:jc w:val="center"/>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EJ, TK</w:t>
            </w:r>
          </w:p>
        </w:tc>
      </w:tr>
      <w:tr w:rsidR="000B3AAF" w:rsidRPr="00674542" w14:paraId="24DAA5AF" w14:textId="77777777" w:rsidTr="000B3AAF">
        <w:trPr>
          <w:jc w:val="center"/>
        </w:trPr>
        <w:tc>
          <w:tcPr>
            <w:tcW w:w="2835" w:type="dxa"/>
            <w:shd w:val="clear" w:color="auto" w:fill="D9E2F3" w:themeFill="accent1" w:themeFillTint="33"/>
            <w:vAlign w:val="bottom"/>
          </w:tcPr>
          <w:p w14:paraId="2410CF62" w14:textId="77777777" w:rsidR="00385DCE" w:rsidRPr="00674542" w:rsidRDefault="00385DCE" w:rsidP="0002297E">
            <w:pPr>
              <w:spacing w:before="40" w:after="40" w:line="240" w:lineRule="auto"/>
              <w:rPr>
                <w:rFonts w:asciiTheme="majorHAnsi" w:hAnsiTheme="majorHAnsi" w:cstheme="majorHAnsi"/>
                <w:sz w:val="16"/>
                <w:szCs w:val="16"/>
                <w:lang w:val="lv-LV"/>
              </w:rPr>
            </w:pPr>
            <w:r>
              <w:rPr>
                <w:rFonts w:asciiTheme="majorHAnsi" w:hAnsiTheme="majorHAnsi" w:cstheme="majorHAnsi"/>
                <w:sz w:val="16"/>
                <w:szCs w:val="16"/>
                <w:lang w:val="lv-LV"/>
              </w:rPr>
              <w:t>Paldiski ūdens krātuve</w:t>
            </w:r>
          </w:p>
        </w:tc>
        <w:tc>
          <w:tcPr>
            <w:tcW w:w="1133" w:type="dxa"/>
            <w:shd w:val="clear" w:color="auto" w:fill="D9E2F3" w:themeFill="accent1" w:themeFillTint="33"/>
            <w:vAlign w:val="bottom"/>
          </w:tcPr>
          <w:p w14:paraId="33F0B4E0" w14:textId="77777777" w:rsidR="00385DCE" w:rsidRPr="00674542" w:rsidRDefault="00385DCE" w:rsidP="0002297E">
            <w:pPr>
              <w:spacing w:before="40" w:after="4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w:t>
            </w:r>
          </w:p>
        </w:tc>
        <w:tc>
          <w:tcPr>
            <w:tcW w:w="1133" w:type="dxa"/>
            <w:shd w:val="clear" w:color="auto" w:fill="D9E2F3" w:themeFill="accent1" w:themeFillTint="33"/>
            <w:vAlign w:val="bottom"/>
          </w:tcPr>
          <w:p w14:paraId="3457B9C9" w14:textId="77777777" w:rsidR="00385DCE" w:rsidRPr="00674542" w:rsidRDefault="00385DCE" w:rsidP="0002297E">
            <w:pPr>
              <w:spacing w:before="40" w:after="4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100</w:t>
            </w:r>
          </w:p>
        </w:tc>
        <w:tc>
          <w:tcPr>
            <w:tcW w:w="3399" w:type="dxa"/>
            <w:shd w:val="clear" w:color="auto" w:fill="D9E2F3" w:themeFill="accent1" w:themeFillTint="33"/>
          </w:tcPr>
          <w:p w14:paraId="247F27A4" w14:textId="77777777" w:rsidR="00385DCE" w:rsidRPr="00674542" w:rsidRDefault="00385DCE" w:rsidP="0002297E">
            <w:pPr>
              <w:spacing w:before="40" w:after="40" w:line="240" w:lineRule="auto"/>
              <w:jc w:val="center"/>
              <w:rPr>
                <w:rFonts w:asciiTheme="majorHAnsi" w:eastAsia="Times New Roman" w:hAnsiTheme="majorHAnsi" w:cstheme="majorHAnsi"/>
                <w:color w:val="000000"/>
                <w:sz w:val="16"/>
                <w:szCs w:val="16"/>
              </w:rPr>
            </w:pPr>
          </w:p>
        </w:tc>
        <w:tc>
          <w:tcPr>
            <w:tcW w:w="1134" w:type="dxa"/>
            <w:shd w:val="clear" w:color="auto" w:fill="D9E2F3" w:themeFill="accent1" w:themeFillTint="33"/>
          </w:tcPr>
          <w:p w14:paraId="3D208D54" w14:textId="77777777" w:rsidR="00385DCE" w:rsidRPr="00674542" w:rsidRDefault="00385DCE" w:rsidP="0002297E">
            <w:pPr>
              <w:spacing w:before="40" w:after="40" w:line="240" w:lineRule="auto"/>
              <w:jc w:val="center"/>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EJ, TK</w:t>
            </w:r>
          </w:p>
        </w:tc>
      </w:tr>
      <w:tr w:rsidR="000B3AAF" w:rsidRPr="00674542" w14:paraId="6015BA90" w14:textId="77777777" w:rsidTr="000B3AAF">
        <w:trPr>
          <w:jc w:val="center"/>
        </w:trPr>
        <w:tc>
          <w:tcPr>
            <w:tcW w:w="2835" w:type="dxa"/>
            <w:shd w:val="clear" w:color="auto" w:fill="B4C6E7" w:themeFill="accent1" w:themeFillTint="66"/>
            <w:vAlign w:val="bottom"/>
          </w:tcPr>
          <w:p w14:paraId="73130011" w14:textId="77777777" w:rsidR="00385DCE" w:rsidRPr="00674542" w:rsidRDefault="00385DCE" w:rsidP="0002297E">
            <w:pPr>
              <w:spacing w:before="40" w:after="40" w:line="240" w:lineRule="auto"/>
              <w:rPr>
                <w:rFonts w:asciiTheme="majorHAnsi" w:hAnsiTheme="majorHAnsi" w:cstheme="majorHAnsi"/>
                <w:sz w:val="16"/>
                <w:szCs w:val="16"/>
                <w:lang w:val="lv-LV"/>
              </w:rPr>
            </w:pPr>
            <w:r>
              <w:rPr>
                <w:rFonts w:asciiTheme="majorHAnsi" w:hAnsiTheme="majorHAnsi" w:cstheme="majorHAnsi"/>
                <w:sz w:val="16"/>
                <w:szCs w:val="16"/>
                <w:lang w:val="lv-LV"/>
              </w:rPr>
              <w:t>Tīkla stiprināšana</w:t>
            </w:r>
          </w:p>
        </w:tc>
        <w:tc>
          <w:tcPr>
            <w:tcW w:w="1133" w:type="dxa"/>
            <w:shd w:val="clear" w:color="auto" w:fill="B4C6E7" w:themeFill="accent1" w:themeFillTint="66"/>
            <w:vAlign w:val="bottom"/>
          </w:tcPr>
          <w:p w14:paraId="3AF66FAE" w14:textId="77777777" w:rsidR="00385DCE" w:rsidRPr="00674542" w:rsidRDefault="00385DCE" w:rsidP="0002297E">
            <w:pPr>
              <w:spacing w:before="40" w:after="4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74,2</w:t>
            </w:r>
          </w:p>
        </w:tc>
        <w:tc>
          <w:tcPr>
            <w:tcW w:w="1133" w:type="dxa"/>
            <w:shd w:val="clear" w:color="auto" w:fill="B4C6E7" w:themeFill="accent1" w:themeFillTint="66"/>
            <w:vAlign w:val="bottom"/>
          </w:tcPr>
          <w:p w14:paraId="1B274872" w14:textId="77777777" w:rsidR="00385DCE" w:rsidRPr="00674542" w:rsidRDefault="00385DCE" w:rsidP="0002297E">
            <w:pPr>
              <w:spacing w:before="40" w:after="40" w:line="240" w:lineRule="auto"/>
              <w:jc w:val="center"/>
              <w:rPr>
                <w:rFonts w:asciiTheme="majorHAnsi" w:hAnsiTheme="majorHAnsi" w:cstheme="majorHAnsi"/>
                <w:sz w:val="16"/>
                <w:szCs w:val="16"/>
                <w:lang w:val="lv-LV"/>
              </w:rPr>
            </w:pPr>
          </w:p>
        </w:tc>
        <w:tc>
          <w:tcPr>
            <w:tcW w:w="3399" w:type="dxa"/>
            <w:shd w:val="clear" w:color="auto" w:fill="B4C6E7" w:themeFill="accent1" w:themeFillTint="66"/>
          </w:tcPr>
          <w:p w14:paraId="4D12F5E9" w14:textId="77777777" w:rsidR="00385DCE" w:rsidRPr="007605C7" w:rsidRDefault="00385DCE" w:rsidP="0002297E">
            <w:pPr>
              <w:spacing w:before="40" w:after="4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Atveseļošanās plāns</w:t>
            </w:r>
          </w:p>
        </w:tc>
        <w:tc>
          <w:tcPr>
            <w:tcW w:w="1134" w:type="dxa"/>
            <w:shd w:val="clear" w:color="auto" w:fill="B4C6E7" w:themeFill="accent1" w:themeFillTint="66"/>
          </w:tcPr>
          <w:p w14:paraId="6B70C3D5" w14:textId="77777777" w:rsidR="00385DCE" w:rsidRPr="007605C7" w:rsidRDefault="00385DCE" w:rsidP="0002297E">
            <w:pPr>
              <w:spacing w:before="40" w:after="40" w:line="240" w:lineRule="auto"/>
              <w:jc w:val="center"/>
              <w:rPr>
                <w:rFonts w:asciiTheme="majorHAnsi" w:hAnsiTheme="majorHAnsi" w:cstheme="majorHAnsi"/>
                <w:sz w:val="16"/>
                <w:szCs w:val="16"/>
                <w:lang w:val="lv-LV"/>
              </w:rPr>
            </w:pPr>
            <w:r>
              <w:rPr>
                <w:rFonts w:asciiTheme="majorHAnsi" w:eastAsia="Times New Roman" w:hAnsiTheme="majorHAnsi" w:cstheme="majorHAnsi"/>
                <w:color w:val="000000"/>
                <w:sz w:val="16"/>
                <w:szCs w:val="16"/>
              </w:rPr>
              <w:t>EJ, TK</w:t>
            </w:r>
          </w:p>
        </w:tc>
      </w:tr>
      <w:tr w:rsidR="000B3AAF" w:rsidRPr="00674542" w14:paraId="1DC8C846" w14:textId="77777777" w:rsidTr="000B3AAF">
        <w:trPr>
          <w:jc w:val="center"/>
        </w:trPr>
        <w:tc>
          <w:tcPr>
            <w:tcW w:w="2835" w:type="dxa"/>
            <w:shd w:val="clear" w:color="auto" w:fill="D9E2F3" w:themeFill="accent1" w:themeFillTint="33"/>
            <w:vAlign w:val="bottom"/>
          </w:tcPr>
          <w:p w14:paraId="3CA30DA4" w14:textId="77777777" w:rsidR="00385DCE" w:rsidRPr="00674542" w:rsidRDefault="00385DCE" w:rsidP="0002297E">
            <w:pPr>
              <w:spacing w:before="40" w:after="40" w:line="240" w:lineRule="auto"/>
              <w:rPr>
                <w:rFonts w:asciiTheme="majorHAnsi" w:hAnsiTheme="majorHAnsi" w:cstheme="majorHAnsi"/>
                <w:sz w:val="16"/>
                <w:szCs w:val="16"/>
                <w:lang w:val="lv-LV"/>
              </w:rPr>
            </w:pPr>
            <w:r>
              <w:rPr>
                <w:rFonts w:asciiTheme="majorHAnsi" w:hAnsiTheme="majorHAnsi" w:cstheme="majorHAnsi"/>
                <w:sz w:val="16"/>
                <w:szCs w:val="16"/>
                <w:lang w:val="lv-LV"/>
              </w:rPr>
              <w:t>Tīkla attīstības plāna investīcijas</w:t>
            </w:r>
          </w:p>
        </w:tc>
        <w:tc>
          <w:tcPr>
            <w:tcW w:w="1133" w:type="dxa"/>
            <w:shd w:val="clear" w:color="auto" w:fill="D9E2F3" w:themeFill="accent1" w:themeFillTint="33"/>
            <w:vAlign w:val="bottom"/>
          </w:tcPr>
          <w:p w14:paraId="564F128F" w14:textId="77777777" w:rsidR="00385DCE" w:rsidRPr="00674542" w:rsidRDefault="00385DCE" w:rsidP="0002297E">
            <w:pPr>
              <w:spacing w:before="40" w:after="4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905</w:t>
            </w:r>
          </w:p>
        </w:tc>
        <w:tc>
          <w:tcPr>
            <w:tcW w:w="1133" w:type="dxa"/>
            <w:shd w:val="clear" w:color="auto" w:fill="D9E2F3" w:themeFill="accent1" w:themeFillTint="33"/>
            <w:vAlign w:val="bottom"/>
          </w:tcPr>
          <w:p w14:paraId="3287EAD1" w14:textId="77777777" w:rsidR="00385DCE" w:rsidRPr="00674542" w:rsidRDefault="00385DCE" w:rsidP="0002297E">
            <w:pPr>
              <w:spacing w:before="40" w:after="4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765 tīkla izm.</w:t>
            </w:r>
          </w:p>
        </w:tc>
        <w:tc>
          <w:tcPr>
            <w:tcW w:w="3399" w:type="dxa"/>
            <w:shd w:val="clear" w:color="auto" w:fill="D9E2F3" w:themeFill="accent1" w:themeFillTint="33"/>
          </w:tcPr>
          <w:p w14:paraId="234818DD" w14:textId="77777777" w:rsidR="00385DCE" w:rsidRPr="00674542" w:rsidRDefault="00385DCE" w:rsidP="0002297E">
            <w:pPr>
              <w:spacing w:before="40" w:after="40" w:line="240" w:lineRule="auto"/>
              <w:jc w:val="center"/>
              <w:rPr>
                <w:rFonts w:asciiTheme="majorHAnsi" w:eastAsia="Times New Roman" w:hAnsiTheme="majorHAnsi" w:cstheme="majorHAnsi"/>
                <w:color w:val="000000"/>
                <w:sz w:val="16"/>
                <w:szCs w:val="16"/>
              </w:rPr>
            </w:pPr>
          </w:p>
        </w:tc>
        <w:tc>
          <w:tcPr>
            <w:tcW w:w="1134" w:type="dxa"/>
            <w:shd w:val="clear" w:color="auto" w:fill="D9E2F3" w:themeFill="accent1" w:themeFillTint="33"/>
          </w:tcPr>
          <w:p w14:paraId="1FEE8DF6" w14:textId="77777777" w:rsidR="00385DCE" w:rsidRPr="00674542" w:rsidRDefault="00385DCE" w:rsidP="0002297E">
            <w:pPr>
              <w:spacing w:before="40" w:after="40" w:line="240" w:lineRule="auto"/>
              <w:jc w:val="center"/>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EJ, TK</w:t>
            </w:r>
          </w:p>
        </w:tc>
      </w:tr>
      <w:tr w:rsidR="000B3AAF" w:rsidRPr="00674542" w14:paraId="1CF2869A" w14:textId="77777777" w:rsidTr="000B3AAF">
        <w:trPr>
          <w:jc w:val="center"/>
        </w:trPr>
        <w:tc>
          <w:tcPr>
            <w:tcW w:w="2835" w:type="dxa"/>
            <w:shd w:val="clear" w:color="auto" w:fill="B4C6E7" w:themeFill="accent1" w:themeFillTint="66"/>
            <w:vAlign w:val="bottom"/>
          </w:tcPr>
          <w:p w14:paraId="3AB7D7DB" w14:textId="77777777" w:rsidR="00385DCE" w:rsidRDefault="00385DCE" w:rsidP="0002297E">
            <w:pPr>
              <w:spacing w:before="40" w:after="40" w:line="240" w:lineRule="auto"/>
              <w:rPr>
                <w:rFonts w:asciiTheme="majorHAnsi" w:hAnsiTheme="majorHAnsi" w:cstheme="majorHAnsi"/>
                <w:sz w:val="16"/>
                <w:szCs w:val="16"/>
                <w:lang w:val="lv-LV"/>
              </w:rPr>
            </w:pPr>
            <w:r>
              <w:rPr>
                <w:rFonts w:asciiTheme="majorHAnsi" w:hAnsiTheme="majorHAnsi" w:cstheme="majorHAnsi"/>
                <w:sz w:val="16"/>
                <w:szCs w:val="16"/>
                <w:lang w:val="lv-LV"/>
              </w:rPr>
              <w:t>Papildu ārējie elektriskie pieslēgumi</w:t>
            </w:r>
          </w:p>
        </w:tc>
        <w:tc>
          <w:tcPr>
            <w:tcW w:w="1133" w:type="dxa"/>
            <w:shd w:val="clear" w:color="auto" w:fill="B4C6E7" w:themeFill="accent1" w:themeFillTint="66"/>
            <w:vAlign w:val="bottom"/>
          </w:tcPr>
          <w:p w14:paraId="39E0CFC4" w14:textId="77777777" w:rsidR="00385DCE" w:rsidRPr="00674542" w:rsidRDefault="00385DCE" w:rsidP="0002297E">
            <w:pPr>
              <w:spacing w:before="40" w:after="4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w:t>
            </w:r>
          </w:p>
        </w:tc>
        <w:tc>
          <w:tcPr>
            <w:tcW w:w="1133" w:type="dxa"/>
            <w:shd w:val="clear" w:color="auto" w:fill="B4C6E7" w:themeFill="accent1" w:themeFillTint="66"/>
            <w:vAlign w:val="bottom"/>
          </w:tcPr>
          <w:p w14:paraId="008F5891" w14:textId="77777777" w:rsidR="00385DCE" w:rsidRPr="00674542" w:rsidRDefault="00385DCE" w:rsidP="0002297E">
            <w:pPr>
              <w:spacing w:before="40" w:after="4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 xml:space="preserve">1490 </w:t>
            </w:r>
          </w:p>
        </w:tc>
        <w:tc>
          <w:tcPr>
            <w:tcW w:w="3399" w:type="dxa"/>
            <w:shd w:val="clear" w:color="auto" w:fill="B4C6E7" w:themeFill="accent1" w:themeFillTint="66"/>
          </w:tcPr>
          <w:p w14:paraId="1645554C" w14:textId="77777777" w:rsidR="00385DCE" w:rsidRPr="00674542" w:rsidRDefault="00385DCE" w:rsidP="0002297E">
            <w:pPr>
              <w:spacing w:before="40" w:after="40" w:line="240" w:lineRule="auto"/>
              <w:jc w:val="center"/>
              <w:rPr>
                <w:rFonts w:asciiTheme="majorHAnsi" w:eastAsia="Times New Roman" w:hAnsiTheme="majorHAnsi" w:cstheme="majorHAnsi"/>
                <w:color w:val="000000"/>
                <w:sz w:val="16"/>
                <w:szCs w:val="16"/>
              </w:rPr>
            </w:pPr>
            <w:r>
              <w:rPr>
                <w:rFonts w:asciiTheme="majorHAnsi" w:hAnsiTheme="majorHAnsi" w:cstheme="majorHAnsi"/>
                <w:sz w:val="16"/>
                <w:szCs w:val="16"/>
                <w:lang w:val="lv-LV"/>
              </w:rPr>
              <w:t>Eiropas fondi</w:t>
            </w:r>
          </w:p>
        </w:tc>
        <w:tc>
          <w:tcPr>
            <w:tcW w:w="1134" w:type="dxa"/>
            <w:shd w:val="clear" w:color="auto" w:fill="B4C6E7" w:themeFill="accent1" w:themeFillTint="66"/>
          </w:tcPr>
          <w:p w14:paraId="7CE5F4F0" w14:textId="77777777" w:rsidR="00385DCE" w:rsidRPr="00674542" w:rsidRDefault="00385DCE" w:rsidP="0002297E">
            <w:pPr>
              <w:spacing w:before="40" w:after="40" w:line="240" w:lineRule="auto"/>
              <w:jc w:val="center"/>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EJ, TK</w:t>
            </w:r>
          </w:p>
        </w:tc>
      </w:tr>
      <w:tr w:rsidR="000B3AAF" w:rsidRPr="00674542" w14:paraId="41EE4BAD" w14:textId="77777777" w:rsidTr="000B3AAF">
        <w:trPr>
          <w:jc w:val="center"/>
        </w:trPr>
        <w:tc>
          <w:tcPr>
            <w:tcW w:w="2835" w:type="dxa"/>
            <w:shd w:val="clear" w:color="auto" w:fill="D9E2F3" w:themeFill="accent1" w:themeFillTint="33"/>
            <w:vAlign w:val="bottom"/>
          </w:tcPr>
          <w:p w14:paraId="1F2270ED" w14:textId="77777777" w:rsidR="00385DCE" w:rsidRDefault="00385DCE" w:rsidP="0002297E">
            <w:pPr>
              <w:spacing w:before="40" w:after="40" w:line="240" w:lineRule="auto"/>
              <w:rPr>
                <w:rFonts w:asciiTheme="majorHAnsi" w:hAnsiTheme="majorHAnsi" w:cstheme="majorHAnsi"/>
                <w:sz w:val="16"/>
                <w:szCs w:val="16"/>
                <w:lang w:val="lv-LV"/>
              </w:rPr>
            </w:pPr>
            <w:r>
              <w:rPr>
                <w:rFonts w:asciiTheme="majorHAnsi" w:hAnsiTheme="majorHAnsi" w:cstheme="majorHAnsi"/>
                <w:sz w:val="16"/>
                <w:szCs w:val="16"/>
                <w:lang w:val="lv-LV"/>
              </w:rPr>
              <w:t>EE-LV 4 un EstLink3</w:t>
            </w:r>
          </w:p>
        </w:tc>
        <w:tc>
          <w:tcPr>
            <w:tcW w:w="1133" w:type="dxa"/>
            <w:shd w:val="clear" w:color="auto" w:fill="D9E2F3" w:themeFill="accent1" w:themeFillTint="33"/>
            <w:vAlign w:val="bottom"/>
          </w:tcPr>
          <w:p w14:paraId="075309AB" w14:textId="77777777" w:rsidR="00385DCE" w:rsidRPr="00674542" w:rsidRDefault="00385DCE" w:rsidP="0002297E">
            <w:pPr>
              <w:spacing w:before="40" w:after="4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31,84</w:t>
            </w:r>
          </w:p>
        </w:tc>
        <w:tc>
          <w:tcPr>
            <w:tcW w:w="1133" w:type="dxa"/>
            <w:shd w:val="clear" w:color="auto" w:fill="D9E2F3" w:themeFill="accent1" w:themeFillTint="33"/>
            <w:vAlign w:val="bottom"/>
          </w:tcPr>
          <w:p w14:paraId="17A6A93C" w14:textId="77777777" w:rsidR="00385DCE" w:rsidRPr="00674542" w:rsidRDefault="00385DCE" w:rsidP="0002297E">
            <w:pPr>
              <w:spacing w:before="40" w:after="40" w:line="240" w:lineRule="auto"/>
              <w:jc w:val="center"/>
              <w:rPr>
                <w:rFonts w:asciiTheme="majorHAnsi" w:hAnsiTheme="majorHAnsi" w:cstheme="majorHAnsi"/>
                <w:sz w:val="16"/>
                <w:szCs w:val="16"/>
                <w:lang w:val="lv-LV"/>
              </w:rPr>
            </w:pPr>
          </w:p>
        </w:tc>
        <w:tc>
          <w:tcPr>
            <w:tcW w:w="3399" w:type="dxa"/>
            <w:shd w:val="clear" w:color="auto" w:fill="D9E2F3" w:themeFill="accent1" w:themeFillTint="33"/>
          </w:tcPr>
          <w:p w14:paraId="6FB71A8A" w14:textId="77777777" w:rsidR="00385DCE" w:rsidRPr="00674542" w:rsidRDefault="00385DCE" w:rsidP="0002297E">
            <w:pPr>
              <w:spacing w:before="40" w:after="40" w:line="240" w:lineRule="auto"/>
              <w:jc w:val="center"/>
              <w:rPr>
                <w:rFonts w:asciiTheme="majorHAnsi" w:eastAsia="Times New Roman" w:hAnsiTheme="majorHAnsi" w:cstheme="majorHAnsi"/>
                <w:color w:val="000000"/>
                <w:sz w:val="16"/>
                <w:szCs w:val="16"/>
              </w:rPr>
            </w:pPr>
            <w:r>
              <w:rPr>
                <w:rFonts w:asciiTheme="majorHAnsi" w:hAnsiTheme="majorHAnsi" w:cstheme="majorHAnsi"/>
                <w:sz w:val="16"/>
                <w:szCs w:val="16"/>
                <w:lang w:val="lv-LV"/>
              </w:rPr>
              <w:t>Atveseļošanās plāns</w:t>
            </w:r>
          </w:p>
        </w:tc>
        <w:tc>
          <w:tcPr>
            <w:tcW w:w="1134" w:type="dxa"/>
            <w:shd w:val="clear" w:color="auto" w:fill="D9E2F3" w:themeFill="accent1" w:themeFillTint="33"/>
          </w:tcPr>
          <w:p w14:paraId="5E8225BA" w14:textId="77777777" w:rsidR="00385DCE" w:rsidRPr="00674542" w:rsidRDefault="00385DCE" w:rsidP="0002297E">
            <w:pPr>
              <w:spacing w:before="40" w:after="40" w:line="240" w:lineRule="auto"/>
              <w:jc w:val="center"/>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EJ, TK</w:t>
            </w:r>
          </w:p>
        </w:tc>
      </w:tr>
      <w:tr w:rsidR="000B3AAF" w:rsidRPr="00674542" w14:paraId="4E611148" w14:textId="77777777" w:rsidTr="000B3AAF">
        <w:trPr>
          <w:jc w:val="center"/>
        </w:trPr>
        <w:tc>
          <w:tcPr>
            <w:tcW w:w="2835" w:type="dxa"/>
            <w:shd w:val="clear" w:color="auto" w:fill="B4C6E7" w:themeFill="accent1" w:themeFillTint="66"/>
            <w:vAlign w:val="bottom"/>
          </w:tcPr>
          <w:p w14:paraId="6DDA1665" w14:textId="77777777" w:rsidR="00385DCE" w:rsidRDefault="00385DCE" w:rsidP="0002297E">
            <w:pPr>
              <w:spacing w:before="40" w:after="40" w:line="240" w:lineRule="auto"/>
              <w:rPr>
                <w:rFonts w:asciiTheme="majorHAnsi" w:hAnsiTheme="majorHAnsi" w:cstheme="majorHAnsi"/>
                <w:sz w:val="16"/>
                <w:szCs w:val="16"/>
                <w:lang w:val="lv-LV"/>
              </w:rPr>
            </w:pPr>
            <w:r>
              <w:rPr>
                <w:rFonts w:asciiTheme="majorHAnsi" w:hAnsiTheme="majorHAnsi" w:cstheme="majorHAnsi"/>
                <w:sz w:val="16"/>
                <w:szCs w:val="16"/>
                <w:lang w:val="lv-LV"/>
              </w:rPr>
              <w:t>A</w:t>
            </w:r>
            <w:r w:rsidRPr="007605C7">
              <w:rPr>
                <w:rFonts w:asciiTheme="majorHAnsi" w:hAnsiTheme="majorHAnsi" w:cstheme="majorHAnsi"/>
                <w:sz w:val="16"/>
                <w:szCs w:val="16"/>
                <w:lang w:val="lv-LV"/>
              </w:rPr>
              <w:t>tjaunojamās enerģijas attīstības paātrināšana</w:t>
            </w:r>
          </w:p>
        </w:tc>
        <w:tc>
          <w:tcPr>
            <w:tcW w:w="1133" w:type="dxa"/>
            <w:shd w:val="clear" w:color="auto" w:fill="B4C6E7" w:themeFill="accent1" w:themeFillTint="66"/>
            <w:vAlign w:val="bottom"/>
          </w:tcPr>
          <w:p w14:paraId="629A05C5" w14:textId="77777777" w:rsidR="00385DCE" w:rsidRPr="00674542" w:rsidRDefault="00385DCE" w:rsidP="0002297E">
            <w:pPr>
              <w:spacing w:before="40" w:after="4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66,8</w:t>
            </w:r>
          </w:p>
        </w:tc>
        <w:tc>
          <w:tcPr>
            <w:tcW w:w="1133" w:type="dxa"/>
            <w:shd w:val="clear" w:color="auto" w:fill="B4C6E7" w:themeFill="accent1" w:themeFillTint="66"/>
            <w:vAlign w:val="bottom"/>
          </w:tcPr>
          <w:p w14:paraId="49DC31C1" w14:textId="77777777" w:rsidR="00385DCE" w:rsidRPr="00674542" w:rsidRDefault="00385DCE" w:rsidP="0002297E">
            <w:pPr>
              <w:spacing w:before="40" w:after="40" w:line="240" w:lineRule="auto"/>
              <w:jc w:val="center"/>
              <w:rPr>
                <w:rFonts w:asciiTheme="majorHAnsi" w:hAnsiTheme="majorHAnsi" w:cstheme="majorHAnsi"/>
                <w:sz w:val="16"/>
                <w:szCs w:val="16"/>
                <w:lang w:val="lv-LV"/>
              </w:rPr>
            </w:pPr>
          </w:p>
        </w:tc>
        <w:tc>
          <w:tcPr>
            <w:tcW w:w="3399" w:type="dxa"/>
            <w:shd w:val="clear" w:color="auto" w:fill="B4C6E7" w:themeFill="accent1" w:themeFillTint="66"/>
          </w:tcPr>
          <w:p w14:paraId="1F6D9521" w14:textId="77777777" w:rsidR="00385DCE" w:rsidRPr="00674542" w:rsidRDefault="00385DCE" w:rsidP="0002297E">
            <w:pPr>
              <w:spacing w:before="40" w:after="40" w:line="240" w:lineRule="auto"/>
              <w:jc w:val="center"/>
              <w:rPr>
                <w:rFonts w:asciiTheme="majorHAnsi" w:eastAsia="Times New Roman" w:hAnsiTheme="majorHAnsi" w:cstheme="majorHAnsi"/>
                <w:color w:val="000000"/>
                <w:sz w:val="16"/>
                <w:szCs w:val="16"/>
              </w:rPr>
            </w:pPr>
            <w:r>
              <w:rPr>
                <w:rFonts w:asciiTheme="majorHAnsi" w:hAnsiTheme="majorHAnsi" w:cstheme="majorHAnsi"/>
                <w:sz w:val="16"/>
                <w:szCs w:val="16"/>
                <w:lang w:val="lv-LV"/>
              </w:rPr>
              <w:t>Atveseļošanās plāns</w:t>
            </w:r>
          </w:p>
        </w:tc>
        <w:tc>
          <w:tcPr>
            <w:tcW w:w="1134" w:type="dxa"/>
            <w:shd w:val="clear" w:color="auto" w:fill="B4C6E7" w:themeFill="accent1" w:themeFillTint="66"/>
          </w:tcPr>
          <w:p w14:paraId="49FEC890" w14:textId="77777777" w:rsidR="00385DCE" w:rsidRPr="00674542" w:rsidRDefault="00385DCE" w:rsidP="0002297E">
            <w:pPr>
              <w:spacing w:before="40" w:after="40" w:line="240" w:lineRule="auto"/>
              <w:jc w:val="center"/>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EJ, TK</w:t>
            </w:r>
          </w:p>
        </w:tc>
      </w:tr>
      <w:tr w:rsidR="000B3AAF" w:rsidRPr="00674542" w14:paraId="0B51D7D6" w14:textId="77777777" w:rsidTr="000B3AAF">
        <w:trPr>
          <w:jc w:val="center"/>
        </w:trPr>
        <w:tc>
          <w:tcPr>
            <w:tcW w:w="2835" w:type="dxa"/>
            <w:shd w:val="clear" w:color="auto" w:fill="D9E2F3" w:themeFill="accent1" w:themeFillTint="33"/>
            <w:vAlign w:val="bottom"/>
          </w:tcPr>
          <w:p w14:paraId="7CE0D03E" w14:textId="77777777" w:rsidR="00385DCE" w:rsidRDefault="00385DCE" w:rsidP="0002297E">
            <w:pPr>
              <w:spacing w:before="40" w:after="40" w:line="240" w:lineRule="auto"/>
              <w:rPr>
                <w:rFonts w:asciiTheme="majorHAnsi" w:hAnsiTheme="majorHAnsi" w:cstheme="majorHAnsi"/>
                <w:sz w:val="16"/>
                <w:szCs w:val="16"/>
                <w:lang w:val="lv-LV"/>
              </w:rPr>
            </w:pPr>
            <w:r>
              <w:rPr>
                <w:rFonts w:asciiTheme="majorHAnsi" w:hAnsiTheme="majorHAnsi" w:cstheme="majorHAnsi"/>
                <w:sz w:val="16"/>
                <w:szCs w:val="16"/>
                <w:lang w:val="lv-LV"/>
              </w:rPr>
              <w:t>Investīcijas jūras vēja parkos</w:t>
            </w:r>
          </w:p>
        </w:tc>
        <w:tc>
          <w:tcPr>
            <w:tcW w:w="1133" w:type="dxa"/>
            <w:shd w:val="clear" w:color="auto" w:fill="D9E2F3" w:themeFill="accent1" w:themeFillTint="33"/>
            <w:vAlign w:val="bottom"/>
          </w:tcPr>
          <w:p w14:paraId="57A1D99A" w14:textId="77777777" w:rsidR="00385DCE" w:rsidRPr="00674542" w:rsidRDefault="00385DCE" w:rsidP="0002297E">
            <w:pPr>
              <w:spacing w:before="40" w:after="40" w:line="240" w:lineRule="auto"/>
              <w:jc w:val="center"/>
              <w:rPr>
                <w:rFonts w:asciiTheme="majorHAnsi" w:hAnsiTheme="majorHAnsi" w:cstheme="majorHAnsi"/>
                <w:sz w:val="16"/>
                <w:szCs w:val="16"/>
                <w:lang w:val="lv-LV"/>
              </w:rPr>
            </w:pPr>
          </w:p>
        </w:tc>
        <w:tc>
          <w:tcPr>
            <w:tcW w:w="1133" w:type="dxa"/>
            <w:shd w:val="clear" w:color="auto" w:fill="D9E2F3" w:themeFill="accent1" w:themeFillTint="33"/>
            <w:vAlign w:val="bottom"/>
          </w:tcPr>
          <w:p w14:paraId="7725C52E" w14:textId="77777777" w:rsidR="00385DCE" w:rsidRPr="00674542" w:rsidRDefault="00385DCE" w:rsidP="0002297E">
            <w:pPr>
              <w:spacing w:before="40" w:after="40" w:line="240" w:lineRule="auto"/>
              <w:jc w:val="center"/>
              <w:rPr>
                <w:rFonts w:asciiTheme="majorHAnsi" w:hAnsiTheme="majorHAnsi" w:cstheme="majorHAnsi"/>
                <w:sz w:val="16"/>
                <w:szCs w:val="16"/>
                <w:lang w:val="lv-LV"/>
              </w:rPr>
            </w:pPr>
          </w:p>
        </w:tc>
        <w:tc>
          <w:tcPr>
            <w:tcW w:w="3399" w:type="dxa"/>
            <w:shd w:val="clear" w:color="auto" w:fill="D9E2F3" w:themeFill="accent1" w:themeFillTint="33"/>
          </w:tcPr>
          <w:p w14:paraId="7F0A668D" w14:textId="77777777" w:rsidR="00385DCE" w:rsidRPr="00674542" w:rsidRDefault="00385DCE" w:rsidP="0002297E">
            <w:pPr>
              <w:spacing w:before="40" w:after="40" w:line="240" w:lineRule="auto"/>
              <w:jc w:val="center"/>
              <w:rPr>
                <w:rFonts w:asciiTheme="majorHAnsi" w:eastAsia="Times New Roman" w:hAnsiTheme="majorHAnsi" w:cstheme="majorHAnsi"/>
                <w:color w:val="000000"/>
                <w:sz w:val="16"/>
                <w:szCs w:val="16"/>
              </w:rPr>
            </w:pPr>
            <w:r>
              <w:rPr>
                <w:rFonts w:asciiTheme="majorHAnsi" w:hAnsiTheme="majorHAnsi" w:cstheme="majorHAnsi"/>
                <w:sz w:val="16"/>
                <w:szCs w:val="16"/>
                <w:lang w:val="lv-LV"/>
              </w:rPr>
              <w:t>Atveseļošanās plāns</w:t>
            </w:r>
          </w:p>
        </w:tc>
        <w:tc>
          <w:tcPr>
            <w:tcW w:w="1134" w:type="dxa"/>
            <w:shd w:val="clear" w:color="auto" w:fill="D9E2F3" w:themeFill="accent1" w:themeFillTint="33"/>
          </w:tcPr>
          <w:p w14:paraId="4D0D1E57" w14:textId="77777777" w:rsidR="00385DCE" w:rsidRPr="00674542" w:rsidRDefault="00385DCE" w:rsidP="0002297E">
            <w:pPr>
              <w:spacing w:before="40" w:after="40" w:line="240" w:lineRule="auto"/>
              <w:jc w:val="center"/>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EJ, TK, KK</w:t>
            </w:r>
          </w:p>
        </w:tc>
      </w:tr>
      <w:tr w:rsidR="000B3AAF" w:rsidRPr="00674542" w14:paraId="0A46720A" w14:textId="77777777" w:rsidTr="000B3AAF">
        <w:trPr>
          <w:jc w:val="center"/>
        </w:trPr>
        <w:tc>
          <w:tcPr>
            <w:tcW w:w="2835" w:type="dxa"/>
            <w:shd w:val="clear" w:color="auto" w:fill="B4C6E7" w:themeFill="accent1" w:themeFillTint="66"/>
            <w:vAlign w:val="bottom"/>
          </w:tcPr>
          <w:p w14:paraId="5DD1D341" w14:textId="77777777" w:rsidR="00385DCE" w:rsidRDefault="00385DCE" w:rsidP="0002297E">
            <w:pPr>
              <w:spacing w:before="40" w:after="40" w:line="240" w:lineRule="auto"/>
              <w:rPr>
                <w:rFonts w:asciiTheme="majorHAnsi" w:hAnsiTheme="majorHAnsi" w:cstheme="majorHAnsi"/>
                <w:sz w:val="16"/>
                <w:szCs w:val="16"/>
                <w:lang w:val="lv-LV"/>
              </w:rPr>
            </w:pPr>
            <w:r>
              <w:rPr>
                <w:rFonts w:asciiTheme="majorHAnsi" w:hAnsiTheme="majorHAnsi" w:cstheme="majorHAnsi"/>
                <w:sz w:val="16"/>
                <w:szCs w:val="16"/>
                <w:lang w:val="lv-LV"/>
              </w:rPr>
              <w:t>Ieskaitot jūras tīklu</w:t>
            </w:r>
          </w:p>
        </w:tc>
        <w:tc>
          <w:tcPr>
            <w:tcW w:w="1133" w:type="dxa"/>
            <w:shd w:val="clear" w:color="auto" w:fill="B4C6E7" w:themeFill="accent1" w:themeFillTint="66"/>
            <w:vAlign w:val="bottom"/>
          </w:tcPr>
          <w:p w14:paraId="55A24C63" w14:textId="77777777" w:rsidR="00385DCE" w:rsidRPr="00674542" w:rsidRDefault="00385DCE" w:rsidP="0002297E">
            <w:pPr>
              <w:spacing w:before="40" w:after="40" w:line="240" w:lineRule="auto"/>
              <w:jc w:val="center"/>
              <w:rPr>
                <w:rFonts w:asciiTheme="majorHAnsi" w:hAnsiTheme="majorHAnsi" w:cstheme="majorHAnsi"/>
                <w:sz w:val="16"/>
                <w:szCs w:val="16"/>
                <w:lang w:val="lv-LV"/>
              </w:rPr>
            </w:pPr>
          </w:p>
        </w:tc>
        <w:tc>
          <w:tcPr>
            <w:tcW w:w="1133" w:type="dxa"/>
            <w:shd w:val="clear" w:color="auto" w:fill="B4C6E7" w:themeFill="accent1" w:themeFillTint="66"/>
            <w:vAlign w:val="bottom"/>
          </w:tcPr>
          <w:p w14:paraId="4E5961C2" w14:textId="77777777" w:rsidR="00385DCE" w:rsidRPr="00674542" w:rsidRDefault="00385DCE" w:rsidP="0002297E">
            <w:pPr>
              <w:spacing w:before="40" w:after="40" w:line="240" w:lineRule="auto"/>
              <w:jc w:val="center"/>
              <w:rPr>
                <w:rFonts w:asciiTheme="majorHAnsi" w:hAnsiTheme="majorHAnsi" w:cstheme="majorHAnsi"/>
                <w:sz w:val="16"/>
                <w:szCs w:val="16"/>
                <w:lang w:val="lv-LV"/>
              </w:rPr>
            </w:pPr>
          </w:p>
        </w:tc>
        <w:tc>
          <w:tcPr>
            <w:tcW w:w="3399" w:type="dxa"/>
            <w:shd w:val="clear" w:color="auto" w:fill="B4C6E7" w:themeFill="accent1" w:themeFillTint="66"/>
          </w:tcPr>
          <w:p w14:paraId="5608299D" w14:textId="77777777" w:rsidR="00385DCE" w:rsidRPr="00674542" w:rsidRDefault="00385DCE" w:rsidP="0002297E">
            <w:pPr>
              <w:spacing w:before="40" w:after="40" w:line="240" w:lineRule="auto"/>
              <w:jc w:val="center"/>
              <w:rPr>
                <w:rFonts w:asciiTheme="majorHAnsi" w:eastAsia="Times New Roman" w:hAnsiTheme="majorHAnsi" w:cstheme="majorHAnsi"/>
                <w:color w:val="000000"/>
                <w:sz w:val="16"/>
                <w:szCs w:val="16"/>
              </w:rPr>
            </w:pPr>
          </w:p>
        </w:tc>
        <w:tc>
          <w:tcPr>
            <w:tcW w:w="1134" w:type="dxa"/>
            <w:shd w:val="clear" w:color="auto" w:fill="B4C6E7" w:themeFill="accent1" w:themeFillTint="66"/>
          </w:tcPr>
          <w:p w14:paraId="12315995" w14:textId="77777777" w:rsidR="00385DCE" w:rsidRPr="00674542" w:rsidRDefault="00385DCE" w:rsidP="0002297E">
            <w:pPr>
              <w:spacing w:before="40" w:after="40" w:line="240" w:lineRule="auto"/>
              <w:jc w:val="center"/>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EJ, TK, KK</w:t>
            </w:r>
          </w:p>
        </w:tc>
      </w:tr>
      <w:tr w:rsidR="000B3AAF" w:rsidRPr="00674542" w14:paraId="79A5AF8E" w14:textId="77777777" w:rsidTr="000B3AAF">
        <w:trPr>
          <w:jc w:val="center"/>
        </w:trPr>
        <w:tc>
          <w:tcPr>
            <w:tcW w:w="2835" w:type="dxa"/>
            <w:shd w:val="clear" w:color="auto" w:fill="D9E2F3" w:themeFill="accent1" w:themeFillTint="33"/>
            <w:vAlign w:val="bottom"/>
          </w:tcPr>
          <w:p w14:paraId="4B9192FE" w14:textId="77777777" w:rsidR="00385DCE" w:rsidRDefault="00385DCE" w:rsidP="0002297E">
            <w:pPr>
              <w:spacing w:before="40" w:after="40" w:line="240" w:lineRule="auto"/>
              <w:rPr>
                <w:rFonts w:asciiTheme="majorHAnsi" w:hAnsiTheme="majorHAnsi" w:cstheme="majorHAnsi"/>
                <w:sz w:val="16"/>
                <w:szCs w:val="16"/>
                <w:lang w:val="lv-LV"/>
              </w:rPr>
            </w:pPr>
            <w:r>
              <w:rPr>
                <w:rFonts w:asciiTheme="majorHAnsi" w:hAnsiTheme="majorHAnsi" w:cstheme="majorHAnsi"/>
                <w:sz w:val="16"/>
                <w:szCs w:val="16"/>
                <w:lang w:val="lv-LV"/>
              </w:rPr>
              <w:t>Maksa par atjaunojamo elektroenerģiju (samazināti piedāvājumi)</w:t>
            </w:r>
          </w:p>
        </w:tc>
        <w:tc>
          <w:tcPr>
            <w:tcW w:w="1133" w:type="dxa"/>
            <w:shd w:val="clear" w:color="auto" w:fill="D9E2F3" w:themeFill="accent1" w:themeFillTint="33"/>
            <w:vAlign w:val="bottom"/>
          </w:tcPr>
          <w:p w14:paraId="2AC0FE4E" w14:textId="77777777" w:rsidR="00385DCE" w:rsidRPr="00674542" w:rsidRDefault="00385DCE" w:rsidP="0002297E">
            <w:pPr>
              <w:spacing w:before="40" w:after="4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180</w:t>
            </w:r>
          </w:p>
        </w:tc>
        <w:tc>
          <w:tcPr>
            <w:tcW w:w="1133" w:type="dxa"/>
            <w:shd w:val="clear" w:color="auto" w:fill="D9E2F3" w:themeFill="accent1" w:themeFillTint="33"/>
            <w:vAlign w:val="bottom"/>
          </w:tcPr>
          <w:p w14:paraId="48E8BC9E" w14:textId="77777777" w:rsidR="00385DCE" w:rsidRPr="00674542" w:rsidRDefault="00385DCE" w:rsidP="0002297E">
            <w:pPr>
              <w:spacing w:before="40" w:after="4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1150</w:t>
            </w:r>
          </w:p>
        </w:tc>
        <w:tc>
          <w:tcPr>
            <w:tcW w:w="3399" w:type="dxa"/>
            <w:shd w:val="clear" w:color="auto" w:fill="D9E2F3" w:themeFill="accent1" w:themeFillTint="33"/>
          </w:tcPr>
          <w:p w14:paraId="2398E1C7" w14:textId="77777777" w:rsidR="00385DCE" w:rsidRPr="00674542" w:rsidRDefault="00385DCE" w:rsidP="0002297E">
            <w:pPr>
              <w:spacing w:before="40" w:after="40" w:line="240" w:lineRule="auto"/>
              <w:jc w:val="center"/>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30 milj. eur gadā atbalsts</w:t>
            </w:r>
          </w:p>
        </w:tc>
        <w:tc>
          <w:tcPr>
            <w:tcW w:w="1134" w:type="dxa"/>
            <w:shd w:val="clear" w:color="auto" w:fill="D9E2F3" w:themeFill="accent1" w:themeFillTint="33"/>
          </w:tcPr>
          <w:p w14:paraId="3B1A43BE" w14:textId="77777777" w:rsidR="00385DCE" w:rsidRPr="00674542" w:rsidRDefault="00385DCE" w:rsidP="0002297E">
            <w:pPr>
              <w:spacing w:before="40" w:after="40" w:line="240" w:lineRule="auto"/>
              <w:jc w:val="center"/>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EJ, TK, KK</w:t>
            </w:r>
          </w:p>
        </w:tc>
      </w:tr>
      <w:tr w:rsidR="000B3AAF" w:rsidRPr="00674542" w14:paraId="76CF9CF4" w14:textId="77777777" w:rsidTr="000B3AAF">
        <w:trPr>
          <w:jc w:val="center"/>
        </w:trPr>
        <w:tc>
          <w:tcPr>
            <w:tcW w:w="2835" w:type="dxa"/>
            <w:shd w:val="clear" w:color="auto" w:fill="4472C4" w:themeFill="accent1"/>
          </w:tcPr>
          <w:p w14:paraId="644CCB20" w14:textId="77777777" w:rsidR="00385DCE" w:rsidRPr="00674542" w:rsidRDefault="00385DCE" w:rsidP="0002297E">
            <w:pPr>
              <w:spacing w:before="40" w:after="40" w:line="240" w:lineRule="auto"/>
              <w:jc w:val="center"/>
              <w:rPr>
                <w:rFonts w:asciiTheme="majorHAnsi" w:hAnsiTheme="majorHAnsi" w:cstheme="majorHAnsi"/>
                <w:b/>
                <w:bCs/>
                <w:color w:val="FFFFFF" w:themeColor="background1"/>
                <w:sz w:val="16"/>
                <w:szCs w:val="16"/>
                <w:lang w:val="lv-LV"/>
              </w:rPr>
            </w:pPr>
            <w:r>
              <w:rPr>
                <w:rFonts w:asciiTheme="majorHAnsi" w:hAnsiTheme="majorHAnsi" w:cstheme="majorHAnsi"/>
                <w:b/>
                <w:bCs/>
                <w:color w:val="FFFFFF" w:themeColor="background1"/>
                <w:sz w:val="16"/>
                <w:szCs w:val="16"/>
                <w:lang w:val="lv-LV"/>
              </w:rPr>
              <w:t>Gāze</w:t>
            </w:r>
          </w:p>
        </w:tc>
        <w:tc>
          <w:tcPr>
            <w:tcW w:w="1133" w:type="dxa"/>
            <w:shd w:val="clear" w:color="auto" w:fill="4472C4" w:themeFill="accent1"/>
          </w:tcPr>
          <w:p w14:paraId="7119843B" w14:textId="77777777" w:rsidR="00385DCE" w:rsidRPr="00674542" w:rsidRDefault="00385DCE" w:rsidP="0002297E">
            <w:pPr>
              <w:spacing w:before="40" w:after="40" w:line="240" w:lineRule="auto"/>
              <w:jc w:val="center"/>
              <w:rPr>
                <w:rFonts w:asciiTheme="majorHAnsi" w:hAnsiTheme="majorHAnsi" w:cstheme="majorHAnsi"/>
                <w:b/>
                <w:bCs/>
                <w:color w:val="FFFFFF" w:themeColor="background1"/>
                <w:sz w:val="16"/>
                <w:szCs w:val="16"/>
                <w:lang w:val="lv-LV"/>
              </w:rPr>
            </w:pPr>
          </w:p>
        </w:tc>
        <w:tc>
          <w:tcPr>
            <w:tcW w:w="1133" w:type="dxa"/>
            <w:shd w:val="clear" w:color="auto" w:fill="4472C4" w:themeFill="accent1"/>
          </w:tcPr>
          <w:p w14:paraId="7AF2C411" w14:textId="77777777" w:rsidR="00385DCE" w:rsidRPr="00674542" w:rsidRDefault="00385DCE" w:rsidP="0002297E">
            <w:pPr>
              <w:spacing w:before="40" w:after="40" w:line="240" w:lineRule="auto"/>
              <w:jc w:val="center"/>
              <w:rPr>
                <w:rFonts w:asciiTheme="majorHAnsi" w:hAnsiTheme="majorHAnsi" w:cstheme="majorHAnsi"/>
                <w:b/>
                <w:bCs/>
                <w:color w:val="FFFFFF" w:themeColor="background1"/>
                <w:sz w:val="16"/>
                <w:szCs w:val="16"/>
                <w:lang w:val="lv-LV"/>
              </w:rPr>
            </w:pPr>
          </w:p>
        </w:tc>
        <w:tc>
          <w:tcPr>
            <w:tcW w:w="3399" w:type="dxa"/>
            <w:shd w:val="clear" w:color="auto" w:fill="4472C4" w:themeFill="accent1"/>
          </w:tcPr>
          <w:p w14:paraId="4E58AB19" w14:textId="77777777" w:rsidR="00385DCE" w:rsidRPr="00674542" w:rsidRDefault="00385DCE" w:rsidP="0002297E">
            <w:pPr>
              <w:spacing w:before="40" w:after="40" w:line="240" w:lineRule="auto"/>
              <w:jc w:val="center"/>
              <w:rPr>
                <w:rFonts w:asciiTheme="majorHAnsi" w:hAnsiTheme="majorHAnsi" w:cstheme="majorHAnsi"/>
                <w:b/>
                <w:bCs/>
                <w:color w:val="FFFFFF" w:themeColor="background1"/>
                <w:sz w:val="16"/>
                <w:szCs w:val="16"/>
                <w:lang w:val="lv-LV"/>
              </w:rPr>
            </w:pPr>
          </w:p>
        </w:tc>
        <w:tc>
          <w:tcPr>
            <w:tcW w:w="1134" w:type="dxa"/>
            <w:shd w:val="clear" w:color="auto" w:fill="4472C4" w:themeFill="accent1"/>
          </w:tcPr>
          <w:p w14:paraId="3AA8BFB7" w14:textId="77777777" w:rsidR="00385DCE" w:rsidRPr="00674542" w:rsidRDefault="00385DCE" w:rsidP="0002297E">
            <w:pPr>
              <w:spacing w:before="40" w:after="40" w:line="240" w:lineRule="auto"/>
              <w:jc w:val="center"/>
              <w:rPr>
                <w:rFonts w:asciiTheme="majorHAnsi" w:hAnsiTheme="majorHAnsi" w:cstheme="majorHAnsi"/>
                <w:b/>
                <w:bCs/>
                <w:color w:val="FFFFFF" w:themeColor="background1"/>
                <w:sz w:val="16"/>
                <w:szCs w:val="16"/>
                <w:lang w:val="lv-LV"/>
              </w:rPr>
            </w:pPr>
          </w:p>
        </w:tc>
      </w:tr>
      <w:tr w:rsidR="000B3AAF" w:rsidRPr="00674542" w14:paraId="60852DBA" w14:textId="77777777" w:rsidTr="000B3AAF">
        <w:trPr>
          <w:jc w:val="center"/>
        </w:trPr>
        <w:tc>
          <w:tcPr>
            <w:tcW w:w="2835" w:type="dxa"/>
            <w:shd w:val="clear" w:color="auto" w:fill="B4C6E7" w:themeFill="accent1" w:themeFillTint="66"/>
            <w:vAlign w:val="bottom"/>
          </w:tcPr>
          <w:p w14:paraId="15C535CD" w14:textId="77777777" w:rsidR="00385DCE" w:rsidRPr="00674542" w:rsidRDefault="00385DCE" w:rsidP="0002297E">
            <w:pPr>
              <w:spacing w:before="40" w:after="40" w:line="240" w:lineRule="auto"/>
              <w:rPr>
                <w:rFonts w:asciiTheme="majorHAnsi" w:hAnsiTheme="majorHAnsi" w:cstheme="majorHAnsi"/>
                <w:sz w:val="16"/>
                <w:szCs w:val="16"/>
                <w:lang w:val="lv-LV"/>
              </w:rPr>
            </w:pPr>
            <w:r>
              <w:rPr>
                <w:rFonts w:asciiTheme="majorHAnsi" w:hAnsiTheme="majorHAnsi" w:cstheme="majorHAnsi"/>
                <w:sz w:val="16"/>
                <w:szCs w:val="16"/>
                <w:lang w:val="lv-LV"/>
              </w:rPr>
              <w:t>Uzglabāšana līdz 1TWh</w:t>
            </w:r>
          </w:p>
        </w:tc>
        <w:tc>
          <w:tcPr>
            <w:tcW w:w="1133" w:type="dxa"/>
            <w:shd w:val="clear" w:color="auto" w:fill="B4C6E7" w:themeFill="accent1" w:themeFillTint="66"/>
            <w:vAlign w:val="bottom"/>
          </w:tcPr>
          <w:p w14:paraId="49ADC85F" w14:textId="77777777" w:rsidR="00385DCE" w:rsidRPr="00674542" w:rsidRDefault="00385DCE" w:rsidP="0002297E">
            <w:pPr>
              <w:spacing w:before="40" w:after="4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9</w:t>
            </w:r>
          </w:p>
        </w:tc>
        <w:tc>
          <w:tcPr>
            <w:tcW w:w="1133" w:type="dxa"/>
            <w:shd w:val="clear" w:color="auto" w:fill="B4C6E7" w:themeFill="accent1" w:themeFillTint="66"/>
            <w:vAlign w:val="bottom"/>
          </w:tcPr>
          <w:p w14:paraId="2AECC89E" w14:textId="77777777" w:rsidR="00385DCE" w:rsidRPr="00674542" w:rsidRDefault="00385DCE" w:rsidP="0002297E">
            <w:pPr>
              <w:spacing w:before="40" w:after="40" w:line="240" w:lineRule="auto"/>
              <w:jc w:val="center"/>
              <w:rPr>
                <w:rFonts w:asciiTheme="majorHAnsi" w:hAnsiTheme="majorHAnsi" w:cstheme="majorHAnsi"/>
                <w:sz w:val="16"/>
                <w:szCs w:val="16"/>
                <w:lang w:val="lv-LV"/>
              </w:rPr>
            </w:pPr>
          </w:p>
        </w:tc>
        <w:tc>
          <w:tcPr>
            <w:tcW w:w="3399" w:type="dxa"/>
            <w:shd w:val="clear" w:color="auto" w:fill="B4C6E7" w:themeFill="accent1" w:themeFillTint="66"/>
          </w:tcPr>
          <w:p w14:paraId="58D922A6" w14:textId="77777777" w:rsidR="00385DCE" w:rsidRDefault="00385DCE" w:rsidP="0002297E">
            <w:pPr>
              <w:spacing w:before="40" w:after="40" w:line="240" w:lineRule="auto"/>
              <w:jc w:val="center"/>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Gāzes rezerves apmaksas likme</w:t>
            </w:r>
          </w:p>
          <w:p w14:paraId="1D131E90" w14:textId="77777777" w:rsidR="00385DCE" w:rsidRPr="00674542" w:rsidRDefault="00385DCE" w:rsidP="0002297E">
            <w:pPr>
              <w:spacing w:before="40" w:after="40" w:line="240" w:lineRule="auto"/>
              <w:jc w:val="center"/>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7,5 vai 1,5 milj. EUR gadā atkarībā no gazes cenas</w:t>
            </w:r>
          </w:p>
        </w:tc>
        <w:tc>
          <w:tcPr>
            <w:tcW w:w="1134" w:type="dxa"/>
            <w:shd w:val="clear" w:color="auto" w:fill="B4C6E7" w:themeFill="accent1" w:themeFillTint="66"/>
          </w:tcPr>
          <w:p w14:paraId="01882F24" w14:textId="77777777" w:rsidR="00385DCE" w:rsidRPr="00674542" w:rsidRDefault="00385DCE" w:rsidP="0002297E">
            <w:pPr>
              <w:spacing w:before="40" w:after="40" w:line="240" w:lineRule="auto"/>
              <w:jc w:val="center"/>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EJ, TK</w:t>
            </w:r>
          </w:p>
        </w:tc>
      </w:tr>
      <w:tr w:rsidR="000B3AAF" w:rsidRPr="00674542" w14:paraId="2ED2FCE1" w14:textId="77777777" w:rsidTr="000B3AAF">
        <w:trPr>
          <w:jc w:val="center"/>
        </w:trPr>
        <w:tc>
          <w:tcPr>
            <w:tcW w:w="2835" w:type="dxa"/>
            <w:shd w:val="clear" w:color="auto" w:fill="D9E2F3" w:themeFill="accent1" w:themeFillTint="33"/>
            <w:vAlign w:val="bottom"/>
          </w:tcPr>
          <w:p w14:paraId="70381482" w14:textId="77777777" w:rsidR="00385DCE" w:rsidRPr="00674542" w:rsidRDefault="00385DCE" w:rsidP="0002297E">
            <w:pPr>
              <w:spacing w:before="40" w:after="40" w:line="240" w:lineRule="auto"/>
              <w:rPr>
                <w:rFonts w:asciiTheme="majorHAnsi" w:hAnsiTheme="majorHAnsi" w:cstheme="majorHAnsi"/>
                <w:sz w:val="16"/>
                <w:szCs w:val="16"/>
                <w:lang w:val="lv-LV"/>
              </w:rPr>
            </w:pPr>
            <w:r w:rsidRPr="0063649C">
              <w:rPr>
                <w:rFonts w:asciiTheme="majorHAnsi" w:hAnsiTheme="majorHAnsi" w:cstheme="majorHAnsi"/>
                <w:sz w:val="16"/>
                <w:szCs w:val="16"/>
                <w:lang w:val="lv-LV"/>
              </w:rPr>
              <w:t>Pakrineses kravu piestātnes uzturēšana LNK uztveršanas jaudas nodrošināšanai</w:t>
            </w:r>
          </w:p>
        </w:tc>
        <w:tc>
          <w:tcPr>
            <w:tcW w:w="1133" w:type="dxa"/>
            <w:shd w:val="clear" w:color="auto" w:fill="D9E2F3" w:themeFill="accent1" w:themeFillTint="33"/>
            <w:vAlign w:val="bottom"/>
          </w:tcPr>
          <w:p w14:paraId="32779FA9" w14:textId="77777777" w:rsidR="00385DCE" w:rsidRPr="00674542" w:rsidRDefault="00385DCE" w:rsidP="0002297E">
            <w:pPr>
              <w:spacing w:before="40" w:after="4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4,2</w:t>
            </w:r>
          </w:p>
        </w:tc>
        <w:tc>
          <w:tcPr>
            <w:tcW w:w="1133" w:type="dxa"/>
            <w:shd w:val="clear" w:color="auto" w:fill="D9E2F3" w:themeFill="accent1" w:themeFillTint="33"/>
            <w:vAlign w:val="bottom"/>
          </w:tcPr>
          <w:p w14:paraId="3234E78B" w14:textId="77777777" w:rsidR="00385DCE" w:rsidRPr="00674542" w:rsidRDefault="00385DCE" w:rsidP="0002297E">
            <w:pPr>
              <w:spacing w:before="40" w:after="4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3,5</w:t>
            </w:r>
          </w:p>
        </w:tc>
        <w:tc>
          <w:tcPr>
            <w:tcW w:w="3399" w:type="dxa"/>
            <w:shd w:val="clear" w:color="auto" w:fill="D9E2F3" w:themeFill="accent1" w:themeFillTint="33"/>
          </w:tcPr>
          <w:p w14:paraId="32A38E79" w14:textId="77777777" w:rsidR="00385DCE" w:rsidRDefault="00385DCE" w:rsidP="0002297E">
            <w:pPr>
              <w:spacing w:before="40" w:after="40" w:line="240" w:lineRule="auto"/>
              <w:jc w:val="center"/>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Gāzes rezerves apmaksas likme</w:t>
            </w:r>
          </w:p>
          <w:p w14:paraId="479D7CAB" w14:textId="77777777" w:rsidR="00385DCE" w:rsidRPr="00674542" w:rsidRDefault="00385DCE" w:rsidP="0002297E">
            <w:pPr>
              <w:spacing w:before="40" w:after="40" w:line="240" w:lineRule="auto"/>
              <w:jc w:val="center"/>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Aptuveni 0,7 milj. EUR gadā</w:t>
            </w:r>
          </w:p>
        </w:tc>
        <w:tc>
          <w:tcPr>
            <w:tcW w:w="1134" w:type="dxa"/>
            <w:shd w:val="clear" w:color="auto" w:fill="D9E2F3" w:themeFill="accent1" w:themeFillTint="33"/>
          </w:tcPr>
          <w:p w14:paraId="7FC4753F" w14:textId="77777777" w:rsidR="00385DCE" w:rsidRPr="00674542" w:rsidRDefault="00385DCE" w:rsidP="0002297E">
            <w:pPr>
              <w:spacing w:before="40" w:after="40" w:line="240" w:lineRule="auto"/>
              <w:jc w:val="center"/>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EJ, TK</w:t>
            </w:r>
          </w:p>
        </w:tc>
      </w:tr>
      <w:tr w:rsidR="000B3AAF" w:rsidRPr="00674542" w14:paraId="36069FE2" w14:textId="77777777" w:rsidTr="000B3AAF">
        <w:trPr>
          <w:jc w:val="center"/>
        </w:trPr>
        <w:tc>
          <w:tcPr>
            <w:tcW w:w="2835" w:type="dxa"/>
            <w:shd w:val="clear" w:color="auto" w:fill="B4C6E7" w:themeFill="accent1" w:themeFillTint="66"/>
            <w:vAlign w:val="bottom"/>
          </w:tcPr>
          <w:p w14:paraId="6F3C1B7A" w14:textId="77777777" w:rsidR="00385DCE" w:rsidRPr="0063649C" w:rsidRDefault="00385DCE" w:rsidP="0002297E">
            <w:pPr>
              <w:spacing w:before="40" w:after="40" w:line="240" w:lineRule="auto"/>
              <w:rPr>
                <w:rFonts w:asciiTheme="majorHAnsi" w:hAnsiTheme="majorHAnsi" w:cstheme="majorHAnsi"/>
                <w:sz w:val="16"/>
                <w:szCs w:val="16"/>
                <w:lang w:val="lv-LV"/>
              </w:rPr>
            </w:pPr>
            <w:r>
              <w:rPr>
                <w:rFonts w:asciiTheme="majorHAnsi" w:hAnsiTheme="majorHAnsi" w:cstheme="majorHAnsi"/>
                <w:sz w:val="16"/>
                <w:szCs w:val="16"/>
                <w:lang w:val="lv-LV"/>
              </w:rPr>
              <w:t>Gāzes infrastruktūras attīstība</w:t>
            </w:r>
          </w:p>
        </w:tc>
        <w:tc>
          <w:tcPr>
            <w:tcW w:w="1133" w:type="dxa"/>
            <w:shd w:val="clear" w:color="auto" w:fill="B4C6E7" w:themeFill="accent1" w:themeFillTint="66"/>
            <w:vAlign w:val="bottom"/>
          </w:tcPr>
          <w:p w14:paraId="6FF70C0E" w14:textId="77777777" w:rsidR="00385DCE" w:rsidRPr="00674542" w:rsidRDefault="00385DCE" w:rsidP="0002297E">
            <w:pPr>
              <w:spacing w:before="40" w:after="4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87,5</w:t>
            </w:r>
          </w:p>
        </w:tc>
        <w:tc>
          <w:tcPr>
            <w:tcW w:w="1133" w:type="dxa"/>
            <w:shd w:val="clear" w:color="auto" w:fill="B4C6E7" w:themeFill="accent1" w:themeFillTint="66"/>
            <w:vAlign w:val="bottom"/>
          </w:tcPr>
          <w:p w14:paraId="73967549" w14:textId="77777777" w:rsidR="00385DCE" w:rsidRPr="00674542" w:rsidRDefault="00385DCE" w:rsidP="0002297E">
            <w:pPr>
              <w:spacing w:before="40" w:after="40" w:line="240" w:lineRule="auto"/>
              <w:jc w:val="center"/>
              <w:rPr>
                <w:rFonts w:asciiTheme="majorHAnsi" w:hAnsiTheme="majorHAnsi" w:cstheme="majorHAnsi"/>
                <w:sz w:val="16"/>
                <w:szCs w:val="16"/>
                <w:lang w:val="lv-LV"/>
              </w:rPr>
            </w:pPr>
          </w:p>
        </w:tc>
        <w:tc>
          <w:tcPr>
            <w:tcW w:w="3399" w:type="dxa"/>
            <w:shd w:val="clear" w:color="auto" w:fill="B4C6E7" w:themeFill="accent1" w:themeFillTint="66"/>
          </w:tcPr>
          <w:p w14:paraId="6E1E69A1" w14:textId="77777777" w:rsidR="00385DCE" w:rsidRPr="003678A3" w:rsidRDefault="00385DCE" w:rsidP="0002297E">
            <w:pPr>
              <w:spacing w:before="40" w:after="40" w:line="240" w:lineRule="auto"/>
              <w:jc w:val="center"/>
              <w:rPr>
                <w:rFonts w:asciiTheme="majorHAnsi" w:eastAsia="Times New Roman" w:hAnsiTheme="majorHAnsi" w:cstheme="majorHAnsi"/>
                <w:color w:val="000000"/>
                <w:sz w:val="16"/>
                <w:szCs w:val="16"/>
                <w:lang w:val="lv-LV"/>
              </w:rPr>
            </w:pPr>
            <w:r w:rsidRPr="003678A3">
              <w:rPr>
                <w:rFonts w:asciiTheme="majorHAnsi" w:eastAsia="Times New Roman" w:hAnsiTheme="majorHAnsi" w:cstheme="majorHAnsi"/>
                <w:color w:val="000000"/>
                <w:sz w:val="16"/>
                <w:szCs w:val="16"/>
                <w:lang w:val="lv-LV"/>
              </w:rPr>
              <w:t>Tīkla izmaksas, uzturēšana 10 milj. EUR gadā</w:t>
            </w:r>
          </w:p>
        </w:tc>
        <w:tc>
          <w:tcPr>
            <w:tcW w:w="1134" w:type="dxa"/>
            <w:shd w:val="clear" w:color="auto" w:fill="B4C6E7" w:themeFill="accent1" w:themeFillTint="66"/>
          </w:tcPr>
          <w:p w14:paraId="1FC725EC" w14:textId="77777777" w:rsidR="00385DCE" w:rsidRPr="00674542" w:rsidRDefault="00385DCE" w:rsidP="0002297E">
            <w:pPr>
              <w:spacing w:before="40" w:after="40" w:line="240" w:lineRule="auto"/>
              <w:jc w:val="center"/>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EJ, TK</w:t>
            </w:r>
          </w:p>
        </w:tc>
      </w:tr>
      <w:tr w:rsidR="000B3AAF" w:rsidRPr="00674542" w14:paraId="4E6BBC8E" w14:textId="77777777" w:rsidTr="000B3AAF">
        <w:trPr>
          <w:jc w:val="center"/>
        </w:trPr>
        <w:tc>
          <w:tcPr>
            <w:tcW w:w="2835" w:type="dxa"/>
            <w:shd w:val="clear" w:color="auto" w:fill="D9E2F3" w:themeFill="accent1" w:themeFillTint="33"/>
            <w:vAlign w:val="bottom"/>
          </w:tcPr>
          <w:p w14:paraId="37307014" w14:textId="77777777" w:rsidR="00385DCE" w:rsidRPr="0063649C" w:rsidRDefault="00385DCE" w:rsidP="0002297E">
            <w:pPr>
              <w:spacing w:before="40" w:after="40" w:line="240" w:lineRule="auto"/>
              <w:rPr>
                <w:rFonts w:asciiTheme="majorHAnsi" w:hAnsiTheme="majorHAnsi" w:cstheme="majorHAnsi"/>
                <w:sz w:val="16"/>
                <w:szCs w:val="16"/>
                <w:lang w:val="lv-LV"/>
              </w:rPr>
            </w:pPr>
            <w:r>
              <w:rPr>
                <w:rFonts w:asciiTheme="majorHAnsi" w:hAnsiTheme="majorHAnsi" w:cstheme="majorHAnsi"/>
                <w:sz w:val="16"/>
                <w:szCs w:val="16"/>
                <w:lang w:val="lv-LV"/>
              </w:rPr>
              <w:t>Biometāna ražošana 1 TWh</w:t>
            </w:r>
          </w:p>
        </w:tc>
        <w:tc>
          <w:tcPr>
            <w:tcW w:w="1133" w:type="dxa"/>
            <w:shd w:val="clear" w:color="auto" w:fill="D9E2F3" w:themeFill="accent1" w:themeFillTint="33"/>
            <w:vAlign w:val="bottom"/>
          </w:tcPr>
          <w:p w14:paraId="584873F9" w14:textId="77777777" w:rsidR="00385DCE" w:rsidRPr="00674542" w:rsidRDefault="00385DCE" w:rsidP="0002297E">
            <w:pPr>
              <w:spacing w:before="40" w:after="4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20,2</w:t>
            </w:r>
          </w:p>
        </w:tc>
        <w:tc>
          <w:tcPr>
            <w:tcW w:w="1133" w:type="dxa"/>
            <w:shd w:val="clear" w:color="auto" w:fill="D9E2F3" w:themeFill="accent1" w:themeFillTint="33"/>
            <w:vAlign w:val="bottom"/>
          </w:tcPr>
          <w:p w14:paraId="6E9606F3" w14:textId="77777777" w:rsidR="00385DCE" w:rsidRPr="00674542" w:rsidRDefault="00385DCE" w:rsidP="0002297E">
            <w:pPr>
              <w:spacing w:before="40" w:after="40" w:line="240" w:lineRule="auto"/>
              <w:jc w:val="center"/>
              <w:rPr>
                <w:rFonts w:asciiTheme="majorHAnsi" w:hAnsiTheme="majorHAnsi" w:cstheme="majorHAnsi"/>
                <w:sz w:val="16"/>
                <w:szCs w:val="16"/>
                <w:lang w:val="lv-LV"/>
              </w:rPr>
            </w:pPr>
          </w:p>
        </w:tc>
        <w:tc>
          <w:tcPr>
            <w:tcW w:w="3399" w:type="dxa"/>
            <w:shd w:val="clear" w:color="auto" w:fill="D9E2F3" w:themeFill="accent1" w:themeFillTint="33"/>
          </w:tcPr>
          <w:p w14:paraId="0C957CE9" w14:textId="77777777" w:rsidR="00385DCE" w:rsidRPr="00674542" w:rsidRDefault="00385DCE" w:rsidP="0002297E">
            <w:pPr>
              <w:spacing w:before="40" w:after="40" w:line="240" w:lineRule="auto"/>
              <w:jc w:val="center"/>
              <w:rPr>
                <w:rFonts w:asciiTheme="majorHAnsi" w:eastAsia="Times New Roman" w:hAnsiTheme="majorHAnsi" w:cstheme="majorHAnsi"/>
                <w:color w:val="000000"/>
                <w:sz w:val="16"/>
                <w:szCs w:val="16"/>
              </w:rPr>
            </w:pPr>
            <w:r>
              <w:rPr>
                <w:rFonts w:asciiTheme="majorHAnsi" w:hAnsiTheme="majorHAnsi" w:cstheme="majorHAnsi"/>
                <w:sz w:val="16"/>
                <w:szCs w:val="16"/>
                <w:lang w:val="lv-LV"/>
              </w:rPr>
              <w:t>Atveseļošanās plāns</w:t>
            </w:r>
          </w:p>
        </w:tc>
        <w:tc>
          <w:tcPr>
            <w:tcW w:w="1134" w:type="dxa"/>
            <w:shd w:val="clear" w:color="auto" w:fill="D9E2F3" w:themeFill="accent1" w:themeFillTint="33"/>
          </w:tcPr>
          <w:p w14:paraId="5DE5A805" w14:textId="77777777" w:rsidR="00385DCE" w:rsidRPr="00674542" w:rsidRDefault="00385DCE" w:rsidP="0002297E">
            <w:pPr>
              <w:spacing w:before="40" w:after="40" w:line="240" w:lineRule="auto"/>
              <w:jc w:val="center"/>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EJ, TK, KK</w:t>
            </w:r>
          </w:p>
        </w:tc>
      </w:tr>
      <w:tr w:rsidR="000B3AAF" w:rsidRPr="00674542" w14:paraId="3E0FC91A" w14:textId="77777777" w:rsidTr="000B3AAF">
        <w:trPr>
          <w:jc w:val="center"/>
        </w:trPr>
        <w:tc>
          <w:tcPr>
            <w:tcW w:w="2835" w:type="dxa"/>
            <w:shd w:val="clear" w:color="auto" w:fill="B4C6E7" w:themeFill="accent1" w:themeFillTint="66"/>
            <w:vAlign w:val="bottom"/>
          </w:tcPr>
          <w:p w14:paraId="162D6D47" w14:textId="77777777" w:rsidR="00385DCE" w:rsidRPr="0063649C" w:rsidRDefault="00385DCE" w:rsidP="0002297E">
            <w:pPr>
              <w:spacing w:before="40" w:after="40" w:line="240" w:lineRule="auto"/>
              <w:rPr>
                <w:rFonts w:asciiTheme="majorHAnsi" w:hAnsiTheme="majorHAnsi" w:cstheme="majorHAnsi"/>
                <w:sz w:val="16"/>
                <w:szCs w:val="16"/>
                <w:lang w:val="lv-LV"/>
              </w:rPr>
            </w:pPr>
            <w:r>
              <w:rPr>
                <w:rFonts w:asciiTheme="majorHAnsi" w:hAnsiTheme="majorHAnsi" w:cstheme="majorHAnsi"/>
                <w:sz w:val="16"/>
                <w:szCs w:val="16"/>
                <w:lang w:val="lv-LV"/>
              </w:rPr>
              <w:t>Trīs biometāna ievades punktu attīstība</w:t>
            </w:r>
          </w:p>
        </w:tc>
        <w:tc>
          <w:tcPr>
            <w:tcW w:w="1133" w:type="dxa"/>
            <w:shd w:val="clear" w:color="auto" w:fill="B4C6E7" w:themeFill="accent1" w:themeFillTint="66"/>
            <w:vAlign w:val="bottom"/>
          </w:tcPr>
          <w:p w14:paraId="67C60087" w14:textId="77777777" w:rsidR="00385DCE" w:rsidRPr="00674542" w:rsidRDefault="00385DCE" w:rsidP="0002297E">
            <w:pPr>
              <w:spacing w:before="40" w:after="4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7</w:t>
            </w:r>
          </w:p>
        </w:tc>
        <w:tc>
          <w:tcPr>
            <w:tcW w:w="1133" w:type="dxa"/>
            <w:shd w:val="clear" w:color="auto" w:fill="B4C6E7" w:themeFill="accent1" w:themeFillTint="66"/>
            <w:vAlign w:val="bottom"/>
          </w:tcPr>
          <w:p w14:paraId="320F1CAD" w14:textId="77777777" w:rsidR="00385DCE" w:rsidRPr="00674542" w:rsidRDefault="00385DCE" w:rsidP="0002297E">
            <w:pPr>
              <w:spacing w:before="40" w:after="40" w:line="240" w:lineRule="auto"/>
              <w:jc w:val="center"/>
              <w:rPr>
                <w:rFonts w:asciiTheme="majorHAnsi" w:hAnsiTheme="majorHAnsi" w:cstheme="majorHAnsi"/>
                <w:sz w:val="16"/>
                <w:szCs w:val="16"/>
                <w:lang w:val="lv-LV"/>
              </w:rPr>
            </w:pPr>
          </w:p>
        </w:tc>
        <w:tc>
          <w:tcPr>
            <w:tcW w:w="3399" w:type="dxa"/>
            <w:shd w:val="clear" w:color="auto" w:fill="B4C6E7" w:themeFill="accent1" w:themeFillTint="66"/>
          </w:tcPr>
          <w:p w14:paraId="08CBE654" w14:textId="77777777" w:rsidR="00385DCE" w:rsidRPr="00674542" w:rsidRDefault="00385DCE" w:rsidP="0002297E">
            <w:pPr>
              <w:spacing w:before="40" w:after="40" w:line="240" w:lineRule="auto"/>
              <w:jc w:val="center"/>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Strukturālie līdzekļi</w:t>
            </w:r>
          </w:p>
        </w:tc>
        <w:tc>
          <w:tcPr>
            <w:tcW w:w="1134" w:type="dxa"/>
            <w:shd w:val="clear" w:color="auto" w:fill="B4C6E7" w:themeFill="accent1" w:themeFillTint="66"/>
          </w:tcPr>
          <w:p w14:paraId="114FD0F4" w14:textId="77777777" w:rsidR="00385DCE" w:rsidRPr="00674542" w:rsidRDefault="00385DCE" w:rsidP="0002297E">
            <w:pPr>
              <w:spacing w:before="40" w:after="40" w:line="240" w:lineRule="auto"/>
              <w:jc w:val="center"/>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EJ, TK, KK</w:t>
            </w:r>
          </w:p>
        </w:tc>
      </w:tr>
      <w:tr w:rsidR="000B3AAF" w:rsidRPr="00674542" w14:paraId="0CFB68E1" w14:textId="77777777" w:rsidTr="000B3AAF">
        <w:trPr>
          <w:jc w:val="center"/>
        </w:trPr>
        <w:tc>
          <w:tcPr>
            <w:tcW w:w="2835" w:type="dxa"/>
            <w:shd w:val="clear" w:color="auto" w:fill="4472C4" w:themeFill="accent1"/>
          </w:tcPr>
          <w:p w14:paraId="7EA2C794" w14:textId="77777777" w:rsidR="00385DCE" w:rsidRPr="00674542" w:rsidRDefault="00385DCE" w:rsidP="0002297E">
            <w:pPr>
              <w:spacing w:before="40" w:after="40" w:line="240" w:lineRule="auto"/>
              <w:jc w:val="center"/>
              <w:rPr>
                <w:rFonts w:asciiTheme="majorHAnsi" w:hAnsiTheme="majorHAnsi" w:cstheme="majorHAnsi"/>
                <w:b/>
                <w:bCs/>
                <w:color w:val="FFFFFF" w:themeColor="background1"/>
                <w:sz w:val="16"/>
                <w:szCs w:val="16"/>
                <w:lang w:val="lv-LV"/>
              </w:rPr>
            </w:pPr>
            <w:r>
              <w:rPr>
                <w:rFonts w:asciiTheme="majorHAnsi" w:hAnsiTheme="majorHAnsi" w:cstheme="majorHAnsi"/>
                <w:b/>
                <w:bCs/>
                <w:color w:val="FFFFFF" w:themeColor="background1"/>
                <w:sz w:val="16"/>
                <w:szCs w:val="16"/>
                <w:lang w:val="lv-LV"/>
              </w:rPr>
              <w:t>Siltumenerģija</w:t>
            </w:r>
          </w:p>
        </w:tc>
        <w:tc>
          <w:tcPr>
            <w:tcW w:w="1133" w:type="dxa"/>
            <w:shd w:val="clear" w:color="auto" w:fill="4472C4" w:themeFill="accent1"/>
          </w:tcPr>
          <w:p w14:paraId="45CF7080" w14:textId="77777777" w:rsidR="00385DCE" w:rsidRPr="00674542" w:rsidRDefault="00385DCE" w:rsidP="0002297E">
            <w:pPr>
              <w:spacing w:before="40" w:after="40" w:line="240" w:lineRule="auto"/>
              <w:jc w:val="center"/>
              <w:rPr>
                <w:rFonts w:asciiTheme="majorHAnsi" w:hAnsiTheme="majorHAnsi" w:cstheme="majorHAnsi"/>
                <w:b/>
                <w:bCs/>
                <w:color w:val="FFFFFF" w:themeColor="background1"/>
                <w:sz w:val="16"/>
                <w:szCs w:val="16"/>
                <w:lang w:val="lv-LV"/>
              </w:rPr>
            </w:pPr>
          </w:p>
        </w:tc>
        <w:tc>
          <w:tcPr>
            <w:tcW w:w="1133" w:type="dxa"/>
            <w:shd w:val="clear" w:color="auto" w:fill="4472C4" w:themeFill="accent1"/>
          </w:tcPr>
          <w:p w14:paraId="421BC288" w14:textId="77777777" w:rsidR="00385DCE" w:rsidRPr="00674542" w:rsidRDefault="00385DCE" w:rsidP="0002297E">
            <w:pPr>
              <w:spacing w:before="40" w:after="40" w:line="240" w:lineRule="auto"/>
              <w:jc w:val="center"/>
              <w:rPr>
                <w:rFonts w:asciiTheme="majorHAnsi" w:hAnsiTheme="majorHAnsi" w:cstheme="majorHAnsi"/>
                <w:b/>
                <w:bCs/>
                <w:color w:val="FFFFFF" w:themeColor="background1"/>
                <w:sz w:val="16"/>
                <w:szCs w:val="16"/>
                <w:lang w:val="lv-LV"/>
              </w:rPr>
            </w:pPr>
          </w:p>
        </w:tc>
        <w:tc>
          <w:tcPr>
            <w:tcW w:w="3399" w:type="dxa"/>
            <w:shd w:val="clear" w:color="auto" w:fill="4472C4" w:themeFill="accent1"/>
          </w:tcPr>
          <w:p w14:paraId="3E02A1B0" w14:textId="77777777" w:rsidR="00385DCE" w:rsidRPr="00674542" w:rsidRDefault="00385DCE" w:rsidP="0002297E">
            <w:pPr>
              <w:spacing w:before="40" w:after="40" w:line="240" w:lineRule="auto"/>
              <w:jc w:val="center"/>
              <w:rPr>
                <w:rFonts w:asciiTheme="majorHAnsi" w:hAnsiTheme="majorHAnsi" w:cstheme="majorHAnsi"/>
                <w:b/>
                <w:bCs/>
                <w:color w:val="FFFFFF" w:themeColor="background1"/>
                <w:sz w:val="16"/>
                <w:szCs w:val="16"/>
                <w:lang w:val="lv-LV"/>
              </w:rPr>
            </w:pPr>
          </w:p>
        </w:tc>
        <w:tc>
          <w:tcPr>
            <w:tcW w:w="1134" w:type="dxa"/>
            <w:shd w:val="clear" w:color="auto" w:fill="4472C4" w:themeFill="accent1"/>
          </w:tcPr>
          <w:p w14:paraId="0601C551" w14:textId="77777777" w:rsidR="00385DCE" w:rsidRPr="00674542" w:rsidRDefault="00385DCE" w:rsidP="0002297E">
            <w:pPr>
              <w:spacing w:before="40" w:after="40" w:line="240" w:lineRule="auto"/>
              <w:jc w:val="center"/>
              <w:rPr>
                <w:rFonts w:asciiTheme="majorHAnsi" w:hAnsiTheme="majorHAnsi" w:cstheme="majorHAnsi"/>
                <w:b/>
                <w:bCs/>
                <w:color w:val="FFFFFF" w:themeColor="background1"/>
                <w:sz w:val="16"/>
                <w:szCs w:val="16"/>
                <w:lang w:val="lv-LV"/>
              </w:rPr>
            </w:pPr>
          </w:p>
        </w:tc>
      </w:tr>
      <w:tr w:rsidR="000B3AAF" w:rsidRPr="00674542" w14:paraId="03DC9FD1" w14:textId="77777777" w:rsidTr="000B3AAF">
        <w:trPr>
          <w:jc w:val="center"/>
        </w:trPr>
        <w:tc>
          <w:tcPr>
            <w:tcW w:w="2835" w:type="dxa"/>
            <w:shd w:val="clear" w:color="auto" w:fill="B4C6E7" w:themeFill="accent1" w:themeFillTint="66"/>
            <w:vAlign w:val="bottom"/>
          </w:tcPr>
          <w:p w14:paraId="23F338E9" w14:textId="77777777" w:rsidR="00385DCE" w:rsidRPr="00674542" w:rsidRDefault="00385DCE" w:rsidP="0002297E">
            <w:pPr>
              <w:spacing w:before="40" w:after="40" w:line="240" w:lineRule="auto"/>
              <w:rPr>
                <w:rFonts w:asciiTheme="majorHAnsi" w:hAnsiTheme="majorHAnsi" w:cstheme="majorHAnsi"/>
                <w:sz w:val="16"/>
                <w:szCs w:val="16"/>
                <w:lang w:val="lv-LV"/>
              </w:rPr>
            </w:pPr>
            <w:r>
              <w:rPr>
                <w:rFonts w:asciiTheme="majorHAnsi" w:hAnsiTheme="majorHAnsi" w:cstheme="majorHAnsi"/>
                <w:sz w:val="16"/>
                <w:szCs w:val="16"/>
                <w:lang w:val="lv-LV"/>
              </w:rPr>
              <w:t>Centralizētās siltumapgādes infrastruktūras attīstība</w:t>
            </w:r>
          </w:p>
        </w:tc>
        <w:tc>
          <w:tcPr>
            <w:tcW w:w="1133" w:type="dxa"/>
            <w:shd w:val="clear" w:color="auto" w:fill="B4C6E7" w:themeFill="accent1" w:themeFillTint="66"/>
            <w:vAlign w:val="bottom"/>
          </w:tcPr>
          <w:p w14:paraId="44DB0CD3" w14:textId="77777777" w:rsidR="00385DCE" w:rsidRPr="00674542" w:rsidRDefault="00385DCE" w:rsidP="0002297E">
            <w:pPr>
              <w:spacing w:before="40" w:after="4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22,5</w:t>
            </w:r>
          </w:p>
        </w:tc>
        <w:tc>
          <w:tcPr>
            <w:tcW w:w="1133" w:type="dxa"/>
            <w:shd w:val="clear" w:color="auto" w:fill="B4C6E7" w:themeFill="accent1" w:themeFillTint="66"/>
            <w:vAlign w:val="bottom"/>
          </w:tcPr>
          <w:p w14:paraId="2287CDC0" w14:textId="77777777" w:rsidR="00385DCE" w:rsidRPr="00674542" w:rsidRDefault="00385DCE" w:rsidP="0002297E">
            <w:pPr>
              <w:spacing w:before="40" w:after="40" w:line="240" w:lineRule="auto"/>
              <w:jc w:val="center"/>
              <w:rPr>
                <w:rFonts w:asciiTheme="majorHAnsi" w:hAnsiTheme="majorHAnsi" w:cstheme="majorHAnsi"/>
                <w:sz w:val="16"/>
                <w:szCs w:val="16"/>
                <w:lang w:val="lv-LV"/>
              </w:rPr>
            </w:pPr>
          </w:p>
        </w:tc>
        <w:tc>
          <w:tcPr>
            <w:tcW w:w="3399" w:type="dxa"/>
            <w:shd w:val="clear" w:color="auto" w:fill="B4C6E7" w:themeFill="accent1" w:themeFillTint="66"/>
          </w:tcPr>
          <w:p w14:paraId="4EED0316" w14:textId="77777777" w:rsidR="00385DCE" w:rsidRPr="00674542" w:rsidRDefault="00385DCE" w:rsidP="0002297E">
            <w:pPr>
              <w:spacing w:before="40" w:after="40" w:line="240" w:lineRule="auto"/>
              <w:jc w:val="center"/>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Strukturālie līdzekļi</w:t>
            </w:r>
          </w:p>
        </w:tc>
        <w:tc>
          <w:tcPr>
            <w:tcW w:w="1134" w:type="dxa"/>
            <w:shd w:val="clear" w:color="auto" w:fill="B4C6E7" w:themeFill="accent1" w:themeFillTint="66"/>
          </w:tcPr>
          <w:p w14:paraId="759C2FA4" w14:textId="77777777" w:rsidR="00385DCE" w:rsidRPr="00674542" w:rsidRDefault="00385DCE" w:rsidP="0002297E">
            <w:pPr>
              <w:spacing w:before="40" w:after="40" w:line="240" w:lineRule="auto"/>
              <w:jc w:val="center"/>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EJ, TK, KK</w:t>
            </w:r>
          </w:p>
        </w:tc>
      </w:tr>
      <w:tr w:rsidR="000B3AAF" w:rsidRPr="00674542" w14:paraId="340C893A" w14:textId="77777777" w:rsidTr="000B3AAF">
        <w:trPr>
          <w:jc w:val="center"/>
        </w:trPr>
        <w:tc>
          <w:tcPr>
            <w:tcW w:w="2835" w:type="dxa"/>
            <w:shd w:val="clear" w:color="auto" w:fill="D9E2F3" w:themeFill="accent1" w:themeFillTint="33"/>
            <w:vAlign w:val="bottom"/>
          </w:tcPr>
          <w:p w14:paraId="41EBC481" w14:textId="77777777" w:rsidR="00385DCE" w:rsidRPr="00674542" w:rsidRDefault="00385DCE" w:rsidP="0002297E">
            <w:pPr>
              <w:spacing w:before="40" w:after="40" w:line="240" w:lineRule="auto"/>
              <w:rPr>
                <w:rFonts w:asciiTheme="majorHAnsi" w:hAnsiTheme="majorHAnsi" w:cstheme="majorHAnsi"/>
                <w:sz w:val="16"/>
                <w:szCs w:val="16"/>
                <w:lang w:val="lv-LV"/>
              </w:rPr>
            </w:pPr>
            <w:r>
              <w:rPr>
                <w:rFonts w:asciiTheme="majorHAnsi" w:hAnsiTheme="majorHAnsi" w:cstheme="majorHAnsi"/>
                <w:sz w:val="16"/>
                <w:szCs w:val="16"/>
                <w:lang w:val="lv-LV"/>
              </w:rPr>
              <w:t>Dzesēšana</w:t>
            </w:r>
          </w:p>
        </w:tc>
        <w:tc>
          <w:tcPr>
            <w:tcW w:w="1133" w:type="dxa"/>
            <w:shd w:val="clear" w:color="auto" w:fill="D9E2F3" w:themeFill="accent1" w:themeFillTint="33"/>
            <w:vAlign w:val="bottom"/>
          </w:tcPr>
          <w:p w14:paraId="0CDE6FD1" w14:textId="77777777" w:rsidR="00385DCE" w:rsidRPr="00674542" w:rsidRDefault="00385DCE" w:rsidP="0002297E">
            <w:pPr>
              <w:spacing w:before="40" w:after="40" w:line="240" w:lineRule="auto"/>
              <w:jc w:val="center"/>
              <w:rPr>
                <w:rFonts w:asciiTheme="majorHAnsi" w:hAnsiTheme="majorHAnsi" w:cstheme="majorHAnsi"/>
                <w:sz w:val="16"/>
                <w:szCs w:val="16"/>
                <w:lang w:val="lv-LV"/>
              </w:rPr>
            </w:pPr>
          </w:p>
        </w:tc>
        <w:tc>
          <w:tcPr>
            <w:tcW w:w="1133" w:type="dxa"/>
            <w:shd w:val="clear" w:color="auto" w:fill="D9E2F3" w:themeFill="accent1" w:themeFillTint="33"/>
            <w:vAlign w:val="bottom"/>
          </w:tcPr>
          <w:p w14:paraId="4C746E6E" w14:textId="77777777" w:rsidR="00385DCE" w:rsidRPr="00674542" w:rsidRDefault="00385DCE" w:rsidP="0002297E">
            <w:pPr>
              <w:spacing w:before="40" w:after="40" w:line="240" w:lineRule="auto"/>
              <w:jc w:val="center"/>
              <w:rPr>
                <w:rFonts w:asciiTheme="majorHAnsi" w:hAnsiTheme="majorHAnsi" w:cstheme="majorHAnsi"/>
                <w:sz w:val="16"/>
                <w:szCs w:val="16"/>
                <w:lang w:val="lv-LV"/>
              </w:rPr>
            </w:pPr>
          </w:p>
        </w:tc>
        <w:tc>
          <w:tcPr>
            <w:tcW w:w="3399" w:type="dxa"/>
            <w:shd w:val="clear" w:color="auto" w:fill="D9E2F3" w:themeFill="accent1" w:themeFillTint="33"/>
          </w:tcPr>
          <w:p w14:paraId="29BD5312" w14:textId="77777777" w:rsidR="00385DCE" w:rsidRPr="00674542" w:rsidRDefault="00385DCE" w:rsidP="0002297E">
            <w:pPr>
              <w:spacing w:before="40" w:after="40" w:line="240" w:lineRule="auto"/>
              <w:jc w:val="center"/>
              <w:rPr>
                <w:rFonts w:asciiTheme="majorHAnsi" w:eastAsia="Times New Roman" w:hAnsiTheme="majorHAnsi" w:cstheme="majorHAnsi"/>
                <w:color w:val="000000"/>
                <w:sz w:val="16"/>
                <w:szCs w:val="16"/>
              </w:rPr>
            </w:pPr>
          </w:p>
        </w:tc>
        <w:tc>
          <w:tcPr>
            <w:tcW w:w="1134" w:type="dxa"/>
            <w:shd w:val="clear" w:color="auto" w:fill="D9E2F3" w:themeFill="accent1" w:themeFillTint="33"/>
          </w:tcPr>
          <w:p w14:paraId="5F289C99" w14:textId="77777777" w:rsidR="00385DCE" w:rsidRPr="00674542" w:rsidRDefault="00385DCE" w:rsidP="0002297E">
            <w:pPr>
              <w:spacing w:before="40" w:after="40" w:line="240" w:lineRule="auto"/>
              <w:jc w:val="center"/>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TK, KK</w:t>
            </w:r>
          </w:p>
        </w:tc>
      </w:tr>
      <w:tr w:rsidR="000B3AAF" w:rsidRPr="00674542" w14:paraId="3CCAE4C8" w14:textId="77777777" w:rsidTr="000B3AAF">
        <w:trPr>
          <w:jc w:val="center"/>
        </w:trPr>
        <w:tc>
          <w:tcPr>
            <w:tcW w:w="2835" w:type="dxa"/>
            <w:shd w:val="clear" w:color="auto" w:fill="B4C6E7" w:themeFill="accent1" w:themeFillTint="66"/>
            <w:vAlign w:val="bottom"/>
          </w:tcPr>
          <w:p w14:paraId="5FF94245" w14:textId="77777777" w:rsidR="00385DCE" w:rsidRPr="00674542" w:rsidRDefault="00385DCE" w:rsidP="0002297E">
            <w:pPr>
              <w:spacing w:before="40" w:after="40" w:line="240" w:lineRule="auto"/>
              <w:rPr>
                <w:rFonts w:asciiTheme="majorHAnsi" w:hAnsiTheme="majorHAnsi" w:cstheme="majorHAnsi"/>
                <w:sz w:val="16"/>
                <w:szCs w:val="16"/>
                <w:lang w:val="lv-LV"/>
              </w:rPr>
            </w:pPr>
          </w:p>
        </w:tc>
        <w:tc>
          <w:tcPr>
            <w:tcW w:w="1133" w:type="dxa"/>
            <w:shd w:val="clear" w:color="auto" w:fill="B4C6E7" w:themeFill="accent1" w:themeFillTint="66"/>
            <w:vAlign w:val="bottom"/>
          </w:tcPr>
          <w:p w14:paraId="787046DA" w14:textId="77777777" w:rsidR="00385DCE" w:rsidRPr="00674542" w:rsidRDefault="00385DCE" w:rsidP="0002297E">
            <w:pPr>
              <w:spacing w:before="40" w:after="4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1670.34</w:t>
            </w:r>
          </w:p>
        </w:tc>
        <w:tc>
          <w:tcPr>
            <w:tcW w:w="1133" w:type="dxa"/>
            <w:shd w:val="clear" w:color="auto" w:fill="B4C6E7" w:themeFill="accent1" w:themeFillTint="66"/>
            <w:vAlign w:val="bottom"/>
          </w:tcPr>
          <w:p w14:paraId="065B07B8" w14:textId="77777777" w:rsidR="00385DCE" w:rsidRPr="00674542" w:rsidRDefault="00385DCE" w:rsidP="0002297E">
            <w:pPr>
              <w:spacing w:before="40" w:after="4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5341.5</w:t>
            </w:r>
          </w:p>
        </w:tc>
        <w:tc>
          <w:tcPr>
            <w:tcW w:w="3399" w:type="dxa"/>
            <w:shd w:val="clear" w:color="auto" w:fill="B4C6E7" w:themeFill="accent1" w:themeFillTint="66"/>
          </w:tcPr>
          <w:p w14:paraId="6D43CE52" w14:textId="77777777" w:rsidR="00385DCE" w:rsidRPr="00674542" w:rsidRDefault="00385DCE" w:rsidP="0002297E">
            <w:pPr>
              <w:spacing w:before="40" w:after="40" w:line="240" w:lineRule="auto"/>
              <w:jc w:val="center"/>
              <w:rPr>
                <w:rFonts w:asciiTheme="majorHAnsi" w:eastAsia="Times New Roman" w:hAnsiTheme="majorHAnsi" w:cstheme="majorHAnsi"/>
                <w:color w:val="000000"/>
                <w:sz w:val="16"/>
                <w:szCs w:val="16"/>
              </w:rPr>
            </w:pPr>
            <w:r>
              <w:rPr>
                <w:rFonts w:asciiTheme="majorHAnsi" w:hAnsiTheme="majorHAnsi" w:cstheme="majorHAnsi"/>
                <w:sz w:val="16"/>
                <w:szCs w:val="16"/>
                <w:lang w:val="lv-LV"/>
              </w:rPr>
              <w:t>Atveseļošanās plāns un citi avoti</w:t>
            </w:r>
          </w:p>
        </w:tc>
        <w:tc>
          <w:tcPr>
            <w:tcW w:w="1134" w:type="dxa"/>
            <w:shd w:val="clear" w:color="auto" w:fill="B4C6E7" w:themeFill="accent1" w:themeFillTint="66"/>
          </w:tcPr>
          <w:p w14:paraId="5D4F0DA2" w14:textId="77777777" w:rsidR="00385DCE" w:rsidRPr="00674542" w:rsidRDefault="00385DCE" w:rsidP="0002297E">
            <w:pPr>
              <w:spacing w:before="40" w:after="40" w:line="240" w:lineRule="auto"/>
              <w:jc w:val="center"/>
              <w:rPr>
                <w:rFonts w:asciiTheme="majorHAnsi" w:eastAsia="Times New Roman" w:hAnsiTheme="majorHAnsi" w:cstheme="majorHAnsi"/>
                <w:color w:val="000000"/>
                <w:sz w:val="16"/>
                <w:szCs w:val="16"/>
              </w:rPr>
            </w:pPr>
          </w:p>
        </w:tc>
      </w:tr>
      <w:tr w:rsidR="000B3AAF" w:rsidRPr="00674542" w14:paraId="39763164" w14:textId="77777777" w:rsidTr="000B3AAF">
        <w:trPr>
          <w:jc w:val="center"/>
        </w:trPr>
        <w:tc>
          <w:tcPr>
            <w:tcW w:w="2835" w:type="dxa"/>
            <w:shd w:val="clear" w:color="auto" w:fill="B4C6E7" w:themeFill="accent1" w:themeFillTint="66"/>
            <w:vAlign w:val="bottom"/>
          </w:tcPr>
          <w:p w14:paraId="4EB799D5" w14:textId="77777777" w:rsidR="00385DCE" w:rsidRPr="00674542" w:rsidRDefault="00385DCE" w:rsidP="0002297E">
            <w:pPr>
              <w:spacing w:before="40" w:after="40" w:line="240" w:lineRule="auto"/>
              <w:rPr>
                <w:rFonts w:asciiTheme="majorHAnsi" w:hAnsiTheme="majorHAnsi" w:cstheme="majorHAnsi"/>
                <w:sz w:val="16"/>
                <w:szCs w:val="16"/>
                <w:lang w:val="lv-LV"/>
              </w:rPr>
            </w:pPr>
          </w:p>
        </w:tc>
        <w:tc>
          <w:tcPr>
            <w:tcW w:w="1133" w:type="dxa"/>
            <w:shd w:val="clear" w:color="auto" w:fill="B4C6E7" w:themeFill="accent1" w:themeFillTint="66"/>
            <w:vAlign w:val="bottom"/>
          </w:tcPr>
          <w:p w14:paraId="74955DA9" w14:textId="77777777" w:rsidR="00385DCE" w:rsidRPr="00674542" w:rsidRDefault="00385DCE" w:rsidP="0002297E">
            <w:pPr>
              <w:spacing w:before="40" w:after="4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275</w:t>
            </w:r>
          </w:p>
        </w:tc>
        <w:tc>
          <w:tcPr>
            <w:tcW w:w="1133" w:type="dxa"/>
            <w:shd w:val="clear" w:color="auto" w:fill="B4C6E7" w:themeFill="accent1" w:themeFillTint="66"/>
            <w:vAlign w:val="bottom"/>
          </w:tcPr>
          <w:p w14:paraId="21372212" w14:textId="77777777" w:rsidR="00385DCE" w:rsidRPr="00674542" w:rsidRDefault="00385DCE" w:rsidP="0002297E">
            <w:pPr>
              <w:spacing w:before="40" w:after="4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238</w:t>
            </w:r>
          </w:p>
        </w:tc>
        <w:tc>
          <w:tcPr>
            <w:tcW w:w="3399" w:type="dxa"/>
            <w:shd w:val="clear" w:color="auto" w:fill="B4C6E7" w:themeFill="accent1" w:themeFillTint="66"/>
          </w:tcPr>
          <w:p w14:paraId="5B22C1D0" w14:textId="77777777" w:rsidR="00385DCE" w:rsidRPr="00674542" w:rsidRDefault="00385DCE" w:rsidP="0002297E">
            <w:pPr>
              <w:spacing w:before="40" w:after="40" w:line="240" w:lineRule="auto"/>
              <w:jc w:val="center"/>
              <w:rPr>
                <w:rFonts w:asciiTheme="majorHAnsi" w:eastAsia="Times New Roman" w:hAnsiTheme="majorHAnsi" w:cstheme="majorHAnsi"/>
                <w:color w:val="000000"/>
                <w:sz w:val="16"/>
                <w:szCs w:val="16"/>
              </w:rPr>
            </w:pPr>
          </w:p>
        </w:tc>
        <w:tc>
          <w:tcPr>
            <w:tcW w:w="1134" w:type="dxa"/>
            <w:shd w:val="clear" w:color="auto" w:fill="B4C6E7" w:themeFill="accent1" w:themeFillTint="66"/>
          </w:tcPr>
          <w:p w14:paraId="5F722805" w14:textId="77777777" w:rsidR="00385DCE" w:rsidRPr="00674542" w:rsidRDefault="00385DCE" w:rsidP="0002297E">
            <w:pPr>
              <w:spacing w:before="40" w:after="40" w:line="240" w:lineRule="auto"/>
              <w:jc w:val="center"/>
              <w:rPr>
                <w:rFonts w:asciiTheme="majorHAnsi" w:eastAsia="Times New Roman" w:hAnsiTheme="majorHAnsi" w:cstheme="majorHAnsi"/>
                <w:color w:val="000000"/>
                <w:sz w:val="16"/>
                <w:szCs w:val="16"/>
              </w:rPr>
            </w:pPr>
          </w:p>
        </w:tc>
      </w:tr>
    </w:tbl>
    <w:p w14:paraId="7CA00945" w14:textId="77777777" w:rsidR="00262896" w:rsidRPr="00674542" w:rsidRDefault="00262896" w:rsidP="00262896">
      <w:pPr>
        <w:widowControl/>
        <w:spacing w:before="120" w:after="120" w:line="240" w:lineRule="auto"/>
        <w:jc w:val="both"/>
        <w:rPr>
          <w:rFonts w:ascii="Arial Nova Cond Light" w:hAnsi="Arial Nova Cond Light" w:cs="Arial"/>
          <w:sz w:val="16"/>
          <w:szCs w:val="16"/>
          <w:lang w:val="lv-LV"/>
        </w:rPr>
      </w:pPr>
      <w:r w:rsidRPr="00674542">
        <w:rPr>
          <w:rFonts w:ascii="Arial Nova Cond Light" w:hAnsi="Arial Nova Cond Light"/>
          <w:sz w:val="16"/>
          <w:szCs w:val="16"/>
          <w:lang w:val="lv-LV"/>
        </w:rPr>
        <w:t xml:space="preserve">Avots: </w:t>
      </w:r>
      <w:r w:rsidRPr="00674542">
        <w:rPr>
          <w:rFonts w:ascii="Arial Nova Cond Light" w:hAnsi="Arial Nova Cond Light"/>
          <w:color w:val="000000" w:themeColor="text1"/>
          <w:sz w:val="16"/>
          <w:szCs w:val="16"/>
          <w:lang w:val="lv-LV"/>
        </w:rPr>
        <w:t>Igaunijas Republikas Enerģētikas politikas attīstības plāns 2035</w:t>
      </w:r>
      <w:r w:rsidRPr="00674542">
        <w:rPr>
          <w:rStyle w:val="FootnoteReference"/>
          <w:rFonts w:ascii="Arial Nova Cond Light" w:hAnsi="Arial Nova Cond Light"/>
          <w:sz w:val="16"/>
          <w:szCs w:val="16"/>
          <w:lang w:val="lv-LV"/>
        </w:rPr>
        <w:footnoteReference w:id="32"/>
      </w:r>
    </w:p>
    <w:p w14:paraId="225762EA" w14:textId="77777777" w:rsidR="00262896" w:rsidRDefault="00262896" w:rsidP="00262896">
      <w:pPr>
        <w:widowControl/>
        <w:spacing w:after="120" w:line="240" w:lineRule="auto"/>
        <w:jc w:val="both"/>
        <w:rPr>
          <w:rFonts w:ascii="Verdana Pro Cond Light" w:hAnsi="Verdana Pro Cond Light" w:cs="Arial"/>
          <w:lang w:val="lv-LV"/>
        </w:rPr>
      </w:pPr>
    </w:p>
    <w:p w14:paraId="0D7A6E99" w14:textId="77777777" w:rsidR="00262896" w:rsidRPr="00674542" w:rsidRDefault="00262896" w:rsidP="00262896">
      <w:pPr>
        <w:widowControl/>
        <w:spacing w:after="120" w:line="240" w:lineRule="auto"/>
        <w:rPr>
          <w:rFonts w:ascii="Verdana Pro Cond Light" w:hAnsi="Verdana Pro Cond Light" w:cs="Arial"/>
          <w:lang w:val="lv-LV"/>
        </w:rPr>
      </w:pPr>
      <w:r w:rsidRPr="00674542">
        <w:rPr>
          <w:rFonts w:ascii="Verdana Pro Cond Light" w:hAnsi="Verdana Pro Cond Light" w:cs="Arial"/>
          <w:lang w:val="lv-LV"/>
        </w:rPr>
        <w:t>Atbilstoši 4.3. attēlā atspoguļotajam, lielākās investīcijas elektroenerģijas, gāzes un apkures sektoros līdz 2030.gadam ir sagaidāmas elektroenerģijas tīkla attīstībā.</w:t>
      </w:r>
    </w:p>
    <w:p w14:paraId="2CF190EA" w14:textId="77777777" w:rsidR="00262896" w:rsidRPr="00674542" w:rsidRDefault="00262896" w:rsidP="00262896">
      <w:pPr>
        <w:widowControl/>
        <w:spacing w:after="120" w:line="240" w:lineRule="auto"/>
        <w:rPr>
          <w:rFonts w:ascii="Verdana Pro Cond Light" w:hAnsi="Verdana Pro Cond Light" w:cs="Arial"/>
          <w:lang w:val="lv-LV"/>
        </w:rPr>
      </w:pPr>
      <w:r w:rsidRPr="00674542">
        <w:rPr>
          <w:rFonts w:ascii="Verdana Pro Cond Light" w:hAnsi="Verdana Pro Cond Light" w:cs="Arial"/>
          <w:b/>
          <w:bCs/>
          <w:lang w:val="lv-LV"/>
        </w:rPr>
        <w:t>Maltas</w:t>
      </w:r>
      <w:r w:rsidRPr="00674542">
        <w:rPr>
          <w:rFonts w:ascii="Verdana Pro Cond Light" w:hAnsi="Verdana Pro Cond Light" w:cs="Arial"/>
          <w:lang w:val="lv-LV"/>
        </w:rPr>
        <w:t xml:space="preserve"> NEKP 2030 saskan ar ilgtermiņa klimatneitralitātes stratēģiju 2020-2050. Minimālais nepieciešamais privātais un publisk</w:t>
      </w:r>
      <w:r>
        <w:rPr>
          <w:rFonts w:ascii="Verdana Pro Cond Light" w:hAnsi="Verdana Pro Cond Light" w:cs="Arial"/>
          <w:lang w:val="lv-LV"/>
        </w:rPr>
        <w:t>ai</w:t>
      </w:r>
      <w:r w:rsidRPr="00674542">
        <w:rPr>
          <w:rFonts w:ascii="Verdana Pro Cond Light" w:hAnsi="Verdana Pro Cond Light" w:cs="Arial"/>
          <w:lang w:val="lv-LV"/>
        </w:rPr>
        <w:t>s finansējums kopā šim atskaites periodam ir 15,3 miljardi EUR.</w:t>
      </w:r>
      <w:r w:rsidRPr="00674542">
        <w:rPr>
          <w:rStyle w:val="FootnoteReference"/>
          <w:rFonts w:ascii="Verdana Pro Cond Light" w:hAnsi="Verdana Pro Cond Light" w:cs="Arial"/>
          <w:lang w:val="lv-LV"/>
        </w:rPr>
        <w:footnoteReference w:id="33"/>
      </w:r>
      <w:r w:rsidRPr="00674542">
        <w:rPr>
          <w:rFonts w:ascii="Verdana Pro Cond Light" w:hAnsi="Verdana Pro Cond Light" w:cs="Arial"/>
          <w:lang w:val="lv-LV"/>
        </w:rPr>
        <w:t xml:space="preserve"> Tas nosaka vajadzību nodrošināt ikgadējas investīcijas vidēji 2,5% no IKP apmērā.</w:t>
      </w:r>
    </w:p>
    <w:p w14:paraId="4A5136BA" w14:textId="77777777" w:rsidR="00262896" w:rsidRPr="00674542" w:rsidRDefault="00262896" w:rsidP="00262896">
      <w:pPr>
        <w:widowControl/>
        <w:spacing w:after="120" w:line="240" w:lineRule="auto"/>
        <w:rPr>
          <w:rFonts w:ascii="Verdana Pro Cond Light" w:hAnsi="Verdana Pro Cond Light" w:cs="Arial"/>
          <w:lang w:val="lv-LV"/>
        </w:rPr>
      </w:pPr>
      <w:r w:rsidRPr="00674542">
        <w:rPr>
          <w:rFonts w:ascii="Verdana Pro Cond Light" w:hAnsi="Verdana Pro Cond Light" w:cs="Arial"/>
          <w:b/>
          <w:bCs/>
          <w:lang w:val="lv-LV"/>
        </w:rPr>
        <w:t xml:space="preserve">Kiprā </w:t>
      </w:r>
      <w:r w:rsidRPr="00674542">
        <w:rPr>
          <w:rFonts w:ascii="Verdana Pro Cond Light" w:hAnsi="Verdana Pro Cond Light" w:cs="Arial"/>
          <w:lang w:val="lv-LV"/>
        </w:rPr>
        <w:t xml:space="preserve">NEKP ieviešanai nepieciešamās investīcijas ir jau iezīmētas 4190 milj.EUR apmērā, t.sk. publiskais finansējums 2218 mil.EUR, kā arī novērtēts papildu nepieciešamais finansējums 434 </w:t>
      </w:r>
      <w:r w:rsidRPr="00674542">
        <w:rPr>
          <w:rFonts w:ascii="Verdana Pro Cond Light" w:hAnsi="Verdana Pro Cond Light" w:cs="Arial"/>
          <w:lang w:val="lv-LV"/>
        </w:rPr>
        <w:lastRenderedPageBreak/>
        <w:t>milj.EUR, t.sk. publiskais finansējums 150 milj.EUR.</w:t>
      </w:r>
      <w:r w:rsidRPr="00674542">
        <w:rPr>
          <w:rStyle w:val="FootnoteReference"/>
          <w:rFonts w:ascii="Verdana Pro Cond Light" w:hAnsi="Verdana Pro Cond Light" w:cs="Arial"/>
          <w:lang w:val="lv-LV"/>
        </w:rPr>
        <w:footnoteReference w:id="34"/>
      </w:r>
      <w:r w:rsidRPr="00674542">
        <w:rPr>
          <w:rFonts w:ascii="Verdana Pro Cond Light" w:hAnsi="Verdana Pro Cond Light" w:cs="Arial"/>
          <w:lang w:val="lv-LV"/>
        </w:rPr>
        <w:t xml:space="preserve"> Kopā nepieciešamais finansējums veido 4,6 miljardus EUR jeb laika periodā no 2021.gada līdz 2030.gadam vidēji  1,7 % no IKP.</w:t>
      </w:r>
    </w:p>
    <w:p w14:paraId="28AD4F9E" w14:textId="77777777" w:rsidR="00262896" w:rsidRPr="00674542" w:rsidRDefault="00262896" w:rsidP="00262896">
      <w:pPr>
        <w:widowControl/>
        <w:spacing w:after="120" w:line="240" w:lineRule="auto"/>
        <w:rPr>
          <w:rFonts w:ascii="Verdana Pro Cond Light" w:hAnsi="Verdana Pro Cond Light" w:cs="Arial"/>
          <w:lang w:val="lv-LV"/>
        </w:rPr>
      </w:pPr>
      <w:r w:rsidRPr="00674542">
        <w:rPr>
          <w:rFonts w:ascii="Verdana Pro Cond Light" w:hAnsi="Verdana Pro Cond Light" w:cs="Arial"/>
          <w:b/>
          <w:bCs/>
          <w:lang w:val="lv-LV"/>
        </w:rPr>
        <w:t>Somijā</w:t>
      </w:r>
      <w:r w:rsidRPr="00674542">
        <w:rPr>
          <w:rFonts w:ascii="Verdana Pro Cond Light" w:hAnsi="Verdana Pro Cond Light" w:cs="Arial"/>
          <w:lang w:val="lv-LV"/>
        </w:rPr>
        <w:t xml:space="preserve"> NEKP mērķu finansēšanai ir paredzēta izteikti liela privātā finansējuma daļa, kas pēc aplēsēm veido 127 miljardus EUR jeb 45 % no Somijas viena gada IKP jeb vidēji 5,6% no IKP gadā laika periodā no 2023. līdz 2030.gadam. Pie publiskā finansējuma galvenokārt ir minēts ANM u.c. fondi, kopā veidojot relatīvi nelielu summu – vien 544 miljonus EUR.</w:t>
      </w:r>
      <w:r w:rsidRPr="00674542">
        <w:rPr>
          <w:rStyle w:val="FootnoteReference"/>
          <w:rFonts w:ascii="Verdana Pro Cond Light" w:hAnsi="Verdana Pro Cond Light" w:cs="Arial"/>
          <w:lang w:val="lv-LV"/>
        </w:rPr>
        <w:footnoteReference w:id="35"/>
      </w:r>
    </w:p>
    <w:p w14:paraId="1BD43645" w14:textId="77777777" w:rsidR="00262896" w:rsidRPr="00674542" w:rsidRDefault="00262896" w:rsidP="00262896">
      <w:pPr>
        <w:widowControl/>
        <w:spacing w:after="120" w:line="240" w:lineRule="auto"/>
        <w:jc w:val="right"/>
        <w:rPr>
          <w:rFonts w:ascii="Verdana Pro Cond Light" w:hAnsi="Verdana Pro Cond Light" w:cs="Arial"/>
          <w:lang w:val="lv-LV"/>
        </w:rPr>
      </w:pPr>
      <w:r w:rsidRPr="00674542">
        <w:rPr>
          <w:rFonts w:ascii="Verdana Pro Cond Light" w:hAnsi="Verdana Pro Cond Light" w:cs="Arial"/>
          <w:lang w:val="lv-LV"/>
        </w:rPr>
        <w:t>4.2. tabula</w:t>
      </w:r>
    </w:p>
    <w:p w14:paraId="3732AEB0" w14:textId="77777777" w:rsidR="00262896" w:rsidRDefault="00262896" w:rsidP="00262896">
      <w:pPr>
        <w:widowControl/>
        <w:spacing w:after="120" w:line="240" w:lineRule="auto"/>
        <w:jc w:val="center"/>
        <w:rPr>
          <w:rFonts w:ascii="Verdana Pro Cond Light" w:hAnsi="Verdana Pro Cond Light"/>
          <w:b/>
          <w:lang w:val="lv-LV"/>
        </w:rPr>
      </w:pPr>
      <w:r w:rsidRPr="00674542">
        <w:rPr>
          <w:rFonts w:ascii="Verdana Pro Cond Light" w:hAnsi="Verdana Pro Cond Light"/>
          <w:b/>
          <w:lang w:val="lv-LV"/>
        </w:rPr>
        <w:t>Tīrās enerģētikas investīcijas Somijā līdz 2030.gadam pēc sektoriem</w:t>
      </w:r>
    </w:p>
    <w:tbl>
      <w:tblPr>
        <w:tblStyle w:val="TableGrid"/>
        <w:tblW w:w="963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7"/>
        <w:gridCol w:w="1701"/>
      </w:tblGrid>
      <w:tr w:rsidR="00262896" w:rsidRPr="00A93D72" w14:paraId="7AD9CEF0" w14:textId="77777777" w:rsidTr="0002297E">
        <w:trPr>
          <w:jc w:val="center"/>
        </w:trPr>
        <w:tc>
          <w:tcPr>
            <w:tcW w:w="7937" w:type="dxa"/>
            <w:shd w:val="clear" w:color="auto" w:fill="4472C4" w:themeFill="accent1"/>
          </w:tcPr>
          <w:p w14:paraId="2E646391" w14:textId="77777777" w:rsidR="00262896" w:rsidRPr="00A93D72" w:rsidRDefault="00262896" w:rsidP="0002297E">
            <w:pPr>
              <w:widowControl/>
              <w:spacing w:before="40" w:after="40" w:line="240" w:lineRule="auto"/>
              <w:jc w:val="center"/>
              <w:rPr>
                <w:rFonts w:asciiTheme="majorHAnsi" w:hAnsiTheme="majorHAnsi" w:cstheme="majorHAnsi"/>
                <w:b/>
                <w:bCs/>
                <w:color w:val="FFFFFF" w:themeColor="background1"/>
                <w:sz w:val="16"/>
                <w:szCs w:val="16"/>
                <w:lang w:val="lv-LV"/>
              </w:rPr>
            </w:pPr>
            <w:r w:rsidRPr="00AC0319">
              <w:rPr>
                <w:rFonts w:asciiTheme="majorHAnsi" w:hAnsiTheme="majorHAnsi" w:cstheme="majorHAnsi"/>
                <w:b/>
                <w:bCs/>
                <w:color w:val="FFFFFF" w:themeColor="background1"/>
                <w:sz w:val="16"/>
                <w:szCs w:val="16"/>
                <w:lang w:val="lv-LV"/>
              </w:rPr>
              <w:t>Enerģētikas tehnoloģiju nozare</w:t>
            </w:r>
          </w:p>
        </w:tc>
        <w:tc>
          <w:tcPr>
            <w:tcW w:w="1701" w:type="dxa"/>
            <w:shd w:val="clear" w:color="auto" w:fill="4472C4" w:themeFill="accent1"/>
          </w:tcPr>
          <w:p w14:paraId="5C4C6C0B" w14:textId="77777777" w:rsidR="00262896" w:rsidRDefault="00262896" w:rsidP="0002297E">
            <w:pPr>
              <w:widowControl/>
              <w:spacing w:before="40" w:after="40" w:line="240" w:lineRule="auto"/>
              <w:jc w:val="center"/>
              <w:rPr>
                <w:rFonts w:asciiTheme="majorHAnsi" w:hAnsiTheme="majorHAnsi" w:cstheme="majorHAnsi"/>
                <w:b/>
                <w:bCs/>
                <w:color w:val="FFFFFF" w:themeColor="background1"/>
                <w:sz w:val="16"/>
                <w:szCs w:val="16"/>
                <w:lang w:val="lv-LV"/>
              </w:rPr>
            </w:pPr>
            <w:r>
              <w:rPr>
                <w:rFonts w:asciiTheme="majorHAnsi" w:hAnsiTheme="majorHAnsi" w:cstheme="majorHAnsi"/>
                <w:b/>
                <w:bCs/>
                <w:color w:val="FFFFFF" w:themeColor="background1"/>
                <w:sz w:val="16"/>
                <w:szCs w:val="16"/>
                <w:lang w:val="lv-LV"/>
              </w:rPr>
              <w:t>EUR, milj.</w:t>
            </w:r>
          </w:p>
        </w:tc>
      </w:tr>
      <w:tr w:rsidR="00262896" w:rsidRPr="00674542" w14:paraId="7995DA5A" w14:textId="77777777" w:rsidTr="0002297E">
        <w:trPr>
          <w:jc w:val="center"/>
        </w:trPr>
        <w:tc>
          <w:tcPr>
            <w:tcW w:w="7937" w:type="dxa"/>
            <w:shd w:val="clear" w:color="auto" w:fill="D9E2F3" w:themeFill="accent1" w:themeFillTint="33"/>
            <w:vAlign w:val="bottom"/>
          </w:tcPr>
          <w:p w14:paraId="10E4D170" w14:textId="77777777" w:rsidR="00262896" w:rsidRPr="00AC0319" w:rsidRDefault="00262896" w:rsidP="0002297E">
            <w:pPr>
              <w:widowControl/>
              <w:spacing w:before="40" w:after="40" w:line="240" w:lineRule="auto"/>
              <w:rPr>
                <w:rFonts w:asciiTheme="majorHAnsi" w:hAnsiTheme="majorHAnsi" w:cstheme="majorHAnsi"/>
                <w:sz w:val="16"/>
                <w:szCs w:val="16"/>
                <w:lang w:val="lv-LV"/>
              </w:rPr>
            </w:pPr>
            <w:r w:rsidRPr="00AC0319">
              <w:rPr>
                <w:rFonts w:asciiTheme="majorHAnsi" w:eastAsia="Times New Roman" w:hAnsiTheme="majorHAnsi" w:cstheme="majorHAnsi"/>
                <w:color w:val="000000"/>
                <w:sz w:val="16"/>
                <w:szCs w:val="16"/>
              </w:rPr>
              <w:t>Sauszemes vēja enerģijas ražošana</w:t>
            </w:r>
          </w:p>
        </w:tc>
        <w:tc>
          <w:tcPr>
            <w:tcW w:w="1701" w:type="dxa"/>
            <w:shd w:val="clear" w:color="auto" w:fill="D9E2F3" w:themeFill="accent1" w:themeFillTint="33"/>
            <w:vAlign w:val="bottom"/>
          </w:tcPr>
          <w:p w14:paraId="35438018" w14:textId="77777777" w:rsidR="00262896" w:rsidRPr="00070255" w:rsidRDefault="00262896" w:rsidP="0002297E">
            <w:pPr>
              <w:widowControl/>
              <w:spacing w:before="40" w:after="40" w:line="240" w:lineRule="auto"/>
              <w:jc w:val="center"/>
              <w:rPr>
                <w:rFonts w:asciiTheme="majorHAnsi" w:hAnsiTheme="majorHAnsi" w:cstheme="majorHAnsi"/>
                <w:sz w:val="16"/>
                <w:szCs w:val="16"/>
                <w:lang w:val="lv-LV"/>
              </w:rPr>
            </w:pPr>
            <w:r w:rsidRPr="00070255">
              <w:rPr>
                <w:rFonts w:asciiTheme="majorHAnsi" w:eastAsia="Times New Roman" w:hAnsiTheme="majorHAnsi" w:cstheme="majorHAnsi"/>
                <w:color w:val="000000"/>
                <w:sz w:val="16"/>
                <w:szCs w:val="16"/>
              </w:rPr>
              <w:t>54,000</w:t>
            </w:r>
          </w:p>
        </w:tc>
      </w:tr>
      <w:tr w:rsidR="00262896" w:rsidRPr="00674542" w14:paraId="52315EC5" w14:textId="77777777" w:rsidTr="0002297E">
        <w:trPr>
          <w:jc w:val="center"/>
        </w:trPr>
        <w:tc>
          <w:tcPr>
            <w:tcW w:w="7937" w:type="dxa"/>
            <w:shd w:val="clear" w:color="auto" w:fill="B4C6E7" w:themeFill="accent1" w:themeFillTint="66"/>
            <w:vAlign w:val="bottom"/>
          </w:tcPr>
          <w:p w14:paraId="04E6B366" w14:textId="77777777" w:rsidR="00262896" w:rsidRPr="00AC0319" w:rsidRDefault="00262896" w:rsidP="0002297E">
            <w:pPr>
              <w:widowControl/>
              <w:spacing w:before="40" w:after="40" w:line="240" w:lineRule="auto"/>
              <w:rPr>
                <w:rFonts w:asciiTheme="majorHAnsi" w:hAnsiTheme="majorHAnsi" w:cstheme="majorHAnsi"/>
                <w:sz w:val="16"/>
                <w:szCs w:val="16"/>
                <w:lang w:val="lv-LV"/>
              </w:rPr>
            </w:pPr>
            <w:r w:rsidRPr="00AC0319">
              <w:rPr>
                <w:rFonts w:asciiTheme="majorHAnsi" w:eastAsia="Times New Roman" w:hAnsiTheme="majorHAnsi" w:cstheme="majorHAnsi"/>
                <w:color w:val="000000"/>
                <w:sz w:val="16"/>
                <w:szCs w:val="16"/>
              </w:rPr>
              <w:t>Jūras vēja enerģijas ražošana</w:t>
            </w:r>
          </w:p>
        </w:tc>
        <w:tc>
          <w:tcPr>
            <w:tcW w:w="1701" w:type="dxa"/>
            <w:shd w:val="clear" w:color="auto" w:fill="B4C6E7" w:themeFill="accent1" w:themeFillTint="66"/>
            <w:vAlign w:val="bottom"/>
          </w:tcPr>
          <w:p w14:paraId="217CF78B" w14:textId="77777777" w:rsidR="00262896" w:rsidRPr="00070255" w:rsidRDefault="00262896" w:rsidP="0002297E">
            <w:pPr>
              <w:widowControl/>
              <w:spacing w:before="40" w:after="40" w:line="240" w:lineRule="auto"/>
              <w:jc w:val="center"/>
              <w:rPr>
                <w:rFonts w:asciiTheme="majorHAnsi" w:hAnsiTheme="majorHAnsi" w:cstheme="majorHAnsi"/>
                <w:sz w:val="16"/>
                <w:szCs w:val="16"/>
                <w:lang w:val="lv-LV"/>
              </w:rPr>
            </w:pPr>
            <w:r w:rsidRPr="00070255">
              <w:rPr>
                <w:rFonts w:asciiTheme="majorHAnsi" w:eastAsia="Times New Roman" w:hAnsiTheme="majorHAnsi" w:cstheme="majorHAnsi"/>
                <w:color w:val="000000"/>
                <w:sz w:val="16"/>
                <w:szCs w:val="16"/>
              </w:rPr>
              <w:t>43,000</w:t>
            </w:r>
          </w:p>
        </w:tc>
      </w:tr>
      <w:tr w:rsidR="00262896" w:rsidRPr="00674542" w14:paraId="14494DB1" w14:textId="77777777" w:rsidTr="0002297E">
        <w:trPr>
          <w:jc w:val="center"/>
        </w:trPr>
        <w:tc>
          <w:tcPr>
            <w:tcW w:w="7937" w:type="dxa"/>
            <w:shd w:val="clear" w:color="auto" w:fill="D9E2F3" w:themeFill="accent1" w:themeFillTint="33"/>
            <w:vAlign w:val="bottom"/>
          </w:tcPr>
          <w:p w14:paraId="4B0D8C26" w14:textId="77777777" w:rsidR="00262896" w:rsidRPr="00AC0319" w:rsidRDefault="00262896" w:rsidP="0002297E">
            <w:pPr>
              <w:widowControl/>
              <w:spacing w:before="40" w:after="40" w:line="240" w:lineRule="auto"/>
              <w:rPr>
                <w:rFonts w:asciiTheme="majorHAnsi" w:hAnsiTheme="majorHAnsi" w:cstheme="majorHAnsi"/>
                <w:sz w:val="16"/>
                <w:szCs w:val="16"/>
                <w:lang w:val="lv-LV"/>
              </w:rPr>
            </w:pPr>
            <w:r w:rsidRPr="00AC0319">
              <w:rPr>
                <w:rFonts w:asciiTheme="majorHAnsi" w:eastAsia="Times New Roman" w:hAnsiTheme="majorHAnsi" w:cstheme="majorHAnsi"/>
                <w:color w:val="000000"/>
                <w:sz w:val="16"/>
                <w:szCs w:val="16"/>
              </w:rPr>
              <w:t>Tīra ūdeņraža ražošana</w:t>
            </w:r>
          </w:p>
        </w:tc>
        <w:tc>
          <w:tcPr>
            <w:tcW w:w="1701" w:type="dxa"/>
            <w:shd w:val="clear" w:color="auto" w:fill="D9E2F3" w:themeFill="accent1" w:themeFillTint="33"/>
            <w:vAlign w:val="bottom"/>
          </w:tcPr>
          <w:p w14:paraId="61C66CD0" w14:textId="77777777" w:rsidR="00262896" w:rsidRPr="00070255" w:rsidRDefault="00262896" w:rsidP="0002297E">
            <w:pPr>
              <w:widowControl/>
              <w:spacing w:before="40" w:after="40" w:line="240" w:lineRule="auto"/>
              <w:jc w:val="center"/>
              <w:rPr>
                <w:rFonts w:asciiTheme="majorHAnsi" w:hAnsiTheme="majorHAnsi" w:cstheme="majorHAnsi"/>
                <w:sz w:val="16"/>
                <w:szCs w:val="16"/>
                <w:lang w:val="lv-LV"/>
              </w:rPr>
            </w:pPr>
            <w:r w:rsidRPr="00070255">
              <w:rPr>
                <w:rFonts w:asciiTheme="majorHAnsi" w:eastAsia="Times New Roman" w:hAnsiTheme="majorHAnsi" w:cstheme="majorHAnsi"/>
                <w:color w:val="000000"/>
                <w:sz w:val="16"/>
                <w:szCs w:val="16"/>
              </w:rPr>
              <w:t>11,000</w:t>
            </w:r>
          </w:p>
        </w:tc>
      </w:tr>
      <w:tr w:rsidR="00262896" w:rsidRPr="00674542" w14:paraId="4F7C5BDD" w14:textId="77777777" w:rsidTr="0002297E">
        <w:trPr>
          <w:jc w:val="center"/>
        </w:trPr>
        <w:tc>
          <w:tcPr>
            <w:tcW w:w="7937" w:type="dxa"/>
            <w:shd w:val="clear" w:color="auto" w:fill="B4C6E7" w:themeFill="accent1" w:themeFillTint="66"/>
            <w:vAlign w:val="bottom"/>
          </w:tcPr>
          <w:p w14:paraId="5B3648E1" w14:textId="77777777" w:rsidR="00262896" w:rsidRPr="00AC0319" w:rsidRDefault="00262896" w:rsidP="0002297E">
            <w:pPr>
              <w:widowControl/>
              <w:spacing w:before="40" w:after="40" w:line="240" w:lineRule="auto"/>
              <w:rPr>
                <w:rFonts w:asciiTheme="majorHAnsi" w:hAnsiTheme="majorHAnsi" w:cstheme="majorHAnsi"/>
                <w:sz w:val="16"/>
                <w:szCs w:val="16"/>
                <w:lang w:val="lv-LV"/>
              </w:rPr>
            </w:pPr>
            <w:r w:rsidRPr="00AC0319">
              <w:rPr>
                <w:rFonts w:asciiTheme="majorHAnsi" w:eastAsia="Times New Roman" w:hAnsiTheme="majorHAnsi" w:cstheme="majorHAnsi"/>
                <w:color w:val="000000"/>
                <w:sz w:val="16"/>
                <w:szCs w:val="16"/>
              </w:rPr>
              <w:t>Zema oglekļa tērauda ražošana</w:t>
            </w:r>
          </w:p>
        </w:tc>
        <w:tc>
          <w:tcPr>
            <w:tcW w:w="1701" w:type="dxa"/>
            <w:shd w:val="clear" w:color="auto" w:fill="B4C6E7" w:themeFill="accent1" w:themeFillTint="66"/>
            <w:vAlign w:val="bottom"/>
          </w:tcPr>
          <w:p w14:paraId="4C96C7D0" w14:textId="77777777" w:rsidR="00262896" w:rsidRPr="00AC0319" w:rsidRDefault="00262896" w:rsidP="0002297E">
            <w:pPr>
              <w:widowControl/>
              <w:spacing w:before="40" w:after="40" w:line="240" w:lineRule="auto"/>
              <w:jc w:val="center"/>
              <w:rPr>
                <w:rFonts w:asciiTheme="majorHAnsi" w:hAnsiTheme="majorHAnsi" w:cstheme="majorHAnsi"/>
                <w:sz w:val="16"/>
                <w:szCs w:val="16"/>
                <w:lang w:val="lv-LV"/>
              </w:rPr>
            </w:pPr>
            <w:r w:rsidRPr="00AC0319">
              <w:rPr>
                <w:rFonts w:asciiTheme="majorHAnsi" w:eastAsia="Times New Roman" w:hAnsiTheme="majorHAnsi" w:cstheme="majorHAnsi"/>
                <w:color w:val="000000"/>
                <w:sz w:val="16"/>
                <w:szCs w:val="16"/>
              </w:rPr>
              <w:t>6,100</w:t>
            </w:r>
          </w:p>
        </w:tc>
      </w:tr>
      <w:tr w:rsidR="00262896" w:rsidRPr="00674542" w14:paraId="13EC34CA" w14:textId="77777777" w:rsidTr="0002297E">
        <w:trPr>
          <w:jc w:val="center"/>
        </w:trPr>
        <w:tc>
          <w:tcPr>
            <w:tcW w:w="7937" w:type="dxa"/>
            <w:shd w:val="clear" w:color="auto" w:fill="D9E2F3" w:themeFill="accent1" w:themeFillTint="33"/>
            <w:vAlign w:val="bottom"/>
          </w:tcPr>
          <w:p w14:paraId="70DD1D4D" w14:textId="77777777" w:rsidR="00262896" w:rsidRPr="00AC0319" w:rsidRDefault="00262896" w:rsidP="0002297E">
            <w:pPr>
              <w:widowControl/>
              <w:spacing w:before="40" w:after="40" w:line="240" w:lineRule="auto"/>
              <w:rPr>
                <w:rFonts w:asciiTheme="majorHAnsi" w:hAnsiTheme="majorHAnsi" w:cstheme="majorHAnsi"/>
                <w:sz w:val="16"/>
                <w:szCs w:val="16"/>
                <w:lang w:val="lv-LV"/>
              </w:rPr>
            </w:pPr>
            <w:r w:rsidRPr="00AC0319">
              <w:rPr>
                <w:rFonts w:asciiTheme="majorHAnsi" w:eastAsia="Times New Roman" w:hAnsiTheme="majorHAnsi" w:cstheme="majorHAnsi"/>
                <w:color w:val="000000"/>
                <w:sz w:val="16"/>
                <w:szCs w:val="16"/>
              </w:rPr>
              <w:t>Akumulatoru minerālu, ķīmisko vielu un materiālu ražošana</w:t>
            </w:r>
          </w:p>
        </w:tc>
        <w:tc>
          <w:tcPr>
            <w:tcW w:w="1701" w:type="dxa"/>
            <w:shd w:val="clear" w:color="auto" w:fill="D9E2F3" w:themeFill="accent1" w:themeFillTint="33"/>
            <w:vAlign w:val="bottom"/>
          </w:tcPr>
          <w:p w14:paraId="6DBA0204" w14:textId="77777777" w:rsidR="00262896" w:rsidRPr="00AC0319" w:rsidRDefault="00262896" w:rsidP="0002297E">
            <w:pPr>
              <w:widowControl/>
              <w:spacing w:before="40" w:after="40" w:line="240" w:lineRule="auto"/>
              <w:jc w:val="center"/>
              <w:rPr>
                <w:rFonts w:asciiTheme="majorHAnsi" w:hAnsiTheme="majorHAnsi" w:cstheme="majorHAnsi"/>
                <w:sz w:val="16"/>
                <w:szCs w:val="16"/>
                <w:lang w:val="lv-LV"/>
              </w:rPr>
            </w:pPr>
            <w:r w:rsidRPr="00AC0319">
              <w:rPr>
                <w:rFonts w:asciiTheme="majorHAnsi" w:eastAsia="Times New Roman" w:hAnsiTheme="majorHAnsi" w:cstheme="majorHAnsi"/>
                <w:color w:val="000000"/>
                <w:sz w:val="16"/>
                <w:szCs w:val="16"/>
              </w:rPr>
              <w:t>4,900</w:t>
            </w:r>
          </w:p>
        </w:tc>
      </w:tr>
      <w:tr w:rsidR="00262896" w:rsidRPr="00674542" w14:paraId="4E13743B" w14:textId="77777777" w:rsidTr="0002297E">
        <w:trPr>
          <w:jc w:val="center"/>
        </w:trPr>
        <w:tc>
          <w:tcPr>
            <w:tcW w:w="7937" w:type="dxa"/>
            <w:shd w:val="clear" w:color="auto" w:fill="B4C6E7" w:themeFill="accent1" w:themeFillTint="66"/>
            <w:vAlign w:val="bottom"/>
          </w:tcPr>
          <w:p w14:paraId="67B1DB0F" w14:textId="77777777" w:rsidR="00262896" w:rsidRPr="00AC0319" w:rsidRDefault="00262896" w:rsidP="0002297E">
            <w:pPr>
              <w:widowControl/>
              <w:spacing w:before="40" w:after="40" w:line="240" w:lineRule="auto"/>
              <w:rPr>
                <w:rFonts w:asciiTheme="majorHAnsi" w:hAnsiTheme="majorHAnsi" w:cstheme="majorHAnsi"/>
                <w:sz w:val="16"/>
                <w:szCs w:val="16"/>
                <w:lang w:val="lv-LV"/>
              </w:rPr>
            </w:pPr>
            <w:r w:rsidRPr="00097491">
              <w:rPr>
                <w:rFonts w:asciiTheme="majorHAnsi" w:eastAsia="Times New Roman" w:hAnsiTheme="majorHAnsi" w:cstheme="majorHAnsi"/>
                <w:color w:val="000000"/>
                <w:sz w:val="16"/>
                <w:szCs w:val="16"/>
                <w:lang w:val="sv-SE"/>
              </w:rPr>
              <w:t>Elektroenerģijas pārvades tīkla paplašināšana un pastiprināšana</w:t>
            </w:r>
          </w:p>
        </w:tc>
        <w:tc>
          <w:tcPr>
            <w:tcW w:w="1701" w:type="dxa"/>
            <w:shd w:val="clear" w:color="auto" w:fill="B4C6E7" w:themeFill="accent1" w:themeFillTint="66"/>
            <w:vAlign w:val="bottom"/>
          </w:tcPr>
          <w:p w14:paraId="2D2DB8B3" w14:textId="77777777" w:rsidR="00262896" w:rsidRPr="00AC0319" w:rsidRDefault="00262896" w:rsidP="0002297E">
            <w:pPr>
              <w:widowControl/>
              <w:spacing w:before="40" w:after="40" w:line="240" w:lineRule="auto"/>
              <w:jc w:val="center"/>
              <w:rPr>
                <w:rFonts w:asciiTheme="majorHAnsi" w:hAnsiTheme="majorHAnsi" w:cstheme="majorHAnsi"/>
                <w:sz w:val="16"/>
                <w:szCs w:val="16"/>
                <w:lang w:val="lv-LV"/>
              </w:rPr>
            </w:pPr>
            <w:r w:rsidRPr="00AC0319">
              <w:rPr>
                <w:rFonts w:asciiTheme="majorHAnsi" w:eastAsia="Times New Roman" w:hAnsiTheme="majorHAnsi" w:cstheme="majorHAnsi"/>
                <w:color w:val="000000"/>
                <w:sz w:val="16"/>
                <w:szCs w:val="16"/>
              </w:rPr>
              <w:t>3,000</w:t>
            </w:r>
          </w:p>
        </w:tc>
      </w:tr>
      <w:tr w:rsidR="00262896" w:rsidRPr="00674542" w14:paraId="2B28B6EC" w14:textId="77777777" w:rsidTr="0002297E">
        <w:trPr>
          <w:jc w:val="center"/>
        </w:trPr>
        <w:tc>
          <w:tcPr>
            <w:tcW w:w="7937" w:type="dxa"/>
            <w:shd w:val="clear" w:color="auto" w:fill="D9E2F3" w:themeFill="accent1" w:themeFillTint="33"/>
            <w:vAlign w:val="bottom"/>
          </w:tcPr>
          <w:p w14:paraId="5B5EE707" w14:textId="77777777" w:rsidR="00262896" w:rsidRPr="00AC0319" w:rsidRDefault="00262896" w:rsidP="0002297E">
            <w:pPr>
              <w:widowControl/>
              <w:spacing w:before="40" w:after="40" w:line="240" w:lineRule="auto"/>
              <w:rPr>
                <w:rFonts w:asciiTheme="majorHAnsi" w:hAnsiTheme="majorHAnsi" w:cstheme="majorHAnsi"/>
                <w:sz w:val="16"/>
                <w:szCs w:val="16"/>
                <w:lang w:val="lv-LV"/>
              </w:rPr>
            </w:pPr>
            <w:r w:rsidRPr="00AC0319">
              <w:rPr>
                <w:rFonts w:asciiTheme="majorHAnsi" w:eastAsia="Times New Roman" w:hAnsiTheme="majorHAnsi" w:cstheme="majorHAnsi"/>
                <w:color w:val="000000"/>
                <w:sz w:val="16"/>
                <w:szCs w:val="16"/>
              </w:rPr>
              <w:t>Enerģijas uzglabāšana (sūknētā hidroģenerācija)</w:t>
            </w:r>
          </w:p>
        </w:tc>
        <w:tc>
          <w:tcPr>
            <w:tcW w:w="1701" w:type="dxa"/>
            <w:shd w:val="clear" w:color="auto" w:fill="D9E2F3" w:themeFill="accent1" w:themeFillTint="33"/>
            <w:vAlign w:val="bottom"/>
          </w:tcPr>
          <w:p w14:paraId="62D1F173" w14:textId="77777777" w:rsidR="00262896" w:rsidRPr="00AC0319" w:rsidRDefault="00262896" w:rsidP="0002297E">
            <w:pPr>
              <w:widowControl/>
              <w:spacing w:before="40" w:after="40" w:line="240" w:lineRule="auto"/>
              <w:jc w:val="center"/>
              <w:rPr>
                <w:rFonts w:asciiTheme="majorHAnsi" w:hAnsiTheme="majorHAnsi" w:cstheme="majorHAnsi"/>
                <w:sz w:val="16"/>
                <w:szCs w:val="16"/>
                <w:lang w:val="lv-LV"/>
              </w:rPr>
            </w:pPr>
            <w:r w:rsidRPr="00AC0319">
              <w:rPr>
                <w:rFonts w:asciiTheme="majorHAnsi" w:eastAsia="Times New Roman" w:hAnsiTheme="majorHAnsi" w:cstheme="majorHAnsi"/>
                <w:color w:val="000000"/>
                <w:sz w:val="16"/>
                <w:szCs w:val="16"/>
              </w:rPr>
              <w:t>2,500</w:t>
            </w:r>
          </w:p>
        </w:tc>
      </w:tr>
      <w:tr w:rsidR="00262896" w:rsidRPr="00674542" w14:paraId="5B06BFA2" w14:textId="77777777" w:rsidTr="0002297E">
        <w:trPr>
          <w:jc w:val="center"/>
        </w:trPr>
        <w:tc>
          <w:tcPr>
            <w:tcW w:w="7937" w:type="dxa"/>
            <w:shd w:val="clear" w:color="auto" w:fill="B4C6E7" w:themeFill="accent1" w:themeFillTint="66"/>
            <w:vAlign w:val="bottom"/>
          </w:tcPr>
          <w:p w14:paraId="53FE5606" w14:textId="77777777" w:rsidR="00262896" w:rsidRPr="00AC0319" w:rsidRDefault="00262896" w:rsidP="0002297E">
            <w:pPr>
              <w:widowControl/>
              <w:spacing w:before="40" w:after="40" w:line="240" w:lineRule="auto"/>
              <w:rPr>
                <w:rFonts w:asciiTheme="majorHAnsi" w:hAnsiTheme="majorHAnsi" w:cstheme="majorHAnsi"/>
                <w:sz w:val="16"/>
                <w:szCs w:val="16"/>
                <w:lang w:val="lv-LV"/>
              </w:rPr>
            </w:pPr>
            <w:r w:rsidRPr="00AC0319">
              <w:rPr>
                <w:rFonts w:asciiTheme="majorHAnsi" w:eastAsia="Times New Roman" w:hAnsiTheme="majorHAnsi" w:cstheme="majorHAnsi"/>
                <w:color w:val="000000"/>
                <w:sz w:val="16"/>
                <w:szCs w:val="16"/>
              </w:rPr>
              <w:t>Kodolenerģijas ražošana (Loviisa AES kalpošanas laika pagarināšana līdz 2050. gadam)</w:t>
            </w:r>
          </w:p>
        </w:tc>
        <w:tc>
          <w:tcPr>
            <w:tcW w:w="1701" w:type="dxa"/>
            <w:shd w:val="clear" w:color="auto" w:fill="B4C6E7" w:themeFill="accent1" w:themeFillTint="66"/>
            <w:vAlign w:val="bottom"/>
          </w:tcPr>
          <w:p w14:paraId="5F36F94C" w14:textId="77777777" w:rsidR="00262896" w:rsidRPr="00AC0319" w:rsidRDefault="00262896" w:rsidP="0002297E">
            <w:pPr>
              <w:widowControl/>
              <w:spacing w:before="40" w:after="40" w:line="240" w:lineRule="auto"/>
              <w:jc w:val="center"/>
              <w:rPr>
                <w:rFonts w:asciiTheme="majorHAnsi" w:hAnsiTheme="majorHAnsi" w:cstheme="majorHAnsi"/>
                <w:sz w:val="16"/>
                <w:szCs w:val="16"/>
                <w:lang w:val="lv-LV"/>
              </w:rPr>
            </w:pPr>
            <w:r w:rsidRPr="00AC0319">
              <w:rPr>
                <w:rFonts w:asciiTheme="majorHAnsi" w:eastAsia="Times New Roman" w:hAnsiTheme="majorHAnsi" w:cstheme="majorHAnsi"/>
                <w:color w:val="000000"/>
                <w:sz w:val="16"/>
                <w:szCs w:val="16"/>
              </w:rPr>
              <w:t>1,000</w:t>
            </w:r>
          </w:p>
        </w:tc>
      </w:tr>
      <w:tr w:rsidR="00262896" w:rsidRPr="00674542" w14:paraId="15F8B389" w14:textId="77777777" w:rsidTr="0002297E">
        <w:trPr>
          <w:jc w:val="center"/>
        </w:trPr>
        <w:tc>
          <w:tcPr>
            <w:tcW w:w="7937" w:type="dxa"/>
            <w:shd w:val="clear" w:color="auto" w:fill="D9E2F3" w:themeFill="accent1" w:themeFillTint="33"/>
            <w:vAlign w:val="bottom"/>
          </w:tcPr>
          <w:p w14:paraId="2CF2A0B0" w14:textId="77777777" w:rsidR="00262896" w:rsidRPr="00AC0319" w:rsidRDefault="00262896" w:rsidP="0002297E">
            <w:pPr>
              <w:widowControl/>
              <w:spacing w:before="40" w:after="40" w:line="240" w:lineRule="auto"/>
              <w:rPr>
                <w:rFonts w:asciiTheme="majorHAnsi" w:hAnsiTheme="majorHAnsi" w:cstheme="majorHAnsi"/>
                <w:sz w:val="16"/>
                <w:szCs w:val="16"/>
                <w:lang w:val="lv-LV"/>
              </w:rPr>
            </w:pPr>
            <w:r w:rsidRPr="00AC0319">
              <w:rPr>
                <w:rFonts w:asciiTheme="majorHAnsi" w:eastAsia="Times New Roman" w:hAnsiTheme="majorHAnsi" w:cstheme="majorHAnsi"/>
                <w:color w:val="000000"/>
                <w:sz w:val="16"/>
                <w:szCs w:val="16"/>
              </w:rPr>
              <w:t>Saules enerģijas ražošana</w:t>
            </w:r>
          </w:p>
        </w:tc>
        <w:tc>
          <w:tcPr>
            <w:tcW w:w="1701" w:type="dxa"/>
            <w:shd w:val="clear" w:color="auto" w:fill="D9E2F3" w:themeFill="accent1" w:themeFillTint="33"/>
            <w:vAlign w:val="bottom"/>
          </w:tcPr>
          <w:p w14:paraId="730B5CEC" w14:textId="77777777" w:rsidR="00262896" w:rsidRPr="00AC0319" w:rsidRDefault="00262896" w:rsidP="0002297E">
            <w:pPr>
              <w:widowControl/>
              <w:spacing w:before="40" w:after="40" w:line="240" w:lineRule="auto"/>
              <w:jc w:val="center"/>
              <w:rPr>
                <w:rFonts w:asciiTheme="majorHAnsi" w:hAnsiTheme="majorHAnsi" w:cstheme="majorHAnsi"/>
                <w:sz w:val="16"/>
                <w:szCs w:val="16"/>
                <w:lang w:val="lv-LV"/>
              </w:rPr>
            </w:pPr>
            <w:r w:rsidRPr="00AC0319">
              <w:rPr>
                <w:rFonts w:asciiTheme="majorHAnsi" w:eastAsia="Times New Roman" w:hAnsiTheme="majorHAnsi" w:cstheme="majorHAnsi"/>
                <w:color w:val="000000"/>
                <w:sz w:val="16"/>
                <w:szCs w:val="16"/>
              </w:rPr>
              <w:t>900</w:t>
            </w:r>
          </w:p>
        </w:tc>
      </w:tr>
      <w:tr w:rsidR="00262896" w:rsidRPr="00674542" w14:paraId="787B00A9" w14:textId="77777777" w:rsidTr="0002297E">
        <w:trPr>
          <w:jc w:val="center"/>
        </w:trPr>
        <w:tc>
          <w:tcPr>
            <w:tcW w:w="7937" w:type="dxa"/>
            <w:shd w:val="clear" w:color="auto" w:fill="B4C6E7" w:themeFill="accent1" w:themeFillTint="66"/>
            <w:vAlign w:val="bottom"/>
          </w:tcPr>
          <w:p w14:paraId="010C5488" w14:textId="77777777" w:rsidR="00262896" w:rsidRPr="00AC0319" w:rsidRDefault="00262896" w:rsidP="0002297E">
            <w:pPr>
              <w:widowControl/>
              <w:spacing w:before="40" w:after="40" w:line="240" w:lineRule="auto"/>
              <w:rPr>
                <w:rFonts w:asciiTheme="majorHAnsi" w:hAnsiTheme="majorHAnsi" w:cstheme="majorHAnsi"/>
                <w:sz w:val="16"/>
                <w:szCs w:val="16"/>
                <w:lang w:val="lv-LV"/>
              </w:rPr>
            </w:pPr>
            <w:r w:rsidRPr="00AC0319">
              <w:rPr>
                <w:rFonts w:asciiTheme="majorHAnsi" w:eastAsia="Times New Roman" w:hAnsiTheme="majorHAnsi" w:cstheme="majorHAnsi"/>
                <w:color w:val="000000"/>
                <w:sz w:val="16"/>
                <w:szCs w:val="16"/>
              </w:rPr>
              <w:t>Biogāzes ražošana</w:t>
            </w:r>
          </w:p>
        </w:tc>
        <w:tc>
          <w:tcPr>
            <w:tcW w:w="1701" w:type="dxa"/>
            <w:shd w:val="clear" w:color="auto" w:fill="B4C6E7" w:themeFill="accent1" w:themeFillTint="66"/>
            <w:vAlign w:val="bottom"/>
          </w:tcPr>
          <w:p w14:paraId="51139D01" w14:textId="77777777" w:rsidR="00262896" w:rsidRPr="00AC0319" w:rsidRDefault="00262896" w:rsidP="0002297E">
            <w:pPr>
              <w:widowControl/>
              <w:spacing w:before="40" w:after="40" w:line="240" w:lineRule="auto"/>
              <w:jc w:val="center"/>
              <w:rPr>
                <w:rFonts w:asciiTheme="majorHAnsi" w:hAnsiTheme="majorHAnsi" w:cstheme="majorHAnsi"/>
                <w:sz w:val="16"/>
                <w:szCs w:val="16"/>
                <w:lang w:val="lv-LV"/>
              </w:rPr>
            </w:pPr>
            <w:r w:rsidRPr="00AC0319">
              <w:rPr>
                <w:rFonts w:asciiTheme="majorHAnsi" w:eastAsia="Times New Roman" w:hAnsiTheme="majorHAnsi" w:cstheme="majorHAnsi"/>
                <w:color w:val="000000"/>
                <w:sz w:val="16"/>
                <w:szCs w:val="16"/>
              </w:rPr>
              <w:t>370</w:t>
            </w:r>
          </w:p>
        </w:tc>
      </w:tr>
      <w:tr w:rsidR="00262896" w:rsidRPr="00674542" w14:paraId="45BD7BA4" w14:textId="77777777" w:rsidTr="0002297E">
        <w:trPr>
          <w:jc w:val="center"/>
        </w:trPr>
        <w:tc>
          <w:tcPr>
            <w:tcW w:w="7937" w:type="dxa"/>
            <w:shd w:val="clear" w:color="auto" w:fill="D9E2F3" w:themeFill="accent1" w:themeFillTint="33"/>
            <w:vAlign w:val="bottom"/>
          </w:tcPr>
          <w:p w14:paraId="21D53BC6" w14:textId="77777777" w:rsidR="00262896" w:rsidRPr="00AC0319" w:rsidRDefault="00262896" w:rsidP="0002297E">
            <w:pPr>
              <w:widowControl/>
              <w:spacing w:before="40" w:after="40" w:line="240" w:lineRule="auto"/>
              <w:rPr>
                <w:rFonts w:asciiTheme="majorHAnsi" w:hAnsiTheme="majorHAnsi" w:cstheme="majorHAnsi"/>
                <w:sz w:val="16"/>
                <w:szCs w:val="16"/>
                <w:lang w:val="lv-LV"/>
              </w:rPr>
            </w:pPr>
            <w:r w:rsidRPr="00AC0319">
              <w:rPr>
                <w:rFonts w:asciiTheme="majorHAnsi" w:eastAsia="Times New Roman" w:hAnsiTheme="majorHAnsi" w:cstheme="majorHAnsi"/>
                <w:color w:val="000000"/>
                <w:sz w:val="16"/>
                <w:szCs w:val="16"/>
              </w:rPr>
              <w:t>Bioenerģijas koģenerācijas ražošana (ar biomasu darbināma koģenerācijas stacija Helsinkos)</w:t>
            </w:r>
          </w:p>
        </w:tc>
        <w:tc>
          <w:tcPr>
            <w:tcW w:w="1701" w:type="dxa"/>
            <w:shd w:val="clear" w:color="auto" w:fill="D9E2F3" w:themeFill="accent1" w:themeFillTint="33"/>
            <w:vAlign w:val="bottom"/>
          </w:tcPr>
          <w:p w14:paraId="0C62CF75" w14:textId="77777777" w:rsidR="00262896" w:rsidRPr="00AC0319" w:rsidRDefault="00262896" w:rsidP="0002297E">
            <w:pPr>
              <w:widowControl/>
              <w:spacing w:before="40" w:after="40" w:line="240" w:lineRule="auto"/>
              <w:jc w:val="center"/>
              <w:rPr>
                <w:rFonts w:asciiTheme="majorHAnsi" w:hAnsiTheme="majorHAnsi" w:cstheme="majorHAnsi"/>
                <w:sz w:val="16"/>
                <w:szCs w:val="16"/>
                <w:lang w:val="lv-LV"/>
              </w:rPr>
            </w:pPr>
            <w:r w:rsidRPr="00AC0319">
              <w:rPr>
                <w:rFonts w:asciiTheme="majorHAnsi" w:eastAsia="Times New Roman" w:hAnsiTheme="majorHAnsi" w:cstheme="majorHAnsi"/>
                <w:color w:val="000000"/>
                <w:sz w:val="16"/>
                <w:szCs w:val="16"/>
              </w:rPr>
              <w:t>250</w:t>
            </w:r>
          </w:p>
        </w:tc>
      </w:tr>
      <w:tr w:rsidR="00262896" w:rsidRPr="00674542" w14:paraId="1BD670C6" w14:textId="77777777" w:rsidTr="0002297E">
        <w:trPr>
          <w:jc w:val="center"/>
        </w:trPr>
        <w:tc>
          <w:tcPr>
            <w:tcW w:w="7937" w:type="dxa"/>
            <w:shd w:val="clear" w:color="auto" w:fill="B4C6E7" w:themeFill="accent1" w:themeFillTint="66"/>
            <w:vAlign w:val="bottom"/>
          </w:tcPr>
          <w:p w14:paraId="113D2F01" w14:textId="77777777" w:rsidR="00262896" w:rsidRPr="00AC0319" w:rsidRDefault="00262896" w:rsidP="0002297E">
            <w:pPr>
              <w:widowControl/>
              <w:spacing w:before="40" w:after="40" w:line="240" w:lineRule="auto"/>
              <w:rPr>
                <w:rFonts w:asciiTheme="majorHAnsi" w:hAnsiTheme="majorHAnsi" w:cstheme="majorHAnsi"/>
                <w:sz w:val="16"/>
                <w:szCs w:val="16"/>
                <w:lang w:val="lv-LV"/>
              </w:rPr>
            </w:pPr>
            <w:r w:rsidRPr="00AC0319">
              <w:rPr>
                <w:rFonts w:asciiTheme="majorHAnsi" w:eastAsia="Times New Roman" w:hAnsiTheme="majorHAnsi" w:cstheme="majorHAnsi"/>
                <w:color w:val="000000"/>
                <w:sz w:val="16"/>
                <w:szCs w:val="16"/>
              </w:rPr>
              <w:t>Siltumsūkņi</w:t>
            </w:r>
          </w:p>
        </w:tc>
        <w:tc>
          <w:tcPr>
            <w:tcW w:w="1701" w:type="dxa"/>
            <w:shd w:val="clear" w:color="auto" w:fill="B4C6E7" w:themeFill="accent1" w:themeFillTint="66"/>
            <w:vAlign w:val="bottom"/>
          </w:tcPr>
          <w:p w14:paraId="7340E678" w14:textId="77777777" w:rsidR="00262896" w:rsidRPr="00AC0319" w:rsidRDefault="00262896" w:rsidP="0002297E">
            <w:pPr>
              <w:widowControl/>
              <w:spacing w:before="40" w:after="40" w:line="240" w:lineRule="auto"/>
              <w:jc w:val="center"/>
              <w:rPr>
                <w:rFonts w:asciiTheme="majorHAnsi" w:hAnsiTheme="majorHAnsi" w:cstheme="majorHAnsi"/>
                <w:sz w:val="16"/>
                <w:szCs w:val="16"/>
                <w:lang w:val="lv-LV"/>
              </w:rPr>
            </w:pPr>
            <w:r w:rsidRPr="00AC0319">
              <w:rPr>
                <w:rFonts w:asciiTheme="majorHAnsi" w:eastAsia="Times New Roman" w:hAnsiTheme="majorHAnsi" w:cstheme="majorHAnsi"/>
                <w:color w:val="000000"/>
                <w:sz w:val="16"/>
                <w:szCs w:val="16"/>
              </w:rPr>
              <w:t>200</w:t>
            </w:r>
          </w:p>
        </w:tc>
      </w:tr>
      <w:tr w:rsidR="00262896" w:rsidRPr="00674542" w14:paraId="40DF12C0" w14:textId="77777777" w:rsidTr="0002297E">
        <w:trPr>
          <w:jc w:val="center"/>
        </w:trPr>
        <w:tc>
          <w:tcPr>
            <w:tcW w:w="7937" w:type="dxa"/>
            <w:shd w:val="clear" w:color="auto" w:fill="D9E2F3" w:themeFill="accent1" w:themeFillTint="33"/>
            <w:vAlign w:val="bottom"/>
          </w:tcPr>
          <w:p w14:paraId="0CB1140E" w14:textId="77777777" w:rsidR="00262896" w:rsidRPr="00AC0319" w:rsidRDefault="00262896" w:rsidP="0002297E">
            <w:pPr>
              <w:widowControl/>
              <w:spacing w:before="40" w:after="40" w:line="240" w:lineRule="auto"/>
              <w:rPr>
                <w:rFonts w:asciiTheme="majorHAnsi" w:hAnsiTheme="majorHAnsi" w:cstheme="majorHAnsi"/>
                <w:sz w:val="16"/>
                <w:szCs w:val="16"/>
                <w:lang w:val="lv-LV"/>
              </w:rPr>
            </w:pPr>
            <w:r w:rsidRPr="00AC0319">
              <w:rPr>
                <w:rFonts w:asciiTheme="majorHAnsi" w:eastAsia="Times New Roman" w:hAnsiTheme="majorHAnsi" w:cstheme="majorHAnsi"/>
                <w:color w:val="000000"/>
                <w:sz w:val="16"/>
                <w:szCs w:val="16"/>
              </w:rPr>
              <w:t>Degvielas pāreja uz nefosilajiem avotiem (rūpniecībā un spēkstacijās)</w:t>
            </w:r>
          </w:p>
        </w:tc>
        <w:tc>
          <w:tcPr>
            <w:tcW w:w="1701" w:type="dxa"/>
            <w:shd w:val="clear" w:color="auto" w:fill="D9E2F3" w:themeFill="accent1" w:themeFillTint="33"/>
            <w:vAlign w:val="bottom"/>
          </w:tcPr>
          <w:p w14:paraId="005B1270" w14:textId="77777777" w:rsidR="00262896" w:rsidRPr="00AC0319" w:rsidRDefault="00262896" w:rsidP="0002297E">
            <w:pPr>
              <w:widowControl/>
              <w:spacing w:before="40" w:after="40" w:line="240" w:lineRule="auto"/>
              <w:jc w:val="center"/>
              <w:rPr>
                <w:rFonts w:asciiTheme="majorHAnsi" w:hAnsiTheme="majorHAnsi" w:cstheme="majorHAnsi"/>
                <w:sz w:val="16"/>
                <w:szCs w:val="16"/>
                <w:lang w:val="lv-LV"/>
              </w:rPr>
            </w:pPr>
            <w:r w:rsidRPr="00AC0319">
              <w:rPr>
                <w:rFonts w:asciiTheme="majorHAnsi" w:eastAsia="Times New Roman" w:hAnsiTheme="majorHAnsi" w:cstheme="majorHAnsi"/>
                <w:color w:val="000000"/>
                <w:sz w:val="16"/>
                <w:szCs w:val="16"/>
              </w:rPr>
              <w:t>120</w:t>
            </w:r>
          </w:p>
        </w:tc>
      </w:tr>
      <w:tr w:rsidR="00262896" w:rsidRPr="00674542" w14:paraId="1033B3A8" w14:textId="77777777" w:rsidTr="0002297E">
        <w:trPr>
          <w:jc w:val="center"/>
        </w:trPr>
        <w:tc>
          <w:tcPr>
            <w:tcW w:w="7937" w:type="dxa"/>
            <w:shd w:val="clear" w:color="auto" w:fill="B4C6E7" w:themeFill="accent1" w:themeFillTint="66"/>
            <w:vAlign w:val="bottom"/>
          </w:tcPr>
          <w:p w14:paraId="48DF3534" w14:textId="77777777" w:rsidR="00262896" w:rsidRPr="00AC0319" w:rsidRDefault="00262896" w:rsidP="0002297E">
            <w:pPr>
              <w:widowControl/>
              <w:spacing w:before="40" w:after="40" w:line="240" w:lineRule="auto"/>
              <w:rPr>
                <w:rFonts w:asciiTheme="majorHAnsi" w:hAnsiTheme="majorHAnsi" w:cstheme="majorHAnsi"/>
                <w:sz w:val="16"/>
                <w:szCs w:val="16"/>
                <w:lang w:val="lv-LV"/>
              </w:rPr>
            </w:pPr>
            <w:r w:rsidRPr="00AC0319">
              <w:rPr>
                <w:rFonts w:asciiTheme="majorHAnsi" w:eastAsia="Times New Roman" w:hAnsiTheme="majorHAnsi" w:cstheme="majorHAnsi"/>
                <w:color w:val="000000"/>
                <w:sz w:val="16"/>
                <w:szCs w:val="16"/>
              </w:rPr>
              <w:t>Atkritumu siltuma atgūšana</w:t>
            </w:r>
          </w:p>
        </w:tc>
        <w:tc>
          <w:tcPr>
            <w:tcW w:w="1701" w:type="dxa"/>
            <w:shd w:val="clear" w:color="auto" w:fill="B4C6E7" w:themeFill="accent1" w:themeFillTint="66"/>
            <w:vAlign w:val="bottom"/>
          </w:tcPr>
          <w:p w14:paraId="3608F1DE" w14:textId="77777777" w:rsidR="00262896" w:rsidRPr="00AC0319" w:rsidRDefault="00262896" w:rsidP="0002297E">
            <w:pPr>
              <w:widowControl/>
              <w:spacing w:before="40" w:after="40" w:line="240" w:lineRule="auto"/>
              <w:jc w:val="center"/>
              <w:rPr>
                <w:rFonts w:asciiTheme="majorHAnsi" w:hAnsiTheme="majorHAnsi" w:cstheme="majorHAnsi"/>
                <w:sz w:val="16"/>
                <w:szCs w:val="16"/>
                <w:lang w:val="lv-LV"/>
              </w:rPr>
            </w:pPr>
            <w:r w:rsidRPr="00AC0319">
              <w:rPr>
                <w:rFonts w:asciiTheme="majorHAnsi" w:eastAsia="Times New Roman" w:hAnsiTheme="majorHAnsi" w:cstheme="majorHAnsi"/>
                <w:color w:val="000000"/>
                <w:sz w:val="16"/>
                <w:szCs w:val="16"/>
              </w:rPr>
              <w:t>80</w:t>
            </w:r>
          </w:p>
        </w:tc>
      </w:tr>
      <w:tr w:rsidR="00262896" w:rsidRPr="00AC0319" w14:paraId="20AE6325" w14:textId="77777777" w:rsidTr="0002297E">
        <w:trPr>
          <w:jc w:val="center"/>
        </w:trPr>
        <w:tc>
          <w:tcPr>
            <w:tcW w:w="7937" w:type="dxa"/>
            <w:shd w:val="clear" w:color="auto" w:fill="4472C4" w:themeFill="accent1"/>
            <w:vAlign w:val="bottom"/>
          </w:tcPr>
          <w:p w14:paraId="2A7FFDFD" w14:textId="77777777" w:rsidR="00262896" w:rsidRPr="00AC0319" w:rsidRDefault="00262896" w:rsidP="0002297E">
            <w:pPr>
              <w:widowControl/>
              <w:spacing w:before="40" w:after="40" w:line="240" w:lineRule="auto"/>
              <w:rPr>
                <w:rFonts w:asciiTheme="majorHAnsi" w:eastAsia="Times New Roman" w:hAnsiTheme="majorHAnsi" w:cstheme="majorHAnsi"/>
                <w:b/>
                <w:bCs/>
                <w:color w:val="FFFFFF" w:themeColor="background1"/>
                <w:sz w:val="16"/>
                <w:szCs w:val="16"/>
              </w:rPr>
            </w:pPr>
            <w:r w:rsidRPr="00AC0319">
              <w:rPr>
                <w:rFonts w:asciiTheme="majorHAnsi" w:eastAsia="Times New Roman" w:hAnsiTheme="majorHAnsi" w:cstheme="majorHAnsi"/>
                <w:b/>
                <w:bCs/>
                <w:color w:val="FFFFFF" w:themeColor="background1"/>
                <w:sz w:val="16"/>
                <w:szCs w:val="16"/>
              </w:rPr>
              <w:t>Kopā</w:t>
            </w:r>
          </w:p>
        </w:tc>
        <w:tc>
          <w:tcPr>
            <w:tcW w:w="1701" w:type="dxa"/>
            <w:shd w:val="clear" w:color="auto" w:fill="4472C4" w:themeFill="accent1"/>
            <w:vAlign w:val="bottom"/>
          </w:tcPr>
          <w:p w14:paraId="0B3F911B" w14:textId="77777777" w:rsidR="00262896" w:rsidRPr="00AC0319" w:rsidRDefault="00262896" w:rsidP="0002297E">
            <w:pPr>
              <w:widowControl/>
              <w:spacing w:before="40" w:after="40" w:line="240" w:lineRule="auto"/>
              <w:jc w:val="center"/>
              <w:rPr>
                <w:rFonts w:asciiTheme="majorHAnsi" w:eastAsia="Times New Roman" w:hAnsiTheme="majorHAnsi" w:cstheme="majorHAnsi"/>
                <w:b/>
                <w:bCs/>
                <w:color w:val="FFFFFF" w:themeColor="background1"/>
                <w:sz w:val="16"/>
                <w:szCs w:val="16"/>
              </w:rPr>
            </w:pPr>
            <w:r w:rsidRPr="00AC0319">
              <w:rPr>
                <w:rFonts w:asciiTheme="majorHAnsi" w:eastAsia="Times New Roman" w:hAnsiTheme="majorHAnsi" w:cstheme="majorHAnsi"/>
                <w:b/>
                <w:bCs/>
                <w:color w:val="FFFFFF" w:themeColor="background1"/>
                <w:sz w:val="16"/>
                <w:szCs w:val="16"/>
              </w:rPr>
              <w:t>127,420</w:t>
            </w:r>
          </w:p>
        </w:tc>
      </w:tr>
    </w:tbl>
    <w:p w14:paraId="5D1E4DF8" w14:textId="77777777" w:rsidR="00262896" w:rsidRPr="00AC0319" w:rsidRDefault="00262896" w:rsidP="00262896">
      <w:pPr>
        <w:widowControl/>
        <w:spacing w:before="120" w:after="120" w:line="240" w:lineRule="auto"/>
        <w:rPr>
          <w:rFonts w:ascii="Arial Nova Cond Light" w:hAnsi="Arial Nova Cond Light" w:cs="Arial"/>
          <w:lang w:val="lv-LV"/>
        </w:rPr>
      </w:pPr>
      <w:r w:rsidRPr="00AC0319">
        <w:rPr>
          <w:rFonts w:ascii="Arial Nova Cond Light" w:hAnsi="Arial Nova Cond Light"/>
          <w:sz w:val="16"/>
          <w:szCs w:val="16"/>
          <w:lang w:val="lv-LV"/>
        </w:rPr>
        <w:t xml:space="preserve">Avots: </w:t>
      </w:r>
      <w:r w:rsidRPr="00AC0319">
        <w:rPr>
          <w:rFonts w:ascii="Arial Nova Cond Light" w:hAnsi="Arial Nova Cond Light"/>
          <w:color w:val="000000" w:themeColor="text1"/>
          <w:sz w:val="16"/>
          <w:szCs w:val="16"/>
          <w:lang w:val="lv-LV"/>
        </w:rPr>
        <w:t>Somijas nozaru konfederācija, Fingrid, Somijas vēja enerģijas asociācija</w:t>
      </w:r>
    </w:p>
    <w:p w14:paraId="6EA20087" w14:textId="77777777" w:rsidR="00262896" w:rsidRPr="00AC0319" w:rsidRDefault="00262896" w:rsidP="00E2157A">
      <w:pPr>
        <w:widowControl/>
        <w:spacing w:after="120" w:line="240" w:lineRule="auto"/>
        <w:jc w:val="both"/>
        <w:rPr>
          <w:rFonts w:ascii="Verdana Pro Cond Light" w:hAnsi="Verdana Pro Cond Light" w:cs="Arial"/>
          <w:lang w:val="lv-LV"/>
        </w:rPr>
      </w:pPr>
    </w:p>
    <w:p w14:paraId="57FB284A" w14:textId="77777777" w:rsidR="00262896" w:rsidRPr="00AC0319" w:rsidRDefault="00262896" w:rsidP="00E2157A">
      <w:pPr>
        <w:widowControl/>
        <w:spacing w:after="120" w:line="240" w:lineRule="auto"/>
        <w:rPr>
          <w:rFonts w:ascii="Verdana Pro Cond Light" w:hAnsi="Verdana Pro Cond Light" w:cs="Arial"/>
          <w:lang w:val="lv-LV"/>
        </w:rPr>
      </w:pPr>
      <w:r w:rsidRPr="00AC0319">
        <w:rPr>
          <w:rFonts w:ascii="Verdana Pro Cond Light" w:hAnsi="Verdana Pro Cond Light" w:cs="Arial"/>
          <w:lang w:val="lv-LV"/>
        </w:rPr>
        <w:t>Atbilstoši 4.2. tabulai, lielākās investīcijas Somijā ir plānotas vēja enerģijas ģenerācijā.</w:t>
      </w:r>
    </w:p>
    <w:p w14:paraId="5945726D" w14:textId="77777777" w:rsidR="00262896" w:rsidRPr="00AC0319" w:rsidRDefault="00262896" w:rsidP="00E2157A">
      <w:pPr>
        <w:widowControl/>
        <w:spacing w:after="120" w:line="240" w:lineRule="auto"/>
        <w:rPr>
          <w:rFonts w:ascii="Verdana Pro Cond Light" w:hAnsi="Verdana Pro Cond Light" w:cs="Arial"/>
          <w:lang w:val="lv-LV"/>
        </w:rPr>
      </w:pPr>
      <w:r w:rsidRPr="00AC0319">
        <w:rPr>
          <w:rFonts w:ascii="Verdana Pro Cond Light" w:hAnsi="Verdana Pro Cond Light" w:cs="Arial"/>
          <w:b/>
          <w:bCs/>
          <w:lang w:val="lv-LV"/>
        </w:rPr>
        <w:t>Francijā</w:t>
      </w:r>
      <w:r w:rsidRPr="00AC0319">
        <w:rPr>
          <w:rFonts w:ascii="Verdana Pro Cond Light" w:hAnsi="Verdana Pro Cond Light" w:cs="Arial"/>
          <w:lang w:val="lv-LV"/>
        </w:rPr>
        <w:t>, atbilstoši Eiropas Komisijas mājaslapā publicētajam Nacionālā klimata un enerģētikas plāna projektam, kopējās investīciju vajadzības klimatneitralitātes sasniegšanai ir novērtētas 2,3% no IKP gadā, pie Francijas IKP 2800 miljardu EUR (2023.g.) jeb atbilstoši Jean Pisani-Ferry un Selma Mahfouz’s ziņojumam “</w:t>
      </w:r>
      <w:r w:rsidRPr="00AC0319">
        <w:rPr>
          <w:rFonts w:ascii="Verdana Pro Cond Light" w:hAnsi="Verdana Pro Cond Light" w:cs="Arial"/>
          <w:i/>
          <w:iCs/>
          <w:lang w:val="lv-LV"/>
        </w:rPr>
        <w:t>The economic impact of climate action</w:t>
      </w:r>
      <w:r w:rsidRPr="00AC0319">
        <w:rPr>
          <w:rFonts w:ascii="Verdana Pro Cond Light" w:hAnsi="Verdana Pro Cond Light" w:cs="Arial"/>
          <w:lang w:val="lv-LV"/>
        </w:rPr>
        <w:t>” nepieciešamās investīcijas veido ap 66 miljardiem EUR gadā. Vienlaikus valsts budžetā šobrīd iezīmētās investīcijas veido 40 miljardus EUR gadā.</w:t>
      </w:r>
      <w:r w:rsidRPr="00AC0319">
        <w:rPr>
          <w:rStyle w:val="FootnoteReference"/>
          <w:rFonts w:ascii="Verdana Pro Cond Light" w:hAnsi="Verdana Pro Cond Light" w:cs="Arial"/>
          <w:lang w:val="lv-LV"/>
        </w:rPr>
        <w:footnoteReference w:id="36"/>
      </w:r>
    </w:p>
    <w:p w14:paraId="5843ADBE" w14:textId="77777777" w:rsidR="00262896" w:rsidRPr="00AC0319" w:rsidRDefault="00262896" w:rsidP="00E2157A">
      <w:pPr>
        <w:widowControl/>
        <w:spacing w:after="120" w:line="240" w:lineRule="auto"/>
        <w:rPr>
          <w:rFonts w:ascii="Verdana Pro Cond Light" w:hAnsi="Verdana Pro Cond Light" w:cs="Arial"/>
          <w:lang w:val="lv-LV"/>
        </w:rPr>
      </w:pPr>
      <w:r w:rsidRPr="00AC0319">
        <w:rPr>
          <w:rFonts w:ascii="Verdana Pro Cond Light" w:hAnsi="Verdana Pro Cond Light" w:cs="Arial"/>
          <w:lang w:val="lv-LV"/>
        </w:rPr>
        <w:t>Vienlaikus Francijas Ekonomikas, finanšu, rūpniecības un digitālās suverenitātes ministrijas publicētā žurnāla “</w:t>
      </w:r>
      <w:r w:rsidRPr="00AC0319">
        <w:rPr>
          <w:rFonts w:ascii="Verdana Pro Cond Light" w:hAnsi="Verdana Pro Cond Light" w:cs="Arial"/>
          <w:i/>
          <w:iCs/>
          <w:lang w:val="lv-LV"/>
        </w:rPr>
        <w:t>Tresors-Economics</w:t>
      </w:r>
      <w:r w:rsidRPr="00AC0319">
        <w:rPr>
          <w:rFonts w:ascii="Verdana Pro Cond Light" w:hAnsi="Verdana Pro Cond Light" w:cs="Arial"/>
          <w:lang w:val="lv-LV"/>
        </w:rPr>
        <w:t>” 2024.gada marta numura rakstā “</w:t>
      </w:r>
      <w:r w:rsidRPr="00AC0319">
        <w:rPr>
          <w:rFonts w:ascii="Verdana Pro Cond Light" w:hAnsi="Verdana Pro Cond Light" w:cs="Arial"/>
          <w:i/>
          <w:iCs/>
          <w:lang w:val="lv-LV"/>
        </w:rPr>
        <w:t>How Much Investment Is Required To Reach France’s Decarbonisation Targets For 2030?</w:t>
      </w:r>
      <w:r w:rsidRPr="00AC0319">
        <w:rPr>
          <w:rFonts w:ascii="Verdana Pro Cond Light" w:hAnsi="Verdana Pro Cond Light" w:cs="Arial"/>
          <w:lang w:val="lv-LV"/>
        </w:rPr>
        <w:t>” ir minēts, ka Francijā ir veiktas daudzas aplēses par papildu zemu oglekļa emisiju investīciju vajadzībām, un tās variē no 55 miljardiem eiro līdz 130 miljardiem eiro gadā no šī brīža līdz 2030. gadam (papildus divi līdz pieci procentu punkti no IKP). Šo aprēķinu salīdzināšana ir īpaši sarežģīta, ņemot vērā plašo definīciju, metožu un darbības jomu klāstu. Teorētiski dekarbonizācijas izmaksu samazināšana būtu jābalsta uz visaptverošu ietekmes analīzi katrai intervencei uz visu ekonomiku kopumā. Praksē investīciju vajadzības ir aprēķinātas griezumā pa nozarēm. Piemērojot konsekventu metodoloģiju dažādās nozarēs, bruto papildu investīcijas zemas oglekļa emisijas jomā (salīdzinot ar 2021. gadu) tiek lēstas aptuveni 110 miljardu eiro apmērā gadā līdz 2030. gadam.</w:t>
      </w:r>
      <w:r w:rsidRPr="00AC0319">
        <w:rPr>
          <w:rStyle w:val="FootnoteReference"/>
          <w:rFonts w:ascii="Verdana Pro Cond Light" w:hAnsi="Verdana Pro Cond Light" w:cs="Arial"/>
          <w:lang w:val="lv-LV"/>
        </w:rPr>
        <w:footnoteReference w:id="37"/>
      </w:r>
    </w:p>
    <w:p w14:paraId="376D2C50" w14:textId="77777777" w:rsidR="00262896" w:rsidRPr="00AC0319" w:rsidRDefault="00262896" w:rsidP="00E2157A">
      <w:pPr>
        <w:widowControl/>
        <w:spacing w:after="120" w:line="240" w:lineRule="auto"/>
        <w:rPr>
          <w:rFonts w:ascii="Verdana Pro Cond Light" w:hAnsi="Verdana Pro Cond Light" w:cs="Arial"/>
          <w:lang w:val="lv-LV"/>
        </w:rPr>
      </w:pPr>
      <w:r w:rsidRPr="00AC0319">
        <w:rPr>
          <w:rFonts w:ascii="Verdana Pro Cond Light" w:hAnsi="Verdana Pro Cond Light" w:cs="Arial"/>
          <w:lang w:val="lv-LV"/>
        </w:rPr>
        <w:lastRenderedPageBreak/>
        <w:t>Izdalot atsevišķi tikai papildu nepieciešamās investīcijas attiecīgās jomas šobrīd esošām alternatīvām, proti (1) tikai ierēķinot elektromobiļu papildu izmaksas salīdzinājumā ar iekšdedzes dzinēja transportlīdzekli) un (2) jaunbūves, pieņemot, ka</w:t>
      </w:r>
      <w:r>
        <w:rPr>
          <w:rFonts w:ascii="Verdana Pro Cond Light" w:hAnsi="Verdana Pro Cond Light" w:cs="Arial"/>
          <w:lang w:val="lv-LV"/>
        </w:rPr>
        <w:t>, ja</w:t>
      </w:r>
      <w:r w:rsidRPr="00AC0319">
        <w:rPr>
          <w:rFonts w:ascii="Verdana Pro Cond Light" w:hAnsi="Verdana Pro Cond Light" w:cs="Arial"/>
          <w:lang w:val="lv-LV"/>
        </w:rPr>
        <w:t xml:space="preserve"> tiktu samazināta izmantot</w:t>
      </w:r>
      <w:r>
        <w:rPr>
          <w:rFonts w:ascii="Verdana Pro Cond Light" w:hAnsi="Verdana Pro Cond Light" w:cs="Arial"/>
          <w:lang w:val="lv-LV"/>
        </w:rPr>
        <w:t>ā</w:t>
      </w:r>
      <w:r w:rsidRPr="00AC0319">
        <w:rPr>
          <w:rFonts w:ascii="Verdana Pro Cond Light" w:hAnsi="Verdana Pro Cond Light" w:cs="Arial"/>
          <w:lang w:val="lv-LV"/>
        </w:rPr>
        <w:t xml:space="preserve"> zemes platība, neto papildus investīciju vajadzības samazinātos līdz 63 miljardiem eiro gadā (skat. 4.4. attēlu).</w:t>
      </w:r>
    </w:p>
    <w:p w14:paraId="543DD81A" w14:textId="77777777" w:rsidR="00E2157A" w:rsidRDefault="00E2157A">
      <w:pPr>
        <w:widowControl/>
        <w:spacing w:after="160" w:line="259" w:lineRule="auto"/>
        <w:rPr>
          <w:rFonts w:ascii="Verdana Pro Cond Light" w:hAnsi="Verdana Pro Cond Light" w:cs="Arial"/>
          <w:lang w:val="lv-LV"/>
        </w:rPr>
      </w:pPr>
      <w:r>
        <w:rPr>
          <w:rFonts w:ascii="Verdana Pro Cond Light" w:hAnsi="Verdana Pro Cond Light" w:cs="Arial"/>
          <w:lang w:val="lv-LV"/>
        </w:rPr>
        <w:br w:type="page"/>
      </w:r>
    </w:p>
    <w:p w14:paraId="7249CE2E" w14:textId="72C39526" w:rsidR="00262896" w:rsidRPr="00AC0319" w:rsidRDefault="00262896" w:rsidP="00262896">
      <w:pPr>
        <w:widowControl/>
        <w:spacing w:before="120" w:after="120" w:line="240" w:lineRule="auto"/>
        <w:jc w:val="right"/>
        <w:rPr>
          <w:rFonts w:ascii="Verdana Pro Cond Light" w:hAnsi="Verdana Pro Cond Light" w:cs="Arial"/>
          <w:lang w:val="lv-LV"/>
        </w:rPr>
      </w:pPr>
      <w:r w:rsidRPr="00AC0319">
        <w:rPr>
          <w:rFonts w:ascii="Verdana Pro Cond Light" w:hAnsi="Verdana Pro Cond Light" w:cs="Arial"/>
          <w:lang w:val="lv-LV"/>
        </w:rPr>
        <w:lastRenderedPageBreak/>
        <w:t>4.4. attēls</w:t>
      </w:r>
    </w:p>
    <w:p w14:paraId="1477A1BE" w14:textId="77777777" w:rsidR="00262896" w:rsidRPr="00AC0319" w:rsidRDefault="00262896" w:rsidP="00262896">
      <w:pPr>
        <w:widowControl/>
        <w:spacing w:before="120" w:after="120" w:line="240" w:lineRule="auto"/>
        <w:jc w:val="center"/>
        <w:rPr>
          <w:rFonts w:ascii="Verdana Pro Cond Light" w:hAnsi="Verdana Pro Cond Light"/>
          <w:b/>
          <w:lang w:val="lv-LV"/>
        </w:rPr>
      </w:pPr>
      <w:r w:rsidRPr="00C17309">
        <w:rPr>
          <w:rFonts w:ascii="Verdana Pro Cond Light" w:hAnsi="Verdana Pro Cond Light"/>
          <w:b/>
          <w:lang w:val="lv-LV"/>
        </w:rPr>
        <w:t>Papildu zemas oglekļa emisijas investīciju vajadzības 2030. gadā, salīdzinot ar 2021. gadu</w:t>
      </w:r>
    </w:p>
    <w:p w14:paraId="4C84A035" w14:textId="70E1B53C" w:rsidR="00262896" w:rsidRDefault="00385DCE" w:rsidP="00262896">
      <w:pPr>
        <w:widowControl/>
        <w:spacing w:after="0" w:line="240" w:lineRule="auto"/>
        <w:jc w:val="center"/>
        <w:rPr>
          <w:rFonts w:ascii="Minion Pro" w:hAnsi="Minion Pro" w:cs="Arial"/>
          <w:lang w:val="lv-LV"/>
        </w:rPr>
      </w:pPr>
      <w:r>
        <w:rPr>
          <w:noProof/>
          <w14:ligatures w14:val="standardContextual"/>
        </w:rPr>
        <mc:AlternateContent>
          <mc:Choice Requires="wps">
            <w:drawing>
              <wp:anchor distT="0" distB="0" distL="114300" distR="114300" simplePos="0" relativeHeight="251658277" behindDoc="0" locked="0" layoutInCell="1" allowOverlap="1" wp14:anchorId="0BD0CFB6" wp14:editId="497A69D0">
                <wp:simplePos x="0" y="0"/>
                <wp:positionH relativeFrom="column">
                  <wp:posOffset>918515</wp:posOffset>
                </wp:positionH>
                <wp:positionV relativeFrom="paragraph">
                  <wp:posOffset>201422</wp:posOffset>
                </wp:positionV>
                <wp:extent cx="1199515" cy="672236"/>
                <wp:effectExtent l="0" t="0" r="635" b="0"/>
                <wp:wrapNone/>
                <wp:docPr id="1087632083" name="Text Box 2"/>
                <wp:cNvGraphicFramePr/>
                <a:graphic xmlns:a="http://schemas.openxmlformats.org/drawingml/2006/main">
                  <a:graphicData uri="http://schemas.microsoft.com/office/word/2010/wordprocessingShape">
                    <wps:wsp>
                      <wps:cNvSpPr txBox="1"/>
                      <wps:spPr>
                        <a:xfrm>
                          <a:off x="0" y="0"/>
                          <a:ext cx="1199515" cy="672236"/>
                        </a:xfrm>
                        <a:prstGeom prst="rect">
                          <a:avLst/>
                        </a:prstGeom>
                        <a:solidFill>
                          <a:schemeClr val="bg1"/>
                        </a:solidFill>
                        <a:ln w="6350">
                          <a:noFill/>
                        </a:ln>
                      </wps:spPr>
                      <wps:txbx>
                        <w:txbxContent>
                          <w:p w14:paraId="02BEE282" w14:textId="77777777" w:rsidR="00B06983" w:rsidRPr="00F85C28" w:rsidRDefault="00B06983" w:rsidP="00262896">
                            <w:pPr>
                              <w:tabs>
                                <w:tab w:val="center" w:pos="567"/>
                                <w:tab w:val="center" w:pos="1985"/>
                              </w:tabs>
                              <w:spacing w:after="0" w:line="240" w:lineRule="auto"/>
                              <w:rPr>
                                <w:rFonts w:asciiTheme="majorHAnsi" w:hAnsiTheme="majorHAnsi" w:cstheme="majorHAnsi"/>
                                <w:sz w:val="16"/>
                                <w:szCs w:val="16"/>
                                <w:lang w:val="lv-LV"/>
                              </w:rPr>
                            </w:pPr>
                            <w:r>
                              <w:rPr>
                                <w:rFonts w:asciiTheme="majorHAnsi" w:hAnsiTheme="majorHAnsi" w:cstheme="majorHAnsi"/>
                                <w:sz w:val="16"/>
                                <w:szCs w:val="16"/>
                                <w:lang w:val="lv-LV"/>
                              </w:rPr>
                              <w:t>Informācijai:</w:t>
                            </w:r>
                            <w:r>
                              <w:rPr>
                                <w:rFonts w:asciiTheme="majorHAnsi" w:hAnsiTheme="majorHAnsi" w:cstheme="majorHAnsi"/>
                                <w:sz w:val="16"/>
                                <w:szCs w:val="16"/>
                                <w:lang w:val="lv-LV"/>
                              </w:rPr>
                              <w:br/>
                              <w:t>Elektroauto, nav enerģijas taupīšanas pasākumu</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D0CFB6" id="_x0000_s1121" type="#_x0000_t202" style="position:absolute;left:0;text-align:left;margin-left:72.3pt;margin-top:15.85pt;width:94.45pt;height:52.95pt;z-index:2516582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eWwRAIAAHwEAAAOAAAAZHJzL2Uyb0RvYy54bWysVFGP2jAMfp+0/xDlfbSA4KCinBgnpkno&#10;7iSY7jmkKVRK48wJtOzXz0np3Xbb07SX1Intz/Znu4v7ttbsotBVYHI+HKScKSOhqMwx59/2m08z&#10;zpwXphAajMr5VTl+v/z4YdHYTI3gBLpQyAjEuKyxOT95b7MkcfKkauEGYJUhZQlYC09XPCYFiobQ&#10;a52M0nSaNICFRZDKOXp96JR8GfHLUkn/VJZOeaZzTrn5eGI8D+FMlguRHVHYUyVvaYh/yKIWlaGg&#10;r1APwgt2xuoPqLqSCA5KP5BQJ1CWlVSxBqpmmL6rZncSVsVaiBxnX2ly/w9WPl6ekVUF9S6d3U3H&#10;o3Q25syImnq1V61nn6Flo0BTY11G1jtL9r6lZ3Lp3x09hurbEuvwpboY6Ynw6yvJAUwGp+F8PhlO&#10;OJOkm96NRuNpgEnevC06/0VBzYKQc6QmRm7FZet8Z9qbhGAOdFVsKq3jJQyOWmtkF0EtPxxjjgT+&#10;m5U2rKHg40kagQ0E9w5ZG8ol1NrVFCTfHtpI0WzeF3yA4ko8IHQD5azcVJTsVjj/LJAmiEqnrfBP&#10;dJQaKBjcJM5OgD/+9h7sqbGk5ayhicy5+34WqDjTXw21PIxvL2AvHHrBnOs1UMVD2jcro0gO6HUv&#10;lgj1Cy3LKkQhlTCSYuVceuwva99tBq2bVKtVNKMxtcJvzc7KAB44DuTv2xeB9tYhT719hH5aRfau&#10;UZ1t8DSwOnsoq9jFQG3H441xGvE4B7d1DDv06z1avf00lj8BAAD//wMAUEsDBBQABgAIAAAAIQCo&#10;OkM03AAAAAoBAAAPAAAAZHJzL2Rvd25yZXYueG1sTI9BTsMwEEX3SNzBGiR21GndphDiVAWBxDaF&#10;AzjxkATicYjdJNyeYQXLr//0501+WFwvJhxD50nDepWAQKq97ajR8Pb6fHMLIkRD1vSeUMM3BjgU&#10;lxe5yayfqcTpFBvBIxQyo6GNccikDHWLzoSVH5C4e/ejM5Hj2Eg7mpnHXS83SZJKZzriC60Z8LHF&#10;+vN0dhomLNty9/HwdLeZ5bEyL0RfqdL6+mo53oOIuMQ/GH71WR0Kdqr8mWwQPeftNmVUg1rvQTCg&#10;lNqBqLhR+xRkkcv/LxQ/AAAA//8DAFBLAQItABQABgAIAAAAIQC2gziS/gAAAOEBAAATAAAAAAAA&#10;AAAAAAAAAAAAAABbQ29udGVudF9UeXBlc10ueG1sUEsBAi0AFAAGAAgAAAAhADj9If/WAAAAlAEA&#10;AAsAAAAAAAAAAAAAAAAALwEAAF9yZWxzLy5yZWxzUEsBAi0AFAAGAAgAAAAhAIhF5bBEAgAAfAQA&#10;AA4AAAAAAAAAAAAAAAAALgIAAGRycy9lMm9Eb2MueG1sUEsBAi0AFAAGAAgAAAAhAKg6QzTcAAAA&#10;CgEAAA8AAAAAAAAAAAAAAAAAngQAAGRycy9kb3ducmV2LnhtbFBLBQYAAAAABAAEAPMAAACnBQAA&#10;AAA=&#10;" fillcolor="white [3212]" stroked="f" strokeweight=".5pt">
                <v:textbox inset="0,0,0,0">
                  <w:txbxContent>
                    <w:p w14:paraId="02BEE282" w14:textId="77777777" w:rsidR="00B06983" w:rsidRPr="00F85C28" w:rsidRDefault="00B06983" w:rsidP="00262896">
                      <w:pPr>
                        <w:tabs>
                          <w:tab w:val="center" w:pos="567"/>
                          <w:tab w:val="center" w:pos="1985"/>
                        </w:tabs>
                        <w:spacing w:after="0" w:line="240" w:lineRule="auto"/>
                        <w:rPr>
                          <w:rFonts w:asciiTheme="majorHAnsi" w:hAnsiTheme="majorHAnsi" w:cstheme="majorHAnsi"/>
                          <w:sz w:val="16"/>
                          <w:szCs w:val="16"/>
                          <w:lang w:val="lv-LV"/>
                        </w:rPr>
                      </w:pPr>
                      <w:r>
                        <w:rPr>
                          <w:rFonts w:asciiTheme="majorHAnsi" w:hAnsiTheme="majorHAnsi" w:cstheme="majorHAnsi"/>
                          <w:sz w:val="16"/>
                          <w:szCs w:val="16"/>
                          <w:lang w:val="lv-LV"/>
                        </w:rPr>
                        <w:t>Informācijai:</w:t>
                      </w:r>
                      <w:r>
                        <w:rPr>
                          <w:rFonts w:asciiTheme="majorHAnsi" w:hAnsiTheme="majorHAnsi" w:cstheme="majorHAnsi"/>
                          <w:sz w:val="16"/>
                          <w:szCs w:val="16"/>
                          <w:lang w:val="lv-LV"/>
                        </w:rPr>
                        <w:br/>
                        <w:t>Elektroauto, nav enerģijas taupīšanas pasākumu</w:t>
                      </w:r>
                    </w:p>
                  </w:txbxContent>
                </v:textbox>
              </v:shape>
            </w:pict>
          </mc:Fallback>
        </mc:AlternateContent>
      </w:r>
      <w:r w:rsidR="00262896">
        <w:rPr>
          <w:noProof/>
          <w14:ligatures w14:val="standardContextual"/>
        </w:rPr>
        <mc:AlternateContent>
          <mc:Choice Requires="wps">
            <w:drawing>
              <wp:anchor distT="0" distB="0" distL="114300" distR="114300" simplePos="0" relativeHeight="251658283" behindDoc="0" locked="0" layoutInCell="1" allowOverlap="1" wp14:anchorId="44220557" wp14:editId="6833A455">
                <wp:simplePos x="0" y="0"/>
                <wp:positionH relativeFrom="column">
                  <wp:posOffset>4420794</wp:posOffset>
                </wp:positionH>
                <wp:positionV relativeFrom="paragraph">
                  <wp:posOffset>3956050</wp:posOffset>
                </wp:positionV>
                <wp:extent cx="1141171" cy="424281"/>
                <wp:effectExtent l="0" t="0" r="1905" b="0"/>
                <wp:wrapNone/>
                <wp:docPr id="27769631" name="Text Box 2"/>
                <wp:cNvGraphicFramePr/>
                <a:graphic xmlns:a="http://schemas.openxmlformats.org/drawingml/2006/main">
                  <a:graphicData uri="http://schemas.microsoft.com/office/word/2010/wordprocessingShape">
                    <wps:wsp>
                      <wps:cNvSpPr txBox="1"/>
                      <wps:spPr>
                        <a:xfrm>
                          <a:off x="0" y="0"/>
                          <a:ext cx="1141171" cy="424281"/>
                        </a:xfrm>
                        <a:prstGeom prst="rect">
                          <a:avLst/>
                        </a:prstGeom>
                        <a:solidFill>
                          <a:schemeClr val="bg1"/>
                        </a:solidFill>
                        <a:ln w="6350">
                          <a:noFill/>
                        </a:ln>
                      </wps:spPr>
                      <wps:txbx>
                        <w:txbxContent>
                          <w:p w14:paraId="35E3DF23" w14:textId="77777777" w:rsidR="00B06983" w:rsidRPr="00F85C28" w:rsidRDefault="00B06983" w:rsidP="00262896">
                            <w:pPr>
                              <w:tabs>
                                <w:tab w:val="center" w:pos="567"/>
                                <w:tab w:val="center" w:pos="1985"/>
                              </w:tabs>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 xml:space="preserve">2030 neto papildus </w:t>
                            </w:r>
                            <w:r>
                              <w:rPr>
                                <w:rFonts w:asciiTheme="majorHAnsi" w:hAnsiTheme="majorHAnsi" w:cstheme="majorHAnsi"/>
                                <w:sz w:val="16"/>
                                <w:szCs w:val="16"/>
                                <w:lang w:val="lv-LV"/>
                              </w:rPr>
                              <w:br/>
                            </w:r>
                            <w:r w:rsidRPr="00C17309">
                              <w:rPr>
                                <w:rFonts w:asciiTheme="majorHAnsi" w:hAnsiTheme="majorHAnsi" w:cstheme="majorHAnsi"/>
                                <w:sz w:val="16"/>
                                <w:szCs w:val="16"/>
                                <w:lang w:val="lv-LV"/>
                              </w:rPr>
                              <w:t>prasību vajadzības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220557" id="_x0000_s1122" type="#_x0000_t202" style="position:absolute;left:0;text-align:left;margin-left:348.1pt;margin-top:311.5pt;width:89.85pt;height:33.4pt;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bXsQQIAAHoEAAAOAAAAZHJzL2Uyb0RvYy54bWysVFGP2jAMfp+0/xDlfRQ4xt1VlBPjxDQJ&#10;3Z0E0z2HNKWV0jhzAi379XNSCrfbnqa9pI7tfLY/2509tLVmR4WuApPx0WDImTIS8srsM/59u/p0&#10;x5nzwuRCg1EZPynHH+YfP8wam6oxlKBzhYxAjEsbm/HSe5smiZOlqoUbgFWGjAVgLTxdcZ/kKBpC&#10;r3UyHg6nSQOYWwSpnCPtY2fk84hfFEr656JwyjOdccrNxxPjuQtnMp+JdI/ClpU8pyH+IYtaVIaC&#10;XqAehRfsgNUfUHUlERwUfiChTqAoKqliDVTNaPiumk0prIq1EDnOXmhy/w9WPh1fkFV5xse3t9P7&#10;6c2IMyNq6tRWtZ59gZaNA0mNdSn5bix5+5bU1Oxe70gZam8LrMOXqmJkJ7pPF4oDmAyPRpPR6JaC&#10;SLJNxpPxXYRJrq8tOv9VQc2CkHGkFkZmxXHtPGVCrr1LCOZAV/mq0jpewtiopUZ2FNTw3b4H/81L&#10;G9ZkfHrzeRiBDYTnHbI2FCDU2tUUJN/u2kjQfZyWoNpBfiIeELpxclauKkp2LZx/EUjzQ6XTTvhn&#10;OgoNFAzOEmcl4M+/6YM/tZWsnDU0jxl3Pw4CFWf6m6GGh+HtBeyFXS+YQ70EqpiIpWyiSA/Q614s&#10;EOpXWpVFiEImYSTFyrj02F+WvtsLWjapFovoRkNqhV+bjZUBPHAcyN+2rwLtuUOeevsE/ayK9F2j&#10;Ot/w0sDi4KGoYhevPJ4ZpwGPzT0vY9igt/fodf1lzH8BAAD//wMAUEsDBBQABgAIAAAAIQBmFIHa&#10;3QAAAAsBAAAPAAAAZHJzL2Rvd25yZXYueG1sTI9BT4QwEIXvJv6HZky8uUU2i8BSNqvRxCurP6DQ&#10;WUDpFGkX8N87nvQ2M+/lzfeKw2oHMePke0cK7jcRCKTGmZ5aBe9vL3cpCB80GT04QgXf6OFQXl8V&#10;OjduoQrnU2gFh5DPtYIuhDGX0jcdWu03bkRi7ewmqwOvUyvNpBcOt4OMoyiRVvfEHzo94lOHzefp&#10;YhXMWHXV7uPxOYsXeaz1K9FXslXq9mY97kEEXMOfGX7xGR1KZqrdhYwXg4IkS2K28hBvuRQ70odd&#10;BqLmS5qlIMtC/u9Q/gAAAP//AwBQSwECLQAUAAYACAAAACEAtoM4kv4AAADhAQAAEwAAAAAAAAAA&#10;AAAAAAAAAAAAW0NvbnRlbnRfVHlwZXNdLnhtbFBLAQItABQABgAIAAAAIQA4/SH/1gAAAJQBAAAL&#10;AAAAAAAAAAAAAAAAAC8BAABfcmVscy8ucmVsc1BLAQItABQABgAIAAAAIQCo5bXsQQIAAHoEAAAO&#10;AAAAAAAAAAAAAAAAAC4CAABkcnMvZTJvRG9jLnhtbFBLAQItABQABgAIAAAAIQBmFIHa3QAAAAsB&#10;AAAPAAAAAAAAAAAAAAAAAJsEAABkcnMvZG93bnJldi54bWxQSwUGAAAAAAQABADzAAAApQUAAAAA&#10;" fillcolor="white [3212]" stroked="f" strokeweight=".5pt">
                <v:textbox inset="0,0,0,0">
                  <w:txbxContent>
                    <w:p w14:paraId="35E3DF23" w14:textId="77777777" w:rsidR="00B06983" w:rsidRPr="00F85C28" w:rsidRDefault="00B06983" w:rsidP="00262896">
                      <w:pPr>
                        <w:tabs>
                          <w:tab w:val="center" w:pos="567"/>
                          <w:tab w:val="center" w:pos="1985"/>
                        </w:tabs>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 xml:space="preserve">2030 neto papildus </w:t>
                      </w:r>
                      <w:r>
                        <w:rPr>
                          <w:rFonts w:asciiTheme="majorHAnsi" w:hAnsiTheme="majorHAnsi" w:cstheme="majorHAnsi"/>
                          <w:sz w:val="16"/>
                          <w:szCs w:val="16"/>
                          <w:lang w:val="lv-LV"/>
                        </w:rPr>
                        <w:br/>
                      </w:r>
                      <w:r w:rsidRPr="00C17309">
                        <w:rPr>
                          <w:rFonts w:asciiTheme="majorHAnsi" w:hAnsiTheme="majorHAnsi" w:cstheme="majorHAnsi"/>
                          <w:sz w:val="16"/>
                          <w:szCs w:val="16"/>
                          <w:lang w:val="lv-LV"/>
                        </w:rPr>
                        <w:t>prasību vajadzības</w:t>
                      </w:r>
                    </w:p>
                  </w:txbxContent>
                </v:textbox>
              </v:shape>
            </w:pict>
          </mc:Fallback>
        </mc:AlternateContent>
      </w:r>
      <w:r w:rsidR="00262896">
        <w:rPr>
          <w:noProof/>
          <w14:ligatures w14:val="standardContextual"/>
        </w:rPr>
        <mc:AlternateContent>
          <mc:Choice Requires="wps">
            <w:drawing>
              <wp:anchor distT="0" distB="0" distL="114300" distR="114300" simplePos="0" relativeHeight="251658282" behindDoc="0" locked="0" layoutInCell="1" allowOverlap="1" wp14:anchorId="203446E5" wp14:editId="109075E4">
                <wp:simplePos x="0" y="0"/>
                <wp:positionH relativeFrom="column">
                  <wp:posOffset>2636647</wp:posOffset>
                </wp:positionH>
                <wp:positionV relativeFrom="paragraph">
                  <wp:posOffset>3956050</wp:posOffset>
                </wp:positionV>
                <wp:extent cx="1141171" cy="424281"/>
                <wp:effectExtent l="0" t="0" r="1905" b="0"/>
                <wp:wrapNone/>
                <wp:docPr id="1433316118" name="Text Box 2"/>
                <wp:cNvGraphicFramePr/>
                <a:graphic xmlns:a="http://schemas.openxmlformats.org/drawingml/2006/main">
                  <a:graphicData uri="http://schemas.microsoft.com/office/word/2010/wordprocessingShape">
                    <wps:wsp>
                      <wps:cNvSpPr txBox="1"/>
                      <wps:spPr>
                        <a:xfrm>
                          <a:off x="0" y="0"/>
                          <a:ext cx="1141171" cy="424281"/>
                        </a:xfrm>
                        <a:prstGeom prst="rect">
                          <a:avLst/>
                        </a:prstGeom>
                        <a:solidFill>
                          <a:schemeClr val="bg1"/>
                        </a:solidFill>
                        <a:ln w="6350">
                          <a:noFill/>
                        </a:ln>
                      </wps:spPr>
                      <wps:txbx>
                        <w:txbxContent>
                          <w:p w14:paraId="01F402C2" w14:textId="77777777" w:rsidR="00B06983" w:rsidRPr="00F85C28" w:rsidRDefault="00B06983" w:rsidP="00262896">
                            <w:pPr>
                              <w:tabs>
                                <w:tab w:val="center" w:pos="567"/>
                                <w:tab w:val="center" w:pos="1985"/>
                              </w:tabs>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2030 bruto papildus vajadzības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3446E5" id="_x0000_s1123" type="#_x0000_t202" style="position:absolute;left:0;text-align:left;margin-left:207.6pt;margin-top:311.5pt;width:89.85pt;height:33.4pt;z-index:2516582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SzzQgIAAHwEAAAOAAAAZHJzL2Uyb0RvYy54bWysVMFu2zAMvQ/YPwi6L46TLOuMOEWWIsOA&#10;oi2QDD0rshwbkEWNUmJnXz9KjtOu22nYRaZE8pF8JL247RrNTgpdDSbn6WjMmTISitoccv59t/lw&#10;w5nzwhRCg1E5PyvHb5fv3y1am6kJVKALhYxAjMtam/PKe5sliZOVaoQbgVWGlCVgIzxd8ZAUKFpC&#10;b3QyGY/nSQtYWASpnKPXu17JlxG/LJX0j2XplGc655SbjyfGcx/OZLkQ2QGFrWp5SUP8QxaNqA0F&#10;vULdCS/YEes/oJpaIjgo/UhCk0BZ1lLFGqiadPymmm0lrIq1EDnOXmly/w9WPpyekNUF9W42nU7T&#10;eZpSx4xoqFc71Xn2BTo2CTS11mVkvbVk7zt6Jpfh3dFjqL4rsQlfqouRngg/X0kOYDI4pbM0/ZRy&#10;Jkk3m8wmNxEmefG26PxXBQ0LQs6Rmhi5Fad75ykTMh1MQjAHui42tdbxEgZHrTWyk6CW7w8D+G9W&#10;2rA25/Ppx3EENhDce2RtKECota8pSL7bd5Giz9eC91CciQeEfqCclZuakr0Xzj8JpAmi0mkr/CMd&#10;pQYKBheJswrw59/egz01lrSctTSROXc/jgIVZ/qboZaH8R0EHIT9IJhjswaqmIilbKJIDuj1IJYI&#10;zTMtyypEIZUwkmLlXHocLmvfbwatm1SrVTSjMbXC35utlQE8cBzI33XPAu2lQ556+wDDtIrsTaN6&#10;2+BpYHX0UNaxi4HanscL4zTisbmXdQw79PoerV5+GstfAAAA//8DAFBLAwQUAAYACAAAACEAB7FB&#10;At0AAAALAQAADwAAAGRycy9kb3ducmV2LnhtbEyPwU6DQBCG7ya+w2ZMvNmltBCgLE01mnil+gAL&#10;jEBlZ5HdAr6940mPM/Pln+/Pj6sZxIyT6y0p2G4CEEi1bXpqFby/vTwkIJzX1OjBEir4RgfH4vYm&#10;11ljFypxPvtWcAi5TCvovB8zKV3dodFuY0ckvn3YyWjP49TKZtILh5tBhkEQS6N74g+dHvGpw/rz&#10;fDUKZiy7Mro8PqfhIk+VfiX6indK3d+tpwMIj6v/g+FXn9WhYKfKXqlxYlCw30YhowricMelmIjS&#10;fQqi4k2SJiCLXP7vUPwAAAD//wMAUEsBAi0AFAAGAAgAAAAhALaDOJL+AAAA4QEAABMAAAAAAAAA&#10;AAAAAAAAAAAAAFtDb250ZW50X1R5cGVzXS54bWxQSwECLQAUAAYACAAAACEAOP0h/9YAAACUAQAA&#10;CwAAAAAAAAAAAAAAAAAvAQAAX3JlbHMvLnJlbHNQSwECLQAUAAYACAAAACEA30Es80ICAAB8BAAA&#10;DgAAAAAAAAAAAAAAAAAuAgAAZHJzL2Uyb0RvYy54bWxQSwECLQAUAAYACAAAACEAB7FBAt0AAAAL&#10;AQAADwAAAAAAAAAAAAAAAACcBAAAZHJzL2Rvd25yZXYueG1sUEsFBgAAAAAEAAQA8wAAAKYFAAAA&#10;AA==&#10;" fillcolor="white [3212]" stroked="f" strokeweight=".5pt">
                <v:textbox inset="0,0,0,0">
                  <w:txbxContent>
                    <w:p w14:paraId="01F402C2" w14:textId="77777777" w:rsidR="00B06983" w:rsidRPr="00F85C28" w:rsidRDefault="00B06983" w:rsidP="00262896">
                      <w:pPr>
                        <w:tabs>
                          <w:tab w:val="center" w:pos="567"/>
                          <w:tab w:val="center" w:pos="1985"/>
                        </w:tabs>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2030 bruto papildus vajadzības</w:t>
                      </w:r>
                    </w:p>
                  </w:txbxContent>
                </v:textbox>
              </v:shape>
            </w:pict>
          </mc:Fallback>
        </mc:AlternateContent>
      </w:r>
      <w:r w:rsidR="00262896">
        <w:rPr>
          <w:noProof/>
          <w14:ligatures w14:val="standardContextual"/>
        </w:rPr>
        <mc:AlternateContent>
          <mc:Choice Requires="wps">
            <w:drawing>
              <wp:anchor distT="0" distB="0" distL="114300" distR="114300" simplePos="0" relativeHeight="251658281" behindDoc="0" locked="0" layoutInCell="1" allowOverlap="1" wp14:anchorId="1107763C" wp14:editId="664F9D6F">
                <wp:simplePos x="0" y="0"/>
                <wp:positionH relativeFrom="column">
                  <wp:posOffset>874141</wp:posOffset>
                </wp:positionH>
                <wp:positionV relativeFrom="paragraph">
                  <wp:posOffset>3956406</wp:posOffset>
                </wp:positionV>
                <wp:extent cx="1141171" cy="424281"/>
                <wp:effectExtent l="0" t="0" r="1905" b="0"/>
                <wp:wrapNone/>
                <wp:docPr id="1982923735" name="Text Box 2"/>
                <wp:cNvGraphicFramePr/>
                <a:graphic xmlns:a="http://schemas.openxmlformats.org/drawingml/2006/main">
                  <a:graphicData uri="http://schemas.microsoft.com/office/word/2010/wordprocessingShape">
                    <wps:wsp>
                      <wps:cNvSpPr txBox="1"/>
                      <wps:spPr>
                        <a:xfrm>
                          <a:off x="0" y="0"/>
                          <a:ext cx="1141171" cy="424281"/>
                        </a:xfrm>
                        <a:prstGeom prst="rect">
                          <a:avLst/>
                        </a:prstGeom>
                        <a:solidFill>
                          <a:schemeClr val="bg1"/>
                        </a:solidFill>
                        <a:ln w="6350">
                          <a:noFill/>
                        </a:ln>
                      </wps:spPr>
                      <wps:txbx>
                        <w:txbxContent>
                          <w:p w14:paraId="091A7311" w14:textId="77777777" w:rsidR="00B06983" w:rsidRPr="00F85C28" w:rsidRDefault="00B06983" w:rsidP="00262896">
                            <w:pPr>
                              <w:tabs>
                                <w:tab w:val="center" w:pos="567"/>
                                <w:tab w:val="center" w:pos="1985"/>
                              </w:tabs>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2021 bruto ieguldījumi klimata jomā</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07763C" id="_x0000_s1124" type="#_x0000_t202" style="position:absolute;left:0;text-align:left;margin-left:68.85pt;margin-top:311.55pt;width:89.85pt;height:33.4pt;z-index:2516582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a3mQwIAAHwEAAAOAAAAZHJzL2Uyb0RvYy54bWysVFGP2jAMfp+0/xDlfZQW7g4Q5cQ4MU06&#10;3Z0E0z2HNIVKaZw5gZb9+jkp5bbbnqa9pE5sf7Y/253ft7VmJ4WuApPzdDDkTBkJRWX2Of+2XX+a&#10;cOa8MIXQYFTOz8rx+8XHD/PGzlQGB9CFQkYgxs0am/OD93aWJE4eVC3cAKwypCwBa+HpivukQNEQ&#10;eq2TbDi8TRrAwiJI5Ry9PnRKvoj4Zamkfy5LpzzTOafcfDwxnrtwJou5mO1R2EMlL2mIf8iiFpWh&#10;oFeoB+EFO2L1B1RdSQQHpR9IqBMoy0qqWANVkw7fVbM5CKtiLUSOs1ea3P+DlU+nF2RVQb2bTrJp&#10;Nrob3XBmRE292qrWs8/QsizQ1Fg3I+uNJXvf0jO59O+OHkP1bYl1+FJdjPRE+PlKcgCTwSkdp+ld&#10;ypkk3TgbZ5MIk7x5W3T+i4KaBSHnSE2M3IrTo/OUCZn2JiGYA10V60rreAmDo1Ya2UlQy3f7Hvw3&#10;K21Yk/Pb0c0wAhsI7h2yNhQg1NrVFCTf7tpI0fRKxA6KM/GA0A2Us3JdUbKPwvkXgTRBVDpthX+m&#10;o9RAweAicXYA/PG392BPjSUtZw1NZM7d96NAxZn+aqjlYXx7AXth1wvmWK+AKiZiKZsokgN63Ysl&#10;Qv1Ky7IMUUgljKRYOZce+8vKd5tB6ybVchnNaEyt8I9mY2UADxwH8rftq0B76ZCn3j5BP61i9q5R&#10;nW3wNLA8eiir2MVAbcfjhXEa8djcyzqGHfr1Hq3efhqLnwAAAP//AwBQSwMEFAAGAAgAAAAhADpl&#10;FMndAAAACwEAAA8AAABkcnMvZG93bnJldi54bWxMj8tOhEAQRfcm/kOnTNw5zUNhQJrJaDRxy+gH&#10;NFACSlcj3QP495YrXd6qk1unisNmRrHg7AZLCsJdAAKpse1AnYK31+ebPQjnNbV6tIQKvtHBoby8&#10;KHTe2pUqXE6+E1xCLtcKeu+nXErX9Gi029kJiXfvdjbac5w72c565XIzyigIEmn0QHyh1xM+9th8&#10;ns5GwYJVX919PDxl0SqPtX4h+kpipa6vtuM9CI+b/4PhV5/VoWSn2p6pdWLkHKcpowqSKA5BMBGH&#10;6S2Imif7LANZFvL/D+UPAAAA//8DAFBLAQItABQABgAIAAAAIQC2gziS/gAAAOEBAAATAAAAAAAA&#10;AAAAAAAAAAAAAABbQ29udGVudF9UeXBlc10ueG1sUEsBAi0AFAAGAAgAAAAhADj9If/WAAAAlAEA&#10;AAsAAAAAAAAAAAAAAAAALwEAAF9yZWxzLy5yZWxzUEsBAi0AFAAGAAgAAAAhAHHBreZDAgAAfAQA&#10;AA4AAAAAAAAAAAAAAAAALgIAAGRycy9lMm9Eb2MueG1sUEsBAi0AFAAGAAgAAAAhADplFMndAAAA&#10;CwEAAA8AAAAAAAAAAAAAAAAAnQQAAGRycy9kb3ducmV2LnhtbFBLBQYAAAAABAAEAPMAAACnBQAA&#10;AAA=&#10;" fillcolor="white [3212]" stroked="f" strokeweight=".5pt">
                <v:textbox inset="0,0,0,0">
                  <w:txbxContent>
                    <w:p w14:paraId="091A7311" w14:textId="77777777" w:rsidR="00B06983" w:rsidRPr="00F85C28" w:rsidRDefault="00B06983" w:rsidP="00262896">
                      <w:pPr>
                        <w:tabs>
                          <w:tab w:val="center" w:pos="567"/>
                          <w:tab w:val="center" w:pos="1985"/>
                        </w:tabs>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2021 bruto ieguldījumi klimata jomā</w:t>
                      </w:r>
                    </w:p>
                  </w:txbxContent>
                </v:textbox>
              </v:shape>
            </w:pict>
          </mc:Fallback>
        </mc:AlternateContent>
      </w:r>
      <w:r w:rsidR="00262896">
        <w:rPr>
          <w:noProof/>
          <w14:ligatures w14:val="standardContextual"/>
        </w:rPr>
        <mc:AlternateContent>
          <mc:Choice Requires="wps">
            <w:drawing>
              <wp:anchor distT="0" distB="0" distL="114300" distR="114300" simplePos="0" relativeHeight="251658276" behindDoc="0" locked="0" layoutInCell="1" allowOverlap="1" wp14:anchorId="175789A9" wp14:editId="1448E62C">
                <wp:simplePos x="0" y="0"/>
                <wp:positionH relativeFrom="column">
                  <wp:posOffset>1854860</wp:posOffset>
                </wp:positionH>
                <wp:positionV relativeFrom="paragraph">
                  <wp:posOffset>3303066</wp:posOffset>
                </wp:positionV>
                <wp:extent cx="2004060" cy="424281"/>
                <wp:effectExtent l="0" t="0" r="0" b="0"/>
                <wp:wrapNone/>
                <wp:docPr id="970086901" name="Text Box 2"/>
                <wp:cNvGraphicFramePr/>
                <a:graphic xmlns:a="http://schemas.openxmlformats.org/drawingml/2006/main">
                  <a:graphicData uri="http://schemas.microsoft.com/office/word/2010/wordprocessingShape">
                    <wps:wsp>
                      <wps:cNvSpPr txBox="1"/>
                      <wps:spPr>
                        <a:xfrm>
                          <a:off x="0" y="0"/>
                          <a:ext cx="2004060" cy="424281"/>
                        </a:xfrm>
                        <a:prstGeom prst="rect">
                          <a:avLst/>
                        </a:prstGeom>
                        <a:solidFill>
                          <a:schemeClr val="bg1"/>
                        </a:solidFill>
                        <a:ln w="6350">
                          <a:noFill/>
                        </a:ln>
                      </wps:spPr>
                      <wps:txbx>
                        <w:txbxContent>
                          <w:p w14:paraId="56BD1B8F" w14:textId="77777777" w:rsidR="00B06983" w:rsidRPr="00F85C28" w:rsidRDefault="00B06983" w:rsidP="00262896">
                            <w:pPr>
                              <w:tabs>
                                <w:tab w:val="center" w:pos="567"/>
                                <w:tab w:val="center" w:pos="1985"/>
                              </w:tabs>
                              <w:spacing w:after="0" w:line="240" w:lineRule="auto"/>
                              <w:rPr>
                                <w:rFonts w:asciiTheme="majorHAnsi" w:hAnsiTheme="majorHAnsi" w:cstheme="majorHAnsi"/>
                                <w:sz w:val="16"/>
                                <w:szCs w:val="16"/>
                                <w:lang w:val="lv-LV"/>
                              </w:rPr>
                            </w:pPr>
                            <w:r>
                              <w:rPr>
                                <w:rFonts w:asciiTheme="majorHAnsi" w:hAnsiTheme="majorHAnsi" w:cstheme="majorHAnsi"/>
                                <w:sz w:val="16"/>
                                <w:szCs w:val="16"/>
                                <w:lang w:val="lv-LV"/>
                              </w:rPr>
                              <w:t>Ēkas, enerģija, transports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5789A9" id="_x0000_s1125" type="#_x0000_t202" style="position:absolute;left:0;text-align:left;margin-left:146.05pt;margin-top:260.1pt;width:157.8pt;height:33.4pt;z-index:2516582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KqKQQIAAHsEAAAOAAAAZHJzL2Uyb0RvYy54bWysVE1v2zAMvQ/YfxB0X+ykWZYacYosRYYB&#10;RVsgGXpWZDk2IIsapcTOfv0oOU63bqdhF5kiKX68R3px1zWanRS6GkzOx6OUM2UkFLU55PzbbvNh&#10;zpnzwhRCg1E5PyvH75bv3y1am6kJVKALhYyCGJe1NueV9zZLEicr1Qg3AqsMGUvARni64iEpULQU&#10;vdHJJE1nSQtYWASpnCPtfW/kyxi/LJX0T2XplGc651SbjyfGcx/OZLkQ2QGFrWp5KUP8QxWNqA0l&#10;vYa6F16wI9Z/hGpqieCg9CMJTQJlWUsVe6BuxumbbraVsCr2QuA4e4XJ/b+w8vH0jKwucn77KU3n&#10;s9t0zJkRDVG1U51nn6Fjk4BSa11GzltL7r4jNbE96B0pQ/NdiU34UluM7IT3+YpxCCZJSaRN0xmZ&#10;JNmmk+lkHsMkr68tOv9FQcOCkHMkDiO04vTgPFVCroNLSOZA18Wm1jpewtyotUZ2EsT4/jAE/81L&#10;G9bmfHbzMY2BDYTnfWRtKEHote8pSL7bdz1CN0PDeyjOhANCP0/Oyk1NxT4I558F0gBRf7QU/omO&#10;UgMlg4vEWQX442/64E+8kpWzlgYy5+77UaDiTH81xHiY3kHAQdgPgjk2a6COiT2qJor0AL0exBKh&#10;eaFdWYUsZBJGUq6cS4/DZe37xaBtk2q1im40pVb4B7O1MgQPGAfwd92LQHthyBO3jzAMq8jeENX7&#10;hpcGVkcPZR1ZDND2OF4QpwmP5F62MazQr/fo9frPWP4EAAD//wMAUEsDBBQABgAIAAAAIQADjwjK&#10;3gAAAAsBAAAPAAAAZHJzL2Rvd25yZXYueG1sTI9BTsMwEEX3SNzBGiR21K5RkzbEqQqiEtsUDuDE&#10;QxKIxyF2k/T2mBVdzszTn/fz/WJ7NuHoO0cK1isBDKl2pqNGwcf78WELzAdNRveOUMEFPeyL25tc&#10;Z8bNVOJ0Cg2LIeQzraANYcg493WLVvuVG5Di7dONVoc4jg03o55juO25FCLhVncUP7R6wJcW6+/T&#10;2SqYsGzLzdfz607O/FDpN6Kf5FGp+7vl8AQs4BL+YfjTj+pQRKfKncl41iuQO7mOqIKNFBJYJBKR&#10;psCquNmmAniR8+sOxS8AAAD//wMAUEsBAi0AFAAGAAgAAAAhALaDOJL+AAAA4QEAABMAAAAAAAAA&#10;AAAAAAAAAAAAAFtDb250ZW50X1R5cGVzXS54bWxQSwECLQAUAAYACAAAACEAOP0h/9YAAACUAQAA&#10;CwAAAAAAAAAAAAAAAAAvAQAAX3JlbHMvLnJlbHNQSwECLQAUAAYACAAAACEAT0iqikECAAB7BAAA&#10;DgAAAAAAAAAAAAAAAAAuAgAAZHJzL2Uyb0RvYy54bWxQSwECLQAUAAYACAAAACEAA48Iyt4AAAAL&#10;AQAADwAAAAAAAAAAAAAAAACbBAAAZHJzL2Rvd25yZXYueG1sUEsFBgAAAAAEAAQA8wAAAKYFAAAA&#10;AA==&#10;" fillcolor="white [3212]" stroked="f" strokeweight=".5pt">
                <v:textbox inset="0,0,0,0">
                  <w:txbxContent>
                    <w:p w14:paraId="56BD1B8F" w14:textId="77777777" w:rsidR="00B06983" w:rsidRPr="00F85C28" w:rsidRDefault="00B06983" w:rsidP="00262896">
                      <w:pPr>
                        <w:tabs>
                          <w:tab w:val="center" w:pos="567"/>
                          <w:tab w:val="center" w:pos="1985"/>
                        </w:tabs>
                        <w:spacing w:after="0" w:line="240" w:lineRule="auto"/>
                        <w:rPr>
                          <w:rFonts w:asciiTheme="majorHAnsi" w:hAnsiTheme="majorHAnsi" w:cstheme="majorHAnsi"/>
                          <w:sz w:val="16"/>
                          <w:szCs w:val="16"/>
                          <w:lang w:val="lv-LV"/>
                        </w:rPr>
                      </w:pPr>
                      <w:r>
                        <w:rPr>
                          <w:rFonts w:asciiTheme="majorHAnsi" w:hAnsiTheme="majorHAnsi" w:cstheme="majorHAnsi"/>
                          <w:sz w:val="16"/>
                          <w:szCs w:val="16"/>
                          <w:lang w:val="lv-LV"/>
                        </w:rPr>
                        <w:t>Ēkas, enerģija, transports</w:t>
                      </w:r>
                    </w:p>
                  </w:txbxContent>
                </v:textbox>
              </v:shape>
            </w:pict>
          </mc:Fallback>
        </mc:AlternateContent>
      </w:r>
      <w:r w:rsidR="00262896">
        <w:rPr>
          <w:noProof/>
          <w14:ligatures w14:val="standardContextual"/>
        </w:rPr>
        <mc:AlternateContent>
          <mc:Choice Requires="wps">
            <w:drawing>
              <wp:anchor distT="0" distB="0" distL="114300" distR="114300" simplePos="0" relativeHeight="251658280" behindDoc="0" locked="0" layoutInCell="1" allowOverlap="1" wp14:anchorId="4BB2EE4A" wp14:editId="2A6C7197">
                <wp:simplePos x="0" y="0"/>
                <wp:positionH relativeFrom="column">
                  <wp:posOffset>3025140</wp:posOffset>
                </wp:positionH>
                <wp:positionV relativeFrom="paragraph">
                  <wp:posOffset>1963801</wp:posOffset>
                </wp:positionV>
                <wp:extent cx="1199693" cy="395021"/>
                <wp:effectExtent l="0" t="0" r="635" b="5080"/>
                <wp:wrapNone/>
                <wp:docPr id="1345118132" name="Text Box 2"/>
                <wp:cNvGraphicFramePr/>
                <a:graphic xmlns:a="http://schemas.openxmlformats.org/drawingml/2006/main">
                  <a:graphicData uri="http://schemas.microsoft.com/office/word/2010/wordprocessingShape">
                    <wps:wsp>
                      <wps:cNvSpPr txBox="1"/>
                      <wps:spPr>
                        <a:xfrm>
                          <a:off x="0" y="0"/>
                          <a:ext cx="1199693" cy="395021"/>
                        </a:xfrm>
                        <a:prstGeom prst="rect">
                          <a:avLst/>
                        </a:prstGeom>
                        <a:solidFill>
                          <a:schemeClr val="bg1"/>
                        </a:solidFill>
                        <a:ln w="6350">
                          <a:noFill/>
                        </a:ln>
                      </wps:spPr>
                      <wps:txbx>
                        <w:txbxContent>
                          <w:p w14:paraId="2FD71941" w14:textId="77777777" w:rsidR="00B06983" w:rsidRPr="00F85C28" w:rsidRDefault="00B06983" w:rsidP="00262896">
                            <w:pPr>
                              <w:tabs>
                                <w:tab w:val="center" w:pos="567"/>
                                <w:tab w:val="center" w:pos="1985"/>
                              </w:tabs>
                              <w:spacing w:after="0" w:line="240" w:lineRule="auto"/>
                              <w:rPr>
                                <w:rFonts w:asciiTheme="majorHAnsi" w:hAnsiTheme="majorHAnsi" w:cstheme="majorHAnsi"/>
                                <w:sz w:val="16"/>
                                <w:szCs w:val="16"/>
                                <w:lang w:val="lv-LV"/>
                              </w:rPr>
                            </w:pPr>
                            <w:r>
                              <w:rPr>
                                <w:rFonts w:asciiTheme="majorHAnsi" w:hAnsiTheme="majorHAnsi" w:cstheme="majorHAnsi"/>
                                <w:sz w:val="16"/>
                                <w:szCs w:val="16"/>
                                <w:lang w:val="lv-LV"/>
                              </w:rPr>
                              <w:t>Informācijai:</w:t>
                            </w:r>
                            <w:r>
                              <w:rPr>
                                <w:rFonts w:asciiTheme="majorHAnsi" w:hAnsiTheme="majorHAnsi" w:cstheme="majorHAnsi"/>
                                <w:sz w:val="16"/>
                                <w:szCs w:val="16"/>
                                <w:lang w:val="lv-LV"/>
                              </w:rPr>
                              <w:br/>
                              <w:t>Enerģijas taupīšana</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B2EE4A" id="_x0000_s1126" type="#_x0000_t202" style="position:absolute;left:0;text-align:left;margin-left:238.2pt;margin-top:154.65pt;width:94.45pt;height:31.1pt;z-index:251658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rLcQwIAAHwEAAAOAAAAZHJzL2Uyb0RvYy54bWysVFGP2jAMfp+0/xDlfZTCgY6KcmKcmCah&#10;u5NguueQplApjTMn0LJfPyel3Hbb07SX1Intz/Znu/OHttbsrNBVYHKeDoacKSOhqMwh599260/3&#10;nDkvTCE0GJXzi3L8YfHxw7yxmRrBEXShkBGIcVljc3703mZJ4uRR1cINwCpDyhKwFp6ueEgKFA2h&#10;1zoZDYfTpAEsLIJUztHrY6fki4hflkr657J0yjOdc8rNxxPjuQ9nspiL7IDCHit5TUP8Qxa1qAwF&#10;vUE9Ci/YCas/oOpKIjgo/UBCnUBZVlLFGqiadPiumu1RWBVrIXKcvdHk/h+sfDq/IKsK6t34bpKm&#10;9+l4xJkRNfVqp1rPPkPLRoGmxrqMrLeW7H1Lz+TSvzt6DNW3JdbhS3Ux0hPhlxvJAUwGp3Q2m87G&#10;nEnSjWeT4SjCJG/eFp3/oqBmQcg5UhMjt+K8cZ4yIdPeJARzoKtiXWkdL2Fw1EojOwtq+f7Qg/9m&#10;pQ1rcj4dT4YR2EBw75C1oQCh1q6mIPl230aKZnd9wXsoLsQDQjdQzsp1RcluhPMvAmmCqHTaCv9M&#10;R6mBgsFV4uwI+ONv78GeGktazhqayJy77yeBijP91VDLw/j2AvbCvhfMqV4BVZzSvlkZRXJAr3ux&#10;RKhfaVmWIQqphJEUK+fSY39Z+W4zaN2kWi6jGY2pFX5jtlYG8MBxIH/Xvgq01w556u0T9NMqsneN&#10;6myDp4HlyUNZxS4Gajser4zTiMfmXtcx7NCv92j19tNY/AQAAP//AwBQSwMEFAAGAAgAAAAhAC0c&#10;zn7dAAAACwEAAA8AAABkcnMvZG93bnJldi54bWxMj89Og0AQh+8mvsNmTLzZpaVQiyxNNZp4pfoA&#10;CzsCys4iuwV8e8dTvc2fL7/5Jj8sthcTjr5zpGC9ikAg1c501Ch4f3u5uwfhgyaje0eo4Ac9HIrr&#10;q1xnxs1U4nQKjeAQ8plW0IYwZFL6ukWr/coNSLz7cKPVgduxkWbUM4fbXm6iKJVWd8QXWj3gU4v1&#10;1+lsFUxYtmXy+fi838zyWOlXou80Vur2Zjk+gAi4hAsMf/qsDgU7Ve5MxotewXaXbhlVEEf7GAQT&#10;aZpwUfFkt05AFrn8/0PxCwAA//8DAFBLAQItABQABgAIAAAAIQC2gziS/gAAAOEBAAATAAAAAAAA&#10;AAAAAAAAAAAAAABbQ29udGVudF9UeXBlc10ueG1sUEsBAi0AFAAGAAgAAAAhADj9If/WAAAAlAEA&#10;AAsAAAAAAAAAAAAAAAAALwEAAF9yZWxzLy5yZWxzUEsBAi0AFAAGAAgAAAAhAFU6stxDAgAAfAQA&#10;AA4AAAAAAAAAAAAAAAAALgIAAGRycy9lMm9Eb2MueG1sUEsBAi0AFAAGAAgAAAAhAC0czn7dAAAA&#10;CwEAAA8AAAAAAAAAAAAAAAAAnQQAAGRycy9kb3ducmV2LnhtbFBLBQYAAAAABAAEAPMAAACnBQAA&#10;AAA=&#10;" fillcolor="white [3212]" stroked="f" strokeweight=".5pt">
                <v:textbox inset="0,0,0,0">
                  <w:txbxContent>
                    <w:p w14:paraId="2FD71941" w14:textId="77777777" w:rsidR="00B06983" w:rsidRPr="00F85C28" w:rsidRDefault="00B06983" w:rsidP="00262896">
                      <w:pPr>
                        <w:tabs>
                          <w:tab w:val="center" w:pos="567"/>
                          <w:tab w:val="center" w:pos="1985"/>
                        </w:tabs>
                        <w:spacing w:after="0" w:line="240" w:lineRule="auto"/>
                        <w:rPr>
                          <w:rFonts w:asciiTheme="majorHAnsi" w:hAnsiTheme="majorHAnsi" w:cstheme="majorHAnsi"/>
                          <w:sz w:val="16"/>
                          <w:szCs w:val="16"/>
                          <w:lang w:val="lv-LV"/>
                        </w:rPr>
                      </w:pPr>
                      <w:r>
                        <w:rPr>
                          <w:rFonts w:asciiTheme="majorHAnsi" w:hAnsiTheme="majorHAnsi" w:cstheme="majorHAnsi"/>
                          <w:sz w:val="16"/>
                          <w:szCs w:val="16"/>
                          <w:lang w:val="lv-LV"/>
                        </w:rPr>
                        <w:t>Informācijai:</w:t>
                      </w:r>
                      <w:r>
                        <w:rPr>
                          <w:rFonts w:asciiTheme="majorHAnsi" w:hAnsiTheme="majorHAnsi" w:cstheme="majorHAnsi"/>
                          <w:sz w:val="16"/>
                          <w:szCs w:val="16"/>
                          <w:lang w:val="lv-LV"/>
                        </w:rPr>
                        <w:br/>
                        <w:t>Enerģijas taupīšana</w:t>
                      </w:r>
                    </w:p>
                  </w:txbxContent>
                </v:textbox>
              </v:shape>
            </w:pict>
          </mc:Fallback>
        </mc:AlternateContent>
      </w:r>
      <w:r w:rsidR="00262896">
        <w:rPr>
          <w:noProof/>
          <w14:ligatures w14:val="standardContextual"/>
        </w:rPr>
        <mc:AlternateContent>
          <mc:Choice Requires="wps">
            <w:drawing>
              <wp:anchor distT="0" distB="0" distL="114300" distR="114300" simplePos="0" relativeHeight="251658279" behindDoc="0" locked="0" layoutInCell="1" allowOverlap="1" wp14:anchorId="1D4E6621" wp14:editId="63B0C346">
                <wp:simplePos x="0" y="0"/>
                <wp:positionH relativeFrom="column">
                  <wp:posOffset>4180738</wp:posOffset>
                </wp:positionH>
                <wp:positionV relativeFrom="paragraph">
                  <wp:posOffset>733933</wp:posOffset>
                </wp:positionV>
                <wp:extent cx="1353312" cy="453542"/>
                <wp:effectExtent l="0" t="0" r="0" b="3810"/>
                <wp:wrapNone/>
                <wp:docPr id="350091432" name="Text Box 2"/>
                <wp:cNvGraphicFramePr/>
                <a:graphic xmlns:a="http://schemas.openxmlformats.org/drawingml/2006/main">
                  <a:graphicData uri="http://schemas.microsoft.com/office/word/2010/wordprocessingShape">
                    <wps:wsp>
                      <wps:cNvSpPr txBox="1"/>
                      <wps:spPr>
                        <a:xfrm>
                          <a:off x="0" y="0"/>
                          <a:ext cx="1353312" cy="453542"/>
                        </a:xfrm>
                        <a:prstGeom prst="rect">
                          <a:avLst/>
                        </a:prstGeom>
                        <a:solidFill>
                          <a:schemeClr val="bg1"/>
                        </a:solidFill>
                        <a:ln w="6350">
                          <a:noFill/>
                        </a:ln>
                      </wps:spPr>
                      <wps:txbx>
                        <w:txbxContent>
                          <w:p w14:paraId="69F094C6" w14:textId="77777777" w:rsidR="00B06983" w:rsidRPr="00F85C28" w:rsidRDefault="00B06983" w:rsidP="00262896">
                            <w:pPr>
                              <w:tabs>
                                <w:tab w:val="center" w:pos="567"/>
                                <w:tab w:val="center" w:pos="1985"/>
                              </w:tabs>
                              <w:spacing w:after="0" w:line="240" w:lineRule="auto"/>
                              <w:rPr>
                                <w:rFonts w:asciiTheme="majorHAnsi" w:hAnsiTheme="majorHAnsi" w:cstheme="majorHAnsi"/>
                                <w:sz w:val="16"/>
                                <w:szCs w:val="16"/>
                                <w:lang w:val="lv-LV"/>
                              </w:rPr>
                            </w:pPr>
                            <w:r>
                              <w:rPr>
                                <w:rFonts w:asciiTheme="majorHAnsi" w:hAnsiTheme="majorHAnsi" w:cstheme="majorHAnsi"/>
                                <w:sz w:val="16"/>
                                <w:szCs w:val="16"/>
                                <w:lang w:val="lv-LV"/>
                              </w:rPr>
                              <w:t>Samazinājums jaunās būvēs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4E6621" id="_x0000_s1127" type="#_x0000_t202" style="position:absolute;left:0;text-align:left;margin-left:329.2pt;margin-top:57.8pt;width:106.55pt;height:35.7pt;z-index:2516582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PayQgIAAHsEAAAOAAAAZHJzL2Uyb0RvYy54bWysVEtv2zAMvg/YfxB0X+y8itWIU2QpMgwo&#10;2gLJ0LMiy7EBWdQoJXb260fJcdp1Ow27yJT4/D6SXtx1jWYnha4Gk/PxKOVMGQlFbQ45/77bfPrM&#10;mfPCFEKDUTk/K8fvlh8/LFqbqQlUoAuFjIIYl7U255X3NksSJyvVCDcCqwwpS8BGeLriISlQtBS9&#10;0ckkTW+SFrCwCFI5R6/3vZIvY/yyVNI/laVTnumcU20+nhjPfTiT5UJkBxS2quWlDPEPVTSiNpT0&#10;GupeeMGOWP8RqqklgoPSjyQ0CZRlLVXEQGjG6Ts020pYFbEQOc5eaXL/L6x8PD0jq4ucT+dpejue&#10;TSecGdFQq3aq8+wLdGwSWGqty8h4a8ncd/RM3R7eHT0G8F2JTfgSLEZ64vt85TgEk8FpOp9Ox5RE&#10;km42n85nMXzy6m3R+a8KGhaEnCP1MFIrTg/OUyVkOpiEZA50XWxqreMlzI1aa2QnQR3fH2KN5PGb&#10;lTaszfkNIY6BDQT3PrI2lCBg7TEFyXf7LjJ0Ox8A76E4Ew8I/Tw5Kzc1FfsgnH8WSANE0Gkp/BMd&#10;pQZKBheJswrw59/egz31lbSctTSQOXc/jgIVZ/qboY6H6R0EHIT9IJhjswZCPKZ1szKK5IBeD2KJ&#10;0LzQrqxCFlIJIylXzqXH4bL2/WLQtkm1WkUzmlIr/IPZWhmCB44D+bvuRaC9dMhTbx9hGFaRvWtU&#10;bxs8DayOHso6djFQ2/N4YZwmPDb3so1hhd7eo9XrP2P5CwAA//8DAFBLAwQUAAYACAAAACEAZHUT&#10;v9wAAAALAQAADwAAAGRycy9kb3ducmV2LnhtbEyPwU6EMBCG7ya+QzMm3tzCKiwiZbMaTbyy+gCF&#10;joDSKdIu4Ns7ntbjzP/ln2+K/WoHMePke0cK4k0EAqlxpqdWwfvby00GwgdNRg+OUMEPetiXlxeF&#10;zo1bqML5GFrBJeRzraALYcyl9E2HVvuNG5E4+3CT1YHHqZVm0guX20FuoyiVVvfEFzo94lOHzdfx&#10;ZBXMWHVV8vn4fL9d5KHWr0Tf6a1S11fr4QFEwDWcYfjTZ3Uo2al2JzJeDArSJLtjlIM4SUEwke3i&#10;BETNm2wXgSwL+f+H8hcAAP//AwBQSwECLQAUAAYACAAAACEAtoM4kv4AAADhAQAAEwAAAAAAAAAA&#10;AAAAAAAAAAAAW0NvbnRlbnRfVHlwZXNdLnhtbFBLAQItABQABgAIAAAAIQA4/SH/1gAAAJQBAAAL&#10;AAAAAAAAAAAAAAAAAC8BAABfcmVscy8ucmVsc1BLAQItABQABgAIAAAAIQCKLPayQgIAAHsEAAAO&#10;AAAAAAAAAAAAAAAAAC4CAABkcnMvZTJvRG9jLnhtbFBLAQItABQABgAIAAAAIQBkdRO/3AAAAAsB&#10;AAAPAAAAAAAAAAAAAAAAAJwEAABkcnMvZG93bnJldi54bWxQSwUGAAAAAAQABADzAAAApQUAAAAA&#10;" fillcolor="white [3212]" stroked="f" strokeweight=".5pt">
                <v:textbox inset="0,0,0,0">
                  <w:txbxContent>
                    <w:p w14:paraId="69F094C6" w14:textId="77777777" w:rsidR="00B06983" w:rsidRPr="00F85C28" w:rsidRDefault="00B06983" w:rsidP="00262896">
                      <w:pPr>
                        <w:tabs>
                          <w:tab w:val="center" w:pos="567"/>
                          <w:tab w:val="center" w:pos="1985"/>
                        </w:tabs>
                        <w:spacing w:after="0" w:line="240" w:lineRule="auto"/>
                        <w:rPr>
                          <w:rFonts w:asciiTheme="majorHAnsi" w:hAnsiTheme="majorHAnsi" w:cstheme="majorHAnsi"/>
                          <w:sz w:val="16"/>
                          <w:szCs w:val="16"/>
                          <w:lang w:val="lv-LV"/>
                        </w:rPr>
                      </w:pPr>
                      <w:r>
                        <w:rPr>
                          <w:rFonts w:asciiTheme="majorHAnsi" w:hAnsiTheme="majorHAnsi" w:cstheme="majorHAnsi"/>
                          <w:sz w:val="16"/>
                          <w:szCs w:val="16"/>
                          <w:lang w:val="lv-LV"/>
                        </w:rPr>
                        <w:t>Samazinājums jaunās būvēs</w:t>
                      </w:r>
                    </w:p>
                  </w:txbxContent>
                </v:textbox>
              </v:shape>
            </w:pict>
          </mc:Fallback>
        </mc:AlternateContent>
      </w:r>
      <w:r w:rsidR="00262896">
        <w:rPr>
          <w:noProof/>
          <w14:ligatures w14:val="standardContextual"/>
        </w:rPr>
        <mc:AlternateContent>
          <mc:Choice Requires="wps">
            <w:drawing>
              <wp:anchor distT="0" distB="0" distL="114300" distR="114300" simplePos="0" relativeHeight="251658278" behindDoc="0" locked="0" layoutInCell="1" allowOverlap="1" wp14:anchorId="0F40329E" wp14:editId="425392CE">
                <wp:simplePos x="0" y="0"/>
                <wp:positionH relativeFrom="column">
                  <wp:posOffset>4056736</wp:posOffset>
                </wp:positionH>
                <wp:positionV relativeFrom="paragraph">
                  <wp:posOffset>252628</wp:posOffset>
                </wp:positionV>
                <wp:extent cx="1353312" cy="453542"/>
                <wp:effectExtent l="0" t="0" r="0" b="3810"/>
                <wp:wrapNone/>
                <wp:docPr id="30731236" name="Text Box 2"/>
                <wp:cNvGraphicFramePr/>
                <a:graphic xmlns:a="http://schemas.openxmlformats.org/drawingml/2006/main">
                  <a:graphicData uri="http://schemas.microsoft.com/office/word/2010/wordprocessingShape">
                    <wps:wsp>
                      <wps:cNvSpPr txBox="1"/>
                      <wps:spPr>
                        <a:xfrm>
                          <a:off x="0" y="0"/>
                          <a:ext cx="1353312" cy="453542"/>
                        </a:xfrm>
                        <a:prstGeom prst="rect">
                          <a:avLst/>
                        </a:prstGeom>
                        <a:solidFill>
                          <a:schemeClr val="bg1"/>
                        </a:solidFill>
                        <a:ln w="6350">
                          <a:noFill/>
                        </a:ln>
                      </wps:spPr>
                      <wps:txbx>
                        <w:txbxContent>
                          <w:p w14:paraId="4D8858AE" w14:textId="77777777" w:rsidR="00B06983" w:rsidRPr="00F85C28" w:rsidRDefault="00B06983" w:rsidP="00262896">
                            <w:pPr>
                              <w:tabs>
                                <w:tab w:val="center" w:pos="567"/>
                                <w:tab w:val="center" w:pos="1985"/>
                              </w:tabs>
                              <w:spacing w:after="0" w:line="240" w:lineRule="auto"/>
                              <w:rPr>
                                <w:rFonts w:asciiTheme="majorHAnsi" w:hAnsiTheme="majorHAnsi" w:cstheme="majorHAnsi"/>
                                <w:sz w:val="16"/>
                                <w:szCs w:val="16"/>
                                <w:lang w:val="lv-LV"/>
                              </w:rPr>
                            </w:pPr>
                            <w:r>
                              <w:rPr>
                                <w:rFonts w:asciiTheme="majorHAnsi" w:hAnsiTheme="majorHAnsi" w:cstheme="majorHAnsi"/>
                                <w:sz w:val="16"/>
                                <w:szCs w:val="16"/>
                                <w:lang w:val="lv-LV"/>
                              </w:rPr>
                              <w:t>Oglekļa emisiju alternatīvu izmaksas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40329E" id="_x0000_s1128" type="#_x0000_t202" style="position:absolute;left:0;text-align:left;margin-left:319.45pt;margin-top:19.9pt;width:106.55pt;height:35.7pt;z-index:2516582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TYeQgIAAHoEAAAOAAAAZHJzL2Uyb0RvYy54bWysVN9v2jAQfp+0/8Hy+wiQwrqIUDEqpklV&#10;WwmmPhvHIZEcn3c2JOyv39khdOv2NO3FOft+f99dFnddo9lJoavB5HwyGnOmjISiNoecf9ttPtxy&#10;5rwwhdBgVM7PyvG75ft3i9ZmagoV6EIhoyDGZa3NeeW9zZLEyUo1wo3AKkPKErARnq54SAoULUVv&#10;dDIdj+dJC1hYBKmco9f7XsmXMX5ZKumfytIpz3TOqTYfT4znPpzJciGyAwpb1fJShviHKhpRG0p6&#10;DXUvvGBHrP8I1dQSwUHpRxKaBMqylir2QN1Mxm+62VbCqtgLgePsFSb3/8LKx9MzsrrIeTr+mE6m&#10;6ZwzIxpiaqc6zz5Dx6YBpNa6jGy3lqx9R89E9vDu6DH03pXYhC91xUhPcJ+vEIdgMjils5TScCZJ&#10;dzNLZzcxfPLqbdH5LwoaFoScI1EYkRWnB+epEjIdTEIyB7ouNrXW8RLGRq01spMgwveHWCN5/Gal&#10;DWtzPk9n4xjYQHDvI2tDCUKvfU9B8t2+iwB9mg8N76E4Ew4I/Tg5Kzc1FfsgnH8WSPNDrdNO+Cc6&#10;Sg2UDC4SZxXgj7+9B3uilbSctTSPOXffjwIVZ/qrIcLD8A4CDsJ+EMyxWQN1PKFtszKK5IBeD2KJ&#10;0LzQqqxCFlIJIylXzqXH4bL2/V7Qskm1WkUzGlIr/IPZWhmCB4wD+LvuRaC9MOSJ20cYZlVkb4jq&#10;bYOngdXRQ1lHFgO0PY4XxGnAI7mXZQwb9Os9Wr3+MpY/AQAA//8DAFBLAwQUAAYACAAAACEA6/wd&#10;stwAAAAKAQAADwAAAGRycy9kb3ducmV2LnhtbEyPy06EQBBF9yb+Q6dM3DnNI0MAaSaj0cQtox/Q&#10;QAnM0NVI9wD+veVKl5U6uffc4rCZUSw4u8GSgnAXgEBqbDtQp+Dj/fUhBeG8plaPllDBNzo4lLc3&#10;hc5bu1KFy8l3gkPI5VpB7/2US+maHo12Ozsh8e/TzkZ7PudOtrNeOdyMMgqCRBo9EDf0esLnHpvL&#10;6WoULFj11f789JJFqzzW+o3oK4mVur/bjo8gPG7+D4ZffVaHkp1qe6XWiVFBEqcZowrijCcwkO4j&#10;HlczGYYRyLKQ/yeUPwAAAP//AwBQSwECLQAUAAYACAAAACEAtoM4kv4AAADhAQAAEwAAAAAAAAAA&#10;AAAAAAAAAAAAW0NvbnRlbnRfVHlwZXNdLnhtbFBLAQItABQABgAIAAAAIQA4/SH/1gAAAJQBAAAL&#10;AAAAAAAAAAAAAAAAAC8BAABfcmVscy8ucmVsc1BLAQItABQABgAIAAAAIQBDZTYeQgIAAHoEAAAO&#10;AAAAAAAAAAAAAAAAAC4CAABkcnMvZTJvRG9jLnhtbFBLAQItABQABgAIAAAAIQDr/B2y3AAAAAoB&#10;AAAPAAAAAAAAAAAAAAAAAJwEAABkcnMvZG93bnJldi54bWxQSwUGAAAAAAQABADzAAAApQUAAAAA&#10;" fillcolor="white [3212]" stroked="f" strokeweight=".5pt">
                <v:textbox inset="0,0,0,0">
                  <w:txbxContent>
                    <w:p w14:paraId="4D8858AE" w14:textId="77777777" w:rsidR="00B06983" w:rsidRPr="00F85C28" w:rsidRDefault="00B06983" w:rsidP="00262896">
                      <w:pPr>
                        <w:tabs>
                          <w:tab w:val="center" w:pos="567"/>
                          <w:tab w:val="center" w:pos="1985"/>
                        </w:tabs>
                        <w:spacing w:after="0" w:line="240" w:lineRule="auto"/>
                        <w:rPr>
                          <w:rFonts w:asciiTheme="majorHAnsi" w:hAnsiTheme="majorHAnsi" w:cstheme="majorHAnsi"/>
                          <w:sz w:val="16"/>
                          <w:szCs w:val="16"/>
                          <w:lang w:val="lv-LV"/>
                        </w:rPr>
                      </w:pPr>
                      <w:r>
                        <w:rPr>
                          <w:rFonts w:asciiTheme="majorHAnsi" w:hAnsiTheme="majorHAnsi" w:cstheme="majorHAnsi"/>
                          <w:sz w:val="16"/>
                          <w:szCs w:val="16"/>
                          <w:lang w:val="lv-LV"/>
                        </w:rPr>
                        <w:t>Oglekļa emisiju alternatīvu izmaksas</w:t>
                      </w:r>
                    </w:p>
                  </w:txbxContent>
                </v:textbox>
              </v:shape>
            </w:pict>
          </mc:Fallback>
        </mc:AlternateContent>
      </w:r>
      <w:r w:rsidR="00262896">
        <w:rPr>
          <w:noProof/>
          <w14:ligatures w14:val="standardContextual"/>
        </w:rPr>
        <mc:AlternateContent>
          <mc:Choice Requires="wps">
            <w:drawing>
              <wp:anchor distT="0" distB="0" distL="114300" distR="114300" simplePos="0" relativeHeight="251658275" behindDoc="0" locked="0" layoutInCell="1" allowOverlap="1" wp14:anchorId="49E8A36E" wp14:editId="7CD29F74">
                <wp:simplePos x="0" y="0"/>
                <wp:positionH relativeFrom="column">
                  <wp:posOffset>918515</wp:posOffset>
                </wp:positionH>
                <wp:positionV relativeFrom="paragraph">
                  <wp:posOffset>1532788</wp:posOffset>
                </wp:positionV>
                <wp:extent cx="1009497" cy="643738"/>
                <wp:effectExtent l="0" t="0" r="635" b="4445"/>
                <wp:wrapNone/>
                <wp:docPr id="1378533708" name="Text Box 2"/>
                <wp:cNvGraphicFramePr/>
                <a:graphic xmlns:a="http://schemas.openxmlformats.org/drawingml/2006/main">
                  <a:graphicData uri="http://schemas.microsoft.com/office/word/2010/wordprocessingShape">
                    <wps:wsp>
                      <wps:cNvSpPr txBox="1"/>
                      <wps:spPr>
                        <a:xfrm>
                          <a:off x="0" y="0"/>
                          <a:ext cx="1009497" cy="643738"/>
                        </a:xfrm>
                        <a:prstGeom prst="rect">
                          <a:avLst/>
                        </a:prstGeom>
                        <a:solidFill>
                          <a:schemeClr val="bg1"/>
                        </a:solidFill>
                        <a:ln w="6350">
                          <a:noFill/>
                        </a:ln>
                      </wps:spPr>
                      <wps:txbx>
                        <w:txbxContent>
                          <w:p w14:paraId="700439CA" w14:textId="77777777" w:rsidR="00B06983" w:rsidRPr="00F85C28" w:rsidRDefault="00B06983" w:rsidP="00262896">
                            <w:pPr>
                              <w:tabs>
                                <w:tab w:val="center" w:pos="567"/>
                                <w:tab w:val="center" w:pos="1985"/>
                              </w:tabs>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 xml:space="preserve">Citi sektori, </w:t>
                            </w:r>
                            <w:r>
                              <w:rPr>
                                <w:rFonts w:asciiTheme="majorHAnsi" w:hAnsiTheme="majorHAnsi" w:cstheme="majorHAnsi"/>
                                <w:sz w:val="16"/>
                                <w:szCs w:val="16"/>
                                <w:lang w:val="lv-LV"/>
                              </w:rPr>
                              <w:br/>
                              <w:t>nezināmas summas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E8A36E" id="_x0000_s1129" type="#_x0000_t202" style="position:absolute;left:0;text-align:left;margin-left:72.3pt;margin-top:120.7pt;width:79.5pt;height:50.7pt;z-index:251658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QrHRAIAAHwEAAAOAAAAZHJzL2Uyb0RvYy54bWysVFGP2jAMfp+0/xDlfbTQu4NDlBPjxDQJ&#10;3Z0E0z2HNIVKaZw5gZb9+jkp5bbbnqa9pE5sf7Y/2509tLVmJ4WuApPz4SDlTBkJRWX2Of+2XX2a&#10;cOa8MIXQYFTOz8rxh/nHD7PGTtUIDqALhYxAjJs2NucH7+00SZw8qFq4AVhlSFkC1sLTFfdJgaIh&#10;9FonozS9SxrAwiJI5Ry9PnZKPo/4Zamkfy5LpzzTOafcfDwxnrtwJvOZmO5R2EMlL2mIf8iiFpWh&#10;oFeoR+EFO2L1B1RdSQQHpR9IqBMoy0qqWANVM0zfVbM5CKtiLUSOs1ea3P+DlU+nF2RVQb3LxpPb&#10;LBun1DEjaurVVrWefYaWjQJNjXVTst5YsvctPZNL/+7oMVTflliHL9XFSE+En68kBzAZnNL0/uZ+&#10;zJkk3d1NNs4mASZ587bo/BcFNQtCzpGaGLkVp7XznWlvEoI50FWxqrSOlzA4aqmRnQS1fLePORL4&#10;b1basIaCZ7dpBDYQ3DtkbSiXUGtXU5B8u2sjRZT1hYgdFGfiAaEbKGflqqJk18L5F4E0QVQ6bYV/&#10;pqPUQMHgInF2APzxt/dgT40lLWcNTWTO3fejQMWZ/mqo5WF8ewF7YdcL5lgvgSoe0r5ZGUVyQK97&#10;sUSoX2lZFiEKqYSRFCvn0mN/WfpuM2jdpFosohmNqRV+bTZWBvDAcSB/274KtJcOeertE/TTKqbv&#10;GtXZBk8Di6OHsopdDNR2PF4YpxGPc3BZx7BDv96j1dtPY/4TAAD//wMAUEsDBBQABgAIAAAAIQCR&#10;PzHO3QAAAAsBAAAPAAAAZHJzL2Rvd25yZXYueG1sTI9BT4QwEIXvJv6HZky8uWWhkpWlbFajiVdW&#10;f0CBWUDpFGkX8N87nvQ2b+blzffyw2oHMePke0catpsIBFLtmp5aDe9vL3c7ED4YaszgCDV8o4dD&#10;cX2Vm6xxC5U4n0IrOIR8ZjR0IYyZlL7u0Bq/cSMS385usiawnFrZTGbhcDvIOIpSaU1P/KEzIz51&#10;WH+eLlbDjGVX3n88Pj/EizxW5pXoK020vr1Zj3sQAdfwZ4ZffEaHgpkqd6HGi4G1UilbNcRqq0Cw&#10;I4kS3lQ8qHgHssjl/w7FDwAAAP//AwBQSwECLQAUAAYACAAAACEAtoM4kv4AAADhAQAAEwAAAAAA&#10;AAAAAAAAAAAAAAAAW0NvbnRlbnRfVHlwZXNdLnhtbFBLAQItABQABgAIAAAAIQA4/SH/1gAAAJQB&#10;AAALAAAAAAAAAAAAAAAAAC8BAABfcmVscy8ucmVsc1BLAQItABQABgAIAAAAIQBMDQrHRAIAAHwE&#10;AAAOAAAAAAAAAAAAAAAAAC4CAABkcnMvZTJvRG9jLnhtbFBLAQItABQABgAIAAAAIQCRPzHO3QAA&#10;AAsBAAAPAAAAAAAAAAAAAAAAAJ4EAABkcnMvZG93bnJldi54bWxQSwUGAAAAAAQABADzAAAAqAUA&#10;AAAA&#10;" fillcolor="white [3212]" stroked="f" strokeweight=".5pt">
                <v:textbox inset="0,0,0,0">
                  <w:txbxContent>
                    <w:p w14:paraId="700439CA" w14:textId="77777777" w:rsidR="00B06983" w:rsidRPr="00F85C28" w:rsidRDefault="00B06983" w:rsidP="00262896">
                      <w:pPr>
                        <w:tabs>
                          <w:tab w:val="center" w:pos="567"/>
                          <w:tab w:val="center" w:pos="1985"/>
                        </w:tabs>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 xml:space="preserve">Citi sektori, </w:t>
                      </w:r>
                      <w:r>
                        <w:rPr>
                          <w:rFonts w:asciiTheme="majorHAnsi" w:hAnsiTheme="majorHAnsi" w:cstheme="majorHAnsi"/>
                          <w:sz w:val="16"/>
                          <w:szCs w:val="16"/>
                          <w:lang w:val="lv-LV"/>
                        </w:rPr>
                        <w:br/>
                        <w:t>nezināmas summas</w:t>
                      </w:r>
                    </w:p>
                  </w:txbxContent>
                </v:textbox>
              </v:shape>
            </w:pict>
          </mc:Fallback>
        </mc:AlternateContent>
      </w:r>
      <w:r w:rsidR="00262896">
        <w:rPr>
          <w:rFonts w:ascii="Minion Pro" w:hAnsi="Minion Pro" w:cs="Arial"/>
          <w:noProof/>
          <w14:ligatures w14:val="standardContextual"/>
        </w:rPr>
        <w:drawing>
          <wp:inline distT="0" distB="0" distL="0" distR="0" wp14:anchorId="373C25F1" wp14:editId="198871AF">
            <wp:extent cx="5400000" cy="3953430"/>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ourmand L. (2024)_izgrizts.png"/>
                    <pic:cNvPicPr/>
                  </pic:nvPicPr>
                  <pic:blipFill rotWithShape="1">
                    <a:blip r:embed="rId30">
                      <a:extLst>
                        <a:ext uri="{28A0092B-C50C-407E-A947-70E740481C1C}">
                          <a14:useLocalDpi xmlns:a14="http://schemas.microsoft.com/office/drawing/2010/main" val="0"/>
                        </a:ext>
                      </a:extLst>
                    </a:blip>
                    <a:srcRect l="5104" b="11594"/>
                    <a:stretch/>
                  </pic:blipFill>
                  <pic:spPr bwMode="auto">
                    <a:xfrm>
                      <a:off x="0" y="0"/>
                      <a:ext cx="5400000" cy="3953430"/>
                    </a:xfrm>
                    <a:prstGeom prst="rect">
                      <a:avLst/>
                    </a:prstGeom>
                    <a:ln>
                      <a:noFill/>
                    </a:ln>
                    <a:extLst>
                      <a:ext uri="{53640926-AAD7-44D8-BBD7-CCE9431645EC}">
                        <a14:shadowObscured xmlns:a14="http://schemas.microsoft.com/office/drawing/2010/main"/>
                      </a:ext>
                    </a:extLst>
                  </pic:spPr>
                </pic:pic>
              </a:graphicData>
            </a:graphic>
          </wp:inline>
        </w:drawing>
      </w:r>
    </w:p>
    <w:p w14:paraId="1702F536" w14:textId="77777777" w:rsidR="00262896" w:rsidRPr="00AC0319" w:rsidRDefault="00262896" w:rsidP="00262896">
      <w:pPr>
        <w:widowControl/>
        <w:spacing w:line="240" w:lineRule="auto"/>
        <w:rPr>
          <w:rFonts w:ascii="Verdana Pro Cond Light" w:hAnsi="Verdana Pro Cond Light" w:cs="Arial"/>
          <w:lang w:val="lv-LV"/>
        </w:rPr>
      </w:pPr>
    </w:p>
    <w:p w14:paraId="14B9B1F6" w14:textId="77777777" w:rsidR="00262896" w:rsidRPr="00C17309" w:rsidRDefault="00262896" w:rsidP="00E2157A">
      <w:pPr>
        <w:widowControl/>
        <w:spacing w:before="480" w:after="120" w:line="240" w:lineRule="auto"/>
        <w:rPr>
          <w:rFonts w:ascii="Arial Nova Cond Light" w:hAnsi="Arial Nova Cond Light"/>
          <w:color w:val="000000" w:themeColor="text1"/>
          <w:sz w:val="16"/>
          <w:szCs w:val="16"/>
          <w:lang w:val="lv-LV"/>
        </w:rPr>
      </w:pPr>
      <w:r w:rsidRPr="00C17309">
        <w:rPr>
          <w:rFonts w:ascii="Arial Nova Cond Light" w:hAnsi="Arial Nova Cond Light"/>
          <w:sz w:val="16"/>
          <w:szCs w:val="16"/>
          <w:lang w:val="lv-LV"/>
        </w:rPr>
        <w:t xml:space="preserve">Avots: </w:t>
      </w:r>
      <w:r w:rsidRPr="00C17309">
        <w:rPr>
          <w:rFonts w:ascii="Arial Nova Cond Light" w:hAnsi="Arial Nova Cond Light"/>
          <w:color w:val="000000" w:themeColor="text1"/>
          <w:sz w:val="16"/>
          <w:szCs w:val="16"/>
          <w:lang w:val="lv-LV"/>
        </w:rPr>
        <w:t>Gourmand L. (2024), “How Much Investment Is Required To Reach France’s  Decarbonisation Targets For 2030?”, DG Trésor Working Document, no. 2024/2.</w:t>
      </w:r>
    </w:p>
    <w:p w14:paraId="32ECDE72" w14:textId="77777777" w:rsidR="00262896" w:rsidRPr="00C17309" w:rsidRDefault="00262896" w:rsidP="00262896">
      <w:pPr>
        <w:widowControl/>
        <w:spacing w:after="120" w:line="240" w:lineRule="auto"/>
        <w:ind w:right="1843"/>
        <w:rPr>
          <w:rFonts w:ascii="Verdana Pro Cond Light" w:hAnsi="Verdana Pro Cond Light" w:cs="Arial"/>
          <w:lang w:val="lv-LV"/>
        </w:rPr>
      </w:pPr>
    </w:p>
    <w:p w14:paraId="441E781B" w14:textId="77777777" w:rsidR="00262896" w:rsidRPr="00C17309" w:rsidRDefault="00262896" w:rsidP="00262896">
      <w:pPr>
        <w:widowControl/>
        <w:spacing w:after="120" w:line="240" w:lineRule="auto"/>
        <w:rPr>
          <w:rFonts w:ascii="Verdana Pro Cond Light" w:hAnsi="Verdana Pro Cond Light" w:cs="Arial"/>
          <w:lang w:val="lv-LV"/>
        </w:rPr>
      </w:pPr>
      <w:r w:rsidRPr="00C17309">
        <w:rPr>
          <w:rFonts w:ascii="Verdana Pro Cond Light" w:hAnsi="Verdana Pro Cond Light" w:cs="Arial"/>
          <w:lang w:val="lv-LV"/>
        </w:rPr>
        <w:t>Izmaksas vēl tiktu samazinātas arī pateicoties, piemēram, mazākam pieprasījumam pēc jauniem iekšdedzes transportlīdzekļiem un enerģijas rēķinu ietaupījumiem.</w:t>
      </w:r>
    </w:p>
    <w:p w14:paraId="5FF28297" w14:textId="77777777" w:rsidR="00262896" w:rsidRPr="00C17309" w:rsidRDefault="00262896" w:rsidP="00262896">
      <w:pPr>
        <w:widowControl/>
        <w:spacing w:after="120" w:line="240" w:lineRule="auto"/>
        <w:rPr>
          <w:rFonts w:ascii="Verdana Pro Cond Light" w:hAnsi="Verdana Pro Cond Light" w:cs="Arial"/>
          <w:lang w:val="lv-LV"/>
        </w:rPr>
      </w:pPr>
      <w:r w:rsidRPr="00C17309">
        <w:rPr>
          <w:rFonts w:ascii="Verdana Pro Cond Light" w:hAnsi="Verdana Pro Cond Light" w:cs="Arial"/>
          <w:lang w:val="lv-LV"/>
        </w:rPr>
        <w:t>Rakstā ir minēts, ka Francijā Klimata ekonomikas institūta (I4CE) aplēstās privātās un valsts investīcijas klimata jomā 2021. gadā bija 92 miljardu eiro apmērā (3,7 % no IKP). Šie skaitļi kopš 2016. gada ir palielinājušies par gandrīz 40%, laikposmā no 2020. līdz 2021. gadam tie pieauga par 18 miljardiem eiro, kas bija īpaši saistīts ar Francijas ANM saņemtā finansējuma ietekmi.</w:t>
      </w:r>
    </w:p>
    <w:p w14:paraId="7588D270" w14:textId="77777777" w:rsidR="00262896" w:rsidRPr="00C17309" w:rsidRDefault="00262896" w:rsidP="00262896">
      <w:pPr>
        <w:widowControl/>
        <w:spacing w:after="120" w:line="240" w:lineRule="auto"/>
        <w:rPr>
          <w:rFonts w:ascii="Verdana Pro Cond Light" w:hAnsi="Verdana Pro Cond Light" w:cs="Arial"/>
          <w:lang w:val="lv-LV"/>
        </w:rPr>
      </w:pPr>
      <w:r w:rsidRPr="00C17309">
        <w:rPr>
          <w:rFonts w:ascii="Verdana Pro Cond Light" w:hAnsi="Verdana Pro Cond Light" w:cs="Arial"/>
          <w:lang w:val="lv-LV"/>
        </w:rPr>
        <w:t>Attiecīgi, balstoties uz vairākiem pēdējiem literatūras avotiem, raksta autors L.Gourmand secināja, ka bruto papildu zemu oglekļa emisiju nepieciešamo investīciju apjoms 2024.–2030. gada periodā sastādītu ne vairāk kā 110 miljardu eiro gadā vidēji. Investīciju sadalījums pa sektoriem ir atspoguļots 4.3. tabulā.</w:t>
      </w:r>
    </w:p>
    <w:p w14:paraId="625CB3E1" w14:textId="77777777" w:rsidR="00E2157A" w:rsidRDefault="00E2157A">
      <w:pPr>
        <w:widowControl/>
        <w:spacing w:after="160" w:line="259" w:lineRule="auto"/>
        <w:rPr>
          <w:rFonts w:ascii="Verdana Pro Cond Light" w:hAnsi="Verdana Pro Cond Light" w:cs="Arial"/>
          <w:lang w:val="lv-LV"/>
        </w:rPr>
      </w:pPr>
      <w:r>
        <w:rPr>
          <w:rFonts w:ascii="Verdana Pro Cond Light" w:hAnsi="Verdana Pro Cond Light" w:cs="Arial"/>
          <w:lang w:val="lv-LV"/>
        </w:rPr>
        <w:br w:type="page"/>
      </w:r>
    </w:p>
    <w:p w14:paraId="1CFE0EFF" w14:textId="63983CAD" w:rsidR="00262896" w:rsidRPr="00C17309" w:rsidRDefault="00262896" w:rsidP="00262896">
      <w:pPr>
        <w:widowControl/>
        <w:spacing w:before="120" w:after="120" w:line="240" w:lineRule="auto"/>
        <w:jc w:val="right"/>
        <w:rPr>
          <w:rFonts w:ascii="Verdana Pro Cond Light" w:hAnsi="Verdana Pro Cond Light" w:cs="Arial"/>
          <w:lang w:val="lv-LV"/>
        </w:rPr>
      </w:pPr>
      <w:r w:rsidRPr="00C17309">
        <w:rPr>
          <w:rFonts w:ascii="Verdana Pro Cond Light" w:hAnsi="Verdana Pro Cond Light" w:cs="Arial"/>
          <w:lang w:val="lv-LV"/>
        </w:rPr>
        <w:lastRenderedPageBreak/>
        <w:t>4.3. tabula</w:t>
      </w:r>
    </w:p>
    <w:p w14:paraId="59920D4C" w14:textId="77777777" w:rsidR="00262896" w:rsidRDefault="00262896" w:rsidP="00262896">
      <w:pPr>
        <w:widowControl/>
        <w:spacing w:after="120" w:line="240" w:lineRule="auto"/>
        <w:jc w:val="center"/>
        <w:rPr>
          <w:rFonts w:ascii="Verdana Pro Cond Light" w:hAnsi="Verdana Pro Cond Light"/>
          <w:bCs/>
          <w:sz w:val="18"/>
          <w:szCs w:val="18"/>
          <w:lang w:val="lv-LV"/>
        </w:rPr>
      </w:pPr>
      <w:r w:rsidRPr="005E2E02">
        <w:rPr>
          <w:rFonts w:ascii="Verdana Pro Cond Light" w:hAnsi="Verdana Pro Cond Light"/>
          <w:b/>
          <w:lang w:val="lv-LV"/>
        </w:rPr>
        <w:t>Sadalījums pa nozarēm papildu zemu oglekļa emisiju investīciju prasības</w:t>
      </w:r>
      <w:r w:rsidRPr="00C17309">
        <w:rPr>
          <w:rFonts w:ascii="Verdana Pro Cond Light" w:hAnsi="Verdana Pro Cond Light"/>
          <w:b/>
          <w:lang w:val="lv-LV"/>
        </w:rPr>
        <w:t xml:space="preserve"> </w:t>
      </w:r>
      <w:r>
        <w:rPr>
          <w:rFonts w:ascii="Verdana Pro Cond Light" w:hAnsi="Verdana Pro Cond Light"/>
          <w:b/>
          <w:lang w:val="lv-LV"/>
        </w:rPr>
        <w:br/>
      </w:r>
      <w:r w:rsidRPr="00C17309">
        <w:rPr>
          <w:rFonts w:ascii="Verdana Pro Cond Light" w:hAnsi="Verdana Pro Cond Light"/>
          <w:bCs/>
          <w:sz w:val="18"/>
          <w:szCs w:val="18"/>
          <w:lang w:val="lv-LV"/>
        </w:rPr>
        <w:t>2030. gadā salīdzinājumā ar 2021. gada rādītājiem</w:t>
      </w:r>
    </w:p>
    <w:tbl>
      <w:tblPr>
        <w:tblStyle w:val="TableGrid"/>
        <w:tblW w:w="963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1"/>
        <w:gridCol w:w="1984"/>
        <w:gridCol w:w="5102"/>
      </w:tblGrid>
      <w:tr w:rsidR="00041C6C" w:rsidRPr="00A93D72" w14:paraId="57462251" w14:textId="77777777" w:rsidTr="005E2E02">
        <w:trPr>
          <w:jc w:val="center"/>
        </w:trPr>
        <w:tc>
          <w:tcPr>
            <w:tcW w:w="2551" w:type="dxa"/>
            <w:shd w:val="clear" w:color="auto" w:fill="4472C4" w:themeFill="accent1"/>
            <w:vAlign w:val="center"/>
          </w:tcPr>
          <w:p w14:paraId="53151372" w14:textId="77777777" w:rsidR="00262896" w:rsidRPr="00A93D72" w:rsidRDefault="00262896" w:rsidP="00041C6C">
            <w:pPr>
              <w:widowControl/>
              <w:spacing w:before="40" w:after="40" w:line="240" w:lineRule="auto"/>
              <w:jc w:val="center"/>
              <w:rPr>
                <w:rFonts w:asciiTheme="majorHAnsi" w:hAnsiTheme="majorHAnsi" w:cstheme="majorHAnsi"/>
                <w:b/>
                <w:bCs/>
                <w:color w:val="FFFFFF" w:themeColor="background1"/>
                <w:sz w:val="16"/>
                <w:szCs w:val="16"/>
                <w:lang w:val="lv-LV"/>
              </w:rPr>
            </w:pPr>
            <w:r>
              <w:rPr>
                <w:rFonts w:asciiTheme="majorHAnsi" w:hAnsiTheme="majorHAnsi" w:cstheme="majorHAnsi"/>
                <w:b/>
                <w:bCs/>
                <w:color w:val="FFFFFF" w:themeColor="background1"/>
                <w:sz w:val="16"/>
                <w:szCs w:val="16"/>
                <w:lang w:val="lv-LV"/>
              </w:rPr>
              <w:t>Sektors</w:t>
            </w:r>
          </w:p>
        </w:tc>
        <w:tc>
          <w:tcPr>
            <w:tcW w:w="1984" w:type="dxa"/>
            <w:shd w:val="clear" w:color="auto" w:fill="4472C4" w:themeFill="accent1"/>
            <w:vAlign w:val="center"/>
          </w:tcPr>
          <w:p w14:paraId="6A97D966" w14:textId="6A36515F" w:rsidR="00262896" w:rsidRDefault="00041C6C" w:rsidP="00041C6C">
            <w:pPr>
              <w:widowControl/>
              <w:spacing w:before="40" w:after="40" w:line="240" w:lineRule="auto"/>
              <w:jc w:val="center"/>
              <w:rPr>
                <w:rFonts w:asciiTheme="majorHAnsi" w:hAnsiTheme="majorHAnsi" w:cstheme="majorHAnsi"/>
                <w:b/>
                <w:bCs/>
                <w:color w:val="FFFFFF" w:themeColor="background1"/>
                <w:sz w:val="16"/>
                <w:szCs w:val="16"/>
                <w:lang w:val="lv-LV"/>
              </w:rPr>
            </w:pPr>
            <w:r>
              <w:rPr>
                <w:rFonts w:asciiTheme="majorHAnsi" w:hAnsiTheme="majorHAnsi" w:cstheme="majorHAnsi"/>
                <w:b/>
                <w:bCs/>
                <w:color w:val="FFFFFF" w:themeColor="background1"/>
                <w:sz w:val="16"/>
                <w:szCs w:val="16"/>
                <w:lang w:val="lv-LV"/>
              </w:rPr>
              <w:t>P</w:t>
            </w:r>
            <w:r w:rsidRPr="00041C6C">
              <w:rPr>
                <w:rFonts w:asciiTheme="majorHAnsi" w:hAnsiTheme="majorHAnsi" w:cstheme="majorHAnsi"/>
                <w:b/>
                <w:bCs/>
                <w:color w:val="FFFFFF" w:themeColor="background1"/>
                <w:sz w:val="16"/>
                <w:szCs w:val="16"/>
                <w:lang w:val="lv-LV"/>
              </w:rPr>
              <w:t>apildu zemu oglekļa emisiju investīciju prasība</w:t>
            </w:r>
            <w:r>
              <w:rPr>
                <w:rFonts w:asciiTheme="majorHAnsi" w:hAnsiTheme="majorHAnsi" w:cstheme="majorHAnsi"/>
                <w:b/>
                <w:bCs/>
                <w:color w:val="FFFFFF" w:themeColor="background1"/>
                <w:sz w:val="16"/>
                <w:szCs w:val="16"/>
                <w:lang w:val="lv-LV"/>
              </w:rPr>
              <w:t>s</w:t>
            </w:r>
            <w:r>
              <w:rPr>
                <w:rFonts w:asciiTheme="majorHAnsi" w:hAnsiTheme="majorHAnsi" w:cstheme="majorHAnsi"/>
                <w:b/>
                <w:bCs/>
                <w:color w:val="FFFFFF" w:themeColor="background1"/>
                <w:sz w:val="16"/>
                <w:szCs w:val="16"/>
                <w:lang w:val="lv-LV"/>
              </w:rPr>
              <w:br/>
            </w:r>
            <w:r w:rsidRPr="00041C6C">
              <w:rPr>
                <w:rFonts w:asciiTheme="majorHAnsi" w:hAnsiTheme="majorHAnsi" w:cstheme="majorHAnsi"/>
                <w:color w:val="FFFFFF" w:themeColor="background1"/>
                <w:sz w:val="16"/>
                <w:szCs w:val="16"/>
                <w:lang w:val="lv-LV"/>
              </w:rPr>
              <w:t>miljari eiro gadā/2022</w:t>
            </w:r>
          </w:p>
        </w:tc>
        <w:tc>
          <w:tcPr>
            <w:tcW w:w="5102" w:type="dxa"/>
            <w:shd w:val="clear" w:color="auto" w:fill="4472C4" w:themeFill="accent1"/>
            <w:vAlign w:val="center"/>
          </w:tcPr>
          <w:p w14:paraId="5E7C07DA" w14:textId="1FE19ADF" w:rsidR="00262896" w:rsidRDefault="00041C6C" w:rsidP="00041C6C">
            <w:pPr>
              <w:widowControl/>
              <w:spacing w:before="40" w:after="40" w:line="240" w:lineRule="auto"/>
              <w:jc w:val="center"/>
              <w:rPr>
                <w:rFonts w:asciiTheme="majorHAnsi" w:hAnsiTheme="majorHAnsi" w:cstheme="majorHAnsi"/>
                <w:b/>
                <w:bCs/>
                <w:color w:val="FFFFFF" w:themeColor="background1"/>
                <w:sz w:val="16"/>
                <w:szCs w:val="16"/>
                <w:lang w:val="lv-LV"/>
              </w:rPr>
            </w:pPr>
            <w:r>
              <w:rPr>
                <w:rFonts w:asciiTheme="majorHAnsi" w:hAnsiTheme="majorHAnsi" w:cstheme="majorHAnsi"/>
                <w:b/>
                <w:bCs/>
                <w:color w:val="FFFFFF" w:themeColor="background1"/>
                <w:sz w:val="16"/>
                <w:szCs w:val="16"/>
                <w:lang w:val="lv-LV"/>
              </w:rPr>
              <w:t>Veids</w:t>
            </w:r>
          </w:p>
        </w:tc>
      </w:tr>
      <w:tr w:rsidR="00041C6C" w:rsidRPr="00D24F07" w14:paraId="3FE84B15" w14:textId="77777777" w:rsidTr="005E2E02">
        <w:trPr>
          <w:jc w:val="center"/>
        </w:trPr>
        <w:tc>
          <w:tcPr>
            <w:tcW w:w="2551" w:type="dxa"/>
            <w:shd w:val="clear" w:color="auto" w:fill="D9E2F3" w:themeFill="accent1" w:themeFillTint="33"/>
            <w:vAlign w:val="center"/>
          </w:tcPr>
          <w:p w14:paraId="389F5B63" w14:textId="77777777" w:rsidR="00262896" w:rsidRPr="00674542" w:rsidRDefault="00262896" w:rsidP="0002297E">
            <w:pPr>
              <w:widowControl/>
              <w:spacing w:before="40" w:after="40" w:line="240" w:lineRule="auto"/>
              <w:rPr>
                <w:rFonts w:asciiTheme="majorHAnsi" w:hAnsiTheme="majorHAnsi" w:cstheme="majorHAnsi"/>
                <w:sz w:val="16"/>
                <w:szCs w:val="16"/>
                <w:lang w:val="lv-LV"/>
              </w:rPr>
            </w:pPr>
            <w:r>
              <w:rPr>
                <w:rFonts w:asciiTheme="majorHAnsi" w:hAnsiTheme="majorHAnsi" w:cstheme="majorHAnsi"/>
                <w:sz w:val="16"/>
                <w:szCs w:val="16"/>
                <w:lang w:val="lv-LV"/>
              </w:rPr>
              <w:t>Būvniecība</w:t>
            </w:r>
          </w:p>
        </w:tc>
        <w:tc>
          <w:tcPr>
            <w:tcW w:w="1984" w:type="dxa"/>
            <w:shd w:val="clear" w:color="auto" w:fill="D9E2F3" w:themeFill="accent1" w:themeFillTint="33"/>
            <w:vAlign w:val="bottom"/>
          </w:tcPr>
          <w:p w14:paraId="5481B643" w14:textId="77777777" w:rsidR="00262896" w:rsidRPr="00674542" w:rsidRDefault="00262896" w:rsidP="0002297E">
            <w:pPr>
              <w:widowControl/>
              <w:spacing w:before="40" w:after="4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+39</w:t>
            </w:r>
            <w:r>
              <w:rPr>
                <w:rFonts w:asciiTheme="majorHAnsi" w:hAnsiTheme="majorHAnsi" w:cstheme="majorHAnsi"/>
                <w:sz w:val="16"/>
                <w:szCs w:val="16"/>
                <w:lang w:val="lv-LV"/>
              </w:rPr>
              <w:br/>
              <w:t>-6</w:t>
            </w:r>
            <w:r>
              <w:rPr>
                <w:rFonts w:asciiTheme="majorHAnsi" w:hAnsiTheme="majorHAnsi" w:cstheme="majorHAnsi"/>
                <w:sz w:val="16"/>
                <w:szCs w:val="16"/>
                <w:lang w:val="lv-LV"/>
              </w:rPr>
              <w:br/>
              <w:t>-12</w:t>
            </w:r>
          </w:p>
        </w:tc>
        <w:tc>
          <w:tcPr>
            <w:tcW w:w="5102" w:type="dxa"/>
            <w:shd w:val="clear" w:color="auto" w:fill="D9E2F3" w:themeFill="accent1" w:themeFillTint="33"/>
            <w:vAlign w:val="bottom"/>
          </w:tcPr>
          <w:p w14:paraId="0F3A0541" w14:textId="51977B60" w:rsidR="00262896" w:rsidRPr="00674542" w:rsidRDefault="00041C6C" w:rsidP="00041C6C">
            <w:pPr>
              <w:widowControl/>
              <w:spacing w:before="40" w:after="40" w:line="240" w:lineRule="auto"/>
              <w:rPr>
                <w:rFonts w:asciiTheme="majorHAnsi" w:hAnsiTheme="majorHAnsi" w:cstheme="majorHAnsi"/>
                <w:sz w:val="16"/>
                <w:szCs w:val="16"/>
                <w:lang w:val="lv-LV"/>
              </w:rPr>
            </w:pPr>
            <w:r>
              <w:rPr>
                <w:rFonts w:asciiTheme="majorHAnsi" w:hAnsiTheme="majorHAnsi" w:cstheme="majorHAnsi"/>
                <w:sz w:val="16"/>
                <w:szCs w:val="16"/>
                <w:lang w:val="lv-LV"/>
              </w:rPr>
              <w:t>Bruto</w:t>
            </w:r>
            <w:r>
              <w:rPr>
                <w:rFonts w:asciiTheme="majorHAnsi" w:hAnsiTheme="majorHAnsi" w:cstheme="majorHAnsi"/>
                <w:sz w:val="16"/>
                <w:szCs w:val="16"/>
                <w:lang w:val="lv-LV"/>
              </w:rPr>
              <w:br/>
            </w:r>
            <w:r w:rsidRPr="00041C6C">
              <w:rPr>
                <w:rFonts w:asciiTheme="majorHAnsi" w:hAnsiTheme="majorHAnsi" w:cstheme="majorHAnsi"/>
                <w:sz w:val="16"/>
                <w:szCs w:val="16"/>
                <w:lang w:val="lv-LV"/>
              </w:rPr>
              <w:t>Oglekļa emisiju alternatīvu izmaksas</w:t>
            </w:r>
            <w:r>
              <w:rPr>
                <w:rFonts w:asciiTheme="majorHAnsi" w:hAnsiTheme="majorHAnsi" w:cstheme="majorHAnsi"/>
                <w:sz w:val="16"/>
                <w:szCs w:val="16"/>
                <w:lang w:val="lv-LV"/>
              </w:rPr>
              <w:br/>
            </w:r>
            <w:r w:rsidRPr="00041C6C">
              <w:rPr>
                <w:rFonts w:asciiTheme="majorHAnsi" w:hAnsiTheme="majorHAnsi" w:cstheme="majorHAnsi"/>
                <w:sz w:val="16"/>
                <w:szCs w:val="16"/>
                <w:lang w:val="lv-LV"/>
              </w:rPr>
              <w:t xml:space="preserve">Jaunbūvju </w:t>
            </w:r>
            <w:r>
              <w:rPr>
                <w:rFonts w:asciiTheme="majorHAnsi" w:hAnsiTheme="majorHAnsi" w:cstheme="majorHAnsi"/>
                <w:sz w:val="16"/>
                <w:szCs w:val="16"/>
                <w:lang w:val="lv-LV"/>
              </w:rPr>
              <w:t>skaita samazinājums</w:t>
            </w:r>
          </w:p>
        </w:tc>
      </w:tr>
      <w:tr w:rsidR="00041C6C" w:rsidRPr="00674542" w14:paraId="514E78C1" w14:textId="77777777" w:rsidTr="005E2E02">
        <w:trPr>
          <w:jc w:val="center"/>
        </w:trPr>
        <w:tc>
          <w:tcPr>
            <w:tcW w:w="2551" w:type="dxa"/>
            <w:shd w:val="clear" w:color="auto" w:fill="B4C6E7" w:themeFill="accent1" w:themeFillTint="66"/>
            <w:vAlign w:val="center"/>
          </w:tcPr>
          <w:p w14:paraId="4D952E82" w14:textId="77777777" w:rsidR="00262896" w:rsidRPr="00674542" w:rsidRDefault="00262896" w:rsidP="0002297E">
            <w:pPr>
              <w:widowControl/>
              <w:spacing w:before="40" w:after="40" w:line="240" w:lineRule="auto"/>
              <w:rPr>
                <w:rFonts w:asciiTheme="majorHAnsi" w:hAnsiTheme="majorHAnsi" w:cstheme="majorHAnsi"/>
                <w:sz w:val="16"/>
                <w:szCs w:val="16"/>
                <w:lang w:val="lv-LV"/>
              </w:rPr>
            </w:pPr>
            <w:r>
              <w:rPr>
                <w:rFonts w:asciiTheme="majorHAnsi" w:hAnsiTheme="majorHAnsi" w:cstheme="majorHAnsi"/>
                <w:sz w:val="16"/>
                <w:szCs w:val="16"/>
                <w:lang w:val="lv-LV"/>
              </w:rPr>
              <w:t>Transports</w:t>
            </w:r>
          </w:p>
        </w:tc>
        <w:tc>
          <w:tcPr>
            <w:tcW w:w="1984" w:type="dxa"/>
            <w:shd w:val="clear" w:color="auto" w:fill="B4C6E7" w:themeFill="accent1" w:themeFillTint="66"/>
            <w:vAlign w:val="bottom"/>
          </w:tcPr>
          <w:p w14:paraId="6F260ECF" w14:textId="77777777" w:rsidR="00262896" w:rsidRPr="00674542" w:rsidRDefault="00262896" w:rsidP="0002297E">
            <w:pPr>
              <w:widowControl/>
              <w:spacing w:before="40" w:after="4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+43</w:t>
            </w:r>
            <w:r>
              <w:rPr>
                <w:rFonts w:asciiTheme="majorHAnsi" w:hAnsiTheme="majorHAnsi" w:cstheme="majorHAnsi"/>
                <w:sz w:val="16"/>
                <w:szCs w:val="16"/>
                <w:lang w:val="lv-LV"/>
              </w:rPr>
              <w:br/>
              <w:t>-29</w:t>
            </w:r>
          </w:p>
        </w:tc>
        <w:tc>
          <w:tcPr>
            <w:tcW w:w="5102" w:type="dxa"/>
            <w:shd w:val="clear" w:color="auto" w:fill="B4C6E7" w:themeFill="accent1" w:themeFillTint="66"/>
            <w:vAlign w:val="bottom"/>
          </w:tcPr>
          <w:p w14:paraId="361ECE44" w14:textId="0A85B729" w:rsidR="00041C6C" w:rsidRPr="00041C6C" w:rsidRDefault="00041C6C" w:rsidP="00041C6C">
            <w:pPr>
              <w:widowControl/>
              <w:spacing w:before="40" w:after="40" w:line="240" w:lineRule="auto"/>
              <w:rPr>
                <w:rFonts w:asciiTheme="majorHAnsi" w:hAnsiTheme="majorHAnsi" w:cstheme="majorHAnsi"/>
                <w:sz w:val="16"/>
                <w:szCs w:val="16"/>
                <w:lang w:val="lv-LV"/>
              </w:rPr>
            </w:pPr>
            <w:r w:rsidRPr="00041C6C">
              <w:rPr>
                <w:rFonts w:asciiTheme="majorHAnsi" w:hAnsiTheme="majorHAnsi" w:cstheme="majorHAnsi"/>
                <w:sz w:val="16"/>
                <w:szCs w:val="16"/>
                <w:lang w:val="lv-LV"/>
              </w:rPr>
              <w:t>Bruto</w:t>
            </w:r>
            <w:r>
              <w:rPr>
                <w:rFonts w:asciiTheme="majorHAnsi" w:hAnsiTheme="majorHAnsi" w:cstheme="majorHAnsi"/>
                <w:sz w:val="16"/>
                <w:szCs w:val="16"/>
                <w:lang w:val="lv-LV"/>
              </w:rPr>
              <w:br/>
            </w:r>
            <w:r w:rsidRPr="00041C6C">
              <w:rPr>
                <w:rFonts w:asciiTheme="majorHAnsi" w:hAnsiTheme="majorHAnsi" w:cstheme="majorHAnsi"/>
                <w:sz w:val="16"/>
                <w:szCs w:val="16"/>
                <w:lang w:val="lv-LV"/>
              </w:rPr>
              <w:t>Oglekļa emisiju alternatīvu izmaksas</w:t>
            </w:r>
          </w:p>
          <w:p w14:paraId="22131662" w14:textId="49FFCB72" w:rsidR="00262896" w:rsidRPr="00674542" w:rsidRDefault="00262896" w:rsidP="00041C6C">
            <w:pPr>
              <w:widowControl/>
              <w:spacing w:before="40" w:after="40" w:line="240" w:lineRule="auto"/>
              <w:rPr>
                <w:rFonts w:asciiTheme="majorHAnsi" w:hAnsiTheme="majorHAnsi" w:cstheme="majorHAnsi"/>
                <w:sz w:val="16"/>
                <w:szCs w:val="16"/>
                <w:lang w:val="lv-LV"/>
              </w:rPr>
            </w:pPr>
          </w:p>
        </w:tc>
      </w:tr>
      <w:tr w:rsidR="00041C6C" w:rsidRPr="00674542" w14:paraId="456A74A1" w14:textId="77777777" w:rsidTr="005E2E02">
        <w:trPr>
          <w:jc w:val="center"/>
        </w:trPr>
        <w:tc>
          <w:tcPr>
            <w:tcW w:w="2551" w:type="dxa"/>
            <w:shd w:val="clear" w:color="auto" w:fill="D9E2F3" w:themeFill="accent1" w:themeFillTint="33"/>
            <w:vAlign w:val="center"/>
          </w:tcPr>
          <w:p w14:paraId="4A7B6512" w14:textId="77777777" w:rsidR="00262896" w:rsidRPr="00674542" w:rsidRDefault="00262896" w:rsidP="0002297E">
            <w:pPr>
              <w:widowControl/>
              <w:spacing w:before="40" w:after="40" w:line="240" w:lineRule="auto"/>
              <w:rPr>
                <w:rFonts w:asciiTheme="majorHAnsi" w:hAnsiTheme="majorHAnsi" w:cstheme="majorHAnsi"/>
                <w:sz w:val="16"/>
                <w:szCs w:val="16"/>
                <w:lang w:val="lv-LV"/>
              </w:rPr>
            </w:pPr>
            <w:r>
              <w:rPr>
                <w:rFonts w:asciiTheme="majorHAnsi" w:hAnsiTheme="majorHAnsi" w:cstheme="majorHAnsi"/>
                <w:sz w:val="16"/>
                <w:szCs w:val="16"/>
                <w:lang w:val="lv-LV"/>
              </w:rPr>
              <w:t>Enerģētika</w:t>
            </w:r>
          </w:p>
        </w:tc>
        <w:tc>
          <w:tcPr>
            <w:tcW w:w="1984" w:type="dxa"/>
            <w:shd w:val="clear" w:color="auto" w:fill="D9E2F3" w:themeFill="accent1" w:themeFillTint="33"/>
            <w:vAlign w:val="bottom"/>
          </w:tcPr>
          <w:p w14:paraId="7AE13F06" w14:textId="77777777" w:rsidR="00262896" w:rsidRPr="00674542" w:rsidRDefault="00262896" w:rsidP="0002297E">
            <w:pPr>
              <w:widowControl/>
              <w:spacing w:before="40" w:after="4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+17</w:t>
            </w:r>
          </w:p>
        </w:tc>
        <w:tc>
          <w:tcPr>
            <w:tcW w:w="5102" w:type="dxa"/>
            <w:shd w:val="clear" w:color="auto" w:fill="D9E2F3" w:themeFill="accent1" w:themeFillTint="33"/>
            <w:vAlign w:val="bottom"/>
          </w:tcPr>
          <w:p w14:paraId="2E3BC111" w14:textId="19E54DB2" w:rsidR="00262896" w:rsidRPr="00674542" w:rsidRDefault="00041C6C" w:rsidP="00041C6C">
            <w:pPr>
              <w:widowControl/>
              <w:spacing w:before="40" w:after="40" w:line="240" w:lineRule="auto"/>
              <w:rPr>
                <w:rFonts w:asciiTheme="majorHAnsi" w:hAnsiTheme="majorHAnsi" w:cstheme="majorHAnsi"/>
                <w:sz w:val="16"/>
                <w:szCs w:val="16"/>
                <w:lang w:val="lv-LV"/>
              </w:rPr>
            </w:pPr>
            <w:r w:rsidRPr="00041C6C">
              <w:rPr>
                <w:rFonts w:asciiTheme="majorHAnsi" w:hAnsiTheme="majorHAnsi" w:cstheme="majorHAnsi"/>
                <w:sz w:val="16"/>
                <w:szCs w:val="16"/>
                <w:lang w:val="lv-LV"/>
              </w:rPr>
              <w:t>Bruto</w:t>
            </w:r>
          </w:p>
        </w:tc>
      </w:tr>
      <w:tr w:rsidR="00041C6C" w:rsidRPr="00D24F07" w14:paraId="70DE5A1D" w14:textId="77777777" w:rsidTr="005E2E02">
        <w:trPr>
          <w:jc w:val="center"/>
        </w:trPr>
        <w:tc>
          <w:tcPr>
            <w:tcW w:w="2551" w:type="dxa"/>
            <w:shd w:val="clear" w:color="auto" w:fill="B4C6E7" w:themeFill="accent1" w:themeFillTint="66"/>
            <w:vAlign w:val="center"/>
          </w:tcPr>
          <w:p w14:paraId="20091AF5" w14:textId="77777777" w:rsidR="00262896" w:rsidRPr="00674542" w:rsidRDefault="00262896" w:rsidP="0002297E">
            <w:pPr>
              <w:widowControl/>
              <w:spacing w:before="40" w:after="40" w:line="240" w:lineRule="auto"/>
              <w:rPr>
                <w:rFonts w:asciiTheme="majorHAnsi" w:hAnsiTheme="majorHAnsi" w:cstheme="majorHAnsi"/>
                <w:sz w:val="16"/>
                <w:szCs w:val="16"/>
                <w:lang w:val="lv-LV"/>
              </w:rPr>
            </w:pPr>
            <w:r>
              <w:rPr>
                <w:rFonts w:asciiTheme="majorHAnsi" w:hAnsiTheme="majorHAnsi" w:cstheme="majorHAnsi"/>
                <w:sz w:val="16"/>
                <w:szCs w:val="16"/>
                <w:lang w:val="lv-LV"/>
              </w:rPr>
              <w:t>Rūpniecība</w:t>
            </w:r>
          </w:p>
        </w:tc>
        <w:tc>
          <w:tcPr>
            <w:tcW w:w="1984" w:type="dxa"/>
            <w:shd w:val="clear" w:color="auto" w:fill="B4C6E7" w:themeFill="accent1" w:themeFillTint="66"/>
            <w:vAlign w:val="bottom"/>
          </w:tcPr>
          <w:p w14:paraId="185BF403" w14:textId="77777777" w:rsidR="00262896" w:rsidRPr="00674542" w:rsidRDefault="00262896" w:rsidP="0002297E">
            <w:pPr>
              <w:widowControl/>
              <w:spacing w:before="40" w:after="4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+5*</w:t>
            </w:r>
          </w:p>
        </w:tc>
        <w:tc>
          <w:tcPr>
            <w:tcW w:w="5102" w:type="dxa"/>
            <w:shd w:val="clear" w:color="auto" w:fill="B4C6E7" w:themeFill="accent1" w:themeFillTint="66"/>
            <w:vAlign w:val="bottom"/>
          </w:tcPr>
          <w:p w14:paraId="1AACC3C0" w14:textId="088FFFA9" w:rsidR="00262896" w:rsidRPr="00674542" w:rsidRDefault="00041C6C" w:rsidP="00041C6C">
            <w:pPr>
              <w:widowControl/>
              <w:spacing w:before="40" w:after="40" w:line="240" w:lineRule="auto"/>
              <w:rPr>
                <w:rFonts w:asciiTheme="majorHAnsi" w:hAnsiTheme="majorHAnsi" w:cstheme="majorHAnsi"/>
                <w:sz w:val="16"/>
                <w:szCs w:val="16"/>
                <w:lang w:val="lv-LV"/>
              </w:rPr>
            </w:pPr>
            <w:r w:rsidRPr="00041C6C">
              <w:rPr>
                <w:rFonts w:asciiTheme="majorHAnsi" w:hAnsiTheme="majorHAnsi" w:cstheme="majorHAnsi"/>
                <w:sz w:val="16"/>
                <w:szCs w:val="16"/>
                <w:lang w:val="lv-LV"/>
              </w:rPr>
              <w:t>Bruto (investīcijas), ieskaitot darbības izmaksu pieaugumu</w:t>
            </w:r>
          </w:p>
        </w:tc>
      </w:tr>
      <w:tr w:rsidR="00041C6C" w:rsidRPr="00D24F07" w14:paraId="13D704B1" w14:textId="77777777" w:rsidTr="005E2E02">
        <w:trPr>
          <w:jc w:val="center"/>
        </w:trPr>
        <w:tc>
          <w:tcPr>
            <w:tcW w:w="2551" w:type="dxa"/>
            <w:shd w:val="clear" w:color="auto" w:fill="D9E2F3" w:themeFill="accent1" w:themeFillTint="33"/>
            <w:vAlign w:val="center"/>
          </w:tcPr>
          <w:p w14:paraId="1D3401AC" w14:textId="77777777" w:rsidR="00262896" w:rsidRPr="00674542" w:rsidRDefault="00262896" w:rsidP="0002297E">
            <w:pPr>
              <w:widowControl/>
              <w:spacing w:before="40" w:after="40" w:line="240" w:lineRule="auto"/>
              <w:rPr>
                <w:rFonts w:asciiTheme="majorHAnsi" w:hAnsiTheme="majorHAnsi" w:cstheme="majorHAnsi"/>
                <w:sz w:val="16"/>
                <w:szCs w:val="16"/>
                <w:lang w:val="lv-LV"/>
              </w:rPr>
            </w:pPr>
            <w:r>
              <w:rPr>
                <w:rFonts w:asciiTheme="majorHAnsi" w:hAnsiTheme="majorHAnsi" w:cstheme="majorHAnsi"/>
                <w:sz w:val="16"/>
                <w:szCs w:val="16"/>
                <w:lang w:val="lv-LV"/>
              </w:rPr>
              <w:t>Lauksaimniecība un mežsaimniecība</w:t>
            </w:r>
          </w:p>
        </w:tc>
        <w:tc>
          <w:tcPr>
            <w:tcW w:w="1984" w:type="dxa"/>
            <w:shd w:val="clear" w:color="auto" w:fill="D9E2F3" w:themeFill="accent1" w:themeFillTint="33"/>
            <w:vAlign w:val="bottom"/>
          </w:tcPr>
          <w:p w14:paraId="6F30F621" w14:textId="77777777" w:rsidR="00262896" w:rsidRPr="00674542" w:rsidRDefault="00262896" w:rsidP="0002297E">
            <w:pPr>
              <w:widowControl/>
              <w:spacing w:before="40" w:after="4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+5</w:t>
            </w:r>
          </w:p>
        </w:tc>
        <w:tc>
          <w:tcPr>
            <w:tcW w:w="5102" w:type="dxa"/>
            <w:shd w:val="clear" w:color="auto" w:fill="D9E2F3" w:themeFill="accent1" w:themeFillTint="33"/>
            <w:vAlign w:val="bottom"/>
          </w:tcPr>
          <w:p w14:paraId="445F373D" w14:textId="44BDBD7C" w:rsidR="00262896" w:rsidRPr="00674542" w:rsidRDefault="00041C6C" w:rsidP="00041C6C">
            <w:pPr>
              <w:widowControl/>
              <w:spacing w:before="40" w:after="40" w:line="240" w:lineRule="auto"/>
              <w:rPr>
                <w:rFonts w:asciiTheme="majorHAnsi" w:hAnsiTheme="majorHAnsi" w:cstheme="majorHAnsi"/>
                <w:sz w:val="16"/>
                <w:szCs w:val="16"/>
                <w:lang w:val="lv-LV"/>
              </w:rPr>
            </w:pPr>
            <w:r w:rsidRPr="00041C6C">
              <w:rPr>
                <w:rFonts w:asciiTheme="majorHAnsi" w:hAnsiTheme="majorHAnsi" w:cstheme="majorHAnsi"/>
                <w:sz w:val="16"/>
                <w:szCs w:val="16"/>
                <w:lang w:val="lv-LV"/>
              </w:rPr>
              <w:t>Papildu izmaksas un mežu atjaunošana</w:t>
            </w:r>
          </w:p>
        </w:tc>
      </w:tr>
      <w:tr w:rsidR="00041C6C" w:rsidRPr="00674542" w14:paraId="7B07D542" w14:textId="77777777" w:rsidTr="005E2E02">
        <w:trPr>
          <w:jc w:val="center"/>
        </w:trPr>
        <w:tc>
          <w:tcPr>
            <w:tcW w:w="2551" w:type="dxa"/>
            <w:shd w:val="clear" w:color="auto" w:fill="B4C6E7" w:themeFill="accent1" w:themeFillTint="66"/>
            <w:vAlign w:val="center"/>
          </w:tcPr>
          <w:p w14:paraId="3ADBB27F" w14:textId="77777777" w:rsidR="00262896" w:rsidRPr="00674542" w:rsidRDefault="00262896" w:rsidP="0002297E">
            <w:pPr>
              <w:widowControl/>
              <w:spacing w:before="40" w:after="40" w:line="240" w:lineRule="auto"/>
              <w:rPr>
                <w:rFonts w:asciiTheme="majorHAnsi" w:hAnsiTheme="majorHAnsi" w:cstheme="majorHAnsi"/>
                <w:sz w:val="16"/>
                <w:szCs w:val="16"/>
                <w:lang w:val="lv-LV"/>
              </w:rPr>
            </w:pPr>
            <w:r>
              <w:rPr>
                <w:rFonts w:asciiTheme="majorHAnsi" w:hAnsiTheme="majorHAnsi" w:cstheme="majorHAnsi"/>
                <w:sz w:val="16"/>
                <w:szCs w:val="16"/>
                <w:lang w:val="lv-LV"/>
              </w:rPr>
              <w:t>Atkritumu apsaimniekošana</w:t>
            </w:r>
          </w:p>
        </w:tc>
        <w:tc>
          <w:tcPr>
            <w:tcW w:w="1984" w:type="dxa"/>
            <w:shd w:val="clear" w:color="auto" w:fill="B4C6E7" w:themeFill="accent1" w:themeFillTint="66"/>
            <w:vAlign w:val="bottom"/>
          </w:tcPr>
          <w:p w14:paraId="195B94D2" w14:textId="77777777" w:rsidR="00262896" w:rsidRPr="00674542" w:rsidRDefault="00262896" w:rsidP="0002297E">
            <w:pPr>
              <w:widowControl/>
              <w:spacing w:before="40" w:after="4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+1</w:t>
            </w:r>
          </w:p>
        </w:tc>
        <w:tc>
          <w:tcPr>
            <w:tcW w:w="5102" w:type="dxa"/>
            <w:shd w:val="clear" w:color="auto" w:fill="B4C6E7" w:themeFill="accent1" w:themeFillTint="66"/>
            <w:vAlign w:val="bottom"/>
          </w:tcPr>
          <w:p w14:paraId="6968F83B" w14:textId="6EF0F0A5" w:rsidR="00262896" w:rsidRPr="00674542" w:rsidRDefault="00041C6C" w:rsidP="00041C6C">
            <w:pPr>
              <w:widowControl/>
              <w:spacing w:before="40" w:after="40" w:line="240" w:lineRule="auto"/>
              <w:rPr>
                <w:rFonts w:asciiTheme="majorHAnsi" w:hAnsiTheme="majorHAnsi" w:cstheme="majorHAnsi"/>
                <w:sz w:val="16"/>
                <w:szCs w:val="16"/>
                <w:lang w:val="lv-LV"/>
              </w:rPr>
            </w:pPr>
            <w:r w:rsidRPr="00041C6C">
              <w:rPr>
                <w:rFonts w:asciiTheme="majorHAnsi" w:hAnsiTheme="majorHAnsi" w:cstheme="majorHAnsi"/>
                <w:sz w:val="16"/>
                <w:szCs w:val="16"/>
                <w:lang w:val="lv-LV"/>
              </w:rPr>
              <w:t>Papildu izmaksas</w:t>
            </w:r>
          </w:p>
        </w:tc>
      </w:tr>
      <w:tr w:rsidR="00041C6C" w:rsidRPr="00674542" w14:paraId="1081198A" w14:textId="77777777" w:rsidTr="005E2E02">
        <w:trPr>
          <w:jc w:val="center"/>
        </w:trPr>
        <w:tc>
          <w:tcPr>
            <w:tcW w:w="2551" w:type="dxa"/>
            <w:shd w:val="clear" w:color="auto" w:fill="4472C4" w:themeFill="accent1"/>
            <w:vAlign w:val="center"/>
          </w:tcPr>
          <w:p w14:paraId="768D3F68" w14:textId="77777777" w:rsidR="00262896" w:rsidRPr="00674542" w:rsidRDefault="00262896" w:rsidP="0002297E">
            <w:pPr>
              <w:widowControl/>
              <w:spacing w:before="40" w:after="40" w:line="240" w:lineRule="auto"/>
              <w:rPr>
                <w:rFonts w:asciiTheme="majorHAnsi" w:hAnsiTheme="majorHAnsi" w:cstheme="majorHAnsi"/>
                <w:b/>
                <w:bCs/>
                <w:color w:val="FFFFFF" w:themeColor="background1"/>
                <w:sz w:val="16"/>
                <w:szCs w:val="16"/>
                <w:lang w:val="lv-LV"/>
              </w:rPr>
            </w:pPr>
            <w:r>
              <w:rPr>
                <w:rFonts w:asciiTheme="majorHAnsi" w:hAnsiTheme="majorHAnsi" w:cstheme="majorHAnsi"/>
                <w:b/>
                <w:bCs/>
                <w:color w:val="FFFFFF" w:themeColor="background1"/>
                <w:sz w:val="16"/>
                <w:szCs w:val="16"/>
                <w:lang w:val="lv-LV"/>
              </w:rPr>
              <w:t>Kopā</w:t>
            </w:r>
          </w:p>
        </w:tc>
        <w:tc>
          <w:tcPr>
            <w:tcW w:w="1984" w:type="dxa"/>
            <w:shd w:val="clear" w:color="auto" w:fill="4472C4" w:themeFill="accent1"/>
          </w:tcPr>
          <w:p w14:paraId="23C6717E" w14:textId="77777777" w:rsidR="00262896" w:rsidRPr="00674542" w:rsidRDefault="00262896" w:rsidP="0002297E">
            <w:pPr>
              <w:widowControl/>
              <w:spacing w:before="40" w:after="40" w:line="240" w:lineRule="auto"/>
              <w:jc w:val="center"/>
              <w:rPr>
                <w:rFonts w:asciiTheme="majorHAnsi" w:hAnsiTheme="majorHAnsi" w:cstheme="majorHAnsi"/>
                <w:b/>
                <w:bCs/>
                <w:color w:val="FFFFFF" w:themeColor="background1"/>
                <w:sz w:val="16"/>
                <w:szCs w:val="16"/>
                <w:lang w:val="lv-LV"/>
              </w:rPr>
            </w:pPr>
            <w:r>
              <w:rPr>
                <w:rFonts w:asciiTheme="majorHAnsi" w:hAnsiTheme="majorHAnsi" w:cstheme="majorHAnsi"/>
                <w:b/>
                <w:bCs/>
                <w:color w:val="FFFFFF" w:themeColor="background1"/>
                <w:sz w:val="16"/>
                <w:szCs w:val="16"/>
                <w:lang w:val="lv-LV"/>
              </w:rPr>
              <w:t>Vide +110</w:t>
            </w:r>
            <w:r>
              <w:rPr>
                <w:rFonts w:asciiTheme="majorHAnsi" w:hAnsiTheme="majorHAnsi" w:cstheme="majorHAnsi"/>
                <w:b/>
                <w:bCs/>
                <w:color w:val="FFFFFF" w:themeColor="background1"/>
                <w:sz w:val="16"/>
                <w:szCs w:val="16"/>
                <w:lang w:val="lv-LV"/>
              </w:rPr>
              <w:br/>
              <w:t>+63</w:t>
            </w:r>
          </w:p>
        </w:tc>
        <w:tc>
          <w:tcPr>
            <w:tcW w:w="5102" w:type="dxa"/>
            <w:shd w:val="clear" w:color="auto" w:fill="4472C4" w:themeFill="accent1"/>
          </w:tcPr>
          <w:p w14:paraId="0EFCBA3B" w14:textId="77777777" w:rsidR="00262896" w:rsidRPr="00674542" w:rsidRDefault="00262896" w:rsidP="0002297E">
            <w:pPr>
              <w:widowControl/>
              <w:spacing w:before="40" w:after="40" w:line="240" w:lineRule="auto"/>
              <w:jc w:val="center"/>
              <w:rPr>
                <w:rFonts w:asciiTheme="majorHAnsi" w:hAnsiTheme="majorHAnsi" w:cstheme="majorHAnsi"/>
                <w:b/>
                <w:bCs/>
                <w:color w:val="FFFFFF" w:themeColor="background1"/>
                <w:sz w:val="16"/>
                <w:szCs w:val="16"/>
                <w:lang w:val="lv-LV"/>
              </w:rPr>
            </w:pPr>
            <w:r>
              <w:rPr>
                <w:rFonts w:asciiTheme="majorHAnsi" w:hAnsiTheme="majorHAnsi" w:cstheme="majorHAnsi"/>
                <w:b/>
                <w:bCs/>
                <w:color w:val="FFFFFF" w:themeColor="background1"/>
                <w:sz w:val="16"/>
                <w:szCs w:val="16"/>
                <w:lang w:val="lv-LV"/>
              </w:rPr>
              <w:t>Bruto</w:t>
            </w:r>
            <w:r>
              <w:rPr>
                <w:rFonts w:asciiTheme="majorHAnsi" w:hAnsiTheme="majorHAnsi" w:cstheme="majorHAnsi"/>
                <w:b/>
                <w:bCs/>
                <w:color w:val="FFFFFF" w:themeColor="background1"/>
                <w:sz w:val="16"/>
                <w:szCs w:val="16"/>
                <w:lang w:val="lv-LV"/>
              </w:rPr>
              <w:br/>
              <w:t>Neto</w:t>
            </w:r>
          </w:p>
        </w:tc>
      </w:tr>
      <w:tr w:rsidR="00041C6C" w:rsidRPr="005F4D7C" w14:paraId="4BB8CC51" w14:textId="77777777" w:rsidTr="005E2E02">
        <w:trPr>
          <w:jc w:val="center"/>
        </w:trPr>
        <w:tc>
          <w:tcPr>
            <w:tcW w:w="2551" w:type="dxa"/>
            <w:shd w:val="clear" w:color="auto" w:fill="D9E2F3" w:themeFill="accent1" w:themeFillTint="33"/>
            <w:vAlign w:val="center"/>
          </w:tcPr>
          <w:p w14:paraId="43BD8E23" w14:textId="77777777" w:rsidR="00262896" w:rsidRPr="00674542" w:rsidRDefault="00262896" w:rsidP="0002297E">
            <w:pPr>
              <w:widowControl/>
              <w:spacing w:before="40" w:after="40" w:line="240" w:lineRule="auto"/>
              <w:rPr>
                <w:rFonts w:asciiTheme="majorHAnsi" w:hAnsiTheme="majorHAnsi" w:cstheme="majorHAnsi"/>
                <w:sz w:val="16"/>
                <w:szCs w:val="16"/>
                <w:lang w:val="lv-LV"/>
              </w:rPr>
            </w:pPr>
            <w:r>
              <w:rPr>
                <w:rFonts w:asciiTheme="majorHAnsi" w:hAnsiTheme="majorHAnsi" w:cstheme="majorHAnsi"/>
                <w:sz w:val="16"/>
                <w:szCs w:val="16"/>
                <w:lang w:val="lv-LV"/>
              </w:rPr>
              <w:t>Informācijai:</w:t>
            </w:r>
          </w:p>
        </w:tc>
        <w:tc>
          <w:tcPr>
            <w:tcW w:w="1984" w:type="dxa"/>
            <w:shd w:val="clear" w:color="auto" w:fill="D9E2F3" w:themeFill="accent1" w:themeFillTint="33"/>
            <w:vAlign w:val="bottom"/>
          </w:tcPr>
          <w:p w14:paraId="5A02A7BC" w14:textId="77777777" w:rsidR="00262896" w:rsidRPr="00674542" w:rsidRDefault="00262896" w:rsidP="0002297E">
            <w:pPr>
              <w:widowControl/>
              <w:spacing w:before="40" w:after="4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+13</w:t>
            </w:r>
            <w:r>
              <w:rPr>
                <w:rFonts w:asciiTheme="majorHAnsi" w:hAnsiTheme="majorHAnsi" w:cstheme="majorHAnsi"/>
                <w:sz w:val="16"/>
                <w:szCs w:val="16"/>
                <w:lang w:val="lv-LV"/>
              </w:rPr>
              <w:br/>
              <w:t>-10</w:t>
            </w:r>
            <w:r>
              <w:rPr>
                <w:rFonts w:asciiTheme="majorHAnsi" w:hAnsiTheme="majorHAnsi" w:cstheme="majorHAnsi"/>
                <w:sz w:val="16"/>
                <w:szCs w:val="16"/>
                <w:lang w:val="lv-LV"/>
              </w:rPr>
              <w:br/>
              <w:t>-9</w:t>
            </w:r>
          </w:p>
        </w:tc>
        <w:tc>
          <w:tcPr>
            <w:tcW w:w="5102" w:type="dxa"/>
            <w:shd w:val="clear" w:color="auto" w:fill="D9E2F3" w:themeFill="accent1" w:themeFillTint="33"/>
            <w:vAlign w:val="bottom"/>
          </w:tcPr>
          <w:p w14:paraId="32E9BB07" w14:textId="5699AF2A" w:rsidR="00262896" w:rsidRPr="00674542" w:rsidRDefault="00041C6C" w:rsidP="00041C6C">
            <w:pPr>
              <w:widowControl/>
              <w:spacing w:before="40" w:after="40" w:line="240" w:lineRule="auto"/>
              <w:rPr>
                <w:rFonts w:asciiTheme="majorHAnsi" w:hAnsiTheme="majorHAnsi" w:cstheme="majorHAnsi"/>
                <w:sz w:val="16"/>
                <w:szCs w:val="16"/>
                <w:lang w:val="lv-LV"/>
              </w:rPr>
            </w:pPr>
            <w:r w:rsidRPr="00041C6C">
              <w:rPr>
                <w:rFonts w:asciiTheme="majorHAnsi" w:hAnsiTheme="majorHAnsi" w:cstheme="majorHAnsi"/>
                <w:sz w:val="16"/>
                <w:szCs w:val="16"/>
                <w:lang w:val="lv-LV"/>
              </w:rPr>
              <w:t>Elektriskie transportlīdzekļi bez pieprasījuma samazināšanas pasākumiem</w:t>
            </w:r>
            <w:r>
              <w:rPr>
                <w:rFonts w:asciiTheme="majorHAnsi" w:hAnsiTheme="majorHAnsi" w:cstheme="majorHAnsi"/>
                <w:sz w:val="16"/>
                <w:szCs w:val="16"/>
                <w:lang w:val="lv-LV"/>
              </w:rPr>
              <w:br/>
            </w:r>
            <w:r w:rsidRPr="00041C6C">
              <w:rPr>
                <w:rFonts w:asciiTheme="majorHAnsi" w:hAnsiTheme="majorHAnsi" w:cstheme="majorHAnsi"/>
                <w:sz w:val="16"/>
                <w:szCs w:val="16"/>
                <w:lang w:val="lv-LV"/>
              </w:rPr>
              <w:t>Enerģijas ietaupījumi (dzīvojamo ēku)</w:t>
            </w:r>
            <w:r>
              <w:rPr>
                <w:rFonts w:asciiTheme="majorHAnsi" w:hAnsiTheme="majorHAnsi" w:cstheme="majorHAnsi"/>
                <w:sz w:val="16"/>
                <w:szCs w:val="16"/>
                <w:lang w:val="lv-LV"/>
              </w:rPr>
              <w:br/>
            </w:r>
            <w:r w:rsidRPr="00041C6C">
              <w:rPr>
                <w:rFonts w:asciiTheme="majorHAnsi" w:hAnsiTheme="majorHAnsi" w:cstheme="majorHAnsi"/>
                <w:sz w:val="16"/>
                <w:szCs w:val="16"/>
                <w:lang w:val="lv-LV"/>
              </w:rPr>
              <w:t>Enerģijas ietaupījumi (autotransporta līdzekļi)</w:t>
            </w:r>
          </w:p>
        </w:tc>
      </w:tr>
    </w:tbl>
    <w:p w14:paraId="0B8311ED" w14:textId="77777777" w:rsidR="00262896" w:rsidRPr="00930847" w:rsidRDefault="00262896" w:rsidP="00262896">
      <w:pPr>
        <w:widowControl/>
        <w:spacing w:before="120" w:after="120" w:line="240" w:lineRule="auto"/>
        <w:rPr>
          <w:rFonts w:ascii="Arial Nova Cond Light" w:hAnsi="Arial Nova Cond Light"/>
          <w:color w:val="000000" w:themeColor="text1"/>
          <w:sz w:val="16"/>
          <w:szCs w:val="16"/>
          <w:lang w:val="lv-LV"/>
        </w:rPr>
      </w:pPr>
      <w:r w:rsidRPr="00930847">
        <w:rPr>
          <w:rFonts w:ascii="Arial Nova Cond Light" w:hAnsi="Arial Nova Cond Light"/>
          <w:bCs/>
          <w:sz w:val="16"/>
          <w:szCs w:val="16"/>
          <w:lang w:val="lv-LV"/>
        </w:rPr>
        <w:t>* ieskaitot operacionālās izmaksas</w:t>
      </w:r>
      <w:r>
        <w:rPr>
          <w:rFonts w:ascii="Arial Nova Cond Light" w:hAnsi="Arial Nova Cond Light"/>
          <w:bCs/>
          <w:sz w:val="16"/>
          <w:szCs w:val="16"/>
          <w:lang w:val="lv-LV"/>
        </w:rPr>
        <w:br/>
      </w:r>
      <w:r w:rsidRPr="00930847">
        <w:rPr>
          <w:rFonts w:ascii="Arial Nova Cond Light" w:hAnsi="Arial Nova Cond Light"/>
          <w:sz w:val="16"/>
          <w:szCs w:val="16"/>
          <w:lang w:val="lv-LV"/>
        </w:rPr>
        <w:t xml:space="preserve">Avots: </w:t>
      </w:r>
      <w:r w:rsidRPr="00930847">
        <w:rPr>
          <w:rFonts w:ascii="Arial Nova Cond Light" w:hAnsi="Arial Nova Cond Light"/>
          <w:color w:val="000000" w:themeColor="text1"/>
          <w:sz w:val="16"/>
          <w:szCs w:val="16"/>
          <w:lang w:val="lv-LV"/>
        </w:rPr>
        <w:t>Gourmand L. (2024), “How Much Investment Is Required To Reach France’s  Decarbonisation Targets For 2030?”, DG Trésor Working Document, no. 2024/2.</w:t>
      </w:r>
    </w:p>
    <w:p w14:paraId="3E53640D" w14:textId="77777777" w:rsidR="00262896" w:rsidRPr="00930847" w:rsidRDefault="00262896" w:rsidP="00262896">
      <w:pPr>
        <w:widowControl/>
        <w:spacing w:after="120" w:line="240" w:lineRule="auto"/>
        <w:rPr>
          <w:rFonts w:ascii="Verdana Pro Cond Light" w:hAnsi="Verdana Pro Cond Light"/>
          <w:bCs/>
          <w:lang w:val="lv-LV"/>
        </w:rPr>
      </w:pPr>
    </w:p>
    <w:p w14:paraId="20320DFB" w14:textId="77777777" w:rsidR="00262896" w:rsidRPr="00930847" w:rsidRDefault="00262896" w:rsidP="00262896">
      <w:pPr>
        <w:widowControl/>
        <w:spacing w:after="120" w:line="240" w:lineRule="auto"/>
        <w:jc w:val="both"/>
        <w:rPr>
          <w:rFonts w:ascii="Verdana Pro Cond Light" w:hAnsi="Verdana Pro Cond Light" w:cs="Arial"/>
          <w:lang w:val="lv-LV"/>
        </w:rPr>
      </w:pPr>
      <w:r w:rsidRPr="00930847">
        <w:rPr>
          <w:rFonts w:ascii="Verdana Pro Cond Light" w:hAnsi="Verdana Pro Cond Light" w:cs="Arial"/>
          <w:lang w:val="lv-LV"/>
        </w:rPr>
        <w:t>Papildu investīcijas iedalījumā pa nozarēm ir sekojošas (sk. 4.3. tabula):</w:t>
      </w:r>
    </w:p>
    <w:p w14:paraId="3B4F260F" w14:textId="77777777" w:rsidR="00262896" w:rsidRPr="00930847" w:rsidRDefault="00262896" w:rsidP="00262896">
      <w:pPr>
        <w:pStyle w:val="ListParagraph"/>
        <w:widowControl/>
        <w:numPr>
          <w:ilvl w:val="0"/>
          <w:numId w:val="13"/>
        </w:numPr>
        <w:spacing w:after="120" w:line="240" w:lineRule="auto"/>
        <w:ind w:left="568" w:hanging="284"/>
        <w:contextualSpacing w:val="0"/>
        <w:rPr>
          <w:rFonts w:ascii="Verdana Pro Cond Light" w:hAnsi="Verdana Pro Cond Light" w:cs="Arial"/>
          <w:lang w:val="lv-LV"/>
        </w:rPr>
      </w:pPr>
      <w:r w:rsidRPr="00930847">
        <w:rPr>
          <w:rFonts w:ascii="Verdana Pro Cond Light" w:hAnsi="Verdana Pro Cond Light" w:cs="Arial"/>
          <w:lang w:val="lv-LV"/>
        </w:rPr>
        <w:t>Būvniecība (+39 miljardi eiro gadā): investīcijas šajā jomā attiecas uz izolāciju un apkures sistēmas maiņu. Saistītie enerģijas rēķinu ietaupījumi varētu veidot kopā 10 miljardus eiro gadā. Drosmīgākos zemes izmantošanas samazināšanas scenārijos ieguldījumu vajadzības varētu būt daļēji segtas, novirzot investīcijas no jaunbūvēm.</w:t>
      </w:r>
    </w:p>
    <w:p w14:paraId="6673D90D" w14:textId="77777777" w:rsidR="00262896" w:rsidRPr="00930847" w:rsidRDefault="00262896" w:rsidP="00262896">
      <w:pPr>
        <w:pStyle w:val="ListParagraph"/>
        <w:widowControl/>
        <w:numPr>
          <w:ilvl w:val="0"/>
          <w:numId w:val="13"/>
        </w:numPr>
        <w:spacing w:after="120" w:line="240" w:lineRule="auto"/>
        <w:ind w:left="568" w:hanging="284"/>
        <w:contextualSpacing w:val="0"/>
        <w:rPr>
          <w:rFonts w:ascii="Verdana Pro Cond Light" w:hAnsi="Verdana Pro Cond Light" w:cs="Arial"/>
          <w:lang w:val="lv-LV"/>
        </w:rPr>
      </w:pPr>
      <w:r w:rsidRPr="00930847">
        <w:rPr>
          <w:rFonts w:ascii="Verdana Pro Cond Light" w:hAnsi="Verdana Pro Cond Light" w:cs="Arial"/>
          <w:lang w:val="lv-LV"/>
        </w:rPr>
        <w:t>Transports (+43 miljardi eiro gadā): ieguldījumu vajadzības galvenokārt attiecas uz zema oglekļa autotransporta līdzekļu iegādi, un lielā mērā paļaujas uz pieprasījuma kritum</w:t>
      </w:r>
      <w:r>
        <w:rPr>
          <w:rFonts w:ascii="Verdana Pro Cond Light" w:hAnsi="Verdana Pro Cond Light" w:cs="Arial"/>
          <w:lang w:val="lv-LV"/>
        </w:rPr>
        <w:t>u</w:t>
      </w:r>
      <w:r w:rsidRPr="00930847">
        <w:rPr>
          <w:rFonts w:ascii="Verdana Pro Cond Light" w:hAnsi="Verdana Pro Cond Light" w:cs="Arial"/>
          <w:lang w:val="lv-LV"/>
        </w:rPr>
        <w:t xml:space="preserve"> pēc transportlīdzekļiem. Papildu izmaksas par zemu oglekļa emisiju transportlīdzekļiem salīdzinot ar to analogiem – iekšdedzes dzinēju transportlīdzekļiem, ir tomēr ievērojami mazākas par bruto papildu nepieciešamām investīcijām, kas maksimāli sasniedz 13 miljardu eiro gadā pasažieru transportlīdzekļu jomā. Enerģijas rēķinu ietaupījumi, kas saistīti ar pasažieru transportlīdzekļu elektrifikāciju varētu arī kompensēt lielu daļu no šīm papildu izmaksām — aptuveni 9 miljardi eiro gadā vidēji līdz 2030.</w:t>
      </w:r>
    </w:p>
    <w:p w14:paraId="055AAC21" w14:textId="77777777" w:rsidR="00262896" w:rsidRPr="00930847" w:rsidRDefault="00262896" w:rsidP="00262896">
      <w:pPr>
        <w:pStyle w:val="ListParagraph"/>
        <w:widowControl/>
        <w:numPr>
          <w:ilvl w:val="0"/>
          <w:numId w:val="13"/>
        </w:numPr>
        <w:spacing w:after="120" w:line="240" w:lineRule="auto"/>
        <w:ind w:left="568" w:hanging="284"/>
        <w:contextualSpacing w:val="0"/>
        <w:rPr>
          <w:rFonts w:ascii="Verdana Pro Cond Light" w:hAnsi="Verdana Pro Cond Light" w:cs="Arial"/>
          <w:lang w:val="lv-LV"/>
        </w:rPr>
      </w:pPr>
      <w:r w:rsidRPr="00930847">
        <w:rPr>
          <w:rFonts w:ascii="Verdana Pro Cond Light" w:hAnsi="Verdana Pro Cond Light" w:cs="Arial"/>
          <w:lang w:val="lv-LV"/>
        </w:rPr>
        <w:t>Enerģētika (+17 miljardi eiro gadā): nepieciešamie ieguldījumi galvenokārt attiecas uz elektrību un zemu oglekļa emisiju paaudzes gāzi. Paredzams, ka nepieciešami</w:t>
      </w:r>
      <w:r>
        <w:rPr>
          <w:rFonts w:ascii="Verdana Pro Cond Light" w:hAnsi="Verdana Pro Cond Light" w:cs="Arial"/>
          <w:lang w:val="lv-LV"/>
        </w:rPr>
        <w:t>e</w:t>
      </w:r>
      <w:r w:rsidRPr="00930847">
        <w:rPr>
          <w:rFonts w:ascii="Verdana Pro Cond Light" w:hAnsi="Verdana Pro Cond Light" w:cs="Arial"/>
          <w:lang w:val="lv-LV"/>
        </w:rPr>
        <w:t xml:space="preserve"> ieguldījumi augs līdz 2050.</w:t>
      </w:r>
      <w:r>
        <w:rPr>
          <w:rFonts w:ascii="Verdana Pro Cond Light" w:hAnsi="Verdana Pro Cond Light" w:cs="Arial"/>
          <w:lang w:val="lv-LV"/>
        </w:rPr>
        <w:t> </w:t>
      </w:r>
      <w:r w:rsidRPr="00930847">
        <w:rPr>
          <w:rFonts w:ascii="Verdana Pro Cond Light" w:hAnsi="Verdana Pro Cond Light" w:cs="Arial"/>
          <w:lang w:val="lv-LV"/>
        </w:rPr>
        <w:t>gadam, lai segtu pieaugošo elektroenerģijas pieprasījumu.</w:t>
      </w:r>
    </w:p>
    <w:p w14:paraId="028A30C1" w14:textId="77777777" w:rsidR="00262896" w:rsidRPr="00930847" w:rsidRDefault="00262896" w:rsidP="00262896">
      <w:pPr>
        <w:pStyle w:val="ListParagraph"/>
        <w:widowControl/>
        <w:numPr>
          <w:ilvl w:val="0"/>
          <w:numId w:val="13"/>
        </w:numPr>
        <w:spacing w:after="120" w:line="240" w:lineRule="auto"/>
        <w:ind w:left="568" w:hanging="284"/>
        <w:contextualSpacing w:val="0"/>
        <w:rPr>
          <w:rFonts w:ascii="Verdana Pro Cond Light" w:hAnsi="Verdana Pro Cond Light" w:cs="Arial"/>
          <w:lang w:val="lv-LV"/>
        </w:rPr>
      </w:pPr>
      <w:r w:rsidRPr="00930847">
        <w:rPr>
          <w:rFonts w:ascii="Verdana Pro Cond Light" w:hAnsi="Verdana Pro Cond Light" w:cs="Arial"/>
          <w:lang w:val="lv-LV"/>
        </w:rPr>
        <w:t>Rūpniecība (+5 miljardi eiro gadā ar papildu izmaksām operatīvajiem izdevumiem): nepieciešamie ieguldījumi šajā jomā aprēķināti, pieņemot nemainīgu ražošanas apjoma līmeni un ņemot vērā ievērojamo emisiju samazināšanās tendenci. Papildu operatīvo izmaksu kopsumma tiek lēsta aptuveni 1 miljarda eiro gadā apmērā (neto).</w:t>
      </w:r>
    </w:p>
    <w:p w14:paraId="0A7D0986" w14:textId="77777777" w:rsidR="00262896" w:rsidRPr="00930847" w:rsidRDefault="00262896" w:rsidP="00262896">
      <w:pPr>
        <w:pStyle w:val="ListParagraph"/>
        <w:widowControl/>
        <w:numPr>
          <w:ilvl w:val="0"/>
          <w:numId w:val="13"/>
        </w:numPr>
        <w:spacing w:after="120" w:line="240" w:lineRule="auto"/>
        <w:ind w:left="568" w:hanging="284"/>
        <w:contextualSpacing w:val="0"/>
        <w:rPr>
          <w:rFonts w:ascii="Verdana Pro Cond Light" w:hAnsi="Verdana Pro Cond Light" w:cs="Arial"/>
          <w:lang w:val="lv-LV"/>
        </w:rPr>
      </w:pPr>
      <w:r w:rsidRPr="00930847">
        <w:rPr>
          <w:rFonts w:ascii="Verdana Pro Cond Light" w:hAnsi="Verdana Pro Cond Light" w:cs="Arial"/>
          <w:lang w:val="lv-LV"/>
        </w:rPr>
        <w:t>Lauksaimniecība (Francijas Nacionālajā zema oglekļa satura stratēģijā iezīmētās investīcijas +1 miljards eiro gadā) un mežsaimniecība (+4 miljardi eiro gadā): šajā segmentā ietilpst mežu atjaunošana, lauksaimniecības tehnikas elektrifikācija un izmaiņas praksē.</w:t>
      </w:r>
    </w:p>
    <w:p w14:paraId="79E31000" w14:textId="77777777" w:rsidR="00262896" w:rsidRDefault="00262896" w:rsidP="00262896">
      <w:pPr>
        <w:pStyle w:val="ListParagraph"/>
        <w:widowControl/>
        <w:numPr>
          <w:ilvl w:val="0"/>
          <w:numId w:val="13"/>
        </w:numPr>
        <w:spacing w:after="120" w:line="240" w:lineRule="auto"/>
        <w:ind w:left="568" w:hanging="284"/>
        <w:contextualSpacing w:val="0"/>
        <w:rPr>
          <w:rFonts w:ascii="Verdana Pro Cond Light" w:hAnsi="Verdana Pro Cond Light" w:cs="Arial"/>
          <w:lang w:val="lv-LV"/>
        </w:rPr>
      </w:pPr>
      <w:r w:rsidRPr="00930847">
        <w:rPr>
          <w:rFonts w:ascii="Verdana Pro Cond Light" w:hAnsi="Verdana Pro Cond Light" w:cs="Arial"/>
          <w:lang w:val="lv-LV"/>
        </w:rPr>
        <w:t>Atkritumi (+1 miljards eiro gadā Francijas Nacionālajā zema oglekļa satura stratēģijā): šis segments ietver atkritumu termisko reģenerāciju un metāna anaerobo apgūšanu. Tomēr pētījumi par šo jomu vēl ir izstrādes procesā.</w:t>
      </w:r>
    </w:p>
    <w:p w14:paraId="16E9DB49" w14:textId="77777777" w:rsidR="00262896" w:rsidRDefault="00262896" w:rsidP="00262896">
      <w:pPr>
        <w:widowControl/>
        <w:spacing w:after="120" w:line="240" w:lineRule="auto"/>
        <w:jc w:val="both"/>
        <w:rPr>
          <w:rFonts w:ascii="Verdana Pro Cond Light" w:hAnsi="Verdana Pro Cond Light" w:cs="Arial"/>
          <w:lang w:val="lv-LV"/>
        </w:rPr>
      </w:pPr>
    </w:p>
    <w:p w14:paraId="248E3D7D" w14:textId="77777777" w:rsidR="00262896" w:rsidRPr="00930847" w:rsidRDefault="00262896" w:rsidP="00262896">
      <w:pPr>
        <w:widowControl/>
        <w:spacing w:after="120" w:line="240" w:lineRule="auto"/>
        <w:rPr>
          <w:rFonts w:ascii="Verdana Pro Cond Light" w:hAnsi="Verdana Pro Cond Light" w:cs="Arial"/>
          <w:lang w:val="lv-LV"/>
        </w:rPr>
      </w:pPr>
      <w:r w:rsidRPr="00930847">
        <w:rPr>
          <w:rFonts w:ascii="Verdana Pro Cond Light" w:hAnsi="Verdana Pro Cond Light" w:cs="Arial"/>
          <w:lang w:val="lv-LV"/>
        </w:rPr>
        <w:lastRenderedPageBreak/>
        <w:t xml:space="preserve">Raksta autors L.Gourmand atzīmē, ka attiecīgie investīciju novērtējumi saskan ar papildu ieguldījumu vajadzībām, kas ir atspoguļoti </w:t>
      </w:r>
      <w:r w:rsidRPr="00930847">
        <w:rPr>
          <w:rFonts w:ascii="Verdana Pro Cond Light" w:hAnsi="Verdana Pro Cond Light" w:cs="Arial"/>
          <w:i/>
          <w:iCs/>
          <w:lang w:val="lv-LV"/>
        </w:rPr>
        <w:t>Jean Pisani-Ferry un Selma Mahfouz</w:t>
      </w:r>
      <w:r w:rsidRPr="00930847">
        <w:rPr>
          <w:rFonts w:ascii="Verdana Pro Cond Light" w:hAnsi="Verdana Pro Cond Light" w:cs="Arial"/>
          <w:lang w:val="lv-LV"/>
        </w:rPr>
        <w:t xml:space="preserve"> ziņojumā</w:t>
      </w:r>
      <w:r w:rsidRPr="00930847">
        <w:rPr>
          <w:rStyle w:val="FootnoteReference"/>
          <w:rFonts w:ascii="Verdana Pro Cond Light" w:hAnsi="Verdana Pro Cond Light" w:cs="Arial"/>
          <w:lang w:val="lv-LV"/>
        </w:rPr>
        <w:footnoteReference w:id="38"/>
      </w:r>
      <w:r w:rsidRPr="00930847">
        <w:rPr>
          <w:rFonts w:ascii="Verdana Pro Cond Light" w:hAnsi="Verdana Pro Cond Light" w:cs="Arial"/>
          <w:lang w:val="lv-LV"/>
        </w:rPr>
        <w:t>, kurā tādas pašas vajadzības izmaksāja papildu 101 miljardu eiro gadā (papildu neto investīcijas + 66 miljardi eiro/ gadā, ņemot vērā oglekļa emisiju investīciju kritumu).</w:t>
      </w:r>
    </w:p>
    <w:p w14:paraId="7FD9A033" w14:textId="77777777" w:rsidR="00262896" w:rsidRPr="00930847" w:rsidRDefault="00262896" w:rsidP="00262896">
      <w:pPr>
        <w:widowControl/>
        <w:spacing w:after="120" w:line="240" w:lineRule="auto"/>
        <w:rPr>
          <w:rFonts w:ascii="Verdana Pro Cond Light" w:hAnsi="Verdana Pro Cond Light" w:cs="Arial"/>
          <w:lang w:val="lv-LV"/>
        </w:rPr>
      </w:pPr>
      <w:r w:rsidRPr="00930847">
        <w:rPr>
          <w:rFonts w:ascii="Verdana Pro Cond Light" w:hAnsi="Verdana Pro Cond Light" w:cs="Arial"/>
          <w:lang w:val="lv-LV"/>
        </w:rPr>
        <w:t>L.Gourmand atzīst, ka aprakstītie rezultāti atbilst arī Eiropas un pasaules mēroga investīciju diapazonam, kas ir aptuveni divi līdz trīs papildu procenti punktu no IKP.</w:t>
      </w:r>
      <w:r w:rsidRPr="00930847">
        <w:rPr>
          <w:rStyle w:val="FootnoteReference"/>
          <w:rFonts w:ascii="Verdana Pro Cond Light" w:hAnsi="Verdana Pro Cond Light" w:cs="Arial"/>
          <w:lang w:val="lv-LV"/>
        </w:rPr>
        <w:footnoteReference w:id="39"/>
      </w:r>
    </w:p>
    <w:p w14:paraId="5AE3C2C8" w14:textId="77777777" w:rsidR="00262896" w:rsidRPr="00930847" w:rsidRDefault="00262896" w:rsidP="00262896">
      <w:pPr>
        <w:widowControl/>
        <w:spacing w:after="120" w:line="240" w:lineRule="auto"/>
        <w:rPr>
          <w:rFonts w:ascii="Verdana Pro Cond Light" w:hAnsi="Verdana Pro Cond Light" w:cs="Arial"/>
          <w:lang w:val="lv-LV"/>
        </w:rPr>
      </w:pPr>
      <w:r w:rsidRPr="00930847">
        <w:rPr>
          <w:rFonts w:ascii="Verdana Pro Cond Light" w:hAnsi="Verdana Pro Cond Light" w:cs="Arial"/>
          <w:b/>
          <w:bCs/>
          <w:lang w:val="lv-LV"/>
        </w:rPr>
        <w:t>Vācijā</w:t>
      </w:r>
      <w:r w:rsidRPr="00930847">
        <w:rPr>
          <w:rFonts w:ascii="Verdana Pro Cond Light" w:hAnsi="Verdana Pro Cond Light" w:cs="Arial"/>
          <w:lang w:val="lv-LV"/>
        </w:rPr>
        <w:t xml:space="preserve"> investīcijas atjaunojamās enerģijas stacijās 2023.</w:t>
      </w:r>
      <w:r>
        <w:rPr>
          <w:rFonts w:ascii="Verdana Pro Cond Light" w:hAnsi="Verdana Pro Cond Light" w:cs="Arial"/>
          <w:lang w:val="lv-LV"/>
        </w:rPr>
        <w:t> </w:t>
      </w:r>
      <w:r w:rsidRPr="00930847">
        <w:rPr>
          <w:rFonts w:ascii="Verdana Pro Cond Light" w:hAnsi="Verdana Pro Cond Light" w:cs="Arial"/>
          <w:lang w:val="lv-LV"/>
        </w:rPr>
        <w:t>gadā pieauga līdz 36,6 miljardiem eiro. Tas atbilst 64 procentu pieaugumam salīdzinājumā ar 2022.</w:t>
      </w:r>
      <w:r>
        <w:rPr>
          <w:rFonts w:ascii="Verdana Pro Cond Light" w:hAnsi="Verdana Pro Cond Light" w:cs="Arial"/>
          <w:lang w:val="lv-LV"/>
        </w:rPr>
        <w:t> </w:t>
      </w:r>
      <w:r w:rsidRPr="00930847">
        <w:rPr>
          <w:rFonts w:ascii="Verdana Pro Cond Light" w:hAnsi="Verdana Pro Cond Light" w:cs="Arial"/>
          <w:lang w:val="lv-LV"/>
        </w:rPr>
        <w:t>gadu. Ārkārtas pieaugums galvenokārt ir saistīts ar investīcijām elektrisko tīklu sistēmās, kas vairāk nekā divas reizes pieauga salīdzinājumā ar iepriekšējo gadu. Turklāt rekordliels investīciju pieaugums bija vērojams siltumsūkņos un sauszemes vēja turbīnās.</w:t>
      </w:r>
    </w:p>
    <w:p w14:paraId="6EB44F0A" w14:textId="77777777" w:rsidR="00262896" w:rsidRDefault="00262896" w:rsidP="00262896">
      <w:pPr>
        <w:widowControl/>
        <w:spacing w:after="120" w:line="240" w:lineRule="auto"/>
        <w:rPr>
          <w:rFonts w:ascii="Verdana Pro Cond Light" w:hAnsi="Verdana Pro Cond Light" w:cs="Arial"/>
          <w:lang w:val="lv-LV"/>
        </w:rPr>
      </w:pPr>
      <w:r w:rsidRPr="00930847">
        <w:rPr>
          <w:rFonts w:ascii="Verdana Pro Cond Light" w:hAnsi="Verdana Pro Cond Light" w:cs="Arial"/>
          <w:lang w:val="lv-LV"/>
        </w:rPr>
        <w:t>Vienlaikus Vācijā atjaunojamā enerģija ir kļuvusi par svarīgu ekonomisko faktoru, nodrošinot darba vietas 387 700 cilvēkiem 2022.</w:t>
      </w:r>
      <w:r>
        <w:rPr>
          <w:rFonts w:ascii="Verdana Pro Cond Light" w:hAnsi="Verdana Pro Cond Light" w:cs="Arial"/>
          <w:lang w:val="lv-LV"/>
        </w:rPr>
        <w:t> </w:t>
      </w:r>
      <w:r w:rsidRPr="00930847">
        <w:rPr>
          <w:rFonts w:ascii="Verdana Pro Cond Light" w:hAnsi="Verdana Pro Cond Light" w:cs="Arial"/>
          <w:lang w:val="lv-LV"/>
        </w:rPr>
        <w:t>gadā. Vēja enerģija un biomasa veido lielāko nodarbinātības daļu atjaunojamo energoresursu sektorā. Kopumā Vācijā klimata pasākumu jomā jau ir izveidot</w:t>
      </w:r>
      <w:r>
        <w:rPr>
          <w:rFonts w:ascii="Verdana Pro Cond Light" w:hAnsi="Verdana Pro Cond Light" w:cs="Arial"/>
          <w:lang w:val="lv-LV"/>
        </w:rPr>
        <w:t>as</w:t>
      </w:r>
      <w:r w:rsidRPr="00930847">
        <w:rPr>
          <w:rFonts w:ascii="Verdana Pro Cond Light" w:hAnsi="Verdana Pro Cond Light" w:cs="Arial"/>
          <w:lang w:val="lv-LV"/>
        </w:rPr>
        <w:t xml:space="preserve"> vairāk nekā 1,5 miljoni darbavietu. Aktuālā Vācijas Klimata un enerģētikas plāna versija nesniedz informāciju par plānotām nepieciešamām investīcijām 2030.</w:t>
      </w:r>
      <w:r>
        <w:rPr>
          <w:rFonts w:ascii="Verdana Pro Cond Light" w:hAnsi="Verdana Pro Cond Light" w:cs="Arial"/>
          <w:lang w:val="lv-LV"/>
        </w:rPr>
        <w:t xml:space="preserve"> Z</w:t>
      </w:r>
      <w:r w:rsidRPr="00930847">
        <w:rPr>
          <w:rFonts w:ascii="Verdana Pro Cond Light" w:hAnsi="Verdana Pro Cond Light" w:cs="Arial"/>
          <w:lang w:val="lv-LV"/>
        </w:rPr>
        <w:t>aļā kursa mērķu sasniegšanai. Vienlaikus atbilstoši Vācijas Ekonomikas institūta un Makroekonomikas politikas institūta vērtējumam, Vācijai, salīdzinot ar pašreizējiem budžeta plāniem, nākamajos desmit gados būtu jāiegulda papildu 213 miljardi EUR (t.i. 5,2% no IKP) sabiedriskajos pakalpojumos un infrastruktūrā, lai dekarbonizētu ekonomiku un pielāgotos klimata pārmaiņu ietekmei.</w:t>
      </w:r>
      <w:r w:rsidRPr="00930847">
        <w:rPr>
          <w:rStyle w:val="FootnoteReference"/>
          <w:rFonts w:ascii="Verdana Pro Cond Light" w:hAnsi="Verdana Pro Cond Light" w:cs="Arial"/>
          <w:lang w:val="lv-LV"/>
        </w:rPr>
        <w:footnoteReference w:id="40"/>
      </w:r>
    </w:p>
    <w:p w14:paraId="1649316A" w14:textId="77777777" w:rsidR="00262896" w:rsidRDefault="00262896" w:rsidP="00262896">
      <w:pPr>
        <w:widowControl/>
        <w:spacing w:after="120" w:line="240" w:lineRule="auto"/>
        <w:rPr>
          <w:rFonts w:ascii="Verdana Pro Cond Light" w:hAnsi="Verdana Pro Cond Light" w:cs="Arial"/>
          <w:lang w:val="lv-LV"/>
        </w:rPr>
      </w:pPr>
      <w:bookmarkStart w:id="31" w:name="_Hlk176717515"/>
      <w:r w:rsidRPr="00930847">
        <w:rPr>
          <w:rFonts w:ascii="Verdana Pro Cond Light" w:hAnsi="Verdana Pro Cond Light" w:cs="Arial"/>
          <w:lang w:val="lv-LV"/>
        </w:rPr>
        <w:t>Rezumējot, kopumā valstu pieeja paredz lielāku uzsvaru uz privātajām investīcijām, paredzot publiskā finansējuma iesaisti līdz vienai trešdaļai no kopējām nepieciešamām investīcijām.</w:t>
      </w:r>
    </w:p>
    <w:p w14:paraId="10F96FE0" w14:textId="77777777" w:rsidR="00262896" w:rsidRPr="00930847" w:rsidRDefault="00262896" w:rsidP="00262896">
      <w:pPr>
        <w:widowControl/>
        <w:spacing w:after="120" w:line="240" w:lineRule="auto"/>
        <w:rPr>
          <w:rFonts w:ascii="Verdana Pro Cond Light" w:hAnsi="Verdana Pro Cond Light" w:cs="Arial"/>
          <w:lang w:val="lv-LV"/>
        </w:rPr>
      </w:pPr>
      <w:r w:rsidRPr="00930847">
        <w:rPr>
          <w:rFonts w:ascii="Verdana Pro Cond Light" w:hAnsi="Verdana Pro Cond Light" w:cs="Arial"/>
          <w:lang w:val="lv-LV"/>
        </w:rPr>
        <w:t>Apskatītajās valstīs investīciju intensitāte ievērojami svārstās, veidojot no 1,7% līdz 5,6% no IKP gadā. To ietekmē valsts lielums, ekonomikas struktūra (sektoru sadalījums), pašreizējais enerģijas ģenerācijas portfelis u.c. būtiski faktori.</w:t>
      </w:r>
    </w:p>
    <w:p w14:paraId="4C4598F9" w14:textId="77777777" w:rsidR="00262896" w:rsidRDefault="00262896" w:rsidP="00262896">
      <w:pPr>
        <w:widowControl/>
        <w:spacing w:after="120" w:line="240" w:lineRule="auto"/>
        <w:rPr>
          <w:rFonts w:ascii="Verdana Pro Cond Light" w:hAnsi="Verdana Pro Cond Light" w:cs="Arial"/>
          <w:lang w:val="lv-LV"/>
        </w:rPr>
      </w:pPr>
      <w:r w:rsidRPr="00930847">
        <w:rPr>
          <w:rFonts w:ascii="Verdana Pro Cond Light" w:hAnsi="Verdana Pro Cond Light" w:cs="Arial"/>
          <w:lang w:val="lv-LV"/>
        </w:rPr>
        <w:t>Vienlaikus valstu salīdzinājums ir ļoti aptuvens, jo valstīm ir ļoti dažādas pieejas uzskaitot gan veiktās, gan nepieciešamās investīcijas privātajā un publiskajā sektorā. Investīciju aplēses ir atspoguļotas arī dažādiem laika periodiem, kas arī liedz iespēju korekti salīdzināt attiecīgos lielumus.</w:t>
      </w:r>
    </w:p>
    <w:p w14:paraId="250A75EE" w14:textId="77777777" w:rsidR="00262896" w:rsidRPr="00930847" w:rsidRDefault="00262896" w:rsidP="00262896">
      <w:pPr>
        <w:widowControl/>
        <w:spacing w:after="120" w:line="240" w:lineRule="auto"/>
        <w:rPr>
          <w:rFonts w:ascii="Verdana Pro Cond Light" w:hAnsi="Verdana Pro Cond Light" w:cs="Arial"/>
          <w:lang w:val="lv-LV"/>
        </w:rPr>
      </w:pPr>
    </w:p>
    <w:bookmarkEnd w:id="31"/>
    <w:p w14:paraId="1D5AED66" w14:textId="77777777" w:rsidR="00262896" w:rsidRPr="00930847" w:rsidRDefault="00262896" w:rsidP="00262896">
      <w:pPr>
        <w:widowControl/>
        <w:spacing w:after="120" w:line="240" w:lineRule="auto"/>
        <w:rPr>
          <w:rFonts w:ascii="Verdana Pro Cond Light" w:hAnsi="Verdana Pro Cond Light"/>
          <w:b/>
          <w:lang w:val="lv-LV"/>
        </w:rPr>
      </w:pPr>
      <w:r w:rsidRPr="00930847">
        <w:rPr>
          <w:rFonts w:ascii="Verdana Pro Cond Light" w:hAnsi="Verdana Pro Cond Light"/>
          <w:b/>
          <w:lang w:val="lv-LV"/>
        </w:rPr>
        <w:t>Secinājumi</w:t>
      </w:r>
    </w:p>
    <w:p w14:paraId="445235E6" w14:textId="77777777" w:rsidR="00262896" w:rsidRPr="00930847" w:rsidRDefault="00262896" w:rsidP="00262896">
      <w:pPr>
        <w:pStyle w:val="ListParagraph"/>
        <w:widowControl/>
        <w:numPr>
          <w:ilvl w:val="0"/>
          <w:numId w:val="14"/>
        </w:numPr>
        <w:spacing w:after="120" w:line="240" w:lineRule="auto"/>
        <w:ind w:left="567" w:hanging="283"/>
        <w:contextualSpacing w:val="0"/>
        <w:rPr>
          <w:rFonts w:ascii="Verdana Pro Cond Light" w:hAnsi="Verdana Pro Cond Light" w:cs="Arial"/>
          <w:lang w:val="lv-LV"/>
        </w:rPr>
      </w:pPr>
      <w:r w:rsidRPr="00930847">
        <w:rPr>
          <w:rFonts w:ascii="Verdana Pro Cond Light" w:hAnsi="Verdana Pro Cond Light" w:cs="Arial"/>
          <w:lang w:val="lv-LV"/>
        </w:rPr>
        <w:t xml:space="preserve">Atbilstoši Eiropas Komisijas novērtējumam un Pasaules Ekonomikas Foruma sniegtajai informācijai, ES dalībvalstu nepieciešamās papildu investīcijas </w:t>
      </w:r>
      <w:r>
        <w:rPr>
          <w:rFonts w:ascii="Verdana Pro Cond Light" w:hAnsi="Verdana Pro Cond Light" w:cs="Arial"/>
          <w:lang w:val="lv-LV"/>
        </w:rPr>
        <w:t>Z</w:t>
      </w:r>
      <w:r w:rsidRPr="00930847">
        <w:rPr>
          <w:rFonts w:ascii="Verdana Pro Cond Light" w:hAnsi="Verdana Pro Cond Light" w:cs="Arial"/>
          <w:lang w:val="lv-LV"/>
        </w:rPr>
        <w:t>aļā kursa mērķu sasniegšanai līdz 2030.</w:t>
      </w:r>
      <w:r>
        <w:rPr>
          <w:rFonts w:ascii="Verdana Pro Cond Light" w:hAnsi="Verdana Pro Cond Light" w:cs="Arial"/>
          <w:lang w:val="lv-LV"/>
        </w:rPr>
        <w:t> </w:t>
      </w:r>
      <w:r w:rsidRPr="00930847">
        <w:rPr>
          <w:rFonts w:ascii="Verdana Pro Cond Light" w:hAnsi="Verdana Pro Cond Light" w:cs="Arial"/>
          <w:lang w:val="lv-LV"/>
        </w:rPr>
        <w:t>gadam ir novērtētas vairāk nekā 620 miljardu eiro apmērā gadā.</w:t>
      </w:r>
    </w:p>
    <w:p w14:paraId="20EA9C36" w14:textId="77777777" w:rsidR="00262896" w:rsidRPr="00930847" w:rsidRDefault="00262896" w:rsidP="00262896">
      <w:pPr>
        <w:pStyle w:val="ListParagraph"/>
        <w:widowControl/>
        <w:numPr>
          <w:ilvl w:val="0"/>
          <w:numId w:val="14"/>
        </w:numPr>
        <w:spacing w:after="120" w:line="240" w:lineRule="auto"/>
        <w:ind w:left="567" w:hanging="283"/>
        <w:contextualSpacing w:val="0"/>
        <w:rPr>
          <w:rFonts w:ascii="Verdana Pro Cond Light" w:hAnsi="Verdana Pro Cond Light" w:cs="Arial"/>
          <w:lang w:val="lv-LV"/>
        </w:rPr>
      </w:pPr>
      <w:r w:rsidRPr="00930847">
        <w:rPr>
          <w:rFonts w:ascii="Verdana Pro Cond Light" w:hAnsi="Verdana Pro Cond Light" w:cs="Arial"/>
          <w:lang w:val="lv-LV"/>
        </w:rPr>
        <w:t>Zaļā kursa un klimatneitralitātes iniciatīvu finansējums sastāv no nacionālā, pašvaldību un starptautiskā finansējuma, un to veido publiskie, privātie un alternatīvie finansējuma avoti. Kopumā valstu pieeja paredz lielāku uzsvaru uz privātajām investīcijām, paredzot publiskā finansējuma iesaisti līdz vienai trešdaļai no kopējām nepieciešamām investīcijām.</w:t>
      </w:r>
    </w:p>
    <w:p w14:paraId="63778D6B" w14:textId="77777777" w:rsidR="00262896" w:rsidRPr="00930847" w:rsidRDefault="00262896" w:rsidP="00262896">
      <w:pPr>
        <w:pStyle w:val="ListParagraph"/>
        <w:widowControl/>
        <w:numPr>
          <w:ilvl w:val="0"/>
          <w:numId w:val="14"/>
        </w:numPr>
        <w:spacing w:after="120" w:line="240" w:lineRule="auto"/>
        <w:ind w:left="567" w:hanging="283"/>
        <w:contextualSpacing w:val="0"/>
        <w:rPr>
          <w:rFonts w:ascii="Verdana Pro Cond Light" w:hAnsi="Verdana Pro Cond Light" w:cs="Arial"/>
          <w:lang w:val="lv-LV"/>
        </w:rPr>
      </w:pPr>
      <w:r w:rsidRPr="00930847">
        <w:rPr>
          <w:rFonts w:ascii="Verdana Pro Cond Light" w:hAnsi="Verdana Pro Cond Light" w:cs="Arial"/>
          <w:lang w:val="lv-LV"/>
        </w:rPr>
        <w:t>Ziņojuma ietvaros apskatītajās valstīs investīciju intensitāte ievērojami svārstās, veidojot no 1,7</w:t>
      </w:r>
      <w:r>
        <w:rPr>
          <w:rFonts w:ascii="Verdana Pro Cond Light" w:hAnsi="Verdana Pro Cond Light" w:cs="Arial"/>
          <w:lang w:val="lv-LV"/>
        </w:rPr>
        <w:t> </w:t>
      </w:r>
      <w:r w:rsidRPr="00930847">
        <w:rPr>
          <w:rFonts w:ascii="Verdana Pro Cond Light" w:hAnsi="Verdana Pro Cond Light" w:cs="Arial"/>
          <w:lang w:val="lv-LV"/>
        </w:rPr>
        <w:t>% līdz 5,6</w:t>
      </w:r>
      <w:r>
        <w:rPr>
          <w:rFonts w:ascii="Verdana Pro Cond Light" w:hAnsi="Verdana Pro Cond Light" w:cs="Arial"/>
          <w:lang w:val="lv-LV"/>
        </w:rPr>
        <w:t> </w:t>
      </w:r>
      <w:r w:rsidRPr="00930847">
        <w:rPr>
          <w:rFonts w:ascii="Verdana Pro Cond Light" w:hAnsi="Verdana Pro Cond Light" w:cs="Arial"/>
          <w:lang w:val="lv-LV"/>
        </w:rPr>
        <w:t>% no IKP gadā. To ietekmē valsts lielums, ekonomikas struktūra, pašreizējais enerģijas ģenerācijas portfelis u.c. būtiski faktori. Vienlaikus valstu salīdzinājums ir ļoti aptuvens, jo valstīm ir ļoti dažādas pieejas uzskaitot gan veiktās, gan nepieciešamās investīcijas.</w:t>
      </w:r>
    </w:p>
    <w:p w14:paraId="7C793ED9" w14:textId="77777777" w:rsidR="00262896" w:rsidRPr="00930847" w:rsidRDefault="00262896" w:rsidP="00262896">
      <w:pPr>
        <w:widowControl/>
        <w:spacing w:after="120" w:line="240" w:lineRule="auto"/>
        <w:jc w:val="both"/>
        <w:rPr>
          <w:rFonts w:ascii="Verdana Pro Cond Light" w:hAnsi="Verdana Pro Cond Light"/>
          <w:lang w:val="lv-LV"/>
        </w:rPr>
      </w:pPr>
      <w:r w:rsidRPr="00930847">
        <w:rPr>
          <w:rFonts w:ascii="Verdana Pro Cond Light" w:hAnsi="Verdana Pro Cond Light"/>
          <w:lang w:val="lv-LV"/>
        </w:rPr>
        <w:br w:type="page"/>
      </w:r>
    </w:p>
    <w:p w14:paraId="3D6039ED" w14:textId="77777777" w:rsidR="005E2E02" w:rsidRDefault="005E2E02" w:rsidP="005E2E02">
      <w:pPr>
        <w:pStyle w:val="NormalWeb"/>
        <w:spacing w:before="0" w:beforeAutospacing="0" w:after="120" w:afterAutospacing="0"/>
        <w:jc w:val="both"/>
        <w:rPr>
          <w:rFonts w:ascii="Verdana Pro Cond Light" w:hAnsi="Verdana Pro Cond Light"/>
          <w:color w:val="000000"/>
          <w:sz w:val="22"/>
          <w:szCs w:val="22"/>
        </w:rPr>
      </w:pPr>
      <w:bookmarkStart w:id="32" w:name="_Toc178018163"/>
    </w:p>
    <w:p w14:paraId="6B0A14AB" w14:textId="77777777" w:rsidR="005E2E02" w:rsidRDefault="005E2E02" w:rsidP="005E2E02">
      <w:pPr>
        <w:pStyle w:val="NormalWeb"/>
        <w:spacing w:before="0" w:beforeAutospacing="0" w:after="120" w:afterAutospacing="0"/>
        <w:jc w:val="both"/>
        <w:rPr>
          <w:rFonts w:ascii="Verdana Pro Cond Light" w:hAnsi="Verdana Pro Cond Light"/>
          <w:color w:val="000000"/>
          <w:sz w:val="22"/>
          <w:szCs w:val="22"/>
        </w:rPr>
      </w:pPr>
    </w:p>
    <w:p w14:paraId="18A3B787" w14:textId="77777777" w:rsidR="005E2E02" w:rsidRDefault="005E2E02" w:rsidP="005E2E02">
      <w:pPr>
        <w:pStyle w:val="NormalWeb"/>
        <w:spacing w:before="0" w:beforeAutospacing="0" w:after="120" w:afterAutospacing="0"/>
        <w:jc w:val="both"/>
        <w:rPr>
          <w:rFonts w:ascii="Verdana Pro Cond Light" w:hAnsi="Verdana Pro Cond Light"/>
          <w:color w:val="000000"/>
          <w:sz w:val="22"/>
          <w:szCs w:val="22"/>
        </w:rPr>
      </w:pPr>
    </w:p>
    <w:p w14:paraId="19A65E44" w14:textId="77777777" w:rsidR="005E2E02" w:rsidRDefault="005E2E02" w:rsidP="005E2E02">
      <w:pPr>
        <w:pStyle w:val="NormalWeb"/>
        <w:spacing w:before="0" w:beforeAutospacing="0" w:after="120" w:afterAutospacing="0"/>
        <w:jc w:val="both"/>
        <w:rPr>
          <w:rFonts w:ascii="Verdana Pro Cond Light" w:hAnsi="Verdana Pro Cond Light"/>
          <w:color w:val="000000"/>
          <w:sz w:val="22"/>
          <w:szCs w:val="22"/>
        </w:rPr>
      </w:pPr>
    </w:p>
    <w:p w14:paraId="526D0A22" w14:textId="5BC46D6A" w:rsidR="00262896" w:rsidRPr="005E2E02" w:rsidRDefault="005E2E02" w:rsidP="005E2E02">
      <w:pPr>
        <w:pStyle w:val="NormalWeb"/>
        <w:spacing w:before="0" w:beforeAutospacing="0" w:after="120" w:afterAutospacing="0"/>
        <w:jc w:val="both"/>
        <w:rPr>
          <w:rFonts w:ascii="Verdana Pro Cond Light" w:hAnsi="Verdana Pro Cond Light"/>
          <w:color w:val="000000"/>
          <w:sz w:val="22"/>
          <w:szCs w:val="22"/>
        </w:rPr>
      </w:pPr>
      <w:r w:rsidRPr="005E2E02">
        <w:rPr>
          <w:rFonts w:ascii="Verdana Pro Cond Light" w:hAnsi="Verdana Pro Cond Light"/>
          <w:noProof/>
          <w:color w:val="000000"/>
          <w:sz w:val="22"/>
          <w:szCs w:val="22"/>
          <w:lang w:val="en-US" w:eastAsia="en-US"/>
        </w:rPr>
        <w:drawing>
          <wp:anchor distT="0" distB="0" distL="114300" distR="114300" simplePos="0" relativeHeight="251658336" behindDoc="1" locked="0" layoutInCell="1" allowOverlap="1" wp14:anchorId="610E76E7" wp14:editId="1AFD22F2">
            <wp:simplePos x="0" y="0"/>
            <wp:positionH relativeFrom="page">
              <wp:posOffset>0</wp:posOffset>
            </wp:positionH>
            <wp:positionV relativeFrom="page">
              <wp:posOffset>0</wp:posOffset>
            </wp:positionV>
            <wp:extent cx="7560000" cy="3600000"/>
            <wp:effectExtent l="0" t="0" r="3175" b="635"/>
            <wp:wrapNone/>
            <wp:docPr id="1114508294" name="Picture 5" descr="Stock market graph on displa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4508294" name="Picture 1114508294" descr="Stock market graph on display"/>
                    <pic:cNvPicPr/>
                  </pic:nvPicPr>
                  <pic:blipFill rotWithShape="1">
                    <a:blip r:embed="rId31" cstate="print">
                      <a:duotone>
                        <a:schemeClr val="accent1">
                          <a:shade val="45000"/>
                          <a:satMod val="135000"/>
                        </a:schemeClr>
                        <a:prstClr val="white"/>
                      </a:duotone>
                      <a:alphaModFix amt="60000"/>
                      <a:extLst>
                        <a:ext uri="{28A0092B-C50C-407E-A947-70E740481C1C}">
                          <a14:useLocalDpi xmlns:a14="http://schemas.microsoft.com/office/drawing/2010/main" val="0"/>
                        </a:ext>
                      </a:extLst>
                    </a:blip>
                    <a:srcRect t="12033"/>
                    <a:stretch/>
                  </pic:blipFill>
                  <pic:spPr bwMode="auto">
                    <a:xfrm>
                      <a:off x="0" y="0"/>
                      <a:ext cx="7560000" cy="3600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C2AAB92" w14:textId="659E22CB" w:rsidR="00262896" w:rsidRPr="005E2E02" w:rsidRDefault="00262896" w:rsidP="005E2E02">
      <w:pPr>
        <w:pStyle w:val="NormalWeb"/>
        <w:spacing w:before="0" w:beforeAutospacing="0" w:after="120" w:afterAutospacing="0"/>
        <w:jc w:val="both"/>
        <w:rPr>
          <w:rFonts w:ascii="Verdana Pro Cond Light" w:hAnsi="Verdana Pro Cond Light"/>
          <w:color w:val="000000"/>
          <w:sz w:val="22"/>
          <w:szCs w:val="22"/>
        </w:rPr>
      </w:pPr>
    </w:p>
    <w:p w14:paraId="4C04C51F" w14:textId="36AA484F" w:rsidR="00262896" w:rsidRPr="005E2E02" w:rsidRDefault="00262896" w:rsidP="005E2E02">
      <w:pPr>
        <w:pStyle w:val="NormalWeb"/>
        <w:spacing w:before="0" w:beforeAutospacing="0" w:after="120" w:afterAutospacing="0"/>
        <w:jc w:val="both"/>
        <w:rPr>
          <w:rFonts w:ascii="Verdana Pro Cond Light" w:hAnsi="Verdana Pro Cond Light"/>
          <w:color w:val="000000"/>
          <w:sz w:val="22"/>
          <w:szCs w:val="22"/>
        </w:rPr>
      </w:pPr>
    </w:p>
    <w:p w14:paraId="6E0B223B" w14:textId="45E2F2FE" w:rsidR="00262896" w:rsidRDefault="00262896" w:rsidP="00262896">
      <w:pPr>
        <w:pStyle w:val="Heading1"/>
        <w:widowControl/>
        <w:rPr>
          <w:lang w:val="lv-LV"/>
        </w:rPr>
      </w:pPr>
      <w:bookmarkStart w:id="33" w:name="_Toc183697486"/>
      <w:r w:rsidRPr="004C2ACE">
        <w:rPr>
          <w:lang w:val="lv-LV"/>
        </w:rPr>
        <w:t>5. Latvijas klimata mērķu sasniegšanai nepieciešamā finansējuma novērtējums</w:t>
      </w:r>
      <w:bookmarkEnd w:id="32"/>
      <w:bookmarkEnd w:id="33"/>
    </w:p>
    <w:p w14:paraId="3C2D27D2" w14:textId="05B891E9" w:rsidR="00262896" w:rsidRPr="00924F52" w:rsidRDefault="00262896" w:rsidP="00262896">
      <w:pPr>
        <w:pStyle w:val="NormalWeb"/>
        <w:spacing w:before="0" w:beforeAutospacing="0" w:after="120" w:afterAutospacing="0"/>
        <w:jc w:val="both"/>
        <w:rPr>
          <w:rFonts w:ascii="Verdana Pro Cond Light" w:hAnsi="Verdana Pro Cond Light"/>
          <w:color w:val="000000"/>
          <w:sz w:val="22"/>
          <w:szCs w:val="22"/>
        </w:rPr>
      </w:pPr>
    </w:p>
    <w:p w14:paraId="2B5D7CD4" w14:textId="26978C94" w:rsidR="00262896" w:rsidRPr="00924F52" w:rsidRDefault="00262896" w:rsidP="00262896">
      <w:pPr>
        <w:pStyle w:val="NormalWeb"/>
        <w:spacing w:before="0" w:beforeAutospacing="0" w:after="120" w:afterAutospacing="0"/>
        <w:jc w:val="both"/>
        <w:rPr>
          <w:rFonts w:ascii="Verdana Pro Cond Light" w:hAnsi="Verdana Pro Cond Light"/>
          <w:color w:val="000000"/>
          <w:sz w:val="22"/>
          <w:szCs w:val="22"/>
        </w:rPr>
      </w:pPr>
    </w:p>
    <w:p w14:paraId="3C8AAD2E" w14:textId="77777777" w:rsidR="00262896" w:rsidRPr="00924F52" w:rsidRDefault="00262896" w:rsidP="00262896">
      <w:pPr>
        <w:pStyle w:val="NormalWeb"/>
        <w:spacing w:before="0" w:beforeAutospacing="0" w:after="120" w:afterAutospacing="0"/>
        <w:rPr>
          <w:rFonts w:ascii="Verdana Pro Cond Light" w:hAnsi="Verdana Pro Cond Light" w:cs="Calibri"/>
          <w:color w:val="242424"/>
          <w:sz w:val="22"/>
          <w:szCs w:val="22"/>
        </w:rPr>
      </w:pPr>
      <w:r w:rsidRPr="00924F52">
        <w:rPr>
          <w:rFonts w:ascii="Verdana Pro Cond Light" w:hAnsi="Verdana Pro Cond Light"/>
          <w:color w:val="000000"/>
          <w:sz w:val="22"/>
          <w:szCs w:val="22"/>
        </w:rPr>
        <w:t xml:space="preserve">Latvijas enerģētikas un klimata mērķu sasniegšanai </w:t>
      </w:r>
      <w:r w:rsidRPr="00924F52">
        <w:rPr>
          <w:rFonts w:ascii="Verdana Pro Cond Light" w:hAnsi="Verdana Pro Cond Light"/>
          <w:i/>
          <w:color w:val="000000"/>
          <w:sz w:val="22"/>
          <w:szCs w:val="22"/>
        </w:rPr>
        <w:t>nepieciešamais indikatīvais</w:t>
      </w:r>
      <w:r w:rsidRPr="00924F52">
        <w:rPr>
          <w:rFonts w:ascii="Verdana Pro Cond Light" w:hAnsi="Verdana Pro Cond Light"/>
          <w:color w:val="000000"/>
          <w:sz w:val="22"/>
          <w:szCs w:val="22"/>
        </w:rPr>
        <w:t xml:space="preserve"> finansējums (privātais sektors, budžets, ES fondi, u.c.) ir novērtēti, balstoties uz iepriekš minētiem politikas dokumentiem, kā arī analizējot citu ES dalībvalstu pieredzi un balstoties uz autoru izstrādāto metodoloģisko </w:t>
      </w:r>
      <w:r w:rsidRPr="00924F52">
        <w:rPr>
          <w:rFonts w:ascii="Verdana Pro Cond Light" w:hAnsi="Verdana Pro Cond Light"/>
          <w:sz w:val="22"/>
          <w:szCs w:val="22"/>
        </w:rPr>
        <w:t>pieeju, kuras pamatā ir konceptuālais pieņēmums, ka klimata neitrālas ekonomikas mērķa sasniegšanai ir nepieciešams aizvietot SEG emisiju ietilpīgus aktīvus, kā arī palielināt esošo aktīvu energoefektivitāti.</w:t>
      </w:r>
    </w:p>
    <w:p w14:paraId="2F228139" w14:textId="77777777" w:rsidR="00262896" w:rsidRPr="00924F52" w:rsidRDefault="00262896" w:rsidP="00262896">
      <w:pPr>
        <w:pStyle w:val="NormalWeb"/>
        <w:spacing w:before="0" w:beforeAutospacing="0" w:after="120" w:afterAutospacing="0"/>
        <w:rPr>
          <w:rFonts w:ascii="Verdana Pro Cond Light" w:hAnsi="Verdana Pro Cond Light"/>
          <w:sz w:val="22"/>
          <w:szCs w:val="22"/>
        </w:rPr>
      </w:pPr>
      <w:r w:rsidRPr="00924F52">
        <w:rPr>
          <w:rFonts w:ascii="Verdana Pro Cond Light" w:hAnsi="Verdana Pro Cond Light"/>
          <w:sz w:val="22"/>
          <w:szCs w:val="22"/>
        </w:rPr>
        <w:t>Nepieciešamās investīcijas klimata neitrālas ekonomikas mērķa sasniegšanai ir daļa no kopējām investīcijām ekonomikā un tās ir investīcijas tehnoloģijās un produktos, kam jāaizstāj (jāaizvieto) esošos emisiju ietilpīgus (un, iespējams, novecojošos) aktīvus.</w:t>
      </w:r>
    </w:p>
    <w:p w14:paraId="59C4346F" w14:textId="77777777" w:rsidR="00262896" w:rsidRPr="00924F52" w:rsidRDefault="00262896" w:rsidP="00262896">
      <w:pPr>
        <w:pStyle w:val="NormalWeb"/>
        <w:spacing w:before="0" w:beforeAutospacing="0" w:after="120" w:afterAutospacing="0"/>
        <w:rPr>
          <w:rFonts w:ascii="Verdana Pro Cond Light" w:hAnsi="Verdana Pro Cond Light"/>
          <w:sz w:val="22"/>
          <w:szCs w:val="22"/>
        </w:rPr>
      </w:pPr>
    </w:p>
    <w:p w14:paraId="571C602A" w14:textId="77777777" w:rsidR="00262896" w:rsidRPr="00924F52" w:rsidRDefault="00262896" w:rsidP="00262896">
      <w:pPr>
        <w:pStyle w:val="NormalWeb"/>
        <w:spacing w:before="0" w:beforeAutospacing="0" w:after="120" w:afterAutospacing="0"/>
        <w:rPr>
          <w:rFonts w:ascii="Verdana Pro Cond Light" w:hAnsi="Verdana Pro Cond Light"/>
          <w:b/>
          <w:bCs/>
          <w:color w:val="242424"/>
          <w:sz w:val="22"/>
          <w:szCs w:val="22"/>
        </w:rPr>
      </w:pPr>
      <w:r w:rsidRPr="00924F52">
        <w:rPr>
          <w:rFonts w:ascii="Verdana Pro Cond Light" w:hAnsi="Verdana Pro Cond Light"/>
          <w:b/>
          <w:bCs/>
          <w:color w:val="242424"/>
          <w:sz w:val="22"/>
          <w:szCs w:val="22"/>
        </w:rPr>
        <w:t>Latvijā esošo aktīvu kopējā vērtība</w:t>
      </w:r>
    </w:p>
    <w:p w14:paraId="76A1FCED" w14:textId="77777777" w:rsidR="00262896" w:rsidRDefault="00262896" w:rsidP="00262896">
      <w:pPr>
        <w:widowControl/>
        <w:spacing w:after="120" w:line="240" w:lineRule="auto"/>
        <w:rPr>
          <w:rFonts w:ascii="Verdana Pro Cond Light" w:hAnsi="Verdana Pro Cond Light"/>
          <w:lang w:val="lv-LV"/>
        </w:rPr>
      </w:pPr>
      <w:r w:rsidRPr="00924F52">
        <w:rPr>
          <w:rFonts w:ascii="Verdana Pro Cond Light" w:hAnsi="Verdana Pro Cond Light"/>
          <w:lang w:val="lv-LV"/>
        </w:rPr>
        <w:t>Saskaņā ar pēdējiem pieejamiem nacionālo kontu datiem 2021. gadā Latvijā uzkrātā kapitāla (nefinanšu aktīvi) pašreizējā atjaunošanas vērtība bija 136,7  miljrd. eiro, kas ir 107,7 miljrd. eiro neto vērtībā (2015. gada salīdzināmās cenās). Kopš 2010. gada kapitāls ir pieaudzis 1,6 reizes, kamēr vērtējot 2015. gada salīdzināmās cenās kapitāla vērtība 2021. gada bija par 1,2% zemākā līmenī nekā 2010. gadā (skatīt 5.1. attēlu)</w:t>
      </w:r>
    </w:p>
    <w:p w14:paraId="3F710FDA" w14:textId="77777777" w:rsidR="00262896" w:rsidRPr="00924F52" w:rsidRDefault="00262896" w:rsidP="00262896">
      <w:pPr>
        <w:widowControl/>
        <w:spacing w:after="120" w:line="240" w:lineRule="auto"/>
        <w:jc w:val="right"/>
        <w:rPr>
          <w:rFonts w:ascii="Verdana Pro Cond Light" w:hAnsi="Verdana Pro Cond Light"/>
          <w:lang w:val="lv-LV"/>
        </w:rPr>
      </w:pPr>
      <w:r w:rsidRPr="00924F52">
        <w:rPr>
          <w:rFonts w:ascii="Verdana Pro Cond Light" w:hAnsi="Verdana Pro Cond Light"/>
          <w:lang w:val="lv-LV"/>
        </w:rPr>
        <w:t>5.1. attēls</w:t>
      </w:r>
    </w:p>
    <w:p w14:paraId="6F79EC7E" w14:textId="77777777" w:rsidR="00262896" w:rsidRPr="00924F52" w:rsidRDefault="00262896" w:rsidP="00262896">
      <w:pPr>
        <w:widowControl/>
        <w:spacing w:after="120" w:line="240" w:lineRule="auto"/>
        <w:jc w:val="center"/>
        <w:rPr>
          <w:rFonts w:ascii="Verdana Pro Cond Light" w:hAnsi="Verdana Pro Cond Light"/>
          <w:sz w:val="18"/>
          <w:szCs w:val="18"/>
          <w:lang w:val="lv-LV"/>
        </w:rPr>
      </w:pPr>
      <w:r w:rsidRPr="00924F52">
        <w:rPr>
          <w:rFonts w:ascii="Verdana Pro Cond Light" w:hAnsi="Verdana Pro Cond Light"/>
          <w:b/>
          <w:bCs/>
          <w:lang w:val="lv-LV"/>
        </w:rPr>
        <w:t>Kapitāla (uzkrāto nefinanšu aktīvu) neto vērtība</w:t>
      </w:r>
      <w:r w:rsidRPr="00924F52">
        <w:rPr>
          <w:rFonts w:ascii="Verdana Pro Cond Light" w:hAnsi="Verdana Pro Cond Light"/>
          <w:lang w:val="lv-LV"/>
        </w:rPr>
        <w:t xml:space="preserve"> </w:t>
      </w:r>
      <w:r w:rsidRPr="00924F52">
        <w:rPr>
          <w:rFonts w:ascii="Verdana Pro Cond Light" w:hAnsi="Verdana Pro Cond Light"/>
          <w:b/>
          <w:lang w:val="lv-LV"/>
        </w:rPr>
        <w:br/>
      </w:r>
      <w:r w:rsidRPr="00924F52">
        <w:rPr>
          <w:rFonts w:ascii="Verdana Pro Cond Light" w:hAnsi="Verdana Pro Cond Light"/>
          <w:sz w:val="18"/>
          <w:szCs w:val="18"/>
          <w:lang w:val="lv-LV"/>
        </w:rPr>
        <w:t>milj. eiro</w:t>
      </w:r>
    </w:p>
    <w:p w14:paraId="337296DC" w14:textId="77777777" w:rsidR="00262896" w:rsidRPr="00EC56D3" w:rsidRDefault="00262896" w:rsidP="00262896">
      <w:pPr>
        <w:widowControl/>
        <w:spacing w:before="120" w:after="120" w:line="240" w:lineRule="auto"/>
        <w:jc w:val="center"/>
        <w:rPr>
          <w:rFonts w:ascii="Minion Pro" w:hAnsi="Minion Pro"/>
          <w:sz w:val="24"/>
          <w:szCs w:val="24"/>
          <w:lang w:val="lv-LV"/>
        </w:rPr>
      </w:pPr>
      <w:r w:rsidRPr="00EC56D3">
        <w:rPr>
          <w:rFonts w:ascii="Minion Pro" w:hAnsi="Minion Pro"/>
          <w:noProof/>
          <w:sz w:val="24"/>
          <w:szCs w:val="24"/>
        </w:rPr>
        <w:drawing>
          <wp:inline distT="0" distB="0" distL="0" distR="0" wp14:anchorId="3AC83EB2" wp14:editId="2F1A1618">
            <wp:extent cx="6120000" cy="23400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4E123DC7" w14:textId="77777777" w:rsidR="00262896" w:rsidRPr="00924F52" w:rsidRDefault="00262896" w:rsidP="00262896">
      <w:pPr>
        <w:pStyle w:val="FootnoteText"/>
        <w:spacing w:before="120" w:after="120"/>
        <w:jc w:val="both"/>
        <w:rPr>
          <w:rFonts w:ascii="Arial Nova Cond Light" w:hAnsi="Arial Nova Cond Light"/>
          <w:sz w:val="16"/>
          <w:szCs w:val="16"/>
          <w:lang w:val="lv-LV"/>
        </w:rPr>
      </w:pPr>
      <w:r w:rsidRPr="00924F52">
        <w:rPr>
          <w:rFonts w:ascii="Arial Nova Cond Light" w:hAnsi="Arial Nova Cond Light"/>
          <w:sz w:val="16"/>
          <w:szCs w:val="16"/>
          <w:lang w:val="lv-LV"/>
        </w:rPr>
        <w:t xml:space="preserve">Avots: </w:t>
      </w:r>
      <w:r w:rsidRPr="00924F52">
        <w:rPr>
          <w:rFonts w:ascii="Arial Nova Cond Light" w:hAnsi="Arial Nova Cond Light"/>
          <w:spacing w:val="2"/>
          <w:sz w:val="16"/>
          <w:szCs w:val="16"/>
          <w:lang w:val="lv-LV"/>
        </w:rPr>
        <w:t>EUROSTAT un autoru aprēķins</w:t>
      </w:r>
    </w:p>
    <w:p w14:paraId="2CD8DC8D" w14:textId="77777777" w:rsidR="00262896" w:rsidRDefault="00262896" w:rsidP="00262896">
      <w:pPr>
        <w:widowControl/>
        <w:spacing w:after="120" w:line="240" w:lineRule="auto"/>
        <w:rPr>
          <w:rFonts w:ascii="Verdana Pro Cond Light" w:hAnsi="Verdana Pro Cond Light"/>
          <w:lang w:val="lv-LV"/>
        </w:rPr>
      </w:pPr>
      <w:r w:rsidRPr="00BF40DE">
        <w:rPr>
          <w:rFonts w:ascii="Verdana Pro Cond Light" w:hAnsi="Verdana Pro Cond Light"/>
          <w:lang w:val="lv-LV"/>
        </w:rPr>
        <w:lastRenderedPageBreak/>
        <w:t>Kapitāla neto vērtības izmaiņas var liecināt par to, ka investīciju apjomi Latvijas ekonomikā bija nepietiekami ražošanas kapacitātes palielināšanai, kā arī par arvien straujāk pēdējos gados augošām izmaksām kapitāla atjaunošanai un vairošanai (skatīt 5.2. attēlu).</w:t>
      </w:r>
    </w:p>
    <w:p w14:paraId="1691DE39" w14:textId="77777777" w:rsidR="00262896" w:rsidRPr="00BF40DE" w:rsidRDefault="00262896" w:rsidP="00262896">
      <w:pPr>
        <w:widowControl/>
        <w:spacing w:before="120" w:after="120" w:line="240" w:lineRule="auto"/>
        <w:jc w:val="right"/>
        <w:rPr>
          <w:rFonts w:ascii="Verdana Pro Cond Light" w:hAnsi="Verdana Pro Cond Light"/>
          <w:lang w:val="lv-LV"/>
        </w:rPr>
      </w:pPr>
      <w:r w:rsidRPr="00BF40DE">
        <w:rPr>
          <w:rFonts w:ascii="Verdana Pro Cond Light" w:hAnsi="Verdana Pro Cond Light"/>
          <w:lang w:val="lv-LV"/>
        </w:rPr>
        <w:t>5.2. attēls</w:t>
      </w:r>
    </w:p>
    <w:p w14:paraId="7506F1BE" w14:textId="77777777" w:rsidR="00262896" w:rsidRPr="00BF40DE" w:rsidRDefault="00262896" w:rsidP="00262896">
      <w:pPr>
        <w:widowControl/>
        <w:spacing w:after="120" w:line="240" w:lineRule="auto"/>
        <w:jc w:val="center"/>
        <w:rPr>
          <w:rFonts w:ascii="Verdana Pro Cond Light" w:hAnsi="Verdana Pro Cond Light"/>
          <w:sz w:val="18"/>
          <w:szCs w:val="18"/>
          <w:lang w:val="lv-LV"/>
        </w:rPr>
      </w:pPr>
      <w:r w:rsidRPr="00BF40DE">
        <w:rPr>
          <w:rFonts w:ascii="Verdana Pro Cond Light" w:hAnsi="Verdana Pro Cond Light"/>
          <w:b/>
          <w:bCs/>
          <w:lang w:val="lv-LV"/>
        </w:rPr>
        <w:t>Investīcijas un kapitāla neto vērtības izmaiņas</w:t>
      </w:r>
      <w:r>
        <w:rPr>
          <w:rFonts w:ascii="Verdana Pro Cond Light" w:hAnsi="Verdana Pro Cond Light"/>
          <w:b/>
          <w:bCs/>
          <w:lang w:val="lv-LV"/>
        </w:rPr>
        <w:br/>
      </w:r>
      <w:r w:rsidRPr="00BF40DE">
        <w:rPr>
          <w:rFonts w:ascii="Verdana Pro Cond Light" w:hAnsi="Verdana Pro Cond Light"/>
          <w:sz w:val="18"/>
          <w:szCs w:val="18"/>
          <w:lang w:val="lv-LV"/>
        </w:rPr>
        <w:t>2015.gada salīdzināmās cenās, milj. eiro</w:t>
      </w:r>
    </w:p>
    <w:p w14:paraId="2674F957" w14:textId="77777777" w:rsidR="00262896" w:rsidRPr="00BF40DE" w:rsidRDefault="00262896" w:rsidP="00262896">
      <w:pPr>
        <w:widowControl/>
        <w:spacing w:after="120" w:line="240" w:lineRule="auto"/>
        <w:jc w:val="center"/>
        <w:rPr>
          <w:rFonts w:ascii="Verdana Pro Cond Light" w:hAnsi="Verdana Pro Cond Light"/>
          <w:lang w:val="lv-LV"/>
        </w:rPr>
      </w:pPr>
      <w:r w:rsidRPr="00BF40DE">
        <w:rPr>
          <w:rFonts w:ascii="Verdana Pro Cond Light" w:hAnsi="Verdana Pro Cond Light"/>
          <w:noProof/>
        </w:rPr>
        <w:drawing>
          <wp:inline distT="0" distB="0" distL="0" distR="0" wp14:anchorId="16CE71FC" wp14:editId="08F78D2B">
            <wp:extent cx="6120000" cy="23400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708E470F" w14:textId="77777777" w:rsidR="00262896" w:rsidRPr="00BF40DE" w:rsidRDefault="00262896" w:rsidP="00262896">
      <w:pPr>
        <w:pStyle w:val="FootnoteText"/>
        <w:spacing w:after="120"/>
        <w:jc w:val="both"/>
        <w:rPr>
          <w:rFonts w:ascii="Arial Nova Cond Light" w:hAnsi="Arial Nova Cond Light"/>
          <w:sz w:val="16"/>
          <w:szCs w:val="16"/>
          <w:lang w:val="lv-LV"/>
        </w:rPr>
      </w:pPr>
      <w:r w:rsidRPr="00BF40DE">
        <w:rPr>
          <w:rFonts w:ascii="Arial Nova Cond Light" w:hAnsi="Arial Nova Cond Light"/>
          <w:sz w:val="16"/>
          <w:szCs w:val="16"/>
          <w:lang w:val="lv-LV"/>
        </w:rPr>
        <w:t xml:space="preserve">Avots: </w:t>
      </w:r>
      <w:r w:rsidRPr="00BF40DE">
        <w:rPr>
          <w:rFonts w:ascii="Arial Nova Cond Light" w:hAnsi="Arial Nova Cond Light"/>
          <w:spacing w:val="2"/>
          <w:sz w:val="16"/>
          <w:szCs w:val="16"/>
          <w:lang w:val="lv-LV"/>
        </w:rPr>
        <w:t>EUROSTAT un autoru aprēķins</w:t>
      </w:r>
    </w:p>
    <w:p w14:paraId="1D48FD18" w14:textId="77777777" w:rsidR="00262896" w:rsidRPr="00BF40DE" w:rsidRDefault="00262896" w:rsidP="00262896">
      <w:pPr>
        <w:widowControl/>
        <w:spacing w:after="120" w:line="240" w:lineRule="auto"/>
        <w:jc w:val="right"/>
        <w:rPr>
          <w:rFonts w:ascii="Verdana Pro Cond Light" w:hAnsi="Verdana Pro Cond Light"/>
          <w:lang w:val="lv-LV"/>
        </w:rPr>
      </w:pPr>
      <w:r w:rsidRPr="00BF40DE">
        <w:rPr>
          <w:rFonts w:ascii="Verdana Pro Cond Light" w:hAnsi="Verdana Pro Cond Light"/>
          <w:lang w:val="lv-LV"/>
        </w:rPr>
        <w:t>5.3. attēls</w:t>
      </w:r>
    </w:p>
    <w:p w14:paraId="142231E7" w14:textId="77777777" w:rsidR="00262896" w:rsidRPr="00BF40DE" w:rsidRDefault="00262896" w:rsidP="00262896">
      <w:pPr>
        <w:widowControl/>
        <w:spacing w:after="120" w:line="240" w:lineRule="auto"/>
        <w:jc w:val="center"/>
        <w:rPr>
          <w:rFonts w:ascii="Verdana Pro Cond Light" w:hAnsi="Verdana Pro Cond Light"/>
          <w:sz w:val="18"/>
          <w:szCs w:val="18"/>
          <w:lang w:val="lv-LV"/>
        </w:rPr>
      </w:pPr>
      <w:r w:rsidRPr="00BF40DE">
        <w:rPr>
          <w:rFonts w:ascii="Verdana Pro Cond Light" w:hAnsi="Verdana Pro Cond Light"/>
          <w:b/>
          <w:bCs/>
          <w:lang w:val="lv-LV"/>
        </w:rPr>
        <w:t>Kapitāla produktivitāte (pievienotās vērtības un uzkrātā kapitāla attiecība)</w:t>
      </w:r>
      <w:r>
        <w:rPr>
          <w:rFonts w:ascii="Verdana Pro Cond Light" w:hAnsi="Verdana Pro Cond Light"/>
          <w:b/>
          <w:bCs/>
          <w:lang w:val="lv-LV"/>
        </w:rPr>
        <w:br/>
      </w:r>
      <w:r w:rsidRPr="00BF40DE">
        <w:rPr>
          <w:rFonts w:ascii="Verdana Pro Cond Light" w:hAnsi="Verdana Pro Cond Light"/>
          <w:sz w:val="18"/>
          <w:szCs w:val="18"/>
          <w:lang w:val="lv-LV"/>
        </w:rPr>
        <w:t>2015.gada salīdzināmās cenās</w:t>
      </w:r>
    </w:p>
    <w:p w14:paraId="7EE11686" w14:textId="77777777" w:rsidR="00262896" w:rsidRPr="00BF40DE" w:rsidRDefault="00262896" w:rsidP="00262896">
      <w:pPr>
        <w:widowControl/>
        <w:spacing w:after="120" w:line="240" w:lineRule="auto"/>
        <w:jc w:val="center"/>
        <w:rPr>
          <w:rFonts w:ascii="Verdana Pro Cond Light" w:hAnsi="Verdana Pro Cond Light"/>
          <w:lang w:val="lv-LV"/>
        </w:rPr>
      </w:pPr>
      <w:r w:rsidRPr="00BF40DE">
        <w:rPr>
          <w:rFonts w:ascii="Verdana Pro Cond Light" w:hAnsi="Verdana Pro Cond Light"/>
          <w:noProof/>
        </w:rPr>
        <w:drawing>
          <wp:inline distT="0" distB="0" distL="0" distR="0" wp14:anchorId="1BEF5C14" wp14:editId="48AC1A3F">
            <wp:extent cx="6120000" cy="2340000"/>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1C2A07F2" w14:textId="77777777" w:rsidR="00262896" w:rsidRPr="00BF40DE" w:rsidRDefault="00262896" w:rsidP="00262896">
      <w:pPr>
        <w:pStyle w:val="FootnoteText"/>
        <w:spacing w:after="120"/>
        <w:jc w:val="both"/>
        <w:rPr>
          <w:rFonts w:ascii="Arial Nova Cond Light" w:hAnsi="Arial Nova Cond Light"/>
          <w:sz w:val="16"/>
          <w:szCs w:val="16"/>
          <w:lang w:val="lv-LV"/>
        </w:rPr>
      </w:pPr>
      <w:r w:rsidRPr="00BF40DE">
        <w:rPr>
          <w:rFonts w:ascii="Arial Nova Cond Light" w:hAnsi="Arial Nova Cond Light"/>
          <w:sz w:val="16"/>
          <w:szCs w:val="16"/>
          <w:lang w:val="lv-LV"/>
        </w:rPr>
        <w:t>Avots: EUROSTAT un autoru aprēķins</w:t>
      </w:r>
    </w:p>
    <w:p w14:paraId="137F8CBC" w14:textId="77777777" w:rsidR="00262896" w:rsidRPr="00BF40DE" w:rsidRDefault="00262896" w:rsidP="00262896">
      <w:pPr>
        <w:pStyle w:val="NormalWeb"/>
        <w:spacing w:before="0" w:beforeAutospacing="0" w:after="120" w:afterAutospacing="0"/>
        <w:jc w:val="both"/>
        <w:rPr>
          <w:rFonts w:ascii="Verdana Pro Cond Light" w:hAnsi="Verdana Pro Cond Light"/>
          <w:color w:val="242424"/>
          <w:sz w:val="22"/>
          <w:szCs w:val="22"/>
        </w:rPr>
      </w:pPr>
    </w:p>
    <w:p w14:paraId="1F46B628" w14:textId="77777777" w:rsidR="00262896" w:rsidRPr="00BF40DE" w:rsidRDefault="00262896" w:rsidP="00262896">
      <w:pPr>
        <w:widowControl/>
        <w:spacing w:after="120" w:line="240" w:lineRule="auto"/>
        <w:jc w:val="both"/>
        <w:rPr>
          <w:rFonts w:ascii="Verdana Pro Cond Light" w:hAnsi="Verdana Pro Cond Light"/>
          <w:b/>
          <w:bCs/>
          <w:lang w:val="lv-LV"/>
        </w:rPr>
      </w:pPr>
      <w:r w:rsidRPr="00BF40DE">
        <w:rPr>
          <w:rFonts w:ascii="Verdana Pro Cond Light" w:hAnsi="Verdana Pro Cond Light"/>
          <w:b/>
          <w:bCs/>
          <w:lang w:val="lv-LV"/>
        </w:rPr>
        <w:t>Metodoloģiskā pieeja nepieciešamo investīciju novērtēšanai ekonomikas dekarbonizācijai.</w:t>
      </w:r>
    </w:p>
    <w:p w14:paraId="76C6D64C" w14:textId="77777777" w:rsidR="00262896" w:rsidRPr="00BF40DE" w:rsidRDefault="00262896" w:rsidP="00262896">
      <w:pPr>
        <w:widowControl/>
        <w:spacing w:after="120" w:line="240" w:lineRule="auto"/>
        <w:rPr>
          <w:rFonts w:ascii="Verdana Pro Cond Light" w:hAnsi="Verdana Pro Cond Light"/>
          <w:lang w:val="lv-LV"/>
        </w:rPr>
      </w:pPr>
      <w:r w:rsidRPr="00BF40DE">
        <w:rPr>
          <w:rFonts w:ascii="Verdana Pro Cond Light" w:hAnsi="Verdana Pro Cond Light"/>
          <w:lang w:val="lv-LV"/>
        </w:rPr>
        <w:t>Pēdējos gados pasaulē ir veikti vairāki pētījumi</w:t>
      </w:r>
      <w:r w:rsidRPr="00BF40DE">
        <w:rPr>
          <w:rStyle w:val="FootnoteReference"/>
          <w:rFonts w:ascii="Verdana Pro Cond Light" w:hAnsi="Verdana Pro Cond Light"/>
          <w:lang w:val="lv-LV"/>
        </w:rPr>
        <w:footnoteReference w:id="41"/>
      </w:r>
      <w:r w:rsidRPr="00BF40DE">
        <w:rPr>
          <w:rFonts w:ascii="Verdana Pro Cond Light" w:hAnsi="Verdana Pro Cond Light"/>
          <w:lang w:val="lv-LV"/>
        </w:rPr>
        <w:t xml:space="preserve"> ar mērķi novērtēt nepieciešamo investīciju apjomu ekonomikas klimatneitralitātes nodrošināšanai. Aprēķinu rezultāti būtiski atšķīrās, kas galvenokārt ir skaidrojams ar dažādām metodoloģiskām pieejām un modelēšanā gaitā izdarītiem pieņēmumiem.</w:t>
      </w:r>
    </w:p>
    <w:p w14:paraId="45182389" w14:textId="77777777" w:rsidR="00262896" w:rsidRPr="00BF40DE" w:rsidRDefault="00262896" w:rsidP="00262896">
      <w:pPr>
        <w:widowControl/>
        <w:spacing w:after="120" w:line="240" w:lineRule="auto"/>
        <w:rPr>
          <w:rFonts w:ascii="Verdana Pro Cond Light" w:hAnsi="Verdana Pro Cond Light"/>
          <w:lang w:val="lv-LV"/>
        </w:rPr>
      </w:pPr>
      <w:r w:rsidRPr="00BF40DE">
        <w:rPr>
          <w:rFonts w:ascii="Verdana Pro Cond Light" w:hAnsi="Verdana Pro Cond Light"/>
          <w:lang w:val="lv-LV"/>
        </w:rPr>
        <w:t xml:space="preserve">Investīciju apjoma novērtēšanai nereti tiek izmantoti modeļi, kā pamatā ir prognozes par demogrāfiskām tendencēm, makroekonomisko rādītāju izmaiņām, kā arī pieņēmumi par videi draudzīgo tehnoloģiju pieejamību dažādās tautsaimniecības nozarēs (atbilstoši NACE </w:t>
      </w:r>
      <w:r w:rsidRPr="00BF40DE">
        <w:rPr>
          <w:rFonts w:ascii="Verdana Pro Cond Light" w:hAnsi="Verdana Pro Cond Light"/>
          <w:lang w:val="lv-LV"/>
        </w:rPr>
        <w:lastRenderedPageBreak/>
        <w:t>klasifikatoram) un prognozes par iespējamām izmaksām to ieviešanai. Šādai pieejai ir nepieciešami dati augstā detalizācijas pakāpē, kā arī esošo un nākotnes tehnoloģiju padziļināta izpēte.</w:t>
      </w:r>
    </w:p>
    <w:p w14:paraId="4A181769" w14:textId="77777777" w:rsidR="00262896" w:rsidRPr="00BF40DE" w:rsidRDefault="00262896" w:rsidP="00262896">
      <w:pPr>
        <w:widowControl/>
        <w:spacing w:after="120" w:line="240" w:lineRule="auto"/>
        <w:rPr>
          <w:rFonts w:ascii="Verdana Pro Cond Light" w:hAnsi="Verdana Pro Cond Light"/>
          <w:lang w:val="lv-LV"/>
        </w:rPr>
      </w:pPr>
      <w:r w:rsidRPr="00BF40DE">
        <w:rPr>
          <w:rFonts w:ascii="Verdana Pro Cond Light" w:hAnsi="Verdana Pro Cond Light"/>
          <w:lang w:val="lv-LV"/>
        </w:rPr>
        <w:t>Ņemot vērā datu ierobežoto pieejamību, nepieciešamo investīciju apjoma novērtēšanai tika piemērota pieeja, kuras pamatā ir nacionālo kontu dati, salīdzinoši augstas agregācijas līmenī.</w:t>
      </w:r>
    </w:p>
    <w:p w14:paraId="1946EC6A" w14:textId="77777777" w:rsidR="00262896" w:rsidRPr="00BF40DE" w:rsidRDefault="00262896" w:rsidP="00262896">
      <w:pPr>
        <w:widowControl/>
        <w:spacing w:after="120" w:line="240" w:lineRule="auto"/>
        <w:rPr>
          <w:rFonts w:ascii="Verdana Pro Cond Light" w:hAnsi="Verdana Pro Cond Light"/>
          <w:lang w:val="lv-LV"/>
        </w:rPr>
      </w:pPr>
      <w:r w:rsidRPr="00BF40DE">
        <w:rPr>
          <w:rFonts w:ascii="Verdana Pro Cond Light" w:hAnsi="Verdana Pro Cond Light"/>
          <w:lang w:val="lv-LV"/>
        </w:rPr>
        <w:t>Metodoloģijas pamatā ir konceptuālais pieņēmums, ka klimata neitrālas ekonomikas mērķa sasniegšanai ir nepieciešams aizvietot SEG emisiju ietilpīgus aktīvus, kā arī palielināt esošo aktīvu energoefektivitāti. Tas nozīmē, ka investīciju apjoms, kas ir nepieciešams ekonomikas dekarbonizācijas veicināšanai lielā mērā ir atkarīgs no SEG emisiju ietilpīgu aktīvu daļas kopējos aktīvos un cik no tiem ir nepieciešams (vai iespējams) aizvietot ieguldot jaunajās tehnoloģijās un produktos.</w:t>
      </w:r>
    </w:p>
    <w:p w14:paraId="50E86D1B" w14:textId="77777777" w:rsidR="00262896" w:rsidRDefault="00262896" w:rsidP="00262896">
      <w:pPr>
        <w:widowControl/>
        <w:spacing w:after="120" w:line="240" w:lineRule="auto"/>
        <w:rPr>
          <w:rFonts w:ascii="Verdana Pro Cond Light" w:hAnsi="Verdana Pro Cond Light"/>
          <w:lang w:val="lv-LV"/>
        </w:rPr>
      </w:pPr>
      <w:r w:rsidRPr="00BF40DE">
        <w:rPr>
          <w:rFonts w:ascii="Verdana Pro Cond Light" w:hAnsi="Verdana Pro Cond Light"/>
          <w:lang w:val="lv-LV"/>
        </w:rPr>
        <w:t>Lai noteiktu SEG emisiju ietilpīgus aktīvus, tika izmantoti statistikas dati par nefinanšu aktīvu bruto vērtību (2015. gada salīdzināmās cenās) 2021. gadā, kopumā tautsaimniecībā un sektoros (nozarēs) atbilstoši SEG emisijas avotu klasifikācijai. Tādējādi tika novērtēta to aktīvu daļa, kuru aizvietošanai ir nepieciešami ieguldījumi jaunajās tehnoloģijās un produktos. Savukārt, aktīvu daļa kam lielākoties ir nepieciešamas investīcijas energoefektivitātes palielināšanai bija novērtēta pēc būvniecības aktīvu (t.i. mājokļi un citas ēkas un celtnes) vērtības.</w:t>
      </w:r>
    </w:p>
    <w:p w14:paraId="7FAE9366" w14:textId="77777777" w:rsidR="00262896" w:rsidRPr="00BF40DE" w:rsidRDefault="00262896" w:rsidP="00262896">
      <w:pPr>
        <w:widowControl/>
        <w:spacing w:after="120" w:line="240" w:lineRule="auto"/>
        <w:rPr>
          <w:rFonts w:ascii="Verdana Pro Cond Light" w:hAnsi="Verdana Pro Cond Light"/>
          <w:lang w:val="lv-LV"/>
        </w:rPr>
      </w:pPr>
      <w:r w:rsidRPr="00BF40DE">
        <w:rPr>
          <w:rFonts w:ascii="Verdana Pro Cond Light" w:hAnsi="Verdana Pro Cond Light"/>
          <w:lang w:val="lv-LV"/>
        </w:rPr>
        <w:t>Veikto aprēķinu rezultāti par nefinanšu aktīvu bruto vērtību 2021. gadā (statistikā pēdējie pieejamie dati) ir interpretējami, ka potenciāli nepieciešamais investīciju apjoms SEG emisij</w:t>
      </w:r>
      <w:r>
        <w:rPr>
          <w:rFonts w:ascii="Verdana Pro Cond Light" w:hAnsi="Verdana Pro Cond Light"/>
          <w:lang w:val="lv-LV"/>
        </w:rPr>
        <w:t>u</w:t>
      </w:r>
      <w:r w:rsidRPr="00BF40DE">
        <w:rPr>
          <w:rFonts w:ascii="Verdana Pro Cond Light" w:hAnsi="Verdana Pro Cond Light"/>
          <w:lang w:val="lv-LV"/>
        </w:rPr>
        <w:t xml:space="preserve"> mazināšanai, pieņemot, ka </w:t>
      </w:r>
      <w:r>
        <w:rPr>
          <w:rFonts w:ascii="Verdana Pro Cond Light" w:hAnsi="Verdana Pro Cond Light"/>
          <w:lang w:val="lv-LV"/>
        </w:rPr>
        <w:t>daļa no esošajiem aktīviem</w:t>
      </w:r>
      <w:r w:rsidRPr="00BF40DE">
        <w:rPr>
          <w:rFonts w:ascii="Verdana Pro Cond Light" w:hAnsi="Verdana Pro Cond Light"/>
          <w:lang w:val="lv-LV"/>
        </w:rPr>
        <w:t xml:space="preserve"> SEG intensīvajās nozarēs būtu jāaizvieto.</w:t>
      </w:r>
    </w:p>
    <w:p w14:paraId="6759B427" w14:textId="77777777" w:rsidR="00262896" w:rsidRDefault="00262896" w:rsidP="00262896">
      <w:pPr>
        <w:widowControl/>
        <w:spacing w:after="120" w:line="240" w:lineRule="auto"/>
        <w:rPr>
          <w:rFonts w:ascii="Verdana Pro Cond Light" w:hAnsi="Verdana Pro Cond Light"/>
          <w:lang w:val="lv-LV"/>
        </w:rPr>
      </w:pPr>
      <w:r w:rsidRPr="00BF40DE">
        <w:rPr>
          <w:rFonts w:ascii="Verdana Pro Cond Light" w:hAnsi="Verdana Pro Cond Light"/>
          <w:lang w:val="lv-LV"/>
        </w:rPr>
        <w:t>Visdrīzāk šādas investīcijas veikt ierobežotā laika posmā nav iespējams. Turklāt jāatzīmē, ka SEG intensīvajās nozarēs ir jau veikti ieguldījumi jaunajās tehnoloģijās, jo SEG emisijas intensitāte (SEG emisijas apjoms pret nefinanšu aktīvu bruto vērtību) 2021. gadā, salīdzinot ar 2010. gadu, ir nedaudz mazinājusies.</w:t>
      </w:r>
    </w:p>
    <w:p w14:paraId="77611EFF" w14:textId="77777777" w:rsidR="00262896" w:rsidRDefault="00262896" w:rsidP="00262896">
      <w:pPr>
        <w:widowControl/>
        <w:spacing w:after="120" w:line="240" w:lineRule="auto"/>
        <w:rPr>
          <w:rFonts w:ascii="Verdana Pro Cond Light" w:hAnsi="Verdana Pro Cond Light"/>
          <w:lang w:val="lv-LV"/>
        </w:rPr>
      </w:pPr>
      <w:r w:rsidRPr="00BF40DE">
        <w:rPr>
          <w:rFonts w:ascii="Verdana Pro Cond Light" w:hAnsi="Verdana Pro Cond Light"/>
          <w:lang w:val="lv-LV"/>
        </w:rPr>
        <w:t>Tāpēc iepriekš noteikto aktīvu vērtība SEG intensīvajās nozarēs ir jākoriģē, nosakot daļu no aktīviem, kas būtu aizvieto tuvinoties ekonomikas dekarbonizācijai izvirzītajiem mērķiem. Aizvietošanas koeficientu noteikšanai būtu jāpiesaista attiecīgo nozaru eksperti.</w:t>
      </w:r>
    </w:p>
    <w:p w14:paraId="63EF0CE1" w14:textId="77777777" w:rsidR="00262896" w:rsidRPr="00BF40DE" w:rsidRDefault="00262896" w:rsidP="00262896">
      <w:pPr>
        <w:widowControl/>
        <w:spacing w:after="120" w:line="240" w:lineRule="auto"/>
        <w:rPr>
          <w:rFonts w:ascii="Verdana Pro Cond Light" w:hAnsi="Verdana Pro Cond Light"/>
          <w:lang w:val="lv-LV"/>
        </w:rPr>
      </w:pPr>
    </w:p>
    <w:p w14:paraId="64CDF179" w14:textId="77777777" w:rsidR="00262896" w:rsidRPr="00BF40DE" w:rsidRDefault="00262896" w:rsidP="00262896">
      <w:pPr>
        <w:widowControl/>
        <w:spacing w:after="120" w:line="240" w:lineRule="auto"/>
        <w:rPr>
          <w:rFonts w:ascii="Verdana Pro Cond Light" w:hAnsi="Verdana Pro Cond Light"/>
          <w:b/>
          <w:bCs/>
          <w:lang w:val="lv-LV"/>
        </w:rPr>
      </w:pPr>
      <w:r w:rsidRPr="00BF40DE">
        <w:rPr>
          <w:rFonts w:ascii="Verdana Pro Cond Light" w:hAnsi="Verdana Pro Cond Light"/>
          <w:b/>
          <w:bCs/>
          <w:lang w:val="lv-LV"/>
        </w:rPr>
        <w:t>Siltumnīcu gāzu (SEG) emisijas Latvijā</w:t>
      </w:r>
    </w:p>
    <w:p w14:paraId="4BB591B6" w14:textId="77777777" w:rsidR="00262896" w:rsidRPr="00BF40DE" w:rsidRDefault="00262896" w:rsidP="00262896">
      <w:pPr>
        <w:widowControl/>
        <w:spacing w:after="120" w:line="240" w:lineRule="auto"/>
        <w:rPr>
          <w:rFonts w:ascii="Verdana Pro Cond Light" w:hAnsi="Verdana Pro Cond Light"/>
          <w:lang w:val="lv-LV"/>
        </w:rPr>
      </w:pPr>
      <w:r w:rsidRPr="00BF40DE">
        <w:rPr>
          <w:rFonts w:ascii="Verdana Pro Cond Light" w:hAnsi="Verdana Pro Cond Light"/>
          <w:lang w:val="lv-LV"/>
        </w:rPr>
        <w:t>Saskaņā ar Eurostat datiem, SEG emisijas apjoms Latvijā 2022. gadā kopumā bija 11979,2 tūkst. tonnas CO2 ekvivalentā. Tautsaimniecības nozares saimnieciskās darbības rezultātā SEG emisijas apjoms 2022. gadā sasniedza 9290,5 tūkst. tonnas, t.i. 80,2 % no kopējā izmešu apjoma. Savukārt mājsaimniecības darbības kopumā bija ģenerējušas aptuvenu piekto daļu kopējā SEG izmešu apjomā (2287,1 tūkst. tonnas). Siltumnīcefekta gāzu (SEG) emisijas Latvijā kopējā (nozaru un mājsaimniecības) dinamika ir parādīta 5.1 .tabulā.</w:t>
      </w:r>
    </w:p>
    <w:p w14:paraId="1C4ACA0A" w14:textId="77777777" w:rsidR="00262896" w:rsidRPr="00BF40DE" w:rsidRDefault="00262896" w:rsidP="00262896">
      <w:pPr>
        <w:widowControl/>
        <w:spacing w:after="120" w:line="240" w:lineRule="auto"/>
        <w:jc w:val="right"/>
        <w:rPr>
          <w:rFonts w:ascii="Verdana Pro Cond Light" w:hAnsi="Verdana Pro Cond Light"/>
          <w:lang w:val="lv-LV"/>
        </w:rPr>
      </w:pPr>
      <w:r w:rsidRPr="00BF40DE">
        <w:rPr>
          <w:rFonts w:ascii="Verdana Pro Cond Light" w:hAnsi="Verdana Pro Cond Light"/>
          <w:lang w:val="lv-LV"/>
        </w:rPr>
        <w:t>5.1. tabula</w:t>
      </w:r>
    </w:p>
    <w:p w14:paraId="7C358FB6" w14:textId="77777777" w:rsidR="00262896" w:rsidRPr="00097491" w:rsidRDefault="00262896" w:rsidP="00262896">
      <w:pPr>
        <w:widowControl/>
        <w:spacing w:after="120" w:line="240" w:lineRule="auto"/>
        <w:ind w:left="142"/>
        <w:jc w:val="center"/>
        <w:rPr>
          <w:rFonts w:ascii="Verdana Pro Cond Light" w:hAnsi="Verdana Pro Cond Light"/>
          <w:sz w:val="18"/>
          <w:szCs w:val="18"/>
          <w:lang w:val="lv-LV"/>
        </w:rPr>
      </w:pPr>
      <w:r w:rsidRPr="00BF40DE">
        <w:rPr>
          <w:rFonts w:ascii="Verdana Pro Cond Light" w:hAnsi="Verdana Pro Cond Light"/>
          <w:b/>
          <w:bCs/>
          <w:lang w:val="lv-LV"/>
        </w:rPr>
        <w:t>Siltumnīcefekta gāzu (SEG) emisijas Latvijā 2010. un 2022. gads</w:t>
      </w:r>
      <w:r>
        <w:rPr>
          <w:rFonts w:ascii="Verdana Pro Cond Light" w:hAnsi="Verdana Pro Cond Light"/>
          <w:b/>
          <w:bCs/>
          <w:lang w:val="lv-LV"/>
        </w:rPr>
        <w:br/>
      </w:r>
      <w:r w:rsidRPr="00097491">
        <w:rPr>
          <w:rFonts w:ascii="Verdana Pro Cond Light" w:hAnsi="Verdana Pro Cond Light"/>
          <w:sz w:val="18"/>
          <w:szCs w:val="18"/>
          <w:lang w:val="lv-LV"/>
        </w:rPr>
        <w:t>tūkst. tonnas CO</w:t>
      </w:r>
      <w:r w:rsidRPr="00097491">
        <w:rPr>
          <w:rFonts w:ascii="Verdana Pro Cond Light" w:hAnsi="Verdana Pro Cond Light"/>
          <w:sz w:val="18"/>
          <w:szCs w:val="18"/>
          <w:vertAlign w:val="subscript"/>
          <w:lang w:val="lv-LV"/>
        </w:rPr>
        <w:t>2</w:t>
      </w:r>
      <w:r w:rsidRPr="00097491">
        <w:rPr>
          <w:rFonts w:ascii="Verdana Pro Cond Light" w:hAnsi="Verdana Pro Cond Light"/>
          <w:sz w:val="18"/>
          <w:szCs w:val="18"/>
          <w:lang w:val="lv-LV"/>
        </w:rPr>
        <w:t xml:space="preserve"> ekvivalentā</w:t>
      </w:r>
    </w:p>
    <w:tbl>
      <w:tblPr>
        <w:tblStyle w:val="TableGrid"/>
        <w:tblW w:w="963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8"/>
        <w:gridCol w:w="1247"/>
        <w:gridCol w:w="1247"/>
        <w:gridCol w:w="1134"/>
        <w:gridCol w:w="1134"/>
        <w:gridCol w:w="1134"/>
        <w:gridCol w:w="1134"/>
      </w:tblGrid>
      <w:tr w:rsidR="00262896" w:rsidRPr="00DA424D" w14:paraId="185209E7" w14:textId="77777777" w:rsidTr="0002297E">
        <w:trPr>
          <w:jc w:val="center"/>
        </w:trPr>
        <w:tc>
          <w:tcPr>
            <w:tcW w:w="2608" w:type="dxa"/>
            <w:shd w:val="clear" w:color="auto" w:fill="4472C4" w:themeFill="accent1"/>
            <w:vAlign w:val="center"/>
          </w:tcPr>
          <w:p w14:paraId="2DD72E28" w14:textId="77777777" w:rsidR="00262896" w:rsidRPr="00DA424D" w:rsidRDefault="00262896" w:rsidP="0002297E">
            <w:pPr>
              <w:widowControl/>
              <w:spacing w:before="40" w:after="40" w:line="240" w:lineRule="auto"/>
              <w:jc w:val="center"/>
              <w:rPr>
                <w:rFonts w:asciiTheme="majorHAnsi" w:hAnsiTheme="majorHAnsi" w:cstheme="majorHAnsi"/>
                <w:b/>
                <w:bCs/>
                <w:color w:val="FFFFFF" w:themeColor="background1"/>
                <w:sz w:val="16"/>
                <w:szCs w:val="16"/>
                <w:lang w:val="lv-LV"/>
              </w:rPr>
            </w:pPr>
            <w:r w:rsidRPr="00DA424D">
              <w:rPr>
                <w:rFonts w:asciiTheme="majorHAnsi" w:hAnsiTheme="majorHAnsi" w:cstheme="majorHAnsi"/>
                <w:b/>
                <w:bCs/>
                <w:color w:val="FFFFFF" w:themeColor="background1"/>
                <w:sz w:val="16"/>
                <w:szCs w:val="16"/>
                <w:lang w:val="lv-LV"/>
              </w:rPr>
              <w:t>Sektors</w:t>
            </w:r>
          </w:p>
        </w:tc>
        <w:tc>
          <w:tcPr>
            <w:tcW w:w="1247" w:type="dxa"/>
            <w:shd w:val="clear" w:color="auto" w:fill="4472C4" w:themeFill="accent1"/>
            <w:vAlign w:val="center"/>
          </w:tcPr>
          <w:p w14:paraId="331283E2" w14:textId="77777777" w:rsidR="00262896" w:rsidRPr="00DA424D" w:rsidRDefault="00262896" w:rsidP="0002297E">
            <w:pPr>
              <w:widowControl/>
              <w:spacing w:before="40" w:after="40" w:line="240" w:lineRule="auto"/>
              <w:ind w:right="-85"/>
              <w:jc w:val="center"/>
              <w:rPr>
                <w:rFonts w:asciiTheme="majorHAnsi" w:hAnsiTheme="majorHAnsi" w:cstheme="majorHAnsi"/>
                <w:b/>
                <w:bCs/>
                <w:color w:val="FFFFFF" w:themeColor="background1"/>
                <w:sz w:val="16"/>
                <w:szCs w:val="16"/>
                <w:lang w:val="lv-LV"/>
              </w:rPr>
            </w:pPr>
            <w:r w:rsidRPr="00DA424D">
              <w:rPr>
                <w:rFonts w:asciiTheme="majorHAnsi" w:hAnsiTheme="majorHAnsi" w:cstheme="majorHAnsi"/>
                <w:b/>
                <w:bCs/>
                <w:color w:val="FFFFFF" w:themeColor="background1"/>
                <w:sz w:val="16"/>
                <w:szCs w:val="16"/>
                <w:lang w:val="lv-LV"/>
              </w:rPr>
              <w:t>tūkst. tonnas CO</w:t>
            </w:r>
            <w:r w:rsidRPr="00DA424D">
              <w:rPr>
                <w:rFonts w:asciiTheme="majorHAnsi" w:hAnsiTheme="majorHAnsi" w:cstheme="majorHAnsi"/>
                <w:b/>
                <w:bCs/>
                <w:color w:val="FFFFFF" w:themeColor="background1"/>
                <w:sz w:val="16"/>
                <w:szCs w:val="16"/>
                <w:vertAlign w:val="subscript"/>
                <w:lang w:val="lv-LV"/>
              </w:rPr>
              <w:t>2</w:t>
            </w:r>
            <w:r w:rsidRPr="00DA424D">
              <w:rPr>
                <w:rFonts w:asciiTheme="majorHAnsi" w:hAnsiTheme="majorHAnsi" w:cstheme="majorHAnsi"/>
                <w:b/>
                <w:bCs/>
                <w:color w:val="FFFFFF" w:themeColor="background1"/>
                <w:sz w:val="16"/>
                <w:szCs w:val="16"/>
                <w:lang w:val="lv-LV"/>
              </w:rPr>
              <w:t xml:space="preserve"> ekvivalentā</w:t>
            </w:r>
          </w:p>
        </w:tc>
        <w:tc>
          <w:tcPr>
            <w:tcW w:w="1247" w:type="dxa"/>
            <w:shd w:val="clear" w:color="auto" w:fill="4472C4" w:themeFill="accent1"/>
            <w:vAlign w:val="center"/>
          </w:tcPr>
          <w:p w14:paraId="685A3649" w14:textId="77777777" w:rsidR="00262896" w:rsidRPr="00DA424D" w:rsidRDefault="00262896" w:rsidP="0002297E">
            <w:pPr>
              <w:widowControl/>
              <w:spacing w:before="40" w:after="40" w:line="240" w:lineRule="auto"/>
              <w:ind w:right="-85"/>
              <w:jc w:val="center"/>
              <w:rPr>
                <w:rFonts w:asciiTheme="majorHAnsi" w:hAnsiTheme="majorHAnsi" w:cstheme="majorHAnsi"/>
                <w:b/>
                <w:bCs/>
                <w:color w:val="FFFFFF" w:themeColor="background1"/>
                <w:sz w:val="16"/>
                <w:szCs w:val="16"/>
                <w:lang w:val="lv-LV"/>
              </w:rPr>
            </w:pPr>
            <w:r w:rsidRPr="00DA424D">
              <w:rPr>
                <w:rFonts w:asciiTheme="majorHAnsi" w:hAnsiTheme="majorHAnsi" w:cstheme="majorHAnsi"/>
                <w:b/>
                <w:bCs/>
                <w:color w:val="FFFFFF" w:themeColor="background1"/>
                <w:sz w:val="16"/>
                <w:szCs w:val="16"/>
                <w:lang w:val="lv-LV"/>
              </w:rPr>
              <w:t>tūkst. tonnas CO</w:t>
            </w:r>
            <w:r w:rsidRPr="00DA424D">
              <w:rPr>
                <w:rFonts w:asciiTheme="majorHAnsi" w:hAnsiTheme="majorHAnsi" w:cstheme="majorHAnsi"/>
                <w:b/>
                <w:bCs/>
                <w:color w:val="FFFFFF" w:themeColor="background1"/>
                <w:sz w:val="16"/>
                <w:szCs w:val="16"/>
                <w:vertAlign w:val="subscript"/>
                <w:lang w:val="lv-LV"/>
              </w:rPr>
              <w:t>2</w:t>
            </w:r>
            <w:r w:rsidRPr="00DA424D">
              <w:rPr>
                <w:rFonts w:asciiTheme="majorHAnsi" w:hAnsiTheme="majorHAnsi" w:cstheme="majorHAnsi"/>
                <w:b/>
                <w:bCs/>
                <w:color w:val="FFFFFF" w:themeColor="background1"/>
                <w:sz w:val="16"/>
                <w:szCs w:val="16"/>
                <w:lang w:val="lv-LV"/>
              </w:rPr>
              <w:t xml:space="preserve"> ekvivalentā</w:t>
            </w:r>
          </w:p>
        </w:tc>
        <w:tc>
          <w:tcPr>
            <w:tcW w:w="1134" w:type="dxa"/>
            <w:shd w:val="clear" w:color="auto" w:fill="4472C4" w:themeFill="accent1"/>
            <w:vAlign w:val="center"/>
          </w:tcPr>
          <w:p w14:paraId="67E18FC5" w14:textId="77777777" w:rsidR="00262896" w:rsidRPr="00DA424D" w:rsidRDefault="00262896" w:rsidP="0002297E">
            <w:pPr>
              <w:widowControl/>
              <w:spacing w:before="40" w:after="40" w:line="240" w:lineRule="auto"/>
              <w:jc w:val="center"/>
              <w:rPr>
                <w:rFonts w:asciiTheme="majorHAnsi" w:hAnsiTheme="majorHAnsi" w:cstheme="majorHAnsi"/>
                <w:b/>
                <w:bCs/>
                <w:color w:val="FFFFFF" w:themeColor="background1"/>
                <w:sz w:val="16"/>
                <w:szCs w:val="16"/>
                <w:lang w:val="lv-LV"/>
              </w:rPr>
            </w:pPr>
            <w:r w:rsidRPr="00DA424D">
              <w:rPr>
                <w:rFonts w:asciiTheme="majorHAnsi" w:hAnsiTheme="majorHAnsi" w:cstheme="majorHAnsi"/>
                <w:b/>
                <w:bCs/>
                <w:color w:val="FFFFFF" w:themeColor="background1"/>
                <w:sz w:val="16"/>
                <w:szCs w:val="16"/>
                <w:lang w:val="lv-LV"/>
              </w:rPr>
              <w:t>% no kopējām SEG emisijām</w:t>
            </w:r>
          </w:p>
        </w:tc>
        <w:tc>
          <w:tcPr>
            <w:tcW w:w="1134" w:type="dxa"/>
            <w:shd w:val="clear" w:color="auto" w:fill="4472C4" w:themeFill="accent1"/>
            <w:vAlign w:val="center"/>
          </w:tcPr>
          <w:p w14:paraId="53555F11" w14:textId="77777777" w:rsidR="00262896" w:rsidRPr="00DA424D" w:rsidRDefault="00262896" w:rsidP="0002297E">
            <w:pPr>
              <w:widowControl/>
              <w:spacing w:before="40" w:after="40" w:line="240" w:lineRule="auto"/>
              <w:jc w:val="center"/>
              <w:rPr>
                <w:rFonts w:asciiTheme="majorHAnsi" w:hAnsiTheme="majorHAnsi" w:cstheme="majorHAnsi"/>
                <w:b/>
                <w:bCs/>
                <w:color w:val="FFFFFF" w:themeColor="background1"/>
                <w:sz w:val="16"/>
                <w:szCs w:val="16"/>
                <w:lang w:val="lv-LV"/>
              </w:rPr>
            </w:pPr>
            <w:r w:rsidRPr="00DA424D">
              <w:rPr>
                <w:rFonts w:asciiTheme="majorHAnsi" w:hAnsiTheme="majorHAnsi" w:cstheme="majorHAnsi"/>
                <w:b/>
                <w:bCs/>
                <w:color w:val="FFFFFF" w:themeColor="background1"/>
                <w:sz w:val="16"/>
                <w:szCs w:val="16"/>
                <w:lang w:val="lv-LV"/>
              </w:rPr>
              <w:t>% no kopējām SEG emisijām</w:t>
            </w:r>
          </w:p>
        </w:tc>
        <w:tc>
          <w:tcPr>
            <w:tcW w:w="1134" w:type="dxa"/>
            <w:shd w:val="clear" w:color="auto" w:fill="4472C4" w:themeFill="accent1"/>
            <w:vAlign w:val="center"/>
          </w:tcPr>
          <w:p w14:paraId="0D2CFB9A" w14:textId="77777777" w:rsidR="00262896" w:rsidRPr="00DA424D" w:rsidRDefault="00262896" w:rsidP="0002297E">
            <w:pPr>
              <w:widowControl/>
              <w:spacing w:before="40" w:after="40" w:line="240" w:lineRule="auto"/>
              <w:ind w:right="-85"/>
              <w:jc w:val="center"/>
              <w:rPr>
                <w:rFonts w:asciiTheme="majorHAnsi" w:hAnsiTheme="majorHAnsi" w:cstheme="majorHAnsi"/>
                <w:b/>
                <w:bCs/>
                <w:color w:val="FFFFFF" w:themeColor="background1"/>
                <w:sz w:val="16"/>
                <w:szCs w:val="16"/>
                <w:lang w:val="lv-LV"/>
              </w:rPr>
            </w:pPr>
            <w:r w:rsidRPr="00DA424D">
              <w:rPr>
                <w:rFonts w:asciiTheme="majorHAnsi" w:hAnsiTheme="majorHAnsi" w:cstheme="majorHAnsi"/>
                <w:b/>
                <w:bCs/>
                <w:color w:val="FFFFFF" w:themeColor="background1"/>
                <w:sz w:val="16"/>
                <w:szCs w:val="16"/>
                <w:lang w:val="lv-LV"/>
              </w:rPr>
              <w:t>Izmaiņas, tūkst. tonnas</w:t>
            </w:r>
          </w:p>
        </w:tc>
        <w:tc>
          <w:tcPr>
            <w:tcW w:w="1134" w:type="dxa"/>
            <w:shd w:val="clear" w:color="auto" w:fill="4472C4" w:themeFill="accent1"/>
            <w:vAlign w:val="center"/>
          </w:tcPr>
          <w:p w14:paraId="11BCF00E" w14:textId="77777777" w:rsidR="00262896" w:rsidRPr="00DA424D" w:rsidRDefault="00262896" w:rsidP="0002297E">
            <w:pPr>
              <w:widowControl/>
              <w:spacing w:before="40" w:after="40" w:line="240" w:lineRule="auto"/>
              <w:ind w:right="-85"/>
              <w:jc w:val="center"/>
              <w:rPr>
                <w:rFonts w:asciiTheme="majorHAnsi" w:hAnsiTheme="majorHAnsi" w:cstheme="majorHAnsi"/>
                <w:b/>
                <w:bCs/>
                <w:color w:val="FFFFFF" w:themeColor="background1"/>
                <w:sz w:val="16"/>
                <w:szCs w:val="16"/>
                <w:lang w:val="lv-LV"/>
              </w:rPr>
            </w:pPr>
            <w:r w:rsidRPr="00DA424D">
              <w:rPr>
                <w:rFonts w:asciiTheme="majorHAnsi" w:hAnsiTheme="majorHAnsi" w:cstheme="majorHAnsi"/>
                <w:b/>
                <w:bCs/>
                <w:color w:val="FFFFFF" w:themeColor="background1"/>
                <w:sz w:val="16"/>
                <w:szCs w:val="16"/>
                <w:lang w:val="lv-LV"/>
              </w:rPr>
              <w:t>Izmaiņas, 2010=100</w:t>
            </w:r>
          </w:p>
        </w:tc>
      </w:tr>
      <w:tr w:rsidR="00262896" w:rsidRPr="00DA424D" w14:paraId="155BE301" w14:textId="77777777" w:rsidTr="0002297E">
        <w:trPr>
          <w:jc w:val="center"/>
        </w:trPr>
        <w:tc>
          <w:tcPr>
            <w:tcW w:w="2608" w:type="dxa"/>
            <w:shd w:val="clear" w:color="auto" w:fill="4472C4" w:themeFill="accent1"/>
            <w:vAlign w:val="center"/>
          </w:tcPr>
          <w:p w14:paraId="1E529AF7" w14:textId="77777777" w:rsidR="00262896" w:rsidRPr="00DA424D" w:rsidRDefault="00262896" w:rsidP="0002297E">
            <w:pPr>
              <w:widowControl/>
              <w:spacing w:before="40" w:after="40" w:line="240" w:lineRule="auto"/>
              <w:jc w:val="center"/>
              <w:rPr>
                <w:rFonts w:asciiTheme="majorHAnsi" w:hAnsiTheme="majorHAnsi" w:cstheme="majorHAnsi"/>
                <w:b/>
                <w:bCs/>
                <w:color w:val="FFFFFF" w:themeColor="background1"/>
                <w:sz w:val="16"/>
                <w:szCs w:val="16"/>
                <w:lang w:val="lv-LV"/>
              </w:rPr>
            </w:pPr>
          </w:p>
        </w:tc>
        <w:tc>
          <w:tcPr>
            <w:tcW w:w="1247" w:type="dxa"/>
            <w:shd w:val="clear" w:color="auto" w:fill="4472C4" w:themeFill="accent1"/>
            <w:vAlign w:val="center"/>
          </w:tcPr>
          <w:p w14:paraId="620FCA79" w14:textId="77777777" w:rsidR="00262896" w:rsidRPr="00DA424D" w:rsidRDefault="00262896" w:rsidP="0002297E">
            <w:pPr>
              <w:widowControl/>
              <w:spacing w:before="40" w:after="40" w:line="240" w:lineRule="auto"/>
              <w:ind w:right="-85"/>
              <w:jc w:val="center"/>
              <w:rPr>
                <w:rFonts w:asciiTheme="majorHAnsi" w:hAnsiTheme="majorHAnsi" w:cstheme="majorHAnsi"/>
                <w:b/>
                <w:bCs/>
                <w:color w:val="FFFFFF" w:themeColor="background1"/>
                <w:sz w:val="16"/>
                <w:szCs w:val="16"/>
                <w:lang w:val="lv-LV"/>
              </w:rPr>
            </w:pPr>
            <w:r w:rsidRPr="00DA424D">
              <w:rPr>
                <w:rFonts w:asciiTheme="majorHAnsi" w:hAnsiTheme="majorHAnsi" w:cstheme="majorHAnsi"/>
                <w:b/>
                <w:bCs/>
                <w:color w:val="FFFFFF" w:themeColor="background1"/>
                <w:sz w:val="16"/>
                <w:szCs w:val="16"/>
                <w:lang w:val="lv-LV"/>
              </w:rPr>
              <w:t>2010</w:t>
            </w:r>
          </w:p>
        </w:tc>
        <w:tc>
          <w:tcPr>
            <w:tcW w:w="1247" w:type="dxa"/>
            <w:shd w:val="clear" w:color="auto" w:fill="4472C4" w:themeFill="accent1"/>
            <w:vAlign w:val="center"/>
          </w:tcPr>
          <w:p w14:paraId="12D76E82" w14:textId="77777777" w:rsidR="00262896" w:rsidRPr="00DA424D" w:rsidRDefault="00262896" w:rsidP="0002297E">
            <w:pPr>
              <w:widowControl/>
              <w:spacing w:before="40" w:after="40" w:line="240" w:lineRule="auto"/>
              <w:ind w:right="-85"/>
              <w:jc w:val="center"/>
              <w:rPr>
                <w:rFonts w:asciiTheme="majorHAnsi" w:hAnsiTheme="majorHAnsi" w:cstheme="majorHAnsi"/>
                <w:b/>
                <w:bCs/>
                <w:color w:val="FFFFFF" w:themeColor="background1"/>
                <w:sz w:val="16"/>
                <w:szCs w:val="16"/>
                <w:lang w:val="lv-LV"/>
              </w:rPr>
            </w:pPr>
            <w:r w:rsidRPr="00DA424D">
              <w:rPr>
                <w:rFonts w:asciiTheme="majorHAnsi" w:hAnsiTheme="majorHAnsi" w:cstheme="majorHAnsi"/>
                <w:b/>
                <w:bCs/>
                <w:color w:val="FFFFFF" w:themeColor="background1"/>
                <w:sz w:val="16"/>
                <w:szCs w:val="16"/>
                <w:lang w:val="lv-LV"/>
              </w:rPr>
              <w:t>2022</w:t>
            </w:r>
          </w:p>
        </w:tc>
        <w:tc>
          <w:tcPr>
            <w:tcW w:w="1134" w:type="dxa"/>
            <w:shd w:val="clear" w:color="auto" w:fill="4472C4" w:themeFill="accent1"/>
            <w:vAlign w:val="center"/>
          </w:tcPr>
          <w:p w14:paraId="6DB72FF0" w14:textId="77777777" w:rsidR="00262896" w:rsidRPr="00DA424D" w:rsidRDefault="00262896" w:rsidP="0002297E">
            <w:pPr>
              <w:widowControl/>
              <w:spacing w:before="40" w:after="40" w:line="240" w:lineRule="auto"/>
              <w:jc w:val="center"/>
              <w:rPr>
                <w:rFonts w:asciiTheme="majorHAnsi" w:hAnsiTheme="majorHAnsi" w:cstheme="majorHAnsi"/>
                <w:b/>
                <w:bCs/>
                <w:color w:val="FFFFFF" w:themeColor="background1"/>
                <w:sz w:val="16"/>
                <w:szCs w:val="16"/>
                <w:lang w:val="lv-LV"/>
              </w:rPr>
            </w:pPr>
            <w:r w:rsidRPr="00DA424D">
              <w:rPr>
                <w:rFonts w:asciiTheme="majorHAnsi" w:hAnsiTheme="majorHAnsi" w:cstheme="majorHAnsi"/>
                <w:b/>
                <w:bCs/>
                <w:color w:val="FFFFFF" w:themeColor="background1"/>
                <w:sz w:val="16"/>
                <w:szCs w:val="16"/>
                <w:lang w:val="lv-LV"/>
              </w:rPr>
              <w:t>2010</w:t>
            </w:r>
          </w:p>
        </w:tc>
        <w:tc>
          <w:tcPr>
            <w:tcW w:w="1134" w:type="dxa"/>
            <w:shd w:val="clear" w:color="auto" w:fill="4472C4" w:themeFill="accent1"/>
            <w:vAlign w:val="center"/>
          </w:tcPr>
          <w:p w14:paraId="27B70BAA" w14:textId="77777777" w:rsidR="00262896" w:rsidRPr="00DA424D" w:rsidRDefault="00262896" w:rsidP="0002297E">
            <w:pPr>
              <w:widowControl/>
              <w:spacing w:before="40" w:after="40" w:line="240" w:lineRule="auto"/>
              <w:jc w:val="center"/>
              <w:rPr>
                <w:rFonts w:asciiTheme="majorHAnsi" w:hAnsiTheme="majorHAnsi" w:cstheme="majorHAnsi"/>
                <w:b/>
                <w:bCs/>
                <w:color w:val="FFFFFF" w:themeColor="background1"/>
                <w:sz w:val="16"/>
                <w:szCs w:val="16"/>
                <w:lang w:val="lv-LV"/>
              </w:rPr>
            </w:pPr>
            <w:r w:rsidRPr="00DA424D">
              <w:rPr>
                <w:rFonts w:asciiTheme="majorHAnsi" w:hAnsiTheme="majorHAnsi" w:cstheme="majorHAnsi"/>
                <w:b/>
                <w:bCs/>
                <w:color w:val="FFFFFF" w:themeColor="background1"/>
                <w:sz w:val="16"/>
                <w:szCs w:val="16"/>
                <w:lang w:val="lv-LV"/>
              </w:rPr>
              <w:t>2022</w:t>
            </w:r>
          </w:p>
        </w:tc>
        <w:tc>
          <w:tcPr>
            <w:tcW w:w="1134" w:type="dxa"/>
            <w:shd w:val="clear" w:color="auto" w:fill="4472C4" w:themeFill="accent1"/>
            <w:vAlign w:val="center"/>
          </w:tcPr>
          <w:p w14:paraId="34474DCD" w14:textId="77777777" w:rsidR="00262896" w:rsidRPr="00DA424D" w:rsidRDefault="00262896" w:rsidP="0002297E">
            <w:pPr>
              <w:widowControl/>
              <w:spacing w:before="40" w:after="40" w:line="240" w:lineRule="auto"/>
              <w:ind w:right="-85"/>
              <w:jc w:val="center"/>
              <w:rPr>
                <w:rFonts w:asciiTheme="majorHAnsi" w:hAnsiTheme="majorHAnsi" w:cstheme="majorHAnsi"/>
                <w:b/>
                <w:bCs/>
                <w:color w:val="FFFFFF" w:themeColor="background1"/>
                <w:sz w:val="16"/>
                <w:szCs w:val="16"/>
                <w:lang w:val="lv-LV"/>
              </w:rPr>
            </w:pPr>
            <w:r w:rsidRPr="00DA424D">
              <w:rPr>
                <w:rFonts w:asciiTheme="majorHAnsi" w:hAnsiTheme="majorHAnsi" w:cstheme="majorHAnsi"/>
                <w:b/>
                <w:bCs/>
                <w:color w:val="FFFFFF" w:themeColor="background1"/>
                <w:sz w:val="16"/>
                <w:szCs w:val="16"/>
                <w:lang w:val="lv-LV"/>
              </w:rPr>
              <w:t>2010-2022</w:t>
            </w:r>
          </w:p>
        </w:tc>
        <w:tc>
          <w:tcPr>
            <w:tcW w:w="1134" w:type="dxa"/>
            <w:shd w:val="clear" w:color="auto" w:fill="4472C4" w:themeFill="accent1"/>
            <w:vAlign w:val="center"/>
          </w:tcPr>
          <w:p w14:paraId="2E809188" w14:textId="77777777" w:rsidR="00262896" w:rsidRPr="00DA424D" w:rsidRDefault="00262896" w:rsidP="0002297E">
            <w:pPr>
              <w:widowControl/>
              <w:spacing w:before="40" w:after="40" w:line="240" w:lineRule="auto"/>
              <w:ind w:right="-85"/>
              <w:jc w:val="center"/>
              <w:rPr>
                <w:rFonts w:asciiTheme="majorHAnsi" w:hAnsiTheme="majorHAnsi" w:cstheme="majorHAnsi"/>
                <w:b/>
                <w:bCs/>
                <w:color w:val="FFFFFF" w:themeColor="background1"/>
                <w:sz w:val="16"/>
                <w:szCs w:val="16"/>
                <w:lang w:val="lv-LV"/>
              </w:rPr>
            </w:pPr>
          </w:p>
        </w:tc>
      </w:tr>
      <w:tr w:rsidR="00262896" w:rsidRPr="00DA424D" w14:paraId="146DDDA8" w14:textId="77777777" w:rsidTr="0002297E">
        <w:trPr>
          <w:jc w:val="center"/>
        </w:trPr>
        <w:tc>
          <w:tcPr>
            <w:tcW w:w="2608" w:type="dxa"/>
            <w:shd w:val="clear" w:color="auto" w:fill="D9E2F3" w:themeFill="accent1" w:themeFillTint="33"/>
            <w:vAlign w:val="center"/>
          </w:tcPr>
          <w:p w14:paraId="0120539E" w14:textId="77777777" w:rsidR="00262896" w:rsidRPr="00DA424D" w:rsidRDefault="00262896" w:rsidP="0002297E">
            <w:pPr>
              <w:widowControl/>
              <w:spacing w:before="40" w:after="40" w:line="240" w:lineRule="auto"/>
              <w:rPr>
                <w:rFonts w:asciiTheme="majorHAnsi" w:hAnsiTheme="majorHAnsi" w:cstheme="majorHAnsi"/>
                <w:b/>
                <w:bCs/>
                <w:sz w:val="16"/>
                <w:szCs w:val="16"/>
                <w:lang w:val="lv-LV"/>
              </w:rPr>
            </w:pPr>
            <w:r w:rsidRPr="00DA424D">
              <w:rPr>
                <w:rFonts w:asciiTheme="majorHAnsi" w:hAnsiTheme="majorHAnsi" w:cstheme="majorHAnsi"/>
                <w:b/>
                <w:bCs/>
                <w:sz w:val="16"/>
                <w:szCs w:val="16"/>
                <w:lang w:val="lv-LV"/>
              </w:rPr>
              <w:t>Kopā</w:t>
            </w:r>
          </w:p>
        </w:tc>
        <w:tc>
          <w:tcPr>
            <w:tcW w:w="1247" w:type="dxa"/>
            <w:shd w:val="clear" w:color="auto" w:fill="D9E2F3" w:themeFill="accent1" w:themeFillTint="33"/>
            <w:vAlign w:val="center"/>
          </w:tcPr>
          <w:p w14:paraId="503474FE" w14:textId="77777777" w:rsidR="00262896" w:rsidRPr="00DA424D" w:rsidRDefault="00262896" w:rsidP="0002297E">
            <w:pPr>
              <w:widowControl/>
              <w:spacing w:before="40" w:after="40" w:line="240" w:lineRule="auto"/>
              <w:jc w:val="center"/>
              <w:rPr>
                <w:rFonts w:asciiTheme="majorHAnsi" w:hAnsiTheme="majorHAnsi" w:cstheme="majorHAnsi"/>
                <w:b/>
                <w:bCs/>
                <w:sz w:val="16"/>
                <w:szCs w:val="16"/>
                <w:lang w:val="lv-LV"/>
              </w:rPr>
            </w:pPr>
            <w:r w:rsidRPr="00DA424D">
              <w:rPr>
                <w:rFonts w:asciiTheme="majorHAnsi" w:hAnsiTheme="majorHAnsi" w:cstheme="majorHAnsi"/>
                <w:b/>
                <w:bCs/>
                <w:sz w:val="16"/>
                <w:szCs w:val="16"/>
                <w:lang w:val="lv-LV"/>
              </w:rPr>
              <w:t>13580,0</w:t>
            </w:r>
          </w:p>
        </w:tc>
        <w:tc>
          <w:tcPr>
            <w:tcW w:w="1247" w:type="dxa"/>
            <w:shd w:val="clear" w:color="auto" w:fill="D9E2F3" w:themeFill="accent1" w:themeFillTint="33"/>
            <w:vAlign w:val="center"/>
          </w:tcPr>
          <w:p w14:paraId="07790EA4" w14:textId="77777777" w:rsidR="00262896" w:rsidRPr="00DA424D" w:rsidRDefault="00262896" w:rsidP="0002297E">
            <w:pPr>
              <w:widowControl/>
              <w:spacing w:before="40" w:after="40" w:line="240" w:lineRule="auto"/>
              <w:jc w:val="center"/>
              <w:rPr>
                <w:rFonts w:asciiTheme="majorHAnsi" w:hAnsiTheme="majorHAnsi" w:cstheme="majorHAnsi"/>
                <w:b/>
                <w:bCs/>
                <w:sz w:val="16"/>
                <w:szCs w:val="16"/>
                <w:lang w:val="lv-LV"/>
              </w:rPr>
            </w:pPr>
            <w:r w:rsidRPr="00DA424D">
              <w:rPr>
                <w:rFonts w:asciiTheme="majorHAnsi" w:hAnsiTheme="majorHAnsi" w:cstheme="majorHAnsi"/>
                <w:b/>
                <w:bCs/>
                <w:sz w:val="16"/>
                <w:szCs w:val="16"/>
                <w:lang w:val="lv-LV"/>
              </w:rPr>
              <w:t>11979,2</w:t>
            </w:r>
          </w:p>
        </w:tc>
        <w:tc>
          <w:tcPr>
            <w:tcW w:w="1134" w:type="dxa"/>
            <w:shd w:val="clear" w:color="auto" w:fill="D9E2F3" w:themeFill="accent1" w:themeFillTint="33"/>
          </w:tcPr>
          <w:p w14:paraId="4A336AC4" w14:textId="77777777" w:rsidR="00262896" w:rsidRPr="00DA424D" w:rsidRDefault="00262896" w:rsidP="0002297E">
            <w:pPr>
              <w:widowControl/>
              <w:spacing w:before="40" w:after="40" w:line="240" w:lineRule="auto"/>
              <w:jc w:val="center"/>
              <w:rPr>
                <w:rFonts w:asciiTheme="majorHAnsi" w:hAnsiTheme="majorHAnsi" w:cstheme="majorHAnsi"/>
                <w:b/>
                <w:bCs/>
                <w:sz w:val="16"/>
                <w:szCs w:val="16"/>
                <w:lang w:val="lv-LV"/>
              </w:rPr>
            </w:pPr>
            <w:r w:rsidRPr="00DA424D">
              <w:rPr>
                <w:rFonts w:asciiTheme="majorHAnsi" w:hAnsiTheme="majorHAnsi" w:cstheme="majorHAnsi"/>
                <w:b/>
                <w:bCs/>
                <w:sz w:val="16"/>
                <w:szCs w:val="16"/>
                <w:lang w:val="lv-LV"/>
              </w:rPr>
              <w:t>100</w:t>
            </w:r>
          </w:p>
        </w:tc>
        <w:tc>
          <w:tcPr>
            <w:tcW w:w="1134" w:type="dxa"/>
            <w:shd w:val="clear" w:color="auto" w:fill="D9E2F3" w:themeFill="accent1" w:themeFillTint="33"/>
          </w:tcPr>
          <w:p w14:paraId="3193BC18" w14:textId="77777777" w:rsidR="00262896" w:rsidRPr="00DA424D" w:rsidRDefault="00262896" w:rsidP="0002297E">
            <w:pPr>
              <w:widowControl/>
              <w:spacing w:before="40" w:after="40" w:line="240" w:lineRule="auto"/>
              <w:jc w:val="center"/>
              <w:rPr>
                <w:rFonts w:asciiTheme="majorHAnsi" w:hAnsiTheme="majorHAnsi" w:cstheme="majorHAnsi"/>
                <w:b/>
                <w:bCs/>
                <w:sz w:val="16"/>
                <w:szCs w:val="16"/>
                <w:lang w:val="lv-LV"/>
              </w:rPr>
            </w:pPr>
          </w:p>
        </w:tc>
        <w:tc>
          <w:tcPr>
            <w:tcW w:w="1134" w:type="dxa"/>
            <w:shd w:val="clear" w:color="auto" w:fill="D9E2F3" w:themeFill="accent1" w:themeFillTint="33"/>
          </w:tcPr>
          <w:p w14:paraId="0BA3A4DC" w14:textId="77777777" w:rsidR="00262896" w:rsidRPr="00DA424D" w:rsidRDefault="00262896" w:rsidP="0002297E">
            <w:pPr>
              <w:widowControl/>
              <w:spacing w:before="40" w:after="40" w:line="240" w:lineRule="auto"/>
              <w:jc w:val="center"/>
              <w:rPr>
                <w:rFonts w:asciiTheme="majorHAnsi" w:hAnsiTheme="majorHAnsi" w:cstheme="majorHAnsi"/>
                <w:b/>
                <w:bCs/>
                <w:sz w:val="16"/>
                <w:szCs w:val="16"/>
                <w:lang w:val="lv-LV"/>
              </w:rPr>
            </w:pPr>
            <w:r w:rsidRPr="00DA424D">
              <w:rPr>
                <w:rFonts w:asciiTheme="majorHAnsi" w:hAnsiTheme="majorHAnsi" w:cstheme="majorHAnsi"/>
                <w:b/>
                <w:bCs/>
                <w:sz w:val="16"/>
                <w:szCs w:val="16"/>
                <w:lang w:val="lv-LV"/>
              </w:rPr>
              <w:t>-2002,4</w:t>
            </w:r>
          </w:p>
        </w:tc>
        <w:tc>
          <w:tcPr>
            <w:tcW w:w="1134" w:type="dxa"/>
            <w:shd w:val="clear" w:color="auto" w:fill="D9E2F3" w:themeFill="accent1" w:themeFillTint="33"/>
          </w:tcPr>
          <w:p w14:paraId="1FF851FB" w14:textId="77777777" w:rsidR="00262896" w:rsidRPr="00DA424D" w:rsidRDefault="00262896" w:rsidP="0002297E">
            <w:pPr>
              <w:widowControl/>
              <w:spacing w:before="40" w:after="40" w:line="240" w:lineRule="auto"/>
              <w:jc w:val="center"/>
              <w:rPr>
                <w:rFonts w:asciiTheme="majorHAnsi" w:hAnsiTheme="majorHAnsi" w:cstheme="majorHAnsi"/>
                <w:b/>
                <w:bCs/>
                <w:sz w:val="16"/>
                <w:szCs w:val="16"/>
                <w:lang w:val="lv-LV"/>
              </w:rPr>
            </w:pPr>
            <w:r w:rsidRPr="00DA424D">
              <w:rPr>
                <w:rFonts w:asciiTheme="majorHAnsi" w:hAnsiTheme="majorHAnsi" w:cstheme="majorHAnsi"/>
                <w:b/>
                <w:bCs/>
                <w:sz w:val="16"/>
                <w:szCs w:val="16"/>
                <w:lang w:val="lv-LV"/>
              </w:rPr>
              <w:t>-14,7</w:t>
            </w:r>
          </w:p>
        </w:tc>
      </w:tr>
      <w:tr w:rsidR="00262896" w:rsidRPr="00674542" w14:paraId="68C9EF61" w14:textId="77777777" w:rsidTr="0002297E">
        <w:trPr>
          <w:jc w:val="center"/>
        </w:trPr>
        <w:tc>
          <w:tcPr>
            <w:tcW w:w="2608" w:type="dxa"/>
            <w:shd w:val="clear" w:color="auto" w:fill="B4C6E7" w:themeFill="accent1" w:themeFillTint="66"/>
          </w:tcPr>
          <w:p w14:paraId="55DD36D8" w14:textId="77777777" w:rsidR="00262896" w:rsidRPr="00674542" w:rsidRDefault="00262896" w:rsidP="0002297E">
            <w:pPr>
              <w:widowControl/>
              <w:spacing w:before="40" w:after="40" w:line="240" w:lineRule="auto"/>
              <w:rPr>
                <w:rFonts w:asciiTheme="majorHAnsi" w:hAnsiTheme="majorHAnsi" w:cstheme="majorHAnsi"/>
                <w:sz w:val="16"/>
                <w:szCs w:val="16"/>
                <w:lang w:val="lv-LV"/>
              </w:rPr>
            </w:pPr>
            <w:r w:rsidRPr="00DA424D">
              <w:rPr>
                <w:rFonts w:asciiTheme="majorHAnsi" w:hAnsiTheme="majorHAnsi" w:cstheme="majorHAnsi"/>
                <w:sz w:val="16"/>
                <w:szCs w:val="16"/>
                <w:lang w:val="lv-LV"/>
              </w:rPr>
              <w:t>Tautsaimniecības nozares</w:t>
            </w:r>
          </w:p>
        </w:tc>
        <w:tc>
          <w:tcPr>
            <w:tcW w:w="1247" w:type="dxa"/>
            <w:shd w:val="clear" w:color="auto" w:fill="B4C6E7" w:themeFill="accent1" w:themeFillTint="66"/>
          </w:tcPr>
          <w:p w14:paraId="228DDAE1" w14:textId="77777777" w:rsidR="00262896" w:rsidRPr="00DA424D" w:rsidRDefault="00262896" w:rsidP="0002297E">
            <w:pPr>
              <w:widowControl/>
              <w:spacing w:before="40" w:after="40" w:line="240" w:lineRule="auto"/>
              <w:jc w:val="center"/>
              <w:rPr>
                <w:rFonts w:asciiTheme="majorHAnsi" w:hAnsiTheme="majorHAnsi" w:cstheme="majorHAnsi"/>
                <w:sz w:val="16"/>
                <w:szCs w:val="16"/>
                <w:lang w:val="lv-LV"/>
              </w:rPr>
            </w:pPr>
            <w:r w:rsidRPr="00DA424D">
              <w:rPr>
                <w:rFonts w:asciiTheme="majorHAnsi" w:hAnsiTheme="majorHAnsi" w:cstheme="majorHAnsi"/>
                <w:sz w:val="16"/>
                <w:szCs w:val="16"/>
                <w:lang w:val="lv-LV"/>
              </w:rPr>
              <w:t>11 420,2</w:t>
            </w:r>
          </w:p>
        </w:tc>
        <w:tc>
          <w:tcPr>
            <w:tcW w:w="1247" w:type="dxa"/>
            <w:shd w:val="clear" w:color="auto" w:fill="B4C6E7" w:themeFill="accent1" w:themeFillTint="66"/>
          </w:tcPr>
          <w:p w14:paraId="3712BE7C" w14:textId="77777777" w:rsidR="00262896" w:rsidRPr="00DA424D" w:rsidRDefault="00262896" w:rsidP="0002297E">
            <w:pPr>
              <w:widowControl/>
              <w:spacing w:before="40" w:after="40" w:line="240" w:lineRule="auto"/>
              <w:jc w:val="center"/>
              <w:rPr>
                <w:rFonts w:asciiTheme="majorHAnsi" w:hAnsiTheme="majorHAnsi" w:cstheme="majorHAnsi"/>
                <w:sz w:val="16"/>
                <w:szCs w:val="16"/>
                <w:lang w:val="lv-LV"/>
              </w:rPr>
            </w:pPr>
            <w:r w:rsidRPr="00DA424D">
              <w:rPr>
                <w:rFonts w:asciiTheme="majorHAnsi" w:hAnsiTheme="majorHAnsi" w:cstheme="majorHAnsi"/>
                <w:sz w:val="16"/>
                <w:szCs w:val="16"/>
                <w:lang w:val="lv-LV"/>
              </w:rPr>
              <w:t>9 290,5</w:t>
            </w:r>
          </w:p>
        </w:tc>
        <w:tc>
          <w:tcPr>
            <w:tcW w:w="1134" w:type="dxa"/>
            <w:shd w:val="clear" w:color="auto" w:fill="B4C6E7" w:themeFill="accent1" w:themeFillTint="66"/>
          </w:tcPr>
          <w:p w14:paraId="65225F3B" w14:textId="77777777" w:rsidR="00262896" w:rsidRPr="00DA424D" w:rsidRDefault="00262896" w:rsidP="0002297E">
            <w:pPr>
              <w:widowControl/>
              <w:spacing w:before="40" w:after="40" w:line="240" w:lineRule="auto"/>
              <w:jc w:val="center"/>
              <w:rPr>
                <w:rFonts w:asciiTheme="majorHAnsi" w:hAnsiTheme="majorHAnsi" w:cstheme="majorHAnsi"/>
                <w:sz w:val="16"/>
                <w:szCs w:val="16"/>
                <w:lang w:val="lv-LV"/>
              </w:rPr>
            </w:pPr>
            <w:r w:rsidRPr="00DA424D">
              <w:rPr>
                <w:rFonts w:asciiTheme="majorHAnsi" w:hAnsiTheme="majorHAnsi" w:cstheme="majorHAnsi"/>
                <w:sz w:val="16"/>
                <w:szCs w:val="16"/>
                <w:lang w:val="lv-LV"/>
              </w:rPr>
              <w:t>84,1</w:t>
            </w:r>
          </w:p>
        </w:tc>
        <w:tc>
          <w:tcPr>
            <w:tcW w:w="1134" w:type="dxa"/>
            <w:shd w:val="clear" w:color="auto" w:fill="B4C6E7" w:themeFill="accent1" w:themeFillTint="66"/>
          </w:tcPr>
          <w:p w14:paraId="72AC3F82" w14:textId="77777777" w:rsidR="00262896" w:rsidRPr="00DA424D" w:rsidRDefault="00262896" w:rsidP="0002297E">
            <w:pPr>
              <w:widowControl/>
              <w:spacing w:before="40" w:after="40" w:line="240" w:lineRule="auto"/>
              <w:jc w:val="center"/>
              <w:rPr>
                <w:rFonts w:asciiTheme="majorHAnsi" w:hAnsiTheme="majorHAnsi" w:cstheme="majorHAnsi"/>
                <w:sz w:val="16"/>
                <w:szCs w:val="16"/>
                <w:lang w:val="lv-LV"/>
              </w:rPr>
            </w:pPr>
            <w:r w:rsidRPr="00DA424D">
              <w:rPr>
                <w:rFonts w:asciiTheme="majorHAnsi" w:hAnsiTheme="majorHAnsi" w:cstheme="majorHAnsi"/>
                <w:sz w:val="16"/>
                <w:szCs w:val="16"/>
                <w:lang w:val="lv-LV"/>
              </w:rPr>
              <w:t>80,2</w:t>
            </w:r>
          </w:p>
        </w:tc>
        <w:tc>
          <w:tcPr>
            <w:tcW w:w="1134" w:type="dxa"/>
            <w:shd w:val="clear" w:color="auto" w:fill="B4C6E7" w:themeFill="accent1" w:themeFillTint="66"/>
          </w:tcPr>
          <w:p w14:paraId="550D5FB4" w14:textId="77777777" w:rsidR="00262896" w:rsidRPr="00DA424D" w:rsidRDefault="00262896" w:rsidP="0002297E">
            <w:pPr>
              <w:widowControl/>
              <w:spacing w:before="40" w:after="40" w:line="240" w:lineRule="auto"/>
              <w:jc w:val="center"/>
              <w:rPr>
                <w:rFonts w:asciiTheme="majorHAnsi" w:hAnsiTheme="majorHAnsi" w:cstheme="majorHAnsi"/>
                <w:sz w:val="16"/>
                <w:szCs w:val="16"/>
                <w:lang w:val="lv-LV"/>
              </w:rPr>
            </w:pPr>
            <w:r w:rsidRPr="00DA424D">
              <w:rPr>
                <w:rFonts w:asciiTheme="majorHAnsi" w:hAnsiTheme="majorHAnsi" w:cstheme="majorHAnsi"/>
                <w:sz w:val="16"/>
                <w:szCs w:val="16"/>
                <w:lang w:val="lv-LV"/>
              </w:rPr>
              <w:t>-2129,7</w:t>
            </w:r>
          </w:p>
        </w:tc>
        <w:tc>
          <w:tcPr>
            <w:tcW w:w="1134" w:type="dxa"/>
            <w:shd w:val="clear" w:color="auto" w:fill="B4C6E7" w:themeFill="accent1" w:themeFillTint="66"/>
          </w:tcPr>
          <w:p w14:paraId="7D1D516E" w14:textId="77777777" w:rsidR="00262896" w:rsidRPr="00DA424D" w:rsidRDefault="00262896" w:rsidP="0002297E">
            <w:pPr>
              <w:widowControl/>
              <w:spacing w:before="40" w:after="40" w:line="240" w:lineRule="auto"/>
              <w:jc w:val="center"/>
              <w:rPr>
                <w:rFonts w:asciiTheme="majorHAnsi" w:hAnsiTheme="majorHAnsi" w:cstheme="majorHAnsi"/>
                <w:sz w:val="16"/>
                <w:szCs w:val="16"/>
                <w:lang w:val="lv-LV"/>
              </w:rPr>
            </w:pPr>
            <w:r w:rsidRPr="00DA424D">
              <w:rPr>
                <w:rFonts w:asciiTheme="majorHAnsi" w:hAnsiTheme="majorHAnsi" w:cstheme="majorHAnsi"/>
                <w:sz w:val="16"/>
                <w:szCs w:val="16"/>
                <w:lang w:val="lv-LV"/>
              </w:rPr>
              <w:t>-18,6</w:t>
            </w:r>
          </w:p>
        </w:tc>
      </w:tr>
      <w:tr w:rsidR="00262896" w:rsidRPr="00674542" w14:paraId="5399B2E7" w14:textId="77777777" w:rsidTr="0002297E">
        <w:trPr>
          <w:jc w:val="center"/>
        </w:trPr>
        <w:tc>
          <w:tcPr>
            <w:tcW w:w="2608" w:type="dxa"/>
            <w:shd w:val="clear" w:color="auto" w:fill="D9E2F3" w:themeFill="accent1" w:themeFillTint="33"/>
          </w:tcPr>
          <w:p w14:paraId="25F15759" w14:textId="77777777" w:rsidR="00262896" w:rsidRPr="00674542" w:rsidRDefault="00262896" w:rsidP="0002297E">
            <w:pPr>
              <w:widowControl/>
              <w:spacing w:before="40" w:after="40" w:line="240" w:lineRule="auto"/>
              <w:rPr>
                <w:rFonts w:asciiTheme="majorHAnsi" w:hAnsiTheme="majorHAnsi" w:cstheme="majorHAnsi"/>
                <w:sz w:val="16"/>
                <w:szCs w:val="16"/>
                <w:lang w:val="lv-LV"/>
              </w:rPr>
            </w:pPr>
            <w:r w:rsidRPr="00DA424D">
              <w:rPr>
                <w:rFonts w:asciiTheme="majorHAnsi" w:hAnsiTheme="majorHAnsi" w:cstheme="majorHAnsi"/>
                <w:sz w:val="16"/>
                <w:szCs w:val="16"/>
                <w:lang w:val="lv-LV"/>
              </w:rPr>
              <w:t>Mājsaimniecības darbības</w:t>
            </w:r>
          </w:p>
        </w:tc>
        <w:tc>
          <w:tcPr>
            <w:tcW w:w="1247" w:type="dxa"/>
            <w:shd w:val="clear" w:color="auto" w:fill="D9E2F3" w:themeFill="accent1" w:themeFillTint="33"/>
            <w:vAlign w:val="bottom"/>
          </w:tcPr>
          <w:p w14:paraId="36B0B585" w14:textId="77777777" w:rsidR="00262896" w:rsidRPr="00DA424D" w:rsidRDefault="00262896" w:rsidP="0002297E">
            <w:pPr>
              <w:widowControl/>
              <w:spacing w:before="40" w:after="40" w:line="240" w:lineRule="auto"/>
              <w:jc w:val="center"/>
              <w:rPr>
                <w:rFonts w:asciiTheme="majorHAnsi" w:hAnsiTheme="majorHAnsi" w:cstheme="majorHAnsi"/>
                <w:sz w:val="16"/>
                <w:szCs w:val="16"/>
                <w:lang w:val="lv-LV"/>
              </w:rPr>
            </w:pPr>
            <w:r w:rsidRPr="00DA424D">
              <w:rPr>
                <w:rFonts w:asciiTheme="majorHAnsi" w:hAnsiTheme="majorHAnsi" w:cstheme="majorHAnsi"/>
                <w:sz w:val="16"/>
                <w:szCs w:val="16"/>
                <w:lang w:val="lv-LV"/>
              </w:rPr>
              <w:t>2 159,8</w:t>
            </w:r>
          </w:p>
        </w:tc>
        <w:tc>
          <w:tcPr>
            <w:tcW w:w="1247" w:type="dxa"/>
            <w:shd w:val="clear" w:color="auto" w:fill="D9E2F3" w:themeFill="accent1" w:themeFillTint="33"/>
            <w:vAlign w:val="bottom"/>
          </w:tcPr>
          <w:p w14:paraId="34306E08" w14:textId="77777777" w:rsidR="00262896" w:rsidRPr="00DA424D" w:rsidRDefault="00262896" w:rsidP="0002297E">
            <w:pPr>
              <w:widowControl/>
              <w:spacing w:before="40" w:after="40" w:line="240" w:lineRule="auto"/>
              <w:jc w:val="center"/>
              <w:rPr>
                <w:rFonts w:asciiTheme="majorHAnsi" w:hAnsiTheme="majorHAnsi" w:cstheme="majorHAnsi"/>
                <w:sz w:val="16"/>
                <w:szCs w:val="16"/>
                <w:lang w:val="lv-LV"/>
              </w:rPr>
            </w:pPr>
            <w:r w:rsidRPr="00DA424D">
              <w:rPr>
                <w:rFonts w:asciiTheme="majorHAnsi" w:hAnsiTheme="majorHAnsi" w:cstheme="majorHAnsi"/>
                <w:sz w:val="16"/>
                <w:szCs w:val="16"/>
                <w:lang w:val="lv-LV"/>
              </w:rPr>
              <w:t>2 287,1</w:t>
            </w:r>
          </w:p>
        </w:tc>
        <w:tc>
          <w:tcPr>
            <w:tcW w:w="1134" w:type="dxa"/>
            <w:shd w:val="clear" w:color="auto" w:fill="D9E2F3" w:themeFill="accent1" w:themeFillTint="33"/>
            <w:vAlign w:val="bottom"/>
          </w:tcPr>
          <w:p w14:paraId="40FA0405" w14:textId="77777777" w:rsidR="00262896" w:rsidRPr="00DA424D" w:rsidRDefault="00262896" w:rsidP="0002297E">
            <w:pPr>
              <w:widowControl/>
              <w:spacing w:before="40" w:after="40" w:line="240" w:lineRule="auto"/>
              <w:jc w:val="center"/>
              <w:rPr>
                <w:rFonts w:asciiTheme="majorHAnsi" w:hAnsiTheme="majorHAnsi" w:cstheme="majorHAnsi"/>
                <w:sz w:val="16"/>
                <w:szCs w:val="16"/>
                <w:lang w:val="lv-LV"/>
              </w:rPr>
            </w:pPr>
            <w:r w:rsidRPr="00DA424D">
              <w:rPr>
                <w:rFonts w:asciiTheme="majorHAnsi" w:hAnsiTheme="majorHAnsi" w:cstheme="majorHAnsi"/>
                <w:sz w:val="16"/>
                <w:szCs w:val="16"/>
                <w:lang w:val="lv-LV"/>
              </w:rPr>
              <w:t>15,9</w:t>
            </w:r>
          </w:p>
        </w:tc>
        <w:tc>
          <w:tcPr>
            <w:tcW w:w="1134" w:type="dxa"/>
            <w:shd w:val="clear" w:color="auto" w:fill="D9E2F3" w:themeFill="accent1" w:themeFillTint="33"/>
            <w:vAlign w:val="bottom"/>
          </w:tcPr>
          <w:p w14:paraId="527908DC" w14:textId="77777777" w:rsidR="00262896" w:rsidRPr="00DA424D" w:rsidRDefault="00262896" w:rsidP="0002297E">
            <w:pPr>
              <w:widowControl/>
              <w:spacing w:before="40" w:after="40" w:line="240" w:lineRule="auto"/>
              <w:jc w:val="center"/>
              <w:rPr>
                <w:rFonts w:asciiTheme="majorHAnsi" w:hAnsiTheme="majorHAnsi" w:cstheme="majorHAnsi"/>
                <w:sz w:val="16"/>
                <w:szCs w:val="16"/>
                <w:lang w:val="lv-LV"/>
              </w:rPr>
            </w:pPr>
            <w:r w:rsidRPr="00DA424D">
              <w:rPr>
                <w:rFonts w:asciiTheme="majorHAnsi" w:hAnsiTheme="majorHAnsi" w:cstheme="majorHAnsi"/>
                <w:sz w:val="16"/>
                <w:szCs w:val="16"/>
                <w:lang w:val="lv-LV"/>
              </w:rPr>
              <w:t>19,8</w:t>
            </w:r>
          </w:p>
        </w:tc>
        <w:tc>
          <w:tcPr>
            <w:tcW w:w="1134" w:type="dxa"/>
            <w:shd w:val="clear" w:color="auto" w:fill="D9E2F3" w:themeFill="accent1" w:themeFillTint="33"/>
            <w:vAlign w:val="bottom"/>
          </w:tcPr>
          <w:p w14:paraId="0855BFFC" w14:textId="77777777" w:rsidR="00262896" w:rsidRPr="00DA424D" w:rsidRDefault="00262896" w:rsidP="0002297E">
            <w:pPr>
              <w:widowControl/>
              <w:spacing w:before="40" w:after="40" w:line="240" w:lineRule="auto"/>
              <w:jc w:val="center"/>
              <w:rPr>
                <w:rFonts w:asciiTheme="majorHAnsi" w:hAnsiTheme="majorHAnsi" w:cstheme="majorHAnsi"/>
                <w:sz w:val="16"/>
                <w:szCs w:val="16"/>
                <w:lang w:val="lv-LV"/>
              </w:rPr>
            </w:pPr>
            <w:r w:rsidRPr="00DA424D">
              <w:rPr>
                <w:rFonts w:asciiTheme="majorHAnsi" w:hAnsiTheme="majorHAnsi" w:cstheme="majorHAnsi"/>
                <w:sz w:val="16"/>
                <w:szCs w:val="16"/>
                <w:lang w:val="lv-LV"/>
              </w:rPr>
              <w:t>127,3</w:t>
            </w:r>
          </w:p>
        </w:tc>
        <w:tc>
          <w:tcPr>
            <w:tcW w:w="1134" w:type="dxa"/>
            <w:shd w:val="clear" w:color="auto" w:fill="D9E2F3" w:themeFill="accent1" w:themeFillTint="33"/>
            <w:vAlign w:val="bottom"/>
          </w:tcPr>
          <w:p w14:paraId="5CB2D4C7" w14:textId="77777777" w:rsidR="00262896" w:rsidRPr="00DA424D" w:rsidRDefault="00262896" w:rsidP="0002297E">
            <w:pPr>
              <w:widowControl/>
              <w:spacing w:before="40" w:after="40" w:line="240" w:lineRule="auto"/>
              <w:jc w:val="center"/>
              <w:rPr>
                <w:rFonts w:asciiTheme="majorHAnsi" w:hAnsiTheme="majorHAnsi" w:cstheme="majorHAnsi"/>
                <w:sz w:val="16"/>
                <w:szCs w:val="16"/>
                <w:lang w:val="lv-LV"/>
              </w:rPr>
            </w:pPr>
            <w:r w:rsidRPr="00DA424D">
              <w:rPr>
                <w:rFonts w:asciiTheme="majorHAnsi" w:hAnsiTheme="majorHAnsi" w:cstheme="majorHAnsi"/>
                <w:sz w:val="16"/>
                <w:szCs w:val="16"/>
                <w:lang w:val="lv-LV"/>
              </w:rPr>
              <w:t>5,9</w:t>
            </w:r>
          </w:p>
        </w:tc>
      </w:tr>
      <w:tr w:rsidR="00262896" w:rsidRPr="00674542" w14:paraId="14322792" w14:textId="77777777" w:rsidTr="0002297E">
        <w:trPr>
          <w:jc w:val="center"/>
        </w:trPr>
        <w:tc>
          <w:tcPr>
            <w:tcW w:w="2608" w:type="dxa"/>
            <w:shd w:val="clear" w:color="auto" w:fill="B4C6E7" w:themeFill="accent1" w:themeFillTint="66"/>
          </w:tcPr>
          <w:p w14:paraId="4A71353D" w14:textId="77777777" w:rsidR="00262896" w:rsidRPr="00674542" w:rsidRDefault="00262896" w:rsidP="0002297E">
            <w:pPr>
              <w:widowControl/>
              <w:spacing w:before="40" w:after="40" w:line="240" w:lineRule="auto"/>
              <w:rPr>
                <w:rFonts w:asciiTheme="majorHAnsi" w:hAnsiTheme="majorHAnsi" w:cstheme="majorHAnsi"/>
                <w:sz w:val="16"/>
                <w:szCs w:val="16"/>
                <w:lang w:val="lv-LV"/>
              </w:rPr>
            </w:pPr>
            <w:r w:rsidRPr="00DA424D">
              <w:rPr>
                <w:rFonts w:asciiTheme="majorHAnsi" w:hAnsiTheme="majorHAnsi" w:cstheme="majorHAnsi"/>
                <w:sz w:val="16"/>
                <w:szCs w:val="16"/>
                <w:lang w:val="lv-LV"/>
              </w:rPr>
              <w:t>Mājsaimniecību veiktās apkures/dzesēšanas darbības</w:t>
            </w:r>
          </w:p>
        </w:tc>
        <w:tc>
          <w:tcPr>
            <w:tcW w:w="1247" w:type="dxa"/>
            <w:shd w:val="clear" w:color="auto" w:fill="B4C6E7" w:themeFill="accent1" w:themeFillTint="66"/>
            <w:vAlign w:val="bottom"/>
          </w:tcPr>
          <w:p w14:paraId="74143F85" w14:textId="77777777" w:rsidR="00262896" w:rsidRPr="00DA424D" w:rsidRDefault="00262896" w:rsidP="0002297E">
            <w:pPr>
              <w:widowControl/>
              <w:spacing w:before="40" w:after="40" w:line="240" w:lineRule="auto"/>
              <w:jc w:val="center"/>
              <w:rPr>
                <w:rFonts w:asciiTheme="majorHAnsi" w:hAnsiTheme="majorHAnsi" w:cstheme="majorHAnsi"/>
                <w:sz w:val="16"/>
                <w:szCs w:val="16"/>
                <w:lang w:val="lv-LV"/>
              </w:rPr>
            </w:pPr>
            <w:r w:rsidRPr="00DA424D">
              <w:rPr>
                <w:rFonts w:asciiTheme="majorHAnsi" w:hAnsiTheme="majorHAnsi" w:cstheme="majorHAnsi"/>
                <w:sz w:val="16"/>
                <w:szCs w:val="16"/>
                <w:lang w:val="lv-LV"/>
              </w:rPr>
              <w:t>737,9</w:t>
            </w:r>
          </w:p>
        </w:tc>
        <w:tc>
          <w:tcPr>
            <w:tcW w:w="1247" w:type="dxa"/>
            <w:shd w:val="clear" w:color="auto" w:fill="B4C6E7" w:themeFill="accent1" w:themeFillTint="66"/>
            <w:vAlign w:val="bottom"/>
          </w:tcPr>
          <w:p w14:paraId="47D5D3C4" w14:textId="77777777" w:rsidR="00262896" w:rsidRPr="00DA424D" w:rsidRDefault="00262896" w:rsidP="0002297E">
            <w:pPr>
              <w:widowControl/>
              <w:spacing w:before="40" w:after="40" w:line="240" w:lineRule="auto"/>
              <w:jc w:val="center"/>
              <w:rPr>
                <w:rFonts w:asciiTheme="majorHAnsi" w:hAnsiTheme="majorHAnsi" w:cstheme="majorHAnsi"/>
                <w:sz w:val="16"/>
                <w:szCs w:val="16"/>
                <w:lang w:val="lv-LV"/>
              </w:rPr>
            </w:pPr>
            <w:r w:rsidRPr="00DA424D">
              <w:rPr>
                <w:rFonts w:asciiTheme="majorHAnsi" w:hAnsiTheme="majorHAnsi" w:cstheme="majorHAnsi"/>
                <w:sz w:val="16"/>
                <w:szCs w:val="16"/>
                <w:lang w:val="lv-LV"/>
              </w:rPr>
              <w:t>569,8</w:t>
            </w:r>
          </w:p>
        </w:tc>
        <w:tc>
          <w:tcPr>
            <w:tcW w:w="1134" w:type="dxa"/>
            <w:shd w:val="clear" w:color="auto" w:fill="B4C6E7" w:themeFill="accent1" w:themeFillTint="66"/>
            <w:vAlign w:val="bottom"/>
          </w:tcPr>
          <w:p w14:paraId="7129E92E" w14:textId="77777777" w:rsidR="00262896" w:rsidRPr="00DA424D" w:rsidRDefault="00262896" w:rsidP="0002297E">
            <w:pPr>
              <w:widowControl/>
              <w:spacing w:before="40" w:after="40" w:line="240" w:lineRule="auto"/>
              <w:jc w:val="center"/>
              <w:rPr>
                <w:rFonts w:asciiTheme="majorHAnsi" w:hAnsiTheme="majorHAnsi" w:cstheme="majorHAnsi"/>
                <w:sz w:val="16"/>
                <w:szCs w:val="16"/>
                <w:lang w:val="lv-LV"/>
              </w:rPr>
            </w:pPr>
          </w:p>
        </w:tc>
        <w:tc>
          <w:tcPr>
            <w:tcW w:w="1134" w:type="dxa"/>
            <w:shd w:val="clear" w:color="auto" w:fill="B4C6E7" w:themeFill="accent1" w:themeFillTint="66"/>
            <w:vAlign w:val="bottom"/>
          </w:tcPr>
          <w:p w14:paraId="6FE387E3" w14:textId="77777777" w:rsidR="00262896" w:rsidRPr="00DA424D" w:rsidRDefault="00262896" w:rsidP="0002297E">
            <w:pPr>
              <w:widowControl/>
              <w:spacing w:before="40" w:after="40" w:line="240" w:lineRule="auto"/>
              <w:jc w:val="center"/>
              <w:rPr>
                <w:rFonts w:asciiTheme="majorHAnsi" w:hAnsiTheme="majorHAnsi" w:cstheme="majorHAnsi"/>
                <w:sz w:val="16"/>
                <w:szCs w:val="16"/>
                <w:lang w:val="lv-LV"/>
              </w:rPr>
            </w:pPr>
          </w:p>
        </w:tc>
        <w:tc>
          <w:tcPr>
            <w:tcW w:w="1134" w:type="dxa"/>
            <w:shd w:val="clear" w:color="auto" w:fill="B4C6E7" w:themeFill="accent1" w:themeFillTint="66"/>
            <w:vAlign w:val="bottom"/>
          </w:tcPr>
          <w:p w14:paraId="06E10B2D" w14:textId="77777777" w:rsidR="00262896" w:rsidRPr="00DA424D" w:rsidRDefault="00262896" w:rsidP="0002297E">
            <w:pPr>
              <w:widowControl/>
              <w:spacing w:before="40" w:after="40" w:line="240" w:lineRule="auto"/>
              <w:jc w:val="center"/>
              <w:rPr>
                <w:rFonts w:asciiTheme="majorHAnsi" w:hAnsiTheme="majorHAnsi" w:cstheme="majorHAnsi"/>
                <w:sz w:val="16"/>
                <w:szCs w:val="16"/>
                <w:lang w:val="lv-LV"/>
              </w:rPr>
            </w:pPr>
            <w:r w:rsidRPr="00DA424D">
              <w:rPr>
                <w:rFonts w:asciiTheme="majorHAnsi" w:hAnsiTheme="majorHAnsi" w:cstheme="majorHAnsi"/>
                <w:sz w:val="16"/>
                <w:szCs w:val="16"/>
                <w:lang w:val="lv-LV"/>
              </w:rPr>
              <w:t>-168,1</w:t>
            </w:r>
          </w:p>
        </w:tc>
        <w:tc>
          <w:tcPr>
            <w:tcW w:w="1134" w:type="dxa"/>
            <w:shd w:val="clear" w:color="auto" w:fill="B4C6E7" w:themeFill="accent1" w:themeFillTint="66"/>
            <w:vAlign w:val="bottom"/>
          </w:tcPr>
          <w:p w14:paraId="02766CA2" w14:textId="77777777" w:rsidR="00262896" w:rsidRPr="00DA424D" w:rsidRDefault="00262896" w:rsidP="0002297E">
            <w:pPr>
              <w:widowControl/>
              <w:spacing w:before="40" w:after="40" w:line="240" w:lineRule="auto"/>
              <w:jc w:val="center"/>
              <w:rPr>
                <w:rFonts w:asciiTheme="majorHAnsi" w:hAnsiTheme="majorHAnsi" w:cstheme="majorHAnsi"/>
                <w:sz w:val="16"/>
                <w:szCs w:val="16"/>
                <w:lang w:val="lv-LV"/>
              </w:rPr>
            </w:pPr>
            <w:r w:rsidRPr="00DA424D">
              <w:rPr>
                <w:rFonts w:asciiTheme="majorHAnsi" w:hAnsiTheme="majorHAnsi" w:cstheme="majorHAnsi"/>
                <w:sz w:val="16"/>
                <w:szCs w:val="16"/>
                <w:lang w:val="lv-LV"/>
              </w:rPr>
              <w:t>-22,8</w:t>
            </w:r>
          </w:p>
        </w:tc>
      </w:tr>
      <w:tr w:rsidR="00262896" w:rsidRPr="00674542" w14:paraId="6912485E" w14:textId="77777777" w:rsidTr="0002297E">
        <w:trPr>
          <w:jc w:val="center"/>
        </w:trPr>
        <w:tc>
          <w:tcPr>
            <w:tcW w:w="2608" w:type="dxa"/>
            <w:shd w:val="clear" w:color="auto" w:fill="D9E2F3" w:themeFill="accent1" w:themeFillTint="33"/>
          </w:tcPr>
          <w:p w14:paraId="6324BFAA" w14:textId="77777777" w:rsidR="00262896" w:rsidRPr="00674542" w:rsidRDefault="00262896" w:rsidP="0002297E">
            <w:pPr>
              <w:widowControl/>
              <w:spacing w:before="40" w:after="40" w:line="240" w:lineRule="auto"/>
              <w:rPr>
                <w:rFonts w:asciiTheme="majorHAnsi" w:hAnsiTheme="majorHAnsi" w:cstheme="majorHAnsi"/>
                <w:sz w:val="16"/>
                <w:szCs w:val="16"/>
                <w:lang w:val="lv-LV"/>
              </w:rPr>
            </w:pPr>
            <w:r w:rsidRPr="00DA424D">
              <w:rPr>
                <w:rFonts w:asciiTheme="majorHAnsi" w:hAnsiTheme="majorHAnsi" w:cstheme="majorHAnsi"/>
                <w:sz w:val="16"/>
                <w:szCs w:val="16"/>
                <w:lang w:val="lv-LV"/>
              </w:rPr>
              <w:t>Mājsaimniecību veiktas transporta darbības</w:t>
            </w:r>
          </w:p>
        </w:tc>
        <w:tc>
          <w:tcPr>
            <w:tcW w:w="1247" w:type="dxa"/>
            <w:shd w:val="clear" w:color="auto" w:fill="D9E2F3" w:themeFill="accent1" w:themeFillTint="33"/>
          </w:tcPr>
          <w:p w14:paraId="13D9D35F" w14:textId="77777777" w:rsidR="00262896" w:rsidRPr="00DA424D" w:rsidRDefault="00262896" w:rsidP="0002297E">
            <w:pPr>
              <w:widowControl/>
              <w:spacing w:before="40" w:after="40" w:line="240" w:lineRule="auto"/>
              <w:jc w:val="center"/>
              <w:rPr>
                <w:rFonts w:asciiTheme="majorHAnsi" w:hAnsiTheme="majorHAnsi" w:cstheme="majorHAnsi"/>
                <w:sz w:val="16"/>
                <w:szCs w:val="16"/>
                <w:lang w:val="lv-LV"/>
              </w:rPr>
            </w:pPr>
            <w:r w:rsidRPr="00DA424D">
              <w:rPr>
                <w:rFonts w:asciiTheme="majorHAnsi" w:hAnsiTheme="majorHAnsi" w:cstheme="majorHAnsi"/>
                <w:sz w:val="16"/>
                <w:szCs w:val="16"/>
                <w:lang w:val="lv-LV"/>
              </w:rPr>
              <w:t>1 289,0</w:t>
            </w:r>
          </w:p>
        </w:tc>
        <w:tc>
          <w:tcPr>
            <w:tcW w:w="1247" w:type="dxa"/>
            <w:shd w:val="clear" w:color="auto" w:fill="D9E2F3" w:themeFill="accent1" w:themeFillTint="33"/>
          </w:tcPr>
          <w:p w14:paraId="268EAB98" w14:textId="77777777" w:rsidR="00262896" w:rsidRPr="00DA424D" w:rsidRDefault="00262896" w:rsidP="0002297E">
            <w:pPr>
              <w:widowControl/>
              <w:spacing w:before="40" w:after="40" w:line="240" w:lineRule="auto"/>
              <w:jc w:val="center"/>
              <w:rPr>
                <w:rFonts w:asciiTheme="majorHAnsi" w:hAnsiTheme="majorHAnsi" w:cstheme="majorHAnsi"/>
                <w:sz w:val="16"/>
                <w:szCs w:val="16"/>
                <w:lang w:val="lv-LV"/>
              </w:rPr>
            </w:pPr>
            <w:r w:rsidRPr="00DA424D">
              <w:rPr>
                <w:rFonts w:asciiTheme="majorHAnsi" w:hAnsiTheme="majorHAnsi" w:cstheme="majorHAnsi"/>
                <w:sz w:val="16"/>
                <w:szCs w:val="16"/>
                <w:lang w:val="lv-LV"/>
              </w:rPr>
              <w:t>1 533,9</w:t>
            </w:r>
          </w:p>
        </w:tc>
        <w:tc>
          <w:tcPr>
            <w:tcW w:w="1134" w:type="dxa"/>
            <w:shd w:val="clear" w:color="auto" w:fill="D9E2F3" w:themeFill="accent1" w:themeFillTint="33"/>
          </w:tcPr>
          <w:p w14:paraId="4A59B604" w14:textId="77777777" w:rsidR="00262896" w:rsidRPr="00DA424D" w:rsidRDefault="00262896" w:rsidP="0002297E">
            <w:pPr>
              <w:widowControl/>
              <w:spacing w:before="40" w:after="40" w:line="240" w:lineRule="auto"/>
              <w:jc w:val="center"/>
              <w:rPr>
                <w:rFonts w:asciiTheme="majorHAnsi" w:hAnsiTheme="majorHAnsi" w:cstheme="majorHAnsi"/>
                <w:sz w:val="16"/>
                <w:szCs w:val="16"/>
                <w:lang w:val="lv-LV"/>
              </w:rPr>
            </w:pPr>
          </w:p>
        </w:tc>
        <w:tc>
          <w:tcPr>
            <w:tcW w:w="1134" w:type="dxa"/>
            <w:shd w:val="clear" w:color="auto" w:fill="D9E2F3" w:themeFill="accent1" w:themeFillTint="33"/>
          </w:tcPr>
          <w:p w14:paraId="6EA8A273" w14:textId="77777777" w:rsidR="00262896" w:rsidRPr="00DA424D" w:rsidRDefault="00262896" w:rsidP="0002297E">
            <w:pPr>
              <w:widowControl/>
              <w:spacing w:before="40" w:after="40" w:line="240" w:lineRule="auto"/>
              <w:jc w:val="center"/>
              <w:rPr>
                <w:rFonts w:asciiTheme="majorHAnsi" w:hAnsiTheme="majorHAnsi" w:cstheme="majorHAnsi"/>
                <w:sz w:val="16"/>
                <w:szCs w:val="16"/>
                <w:lang w:val="lv-LV"/>
              </w:rPr>
            </w:pPr>
          </w:p>
        </w:tc>
        <w:tc>
          <w:tcPr>
            <w:tcW w:w="1134" w:type="dxa"/>
            <w:shd w:val="clear" w:color="auto" w:fill="D9E2F3" w:themeFill="accent1" w:themeFillTint="33"/>
          </w:tcPr>
          <w:p w14:paraId="566CFE4D" w14:textId="77777777" w:rsidR="00262896" w:rsidRPr="00DA424D" w:rsidRDefault="00262896" w:rsidP="0002297E">
            <w:pPr>
              <w:widowControl/>
              <w:spacing w:before="40" w:after="40" w:line="240" w:lineRule="auto"/>
              <w:jc w:val="center"/>
              <w:rPr>
                <w:rFonts w:asciiTheme="majorHAnsi" w:hAnsiTheme="majorHAnsi" w:cstheme="majorHAnsi"/>
                <w:sz w:val="16"/>
                <w:szCs w:val="16"/>
                <w:lang w:val="lv-LV"/>
              </w:rPr>
            </w:pPr>
            <w:r w:rsidRPr="00DA424D">
              <w:rPr>
                <w:rFonts w:asciiTheme="majorHAnsi" w:hAnsiTheme="majorHAnsi" w:cstheme="majorHAnsi"/>
                <w:sz w:val="16"/>
                <w:szCs w:val="16"/>
                <w:lang w:val="lv-LV"/>
              </w:rPr>
              <w:t>244,9</w:t>
            </w:r>
          </w:p>
        </w:tc>
        <w:tc>
          <w:tcPr>
            <w:tcW w:w="1134" w:type="dxa"/>
            <w:shd w:val="clear" w:color="auto" w:fill="D9E2F3" w:themeFill="accent1" w:themeFillTint="33"/>
          </w:tcPr>
          <w:p w14:paraId="2E64B8CC" w14:textId="77777777" w:rsidR="00262896" w:rsidRPr="00DA424D" w:rsidRDefault="00262896" w:rsidP="0002297E">
            <w:pPr>
              <w:widowControl/>
              <w:spacing w:before="40" w:after="40" w:line="240" w:lineRule="auto"/>
              <w:jc w:val="center"/>
              <w:rPr>
                <w:rFonts w:asciiTheme="majorHAnsi" w:hAnsiTheme="majorHAnsi" w:cstheme="majorHAnsi"/>
                <w:sz w:val="16"/>
                <w:szCs w:val="16"/>
                <w:lang w:val="lv-LV"/>
              </w:rPr>
            </w:pPr>
            <w:r w:rsidRPr="00DA424D">
              <w:rPr>
                <w:rFonts w:asciiTheme="majorHAnsi" w:hAnsiTheme="majorHAnsi" w:cstheme="majorHAnsi"/>
                <w:sz w:val="16"/>
                <w:szCs w:val="16"/>
                <w:lang w:val="lv-LV"/>
              </w:rPr>
              <w:t>19,0</w:t>
            </w:r>
          </w:p>
        </w:tc>
      </w:tr>
      <w:tr w:rsidR="00262896" w:rsidRPr="00674542" w14:paraId="15C07E53" w14:textId="77777777" w:rsidTr="0002297E">
        <w:trPr>
          <w:jc w:val="center"/>
        </w:trPr>
        <w:tc>
          <w:tcPr>
            <w:tcW w:w="2608" w:type="dxa"/>
            <w:shd w:val="clear" w:color="auto" w:fill="B4C6E7" w:themeFill="accent1" w:themeFillTint="66"/>
          </w:tcPr>
          <w:p w14:paraId="7D6F2B51" w14:textId="77777777" w:rsidR="00262896" w:rsidRPr="00674542" w:rsidRDefault="00262896" w:rsidP="0002297E">
            <w:pPr>
              <w:widowControl/>
              <w:spacing w:before="40" w:after="40" w:line="240" w:lineRule="auto"/>
              <w:rPr>
                <w:rFonts w:asciiTheme="majorHAnsi" w:hAnsiTheme="majorHAnsi" w:cstheme="majorHAnsi"/>
                <w:sz w:val="16"/>
                <w:szCs w:val="16"/>
                <w:lang w:val="lv-LV"/>
              </w:rPr>
            </w:pPr>
            <w:r w:rsidRPr="00DA424D">
              <w:rPr>
                <w:rFonts w:asciiTheme="majorHAnsi" w:hAnsiTheme="majorHAnsi" w:cstheme="majorHAnsi"/>
                <w:sz w:val="16"/>
                <w:szCs w:val="16"/>
                <w:lang w:val="lv-LV"/>
              </w:rPr>
              <w:t>Citas mājsaimniecību darbības</w:t>
            </w:r>
          </w:p>
        </w:tc>
        <w:tc>
          <w:tcPr>
            <w:tcW w:w="1247" w:type="dxa"/>
            <w:shd w:val="clear" w:color="auto" w:fill="B4C6E7" w:themeFill="accent1" w:themeFillTint="66"/>
          </w:tcPr>
          <w:p w14:paraId="2CDDB538" w14:textId="77777777" w:rsidR="00262896" w:rsidRPr="00DA424D" w:rsidRDefault="00262896" w:rsidP="0002297E">
            <w:pPr>
              <w:widowControl/>
              <w:spacing w:before="40" w:after="40" w:line="240" w:lineRule="auto"/>
              <w:jc w:val="center"/>
              <w:rPr>
                <w:rFonts w:asciiTheme="majorHAnsi" w:hAnsiTheme="majorHAnsi" w:cstheme="majorHAnsi"/>
                <w:sz w:val="16"/>
                <w:szCs w:val="16"/>
                <w:lang w:val="lv-LV"/>
              </w:rPr>
            </w:pPr>
            <w:r w:rsidRPr="00DA424D">
              <w:rPr>
                <w:rFonts w:asciiTheme="majorHAnsi" w:hAnsiTheme="majorHAnsi" w:cstheme="majorHAnsi"/>
                <w:sz w:val="16"/>
                <w:szCs w:val="16"/>
                <w:lang w:val="lv-LV"/>
              </w:rPr>
              <w:t>132,9</w:t>
            </w:r>
          </w:p>
        </w:tc>
        <w:tc>
          <w:tcPr>
            <w:tcW w:w="1247" w:type="dxa"/>
            <w:shd w:val="clear" w:color="auto" w:fill="B4C6E7" w:themeFill="accent1" w:themeFillTint="66"/>
          </w:tcPr>
          <w:p w14:paraId="507DE34F" w14:textId="77777777" w:rsidR="00262896" w:rsidRPr="00DA424D" w:rsidRDefault="00262896" w:rsidP="0002297E">
            <w:pPr>
              <w:widowControl/>
              <w:spacing w:before="40" w:after="40" w:line="240" w:lineRule="auto"/>
              <w:jc w:val="center"/>
              <w:rPr>
                <w:rFonts w:asciiTheme="majorHAnsi" w:hAnsiTheme="majorHAnsi" w:cstheme="majorHAnsi"/>
                <w:sz w:val="16"/>
                <w:szCs w:val="16"/>
                <w:lang w:val="lv-LV"/>
              </w:rPr>
            </w:pPr>
            <w:r w:rsidRPr="00DA424D">
              <w:rPr>
                <w:rFonts w:asciiTheme="majorHAnsi" w:hAnsiTheme="majorHAnsi" w:cstheme="majorHAnsi"/>
                <w:sz w:val="16"/>
                <w:szCs w:val="16"/>
                <w:lang w:val="lv-LV"/>
              </w:rPr>
              <w:t>183,5</w:t>
            </w:r>
          </w:p>
        </w:tc>
        <w:tc>
          <w:tcPr>
            <w:tcW w:w="1134" w:type="dxa"/>
            <w:shd w:val="clear" w:color="auto" w:fill="B4C6E7" w:themeFill="accent1" w:themeFillTint="66"/>
          </w:tcPr>
          <w:p w14:paraId="08862FDC" w14:textId="77777777" w:rsidR="00262896" w:rsidRPr="00DA424D" w:rsidRDefault="00262896" w:rsidP="0002297E">
            <w:pPr>
              <w:widowControl/>
              <w:spacing w:before="40" w:after="40" w:line="240" w:lineRule="auto"/>
              <w:jc w:val="center"/>
              <w:rPr>
                <w:rFonts w:asciiTheme="majorHAnsi" w:hAnsiTheme="majorHAnsi" w:cstheme="majorHAnsi"/>
                <w:sz w:val="16"/>
                <w:szCs w:val="16"/>
                <w:lang w:val="lv-LV"/>
              </w:rPr>
            </w:pPr>
          </w:p>
        </w:tc>
        <w:tc>
          <w:tcPr>
            <w:tcW w:w="1134" w:type="dxa"/>
            <w:shd w:val="clear" w:color="auto" w:fill="B4C6E7" w:themeFill="accent1" w:themeFillTint="66"/>
          </w:tcPr>
          <w:p w14:paraId="1EE6BC74" w14:textId="77777777" w:rsidR="00262896" w:rsidRPr="00DA424D" w:rsidRDefault="00262896" w:rsidP="0002297E">
            <w:pPr>
              <w:widowControl/>
              <w:spacing w:before="40" w:after="40" w:line="240" w:lineRule="auto"/>
              <w:jc w:val="center"/>
              <w:rPr>
                <w:rFonts w:asciiTheme="majorHAnsi" w:hAnsiTheme="majorHAnsi" w:cstheme="majorHAnsi"/>
                <w:sz w:val="16"/>
                <w:szCs w:val="16"/>
                <w:lang w:val="lv-LV"/>
              </w:rPr>
            </w:pPr>
          </w:p>
        </w:tc>
        <w:tc>
          <w:tcPr>
            <w:tcW w:w="1134" w:type="dxa"/>
            <w:shd w:val="clear" w:color="auto" w:fill="B4C6E7" w:themeFill="accent1" w:themeFillTint="66"/>
          </w:tcPr>
          <w:p w14:paraId="14D86418" w14:textId="77777777" w:rsidR="00262896" w:rsidRPr="00DA424D" w:rsidRDefault="00262896" w:rsidP="0002297E">
            <w:pPr>
              <w:widowControl/>
              <w:spacing w:before="40" w:after="40" w:line="240" w:lineRule="auto"/>
              <w:jc w:val="center"/>
              <w:rPr>
                <w:rFonts w:asciiTheme="majorHAnsi" w:hAnsiTheme="majorHAnsi" w:cstheme="majorHAnsi"/>
                <w:sz w:val="16"/>
                <w:szCs w:val="16"/>
                <w:lang w:val="lv-LV"/>
              </w:rPr>
            </w:pPr>
            <w:r w:rsidRPr="00DA424D">
              <w:rPr>
                <w:rFonts w:asciiTheme="majorHAnsi" w:hAnsiTheme="majorHAnsi" w:cstheme="majorHAnsi"/>
                <w:sz w:val="16"/>
                <w:szCs w:val="16"/>
                <w:lang w:val="lv-LV"/>
              </w:rPr>
              <w:t>50,6</w:t>
            </w:r>
          </w:p>
        </w:tc>
        <w:tc>
          <w:tcPr>
            <w:tcW w:w="1134" w:type="dxa"/>
            <w:shd w:val="clear" w:color="auto" w:fill="B4C6E7" w:themeFill="accent1" w:themeFillTint="66"/>
          </w:tcPr>
          <w:p w14:paraId="4C8497CD" w14:textId="77777777" w:rsidR="00262896" w:rsidRPr="00DA424D" w:rsidRDefault="00262896" w:rsidP="0002297E">
            <w:pPr>
              <w:widowControl/>
              <w:spacing w:before="40" w:after="40" w:line="240" w:lineRule="auto"/>
              <w:jc w:val="center"/>
              <w:rPr>
                <w:rFonts w:asciiTheme="majorHAnsi" w:hAnsiTheme="majorHAnsi" w:cstheme="majorHAnsi"/>
                <w:sz w:val="16"/>
                <w:szCs w:val="16"/>
                <w:lang w:val="lv-LV"/>
              </w:rPr>
            </w:pPr>
            <w:r w:rsidRPr="00DA424D">
              <w:rPr>
                <w:rFonts w:asciiTheme="majorHAnsi" w:hAnsiTheme="majorHAnsi" w:cstheme="majorHAnsi"/>
                <w:sz w:val="16"/>
                <w:szCs w:val="16"/>
                <w:lang w:val="lv-LV"/>
              </w:rPr>
              <w:t>38,1</w:t>
            </w:r>
          </w:p>
        </w:tc>
      </w:tr>
    </w:tbl>
    <w:p w14:paraId="14BAEA61" w14:textId="77777777" w:rsidR="00262896" w:rsidRPr="00DA424D" w:rsidRDefault="00262896" w:rsidP="00262896">
      <w:pPr>
        <w:pStyle w:val="FootnoteText"/>
        <w:spacing w:before="120" w:after="120"/>
        <w:jc w:val="both"/>
        <w:rPr>
          <w:rFonts w:ascii="Arial Nova Cond Light" w:hAnsi="Arial Nova Cond Light"/>
          <w:sz w:val="16"/>
          <w:szCs w:val="16"/>
          <w:lang w:val="lv-LV"/>
        </w:rPr>
      </w:pPr>
      <w:r w:rsidRPr="00DA424D">
        <w:rPr>
          <w:rFonts w:ascii="Arial Nova Cond Light" w:hAnsi="Arial Nova Cond Light"/>
          <w:sz w:val="16"/>
          <w:szCs w:val="16"/>
          <w:lang w:val="lv-LV"/>
        </w:rPr>
        <w:t xml:space="preserve">Avots: </w:t>
      </w:r>
      <w:r w:rsidRPr="00DA424D">
        <w:rPr>
          <w:rFonts w:ascii="Arial Nova Cond Light" w:hAnsi="Arial Nova Cond Light"/>
          <w:spacing w:val="2"/>
          <w:sz w:val="16"/>
          <w:szCs w:val="16"/>
          <w:lang w:val="lv-LV"/>
        </w:rPr>
        <w:t>EUROSTAT</w:t>
      </w:r>
    </w:p>
    <w:p w14:paraId="61BE55DD" w14:textId="77777777" w:rsidR="00262896" w:rsidRPr="00BF40DE" w:rsidRDefault="00262896" w:rsidP="00262896">
      <w:pPr>
        <w:widowControl/>
        <w:spacing w:after="120" w:line="240" w:lineRule="auto"/>
        <w:rPr>
          <w:rFonts w:ascii="Verdana Pro Cond Light" w:hAnsi="Verdana Pro Cond Light"/>
          <w:b/>
          <w:bCs/>
          <w:lang w:val="lv-LV"/>
        </w:rPr>
      </w:pPr>
    </w:p>
    <w:p w14:paraId="13AE86F2" w14:textId="77777777" w:rsidR="00FC2A8E" w:rsidRPr="00BF40DE" w:rsidRDefault="00FC2A8E" w:rsidP="00FC2A8E">
      <w:pPr>
        <w:widowControl/>
        <w:spacing w:after="120" w:line="240" w:lineRule="auto"/>
        <w:rPr>
          <w:rFonts w:ascii="Verdana Pro Cond Light" w:hAnsi="Verdana Pro Cond Light"/>
          <w:lang w:val="lv-LV"/>
        </w:rPr>
      </w:pPr>
      <w:r w:rsidRPr="00BF40DE">
        <w:rPr>
          <w:rFonts w:ascii="Verdana Pro Cond Light" w:hAnsi="Verdana Pro Cond Light"/>
          <w:lang w:val="lv-LV"/>
        </w:rPr>
        <w:lastRenderedPageBreak/>
        <w:t>Kā redzams 5.1. tabulā, tad 2022. gadā, salīdzinot ar 2010. gadu, tautsaimniecības nozaru griezumā SEG emisijas ir samazinājušās, bet mājsaimniecību darbības rezultātā palielinājušās.</w:t>
      </w:r>
    </w:p>
    <w:p w14:paraId="5DF0FC30" w14:textId="77777777" w:rsidR="00262896" w:rsidRPr="00BF40DE" w:rsidRDefault="00262896" w:rsidP="00262896">
      <w:pPr>
        <w:widowControl/>
        <w:spacing w:after="120" w:line="240" w:lineRule="auto"/>
        <w:rPr>
          <w:rFonts w:ascii="Verdana Pro Cond Light" w:hAnsi="Verdana Pro Cond Light"/>
          <w:lang w:val="lv-LV"/>
        </w:rPr>
      </w:pPr>
      <w:r w:rsidRPr="00BF40DE">
        <w:rPr>
          <w:rFonts w:ascii="Verdana Pro Cond Light" w:hAnsi="Verdana Pro Cond Light"/>
          <w:lang w:val="lv-LV"/>
        </w:rPr>
        <w:t>Vērtējot tautsaimniecības nozaru griezumā, lielākais SEG izmešu apjoms 2022. gadā bija lauksaimniecībā (2900,6 tūkst. tonnas), transporta un uzglabāšanas nozarē (2384,1 tūkst. tonnas), apstrādes rūpniecībā (1250,4 tūkst. tonnas), enerģētikā (1087,3 tūkst. tonnas) un komunālās saimniecības nozarēs (557,4 tūkst tonnas). Kopumā minēto nozaru darbības emitēja gandrīz 88 % no kopējās tautsaimniecībās nozaru SEG emisiju apjoma 2022. gadā (skatīt 5.4. attēlu).</w:t>
      </w:r>
    </w:p>
    <w:p w14:paraId="0107B5C7" w14:textId="77777777" w:rsidR="00262896" w:rsidRPr="00BF40DE" w:rsidRDefault="00262896" w:rsidP="00262896">
      <w:pPr>
        <w:widowControl/>
        <w:spacing w:after="120" w:line="240" w:lineRule="auto"/>
        <w:rPr>
          <w:rFonts w:ascii="Verdana Pro Cond Light" w:hAnsi="Verdana Pro Cond Light"/>
          <w:lang w:val="lv-LV"/>
        </w:rPr>
      </w:pPr>
      <w:r w:rsidRPr="00BF40DE">
        <w:rPr>
          <w:rFonts w:ascii="Verdana Pro Cond Light" w:hAnsi="Verdana Pro Cond Light"/>
          <w:lang w:val="lv-LV"/>
        </w:rPr>
        <w:t>Tautsaimniecības nozaru SEG emisiju apjomam ir tendence samazināties, kas liecina par saimnieciskās darbības pakāpenisku dekarbonizāciju. 2022. gadā, salīdzinot ar 2010. gadu, SEG emisijas bija gandrīz par 17,3 % (2002,4 tūkst. tonnas) mazākā apjomā. Savukārt SEG emisiju intensitāte (rēķināta kg uz vienu eiro pievienotās vērtības) 2022. gadā bija gandrīz trīs reizes zemākā līmenī nekā 2010. gadā, kas ir vērtējams kā viens no augstākiem rādītājiem ES valstīs (skatīt 5.4.  un 5.5. attēlus).</w:t>
      </w:r>
    </w:p>
    <w:p w14:paraId="1FD53BD5" w14:textId="77777777" w:rsidR="00262896" w:rsidRPr="00BF40DE" w:rsidRDefault="00262896" w:rsidP="00262896">
      <w:pPr>
        <w:widowControl/>
        <w:spacing w:after="120" w:line="240" w:lineRule="auto"/>
        <w:jc w:val="right"/>
        <w:rPr>
          <w:rFonts w:ascii="Verdana Pro Cond Light" w:hAnsi="Verdana Pro Cond Light"/>
          <w:lang w:val="lv-LV"/>
        </w:rPr>
      </w:pPr>
      <w:r w:rsidRPr="00BF40DE">
        <w:rPr>
          <w:rFonts w:ascii="Verdana Pro Cond Light" w:hAnsi="Verdana Pro Cond Light"/>
          <w:lang w:val="lv-LV"/>
        </w:rPr>
        <w:t>5.4. attēls</w:t>
      </w:r>
    </w:p>
    <w:p w14:paraId="5265181F" w14:textId="77777777" w:rsidR="00262896" w:rsidRDefault="00262896" w:rsidP="00262896">
      <w:pPr>
        <w:widowControl/>
        <w:spacing w:after="0" w:line="240" w:lineRule="auto"/>
        <w:ind w:left="142"/>
        <w:jc w:val="center"/>
        <w:rPr>
          <w:rFonts w:ascii="Verdana Pro Cond Light" w:hAnsi="Verdana Pro Cond Light"/>
          <w:b/>
          <w:bCs/>
          <w:lang w:val="lv-LV"/>
        </w:rPr>
      </w:pPr>
      <w:r w:rsidRPr="00BF40DE">
        <w:rPr>
          <w:rFonts w:ascii="Verdana Pro Cond Light" w:hAnsi="Verdana Pro Cond Light"/>
          <w:b/>
          <w:bCs/>
          <w:lang w:val="lv-LV"/>
        </w:rPr>
        <w:t>Siltumnīcefekta gāzu (SEG) emisijas Latvijas tautsaimniecības nozarēs 2010. un 2022. gadā</w:t>
      </w:r>
    </w:p>
    <w:p w14:paraId="0B5B3605" w14:textId="77777777" w:rsidR="00262896" w:rsidRDefault="00262896" w:rsidP="00262896">
      <w:pPr>
        <w:widowControl/>
        <w:tabs>
          <w:tab w:val="center" w:pos="2410"/>
          <w:tab w:val="center" w:pos="7230"/>
        </w:tabs>
        <w:spacing w:after="120" w:line="240" w:lineRule="auto"/>
        <w:ind w:left="142"/>
        <w:rPr>
          <w:rFonts w:ascii="Verdana Pro Cond Light" w:hAnsi="Verdana Pro Cond Light"/>
          <w:sz w:val="18"/>
          <w:szCs w:val="18"/>
          <w:lang w:val="lv-LV"/>
        </w:rPr>
      </w:pPr>
      <w:r>
        <w:rPr>
          <w:rFonts w:ascii="Verdana Pro Cond Light" w:hAnsi="Verdana Pro Cond Light"/>
          <w:sz w:val="18"/>
          <w:szCs w:val="18"/>
          <w:lang w:val="lv-LV"/>
        </w:rPr>
        <w:tab/>
      </w:r>
      <w:r w:rsidRPr="003404AC">
        <w:rPr>
          <w:rFonts w:ascii="Verdana Pro Cond Light" w:hAnsi="Verdana Pro Cond Light"/>
          <w:sz w:val="18"/>
          <w:szCs w:val="18"/>
          <w:lang w:val="lv-LV"/>
        </w:rPr>
        <w:t>tūkst. tonnas CO2 ekvivalentā</w:t>
      </w:r>
      <w:r w:rsidRPr="003404AC">
        <w:rPr>
          <w:rFonts w:ascii="Verdana Pro Cond Light" w:hAnsi="Verdana Pro Cond Light"/>
          <w:sz w:val="18"/>
          <w:szCs w:val="18"/>
          <w:lang w:val="lv-LV"/>
        </w:rPr>
        <w:tab/>
        <w:t>SEG intensitāte</w:t>
      </w:r>
      <w:r>
        <w:rPr>
          <w:rFonts w:ascii="Verdana Pro Cond Light" w:hAnsi="Verdana Pro Cond Light"/>
          <w:sz w:val="18"/>
          <w:szCs w:val="18"/>
          <w:lang w:val="lv-LV"/>
        </w:rPr>
        <w:t>,</w:t>
      </w:r>
      <w:r w:rsidRPr="003404AC">
        <w:rPr>
          <w:rFonts w:ascii="Verdana Pro Cond Light" w:hAnsi="Verdana Pro Cond Light"/>
          <w:sz w:val="18"/>
          <w:szCs w:val="18"/>
          <w:lang w:val="lv-LV"/>
        </w:rPr>
        <w:t xml:space="preserve"> kg uz vienu eiro pievienotās vērtības (faktiskajās cenās)</w:t>
      </w:r>
    </w:p>
    <w:p w14:paraId="45340408" w14:textId="77777777" w:rsidR="00262896" w:rsidRDefault="00262896" w:rsidP="00262896">
      <w:pPr>
        <w:widowControl/>
        <w:tabs>
          <w:tab w:val="center" w:pos="2410"/>
          <w:tab w:val="center" w:pos="7230"/>
        </w:tabs>
        <w:spacing w:after="120" w:line="240" w:lineRule="auto"/>
        <w:rPr>
          <w:rFonts w:ascii="Verdana Pro Cond Light" w:hAnsi="Verdana Pro Cond Light"/>
          <w:b/>
          <w:bCs/>
          <w:sz w:val="18"/>
          <w:szCs w:val="18"/>
          <w:lang w:val="lv-LV"/>
        </w:rPr>
      </w:pPr>
      <w:r w:rsidRPr="00BF40DE">
        <w:rPr>
          <w:rFonts w:ascii="Verdana Pro Cond Light" w:hAnsi="Verdana Pro Cond Light"/>
          <w:noProof/>
        </w:rPr>
        <w:drawing>
          <wp:inline distT="0" distB="0" distL="0" distR="0" wp14:anchorId="0D77B875" wp14:editId="44EC249D">
            <wp:extent cx="3060000" cy="3600000"/>
            <wp:effectExtent l="0" t="0" r="0" b="0"/>
            <wp:docPr id="120027486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r w:rsidRPr="00BF40DE">
        <w:rPr>
          <w:rFonts w:ascii="Verdana Pro Cond Light" w:hAnsi="Verdana Pro Cond Light"/>
          <w:noProof/>
        </w:rPr>
        <w:drawing>
          <wp:inline distT="0" distB="0" distL="0" distR="0" wp14:anchorId="32457925" wp14:editId="2E455FAD">
            <wp:extent cx="3060000" cy="3600000"/>
            <wp:effectExtent l="0" t="0" r="0" b="0"/>
            <wp:docPr id="908310640"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778B72CE" w14:textId="77777777" w:rsidR="00262896" w:rsidRDefault="00262896" w:rsidP="00262896">
      <w:pPr>
        <w:widowControl/>
        <w:tabs>
          <w:tab w:val="center" w:pos="2410"/>
          <w:tab w:val="center" w:pos="7230"/>
        </w:tabs>
        <w:spacing w:after="120" w:line="240" w:lineRule="auto"/>
        <w:rPr>
          <w:rFonts w:ascii="Arial Nova Cond Light" w:hAnsi="Arial Nova Cond Light"/>
          <w:sz w:val="16"/>
          <w:szCs w:val="16"/>
          <w:lang w:val="lv-LV"/>
        </w:rPr>
      </w:pPr>
      <w:r w:rsidRPr="003404AC">
        <w:rPr>
          <w:rFonts w:ascii="Arial Nova Cond Light" w:hAnsi="Arial Nova Cond Light"/>
          <w:sz w:val="16"/>
          <w:szCs w:val="16"/>
          <w:lang w:val="lv-LV"/>
        </w:rPr>
        <w:t xml:space="preserve">Apzīmējumi: A </w:t>
      </w:r>
      <w:r>
        <w:rPr>
          <w:rFonts w:ascii="Arial Nova Cond Light" w:hAnsi="Arial Nova Cond Light"/>
          <w:sz w:val="16"/>
          <w:szCs w:val="16"/>
          <w:lang w:val="lv-LV"/>
        </w:rPr>
        <w:t xml:space="preserve">– </w:t>
      </w:r>
      <w:r w:rsidRPr="003404AC">
        <w:rPr>
          <w:rFonts w:ascii="Arial Nova Cond Light" w:hAnsi="Arial Nova Cond Light"/>
          <w:sz w:val="16"/>
          <w:szCs w:val="16"/>
          <w:lang w:val="lv-LV"/>
        </w:rPr>
        <w:t xml:space="preserve">Lauksaimniecība, mežsaimniecība un zivsaimniecība; B </w:t>
      </w:r>
      <w:r>
        <w:rPr>
          <w:rFonts w:ascii="Arial Nova Cond Light" w:hAnsi="Arial Nova Cond Light"/>
          <w:sz w:val="16"/>
          <w:szCs w:val="16"/>
          <w:lang w:val="lv-LV"/>
        </w:rPr>
        <w:t xml:space="preserve">– </w:t>
      </w:r>
      <w:r w:rsidRPr="003404AC">
        <w:rPr>
          <w:rFonts w:ascii="Arial Nova Cond Light" w:hAnsi="Arial Nova Cond Light"/>
          <w:sz w:val="16"/>
          <w:szCs w:val="16"/>
          <w:lang w:val="lv-LV"/>
        </w:rPr>
        <w:t xml:space="preserve">Ieguves rūpniecība un karjeru izstrāde; C </w:t>
      </w:r>
      <w:r>
        <w:rPr>
          <w:rFonts w:ascii="Arial Nova Cond Light" w:hAnsi="Arial Nova Cond Light"/>
          <w:sz w:val="16"/>
          <w:szCs w:val="16"/>
          <w:lang w:val="lv-LV"/>
        </w:rPr>
        <w:t xml:space="preserve">– </w:t>
      </w:r>
      <w:r w:rsidRPr="003404AC">
        <w:rPr>
          <w:rFonts w:ascii="Arial Nova Cond Light" w:hAnsi="Arial Nova Cond Light"/>
          <w:sz w:val="16"/>
          <w:szCs w:val="16"/>
          <w:lang w:val="lv-LV"/>
        </w:rPr>
        <w:t xml:space="preserve">Apstrādes rūpniecība; D </w:t>
      </w:r>
      <w:r>
        <w:rPr>
          <w:rFonts w:ascii="Arial Nova Cond Light" w:hAnsi="Arial Nova Cond Light"/>
          <w:sz w:val="16"/>
          <w:szCs w:val="16"/>
          <w:lang w:val="lv-LV"/>
        </w:rPr>
        <w:t xml:space="preserve">– </w:t>
      </w:r>
      <w:r w:rsidRPr="003404AC">
        <w:rPr>
          <w:rFonts w:ascii="Arial Nova Cond Light" w:hAnsi="Arial Nova Cond Light"/>
          <w:sz w:val="16"/>
          <w:szCs w:val="16"/>
          <w:lang w:val="lv-LV"/>
        </w:rPr>
        <w:t xml:space="preserve">Elektroenerģija, gāzes apgāde, siltumapgāde un gaisa kondicionēšana; E </w:t>
      </w:r>
      <w:r>
        <w:rPr>
          <w:rFonts w:ascii="Arial Nova Cond Light" w:hAnsi="Arial Nova Cond Light"/>
          <w:sz w:val="16"/>
          <w:szCs w:val="16"/>
          <w:lang w:val="lv-LV"/>
        </w:rPr>
        <w:t xml:space="preserve">– </w:t>
      </w:r>
      <w:r w:rsidRPr="003404AC">
        <w:rPr>
          <w:rFonts w:ascii="Arial Nova Cond Light" w:hAnsi="Arial Nova Cond Light"/>
          <w:sz w:val="16"/>
          <w:szCs w:val="16"/>
          <w:lang w:val="lv-LV"/>
        </w:rPr>
        <w:t xml:space="preserve">Ūdens apgāde, notekūdeņu, atkritumu apsaimniekošana un sanācija; F </w:t>
      </w:r>
      <w:r>
        <w:rPr>
          <w:rFonts w:ascii="Arial Nova Cond Light" w:hAnsi="Arial Nova Cond Light"/>
          <w:sz w:val="16"/>
          <w:szCs w:val="16"/>
          <w:lang w:val="lv-LV"/>
        </w:rPr>
        <w:t xml:space="preserve">– </w:t>
      </w:r>
      <w:r w:rsidRPr="003404AC">
        <w:rPr>
          <w:rFonts w:ascii="Arial Nova Cond Light" w:hAnsi="Arial Nova Cond Light"/>
          <w:sz w:val="16"/>
          <w:szCs w:val="16"/>
          <w:lang w:val="lv-LV"/>
        </w:rPr>
        <w:t xml:space="preserve">Būvniecība; G </w:t>
      </w:r>
      <w:r>
        <w:rPr>
          <w:rFonts w:ascii="Arial Nova Cond Light" w:hAnsi="Arial Nova Cond Light"/>
          <w:sz w:val="16"/>
          <w:szCs w:val="16"/>
          <w:lang w:val="lv-LV"/>
        </w:rPr>
        <w:t xml:space="preserve">– </w:t>
      </w:r>
      <w:r w:rsidRPr="003404AC">
        <w:rPr>
          <w:rFonts w:ascii="Arial Nova Cond Light" w:hAnsi="Arial Nova Cond Light"/>
          <w:sz w:val="16"/>
          <w:szCs w:val="16"/>
          <w:lang w:val="lv-LV"/>
        </w:rPr>
        <w:t xml:space="preserve">Vairumtirdzniecība un mazumtirdzniecība, automobiļu un motociklu remonts; H </w:t>
      </w:r>
      <w:r>
        <w:rPr>
          <w:rFonts w:ascii="Arial Nova Cond Light" w:hAnsi="Arial Nova Cond Light"/>
          <w:sz w:val="16"/>
          <w:szCs w:val="16"/>
          <w:lang w:val="lv-LV"/>
        </w:rPr>
        <w:t xml:space="preserve">– </w:t>
      </w:r>
      <w:r w:rsidRPr="003404AC">
        <w:rPr>
          <w:rFonts w:ascii="Arial Nova Cond Light" w:hAnsi="Arial Nova Cond Light"/>
          <w:sz w:val="16"/>
          <w:szCs w:val="16"/>
          <w:lang w:val="lv-LV"/>
        </w:rPr>
        <w:t xml:space="preserve">Transports un uzglabāšana; I </w:t>
      </w:r>
      <w:r>
        <w:rPr>
          <w:rFonts w:ascii="Arial Nova Cond Light" w:hAnsi="Arial Nova Cond Light"/>
          <w:sz w:val="16"/>
          <w:szCs w:val="16"/>
          <w:lang w:val="lv-LV"/>
        </w:rPr>
        <w:t xml:space="preserve">– </w:t>
      </w:r>
      <w:r w:rsidRPr="003404AC">
        <w:rPr>
          <w:rFonts w:ascii="Arial Nova Cond Light" w:hAnsi="Arial Nova Cond Light"/>
          <w:sz w:val="16"/>
          <w:szCs w:val="16"/>
          <w:lang w:val="lv-LV"/>
        </w:rPr>
        <w:t xml:space="preserve">Izmitināšana un ēdināšanas pakalpojumi; J </w:t>
      </w:r>
      <w:r>
        <w:rPr>
          <w:rFonts w:ascii="Arial Nova Cond Light" w:hAnsi="Arial Nova Cond Light"/>
          <w:sz w:val="16"/>
          <w:szCs w:val="16"/>
          <w:lang w:val="lv-LV"/>
        </w:rPr>
        <w:t xml:space="preserve">– </w:t>
      </w:r>
      <w:r w:rsidRPr="003404AC">
        <w:rPr>
          <w:rFonts w:ascii="Arial Nova Cond Light" w:hAnsi="Arial Nova Cond Light"/>
          <w:sz w:val="16"/>
          <w:szCs w:val="16"/>
          <w:lang w:val="lv-LV"/>
        </w:rPr>
        <w:t xml:space="preserve">Informācijas un komunikācijas pakalpojumi; K </w:t>
      </w:r>
      <w:r>
        <w:rPr>
          <w:rFonts w:ascii="Arial Nova Cond Light" w:hAnsi="Arial Nova Cond Light"/>
          <w:sz w:val="16"/>
          <w:szCs w:val="16"/>
          <w:lang w:val="lv-LV"/>
        </w:rPr>
        <w:t xml:space="preserve">– </w:t>
      </w:r>
      <w:r w:rsidRPr="003404AC">
        <w:rPr>
          <w:rFonts w:ascii="Arial Nova Cond Light" w:hAnsi="Arial Nova Cond Light"/>
          <w:sz w:val="16"/>
          <w:szCs w:val="16"/>
          <w:lang w:val="lv-LV"/>
        </w:rPr>
        <w:t xml:space="preserve">Finanšu un apdrošināšanas darbības; L </w:t>
      </w:r>
      <w:r>
        <w:rPr>
          <w:rFonts w:ascii="Arial Nova Cond Light" w:hAnsi="Arial Nova Cond Light"/>
          <w:sz w:val="16"/>
          <w:szCs w:val="16"/>
          <w:lang w:val="lv-LV"/>
        </w:rPr>
        <w:t xml:space="preserve">– </w:t>
      </w:r>
      <w:r w:rsidRPr="003404AC">
        <w:rPr>
          <w:rFonts w:ascii="Arial Nova Cond Light" w:hAnsi="Arial Nova Cond Light"/>
          <w:sz w:val="16"/>
          <w:szCs w:val="16"/>
          <w:lang w:val="lv-LV"/>
        </w:rPr>
        <w:t xml:space="preserve">Operācijas ar nekustamo īpašumu; M </w:t>
      </w:r>
      <w:r>
        <w:rPr>
          <w:rFonts w:ascii="Arial Nova Cond Light" w:hAnsi="Arial Nova Cond Light"/>
          <w:sz w:val="16"/>
          <w:szCs w:val="16"/>
          <w:lang w:val="lv-LV"/>
        </w:rPr>
        <w:t xml:space="preserve">– </w:t>
      </w:r>
      <w:r w:rsidRPr="003404AC">
        <w:rPr>
          <w:rFonts w:ascii="Arial Nova Cond Light" w:hAnsi="Arial Nova Cond Light"/>
          <w:sz w:val="16"/>
          <w:szCs w:val="16"/>
          <w:lang w:val="lv-LV"/>
        </w:rPr>
        <w:t xml:space="preserve">Profesionālie, zinātniskie un tehniskie pakalpojumi; N </w:t>
      </w:r>
      <w:r>
        <w:rPr>
          <w:rFonts w:ascii="Arial Nova Cond Light" w:hAnsi="Arial Nova Cond Light"/>
          <w:sz w:val="16"/>
          <w:szCs w:val="16"/>
          <w:lang w:val="lv-LV"/>
        </w:rPr>
        <w:t xml:space="preserve">– </w:t>
      </w:r>
      <w:r w:rsidRPr="003404AC">
        <w:rPr>
          <w:rFonts w:ascii="Arial Nova Cond Light" w:hAnsi="Arial Nova Cond Light"/>
          <w:sz w:val="16"/>
          <w:szCs w:val="16"/>
          <w:lang w:val="lv-LV"/>
        </w:rPr>
        <w:t xml:space="preserve">Administratīvo un apkalpojošo dienestu darbība; O </w:t>
      </w:r>
      <w:r>
        <w:rPr>
          <w:rFonts w:ascii="Arial Nova Cond Light" w:hAnsi="Arial Nova Cond Light"/>
          <w:sz w:val="16"/>
          <w:szCs w:val="16"/>
          <w:lang w:val="lv-LV"/>
        </w:rPr>
        <w:t xml:space="preserve">– </w:t>
      </w:r>
      <w:r w:rsidRPr="003404AC">
        <w:rPr>
          <w:rFonts w:ascii="Arial Nova Cond Light" w:hAnsi="Arial Nova Cond Light"/>
          <w:sz w:val="16"/>
          <w:szCs w:val="16"/>
          <w:lang w:val="lv-LV"/>
        </w:rPr>
        <w:t xml:space="preserve">Valsts pārvalde un aizsardzība, obligātā sociālā apdrošināšana; P </w:t>
      </w:r>
      <w:r>
        <w:rPr>
          <w:rFonts w:ascii="Arial Nova Cond Light" w:hAnsi="Arial Nova Cond Light"/>
          <w:sz w:val="16"/>
          <w:szCs w:val="16"/>
          <w:lang w:val="lv-LV"/>
        </w:rPr>
        <w:t xml:space="preserve">– </w:t>
      </w:r>
      <w:r w:rsidRPr="003404AC">
        <w:rPr>
          <w:rFonts w:ascii="Arial Nova Cond Light" w:hAnsi="Arial Nova Cond Light"/>
          <w:sz w:val="16"/>
          <w:szCs w:val="16"/>
          <w:lang w:val="lv-LV"/>
        </w:rPr>
        <w:t xml:space="preserve">Izglītība; Q </w:t>
      </w:r>
      <w:r>
        <w:rPr>
          <w:rFonts w:ascii="Arial Nova Cond Light" w:hAnsi="Arial Nova Cond Light"/>
          <w:sz w:val="16"/>
          <w:szCs w:val="16"/>
          <w:lang w:val="lv-LV"/>
        </w:rPr>
        <w:t xml:space="preserve">– </w:t>
      </w:r>
      <w:r w:rsidRPr="003404AC">
        <w:rPr>
          <w:rFonts w:ascii="Arial Nova Cond Light" w:hAnsi="Arial Nova Cond Light"/>
          <w:sz w:val="16"/>
          <w:szCs w:val="16"/>
          <w:lang w:val="lv-LV"/>
        </w:rPr>
        <w:t xml:space="preserve">Veselība un sociālā aprūpe; R </w:t>
      </w:r>
      <w:r>
        <w:rPr>
          <w:rFonts w:ascii="Arial Nova Cond Light" w:hAnsi="Arial Nova Cond Light"/>
          <w:sz w:val="16"/>
          <w:szCs w:val="16"/>
          <w:lang w:val="lv-LV"/>
        </w:rPr>
        <w:t xml:space="preserve">– </w:t>
      </w:r>
      <w:r w:rsidRPr="003404AC">
        <w:rPr>
          <w:rFonts w:ascii="Arial Nova Cond Light" w:hAnsi="Arial Nova Cond Light"/>
          <w:sz w:val="16"/>
          <w:szCs w:val="16"/>
          <w:lang w:val="lv-LV"/>
        </w:rPr>
        <w:t xml:space="preserve">Māksla, izklaide un atpūta; S-U </w:t>
      </w:r>
      <w:r>
        <w:rPr>
          <w:rFonts w:ascii="Arial Nova Cond Light" w:hAnsi="Arial Nova Cond Light"/>
          <w:sz w:val="16"/>
          <w:szCs w:val="16"/>
          <w:lang w:val="lv-LV"/>
        </w:rPr>
        <w:t xml:space="preserve">– </w:t>
      </w:r>
      <w:r w:rsidRPr="003404AC">
        <w:rPr>
          <w:rFonts w:ascii="Arial Nova Cond Light" w:hAnsi="Arial Nova Cond Light"/>
          <w:sz w:val="16"/>
          <w:szCs w:val="16"/>
          <w:lang w:val="lv-LV"/>
        </w:rPr>
        <w:t>Citi pakalpojumi</w:t>
      </w:r>
    </w:p>
    <w:p w14:paraId="3BC0491D" w14:textId="77777777" w:rsidR="00262896" w:rsidRPr="003404AC" w:rsidRDefault="00262896" w:rsidP="00262896">
      <w:pPr>
        <w:widowControl/>
        <w:tabs>
          <w:tab w:val="center" w:pos="2410"/>
          <w:tab w:val="center" w:pos="7230"/>
        </w:tabs>
        <w:spacing w:after="120" w:line="240" w:lineRule="auto"/>
        <w:rPr>
          <w:rFonts w:ascii="Arial Nova Cond Light" w:hAnsi="Arial Nova Cond Light"/>
          <w:sz w:val="16"/>
          <w:szCs w:val="16"/>
          <w:lang w:val="lv-LV"/>
        </w:rPr>
      </w:pPr>
      <w:r w:rsidRPr="003404AC">
        <w:rPr>
          <w:rFonts w:ascii="Arial Nova Cond Light" w:hAnsi="Arial Nova Cond Light"/>
          <w:sz w:val="16"/>
          <w:szCs w:val="16"/>
          <w:lang w:val="lv-LV"/>
        </w:rPr>
        <w:t>Avots: EUROSTAT</w:t>
      </w:r>
    </w:p>
    <w:p w14:paraId="5AC1B62D" w14:textId="77777777" w:rsidR="00262896" w:rsidRPr="00BF40DE" w:rsidRDefault="00262896" w:rsidP="00262896">
      <w:pPr>
        <w:widowControl/>
        <w:spacing w:after="120" w:line="240" w:lineRule="auto"/>
        <w:rPr>
          <w:rFonts w:ascii="Verdana Pro Cond Light" w:eastAsia="Times New Roman" w:hAnsi="Verdana Pro Cond Light"/>
          <w:spacing w:val="2"/>
          <w:lang w:val="lv-LV"/>
        </w:rPr>
      </w:pPr>
      <w:r w:rsidRPr="00BF40DE">
        <w:rPr>
          <w:rFonts w:ascii="Verdana Pro Cond Light" w:hAnsi="Verdana Pro Cond Light"/>
          <w:spacing w:val="2"/>
          <w:lang w:val="lv-LV"/>
        </w:rPr>
        <w:br w:type="page"/>
      </w:r>
    </w:p>
    <w:p w14:paraId="5476B19D" w14:textId="77777777" w:rsidR="00262896" w:rsidRPr="00BF40DE" w:rsidRDefault="00262896" w:rsidP="00262896">
      <w:pPr>
        <w:widowControl/>
        <w:spacing w:after="120" w:line="240" w:lineRule="auto"/>
        <w:jc w:val="right"/>
        <w:rPr>
          <w:rFonts w:ascii="Verdana Pro Cond Light" w:hAnsi="Verdana Pro Cond Light"/>
          <w:lang w:val="lv-LV"/>
        </w:rPr>
      </w:pPr>
      <w:r w:rsidRPr="00BF40DE">
        <w:rPr>
          <w:rFonts w:ascii="Verdana Pro Cond Light" w:hAnsi="Verdana Pro Cond Light"/>
          <w:lang w:val="lv-LV"/>
        </w:rPr>
        <w:lastRenderedPageBreak/>
        <w:t>5.5. attēls</w:t>
      </w:r>
    </w:p>
    <w:p w14:paraId="6888C8FF" w14:textId="77777777" w:rsidR="00262896" w:rsidRPr="003404AC" w:rsidRDefault="00262896" w:rsidP="00262896">
      <w:pPr>
        <w:widowControl/>
        <w:spacing w:after="120" w:line="240" w:lineRule="auto"/>
        <w:jc w:val="center"/>
        <w:rPr>
          <w:rFonts w:ascii="Verdana Pro Cond Light" w:hAnsi="Verdana Pro Cond Light"/>
          <w:sz w:val="18"/>
          <w:szCs w:val="18"/>
          <w:lang w:val="lv-LV"/>
        </w:rPr>
      </w:pPr>
      <w:r w:rsidRPr="00BF40DE">
        <w:rPr>
          <w:rFonts w:ascii="Verdana Pro Cond Light" w:hAnsi="Verdana Pro Cond Light"/>
          <w:b/>
          <w:bCs/>
          <w:lang w:val="lv-LV"/>
        </w:rPr>
        <w:t xml:space="preserve">SEG intensitāte ES dalībvalstīs 2010. un 2022.gadā </w:t>
      </w:r>
      <w:r>
        <w:rPr>
          <w:rFonts w:ascii="Verdana Pro Cond Light" w:hAnsi="Verdana Pro Cond Light"/>
          <w:b/>
          <w:bCs/>
          <w:lang w:val="lv-LV"/>
        </w:rPr>
        <w:br/>
      </w:r>
      <w:r w:rsidRPr="003404AC">
        <w:rPr>
          <w:rFonts w:ascii="Verdana Pro Cond Light" w:hAnsi="Verdana Pro Cond Light"/>
          <w:sz w:val="18"/>
          <w:szCs w:val="18"/>
          <w:lang w:val="lv-LV"/>
        </w:rPr>
        <w:t>kg uz vienu eiro pievienotās vērtības,</w:t>
      </w:r>
      <w:r w:rsidRPr="003404AC">
        <w:rPr>
          <w:rFonts w:ascii="Verdana Pro Cond Light" w:hAnsi="Verdana Pro Cond Light"/>
          <w:b/>
          <w:bCs/>
          <w:sz w:val="18"/>
          <w:szCs w:val="18"/>
          <w:lang w:val="lv-LV"/>
        </w:rPr>
        <w:t xml:space="preserve"> </w:t>
      </w:r>
      <w:r w:rsidRPr="003404AC">
        <w:rPr>
          <w:rFonts w:ascii="Verdana Pro Cond Light" w:hAnsi="Verdana Pro Cond Light"/>
          <w:sz w:val="18"/>
          <w:szCs w:val="18"/>
          <w:lang w:val="lv-LV"/>
        </w:rPr>
        <w:t>faktiskajās cenās</w:t>
      </w:r>
    </w:p>
    <w:p w14:paraId="6293CD3B" w14:textId="77777777" w:rsidR="00262896" w:rsidRPr="00BF40DE" w:rsidRDefault="00262896" w:rsidP="00262896">
      <w:pPr>
        <w:widowControl/>
        <w:spacing w:after="120" w:line="240" w:lineRule="auto"/>
        <w:ind w:right="-58"/>
        <w:jc w:val="center"/>
        <w:rPr>
          <w:rFonts w:ascii="Verdana Pro Cond Light" w:hAnsi="Verdana Pro Cond Light"/>
        </w:rPr>
      </w:pPr>
      <w:r w:rsidRPr="003404AC">
        <w:rPr>
          <w:rFonts w:ascii="Verdana Pro Cond Light" w:hAnsi="Verdana Pro Cond Light"/>
          <w:noProof/>
        </w:rPr>
        <w:drawing>
          <wp:inline distT="0" distB="0" distL="0" distR="0" wp14:anchorId="36744484" wp14:editId="25755F89">
            <wp:extent cx="6120000" cy="2880000"/>
            <wp:effectExtent l="0" t="0" r="0" b="0"/>
            <wp:docPr id="1010511890"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5B352E2B" w14:textId="77777777" w:rsidR="00262896" w:rsidRPr="003404AC" w:rsidRDefault="00262896" w:rsidP="00262896">
      <w:pPr>
        <w:widowControl/>
        <w:tabs>
          <w:tab w:val="center" w:pos="2410"/>
          <w:tab w:val="center" w:pos="7230"/>
        </w:tabs>
        <w:spacing w:after="120" w:line="240" w:lineRule="auto"/>
        <w:rPr>
          <w:rFonts w:ascii="Arial Nova Cond Light" w:hAnsi="Arial Nova Cond Light"/>
          <w:sz w:val="16"/>
          <w:szCs w:val="16"/>
          <w:lang w:val="lv-LV"/>
        </w:rPr>
      </w:pPr>
      <w:r w:rsidRPr="003404AC">
        <w:rPr>
          <w:rFonts w:ascii="Arial Nova Cond Light" w:hAnsi="Arial Nova Cond Light"/>
          <w:sz w:val="16"/>
          <w:szCs w:val="16"/>
          <w:lang w:val="lv-LV"/>
        </w:rPr>
        <w:t>Avots: EUROSTAT</w:t>
      </w:r>
    </w:p>
    <w:p w14:paraId="22390A61" w14:textId="77777777" w:rsidR="00262896" w:rsidRPr="00BF40DE" w:rsidRDefault="00262896" w:rsidP="00262896">
      <w:pPr>
        <w:widowControl/>
        <w:spacing w:after="120" w:line="240" w:lineRule="auto"/>
        <w:ind w:left="142"/>
        <w:rPr>
          <w:rFonts w:ascii="Verdana Pro Cond Light" w:hAnsi="Verdana Pro Cond Light"/>
          <w:lang w:val="lv-LV"/>
        </w:rPr>
      </w:pPr>
    </w:p>
    <w:p w14:paraId="014FEE27" w14:textId="77777777" w:rsidR="00262896" w:rsidRPr="00BF40DE" w:rsidRDefault="00262896" w:rsidP="00262896">
      <w:pPr>
        <w:widowControl/>
        <w:spacing w:after="120" w:line="240" w:lineRule="auto"/>
        <w:ind w:left="142"/>
        <w:rPr>
          <w:rFonts w:ascii="Verdana Pro Cond Light" w:hAnsi="Verdana Pro Cond Light"/>
          <w:lang w:val="lv-LV"/>
        </w:rPr>
      </w:pPr>
      <w:r w:rsidRPr="00BF40DE">
        <w:rPr>
          <w:rFonts w:ascii="Verdana Pro Cond Light" w:hAnsi="Verdana Pro Cond Light"/>
          <w:lang w:val="lv-LV"/>
        </w:rPr>
        <w:t>SEG emisiju apjoms un to intensitātes dinamika Latvijas tautsaimniecības nozarēs ir atšķirīga (skatīt 5.6. attēlu).</w:t>
      </w:r>
    </w:p>
    <w:p w14:paraId="72700982" w14:textId="77777777" w:rsidR="00262896" w:rsidRDefault="00262896" w:rsidP="00262896">
      <w:pPr>
        <w:widowControl/>
        <w:spacing w:after="160" w:line="259" w:lineRule="auto"/>
        <w:rPr>
          <w:rFonts w:ascii="Verdana Pro Cond Light" w:hAnsi="Verdana Pro Cond Light"/>
          <w:lang w:val="lv-LV"/>
        </w:rPr>
      </w:pPr>
      <w:r>
        <w:rPr>
          <w:rFonts w:ascii="Verdana Pro Cond Light" w:hAnsi="Verdana Pro Cond Light"/>
          <w:lang w:val="lv-LV"/>
        </w:rPr>
        <w:br w:type="page"/>
      </w:r>
    </w:p>
    <w:p w14:paraId="4F29BB09" w14:textId="77777777" w:rsidR="00262896" w:rsidRPr="00BF40DE" w:rsidRDefault="00262896" w:rsidP="00262896">
      <w:pPr>
        <w:widowControl/>
        <w:spacing w:after="120" w:line="240" w:lineRule="auto"/>
        <w:jc w:val="right"/>
        <w:rPr>
          <w:rFonts w:ascii="Verdana Pro Cond Light" w:hAnsi="Verdana Pro Cond Light"/>
          <w:lang w:val="lv-LV"/>
        </w:rPr>
      </w:pPr>
      <w:r w:rsidRPr="00BF40DE">
        <w:rPr>
          <w:rFonts w:ascii="Verdana Pro Cond Light" w:hAnsi="Verdana Pro Cond Light"/>
          <w:lang w:val="lv-LV"/>
        </w:rPr>
        <w:lastRenderedPageBreak/>
        <w:t>5.6. attēls</w:t>
      </w:r>
    </w:p>
    <w:p w14:paraId="0EF92290" w14:textId="77777777" w:rsidR="00262896" w:rsidRDefault="00262896" w:rsidP="00262896">
      <w:pPr>
        <w:widowControl/>
        <w:spacing w:after="120" w:line="240" w:lineRule="auto"/>
        <w:ind w:left="142"/>
        <w:jc w:val="center"/>
        <w:rPr>
          <w:rFonts w:ascii="Verdana Pro Cond Light" w:hAnsi="Verdana Pro Cond Light"/>
          <w:b/>
          <w:bCs/>
          <w:lang w:val="lv-LV"/>
        </w:rPr>
      </w:pPr>
      <w:r w:rsidRPr="00BF40DE">
        <w:rPr>
          <w:rFonts w:ascii="Verdana Pro Cond Light" w:hAnsi="Verdana Pro Cond Light"/>
          <w:b/>
          <w:bCs/>
          <w:lang w:val="lv-LV"/>
        </w:rPr>
        <w:t>Siltumnīcefekta gāzu (SEG) emisijas Latvijas tautsaimniecības nozarēs</w:t>
      </w:r>
    </w:p>
    <w:p w14:paraId="06AF9D12" w14:textId="77777777" w:rsidR="00262896" w:rsidRDefault="00262896" w:rsidP="00262896">
      <w:pPr>
        <w:widowControl/>
        <w:tabs>
          <w:tab w:val="center" w:pos="2410"/>
          <w:tab w:val="center" w:pos="7230"/>
        </w:tabs>
        <w:spacing w:after="120" w:line="240" w:lineRule="auto"/>
        <w:ind w:left="142"/>
        <w:rPr>
          <w:rFonts w:ascii="Verdana Pro Cond Light" w:hAnsi="Verdana Pro Cond Light"/>
          <w:sz w:val="18"/>
          <w:szCs w:val="18"/>
          <w:lang w:val="lv-LV"/>
        </w:rPr>
      </w:pPr>
      <w:r>
        <w:rPr>
          <w:rFonts w:ascii="Verdana Pro Cond Light" w:hAnsi="Verdana Pro Cond Light"/>
          <w:sz w:val="18"/>
          <w:szCs w:val="18"/>
          <w:lang w:val="lv-LV"/>
        </w:rPr>
        <w:tab/>
      </w:r>
      <w:r w:rsidRPr="003404AC">
        <w:rPr>
          <w:rFonts w:ascii="Verdana Pro Cond Light" w:hAnsi="Verdana Pro Cond Light"/>
          <w:sz w:val="18"/>
          <w:szCs w:val="18"/>
          <w:lang w:val="lv-LV"/>
        </w:rPr>
        <w:t>Tautsaimniecības nozares kopā</w:t>
      </w:r>
      <w:r w:rsidRPr="003404AC">
        <w:rPr>
          <w:rFonts w:ascii="Verdana Pro Cond Light" w:hAnsi="Verdana Pro Cond Light"/>
          <w:sz w:val="18"/>
          <w:szCs w:val="18"/>
          <w:lang w:val="lv-LV"/>
        </w:rPr>
        <w:tab/>
      </w:r>
      <w:r>
        <w:rPr>
          <w:rFonts w:ascii="Verdana Pro Cond Light" w:hAnsi="Verdana Pro Cond Light"/>
          <w:sz w:val="18"/>
          <w:szCs w:val="18"/>
          <w:lang w:val="lv-LV"/>
        </w:rPr>
        <w:t>L</w:t>
      </w:r>
      <w:r w:rsidRPr="003404AC">
        <w:rPr>
          <w:rFonts w:ascii="Verdana Pro Cond Light" w:hAnsi="Verdana Pro Cond Light"/>
          <w:sz w:val="18"/>
          <w:szCs w:val="18"/>
          <w:lang w:val="lv-LV"/>
        </w:rPr>
        <w:t>auksaimniecība</w:t>
      </w:r>
    </w:p>
    <w:p w14:paraId="1A297C34" w14:textId="77777777" w:rsidR="00262896" w:rsidRDefault="00262896" w:rsidP="00262896">
      <w:pPr>
        <w:widowControl/>
        <w:tabs>
          <w:tab w:val="center" w:pos="2410"/>
          <w:tab w:val="center" w:pos="7230"/>
        </w:tabs>
        <w:spacing w:after="0" w:line="240" w:lineRule="auto"/>
        <w:ind w:left="142"/>
        <w:rPr>
          <w:rFonts w:ascii="Verdana Pro Cond Light" w:hAnsi="Verdana Pro Cond Light"/>
          <w:sz w:val="18"/>
          <w:szCs w:val="18"/>
          <w:lang w:val="lv-LV"/>
        </w:rPr>
      </w:pPr>
      <w:r w:rsidRPr="00BF40DE">
        <w:rPr>
          <w:rFonts w:ascii="Verdana Pro Cond Light" w:hAnsi="Verdana Pro Cond Light"/>
          <w:noProof/>
        </w:rPr>
        <w:drawing>
          <wp:inline distT="0" distB="0" distL="0" distR="0" wp14:anchorId="22DECD9C" wp14:editId="58828E0C">
            <wp:extent cx="6120000" cy="360000"/>
            <wp:effectExtent l="0" t="0" r="0" b="0"/>
            <wp:docPr id="189202022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448EA75D" w14:textId="77777777" w:rsidR="00262896" w:rsidRDefault="00262896" w:rsidP="00262896">
      <w:pPr>
        <w:widowControl/>
        <w:tabs>
          <w:tab w:val="center" w:pos="2410"/>
          <w:tab w:val="center" w:pos="7230"/>
        </w:tabs>
        <w:spacing w:after="120" w:line="240" w:lineRule="auto"/>
        <w:rPr>
          <w:rFonts w:ascii="Verdana Pro Cond Light" w:hAnsi="Verdana Pro Cond Light"/>
          <w:sz w:val="18"/>
          <w:szCs w:val="18"/>
          <w:lang w:val="lv-LV"/>
        </w:rPr>
      </w:pPr>
      <w:r w:rsidRPr="00BF40DE">
        <w:rPr>
          <w:rFonts w:ascii="Verdana Pro Cond Light" w:hAnsi="Verdana Pro Cond Light"/>
          <w:noProof/>
        </w:rPr>
        <w:drawing>
          <wp:inline distT="0" distB="0" distL="0" distR="0" wp14:anchorId="23903AED" wp14:editId="6F316465">
            <wp:extent cx="3060000" cy="2160000"/>
            <wp:effectExtent l="0" t="0" r="0" b="0"/>
            <wp:docPr id="164685535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r w:rsidRPr="00BF40DE">
        <w:rPr>
          <w:rFonts w:ascii="Verdana Pro Cond Light" w:hAnsi="Verdana Pro Cond Light"/>
          <w:noProof/>
        </w:rPr>
        <w:drawing>
          <wp:inline distT="0" distB="0" distL="0" distR="0" wp14:anchorId="54E56FC6" wp14:editId="00FDED27">
            <wp:extent cx="3060000" cy="2160000"/>
            <wp:effectExtent l="0" t="0" r="0" b="0"/>
            <wp:docPr id="1847517531"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2FB777C6" w14:textId="77777777" w:rsidR="00262896" w:rsidRDefault="00262896" w:rsidP="00262896">
      <w:pPr>
        <w:widowControl/>
        <w:tabs>
          <w:tab w:val="center" w:pos="2410"/>
          <w:tab w:val="center" w:pos="7230"/>
        </w:tabs>
        <w:spacing w:after="120" w:line="240" w:lineRule="auto"/>
        <w:rPr>
          <w:rFonts w:ascii="Verdana Pro Cond Light" w:hAnsi="Verdana Pro Cond Light"/>
          <w:sz w:val="18"/>
          <w:szCs w:val="18"/>
          <w:lang w:val="lv-LV"/>
        </w:rPr>
      </w:pPr>
    </w:p>
    <w:p w14:paraId="2C7AAA5E" w14:textId="77777777" w:rsidR="00262896" w:rsidRDefault="00262896" w:rsidP="00262896">
      <w:pPr>
        <w:widowControl/>
        <w:tabs>
          <w:tab w:val="center" w:pos="2410"/>
          <w:tab w:val="center" w:pos="7230"/>
        </w:tabs>
        <w:spacing w:after="120" w:line="240" w:lineRule="auto"/>
        <w:ind w:left="142"/>
        <w:rPr>
          <w:rFonts w:ascii="Verdana Pro Cond Light" w:hAnsi="Verdana Pro Cond Light"/>
          <w:sz w:val="18"/>
          <w:szCs w:val="18"/>
          <w:lang w:val="lv-LV"/>
        </w:rPr>
      </w:pPr>
      <w:r>
        <w:rPr>
          <w:rFonts w:ascii="Verdana Pro Cond Light" w:hAnsi="Verdana Pro Cond Light"/>
          <w:sz w:val="18"/>
          <w:szCs w:val="18"/>
          <w:lang w:val="lv-LV"/>
        </w:rPr>
        <w:tab/>
      </w:r>
      <w:r w:rsidRPr="00BD73D7">
        <w:rPr>
          <w:rFonts w:ascii="Verdana Pro Cond Light" w:hAnsi="Verdana Pro Cond Light"/>
          <w:sz w:val="18"/>
          <w:szCs w:val="18"/>
          <w:lang w:val="lv-LV"/>
        </w:rPr>
        <w:t>Apstrādes rūpniecība</w:t>
      </w:r>
      <w:r>
        <w:rPr>
          <w:rFonts w:ascii="Verdana Pro Cond Light" w:hAnsi="Verdana Pro Cond Light"/>
          <w:sz w:val="18"/>
          <w:szCs w:val="18"/>
          <w:lang w:val="lv-LV"/>
        </w:rPr>
        <w:tab/>
        <w:t>E</w:t>
      </w:r>
      <w:r w:rsidRPr="00BD73D7">
        <w:rPr>
          <w:rFonts w:ascii="Verdana Pro Cond Light" w:hAnsi="Verdana Pro Cond Light"/>
          <w:sz w:val="18"/>
          <w:szCs w:val="18"/>
          <w:lang w:val="lv-LV"/>
        </w:rPr>
        <w:t>lektroenerģija, gāzes apgāde, siltumapgāde un gaisa kondicionēšana</w:t>
      </w:r>
    </w:p>
    <w:p w14:paraId="78E69DE7" w14:textId="77777777" w:rsidR="00262896" w:rsidRDefault="00262896" w:rsidP="00262896">
      <w:pPr>
        <w:widowControl/>
        <w:tabs>
          <w:tab w:val="center" w:pos="2410"/>
          <w:tab w:val="center" w:pos="7230"/>
        </w:tabs>
        <w:spacing w:after="120" w:line="240" w:lineRule="auto"/>
        <w:rPr>
          <w:rFonts w:ascii="Verdana Pro Cond Light" w:hAnsi="Verdana Pro Cond Light"/>
          <w:sz w:val="18"/>
          <w:szCs w:val="18"/>
          <w:lang w:val="lv-LV"/>
        </w:rPr>
      </w:pPr>
      <w:r w:rsidRPr="00BF40DE">
        <w:rPr>
          <w:rFonts w:ascii="Verdana Pro Cond Light" w:hAnsi="Verdana Pro Cond Light"/>
          <w:noProof/>
        </w:rPr>
        <w:drawing>
          <wp:inline distT="0" distB="0" distL="0" distR="0" wp14:anchorId="287FAC10" wp14:editId="44F8B2D0">
            <wp:extent cx="3060000" cy="2160000"/>
            <wp:effectExtent l="0" t="0" r="0" b="0"/>
            <wp:docPr id="811955021"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Pr="00BF40DE">
        <w:rPr>
          <w:rFonts w:ascii="Verdana Pro Cond Light" w:hAnsi="Verdana Pro Cond Light"/>
          <w:noProof/>
        </w:rPr>
        <w:drawing>
          <wp:inline distT="0" distB="0" distL="0" distR="0" wp14:anchorId="13F0A21B" wp14:editId="11879B03">
            <wp:extent cx="3060000" cy="2160000"/>
            <wp:effectExtent l="0" t="0" r="0" b="0"/>
            <wp:docPr id="33691810"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4244AB3E" w14:textId="77777777" w:rsidR="00262896" w:rsidRDefault="00262896" w:rsidP="00262896">
      <w:pPr>
        <w:widowControl/>
        <w:tabs>
          <w:tab w:val="center" w:pos="2410"/>
          <w:tab w:val="center" w:pos="7230"/>
        </w:tabs>
        <w:spacing w:after="120" w:line="240" w:lineRule="auto"/>
        <w:rPr>
          <w:rFonts w:ascii="Verdana Pro Cond Light" w:hAnsi="Verdana Pro Cond Light"/>
          <w:sz w:val="18"/>
          <w:szCs w:val="18"/>
          <w:lang w:val="lv-LV"/>
        </w:rPr>
      </w:pPr>
    </w:p>
    <w:p w14:paraId="5F6A3AF8" w14:textId="77777777" w:rsidR="00262896" w:rsidRDefault="00262896" w:rsidP="00262896">
      <w:pPr>
        <w:widowControl/>
        <w:tabs>
          <w:tab w:val="center" w:pos="2410"/>
          <w:tab w:val="center" w:pos="7230"/>
        </w:tabs>
        <w:spacing w:after="120" w:line="240" w:lineRule="auto"/>
        <w:rPr>
          <w:rFonts w:ascii="Verdana Pro Cond Light" w:hAnsi="Verdana Pro Cond Light"/>
          <w:sz w:val="18"/>
          <w:szCs w:val="18"/>
          <w:lang w:val="lv-LV"/>
        </w:rPr>
      </w:pPr>
      <w:r w:rsidRPr="00BD73D7">
        <w:rPr>
          <w:rFonts w:ascii="Verdana Pro Cond Light" w:hAnsi="Verdana Pro Cond Light"/>
          <w:sz w:val="18"/>
          <w:szCs w:val="18"/>
          <w:lang w:val="lv-LV"/>
        </w:rPr>
        <w:t>Ūdens apgāde, notekūdeņu, atkritumu apsaimniekošana un sanācija</w:t>
      </w:r>
      <w:r>
        <w:rPr>
          <w:rFonts w:ascii="Verdana Pro Cond Light" w:hAnsi="Verdana Pro Cond Light"/>
          <w:sz w:val="18"/>
          <w:szCs w:val="18"/>
          <w:lang w:val="lv-LV"/>
        </w:rPr>
        <w:tab/>
        <w:t>T</w:t>
      </w:r>
      <w:r w:rsidRPr="00BD73D7">
        <w:rPr>
          <w:rFonts w:ascii="Verdana Pro Cond Light" w:hAnsi="Verdana Pro Cond Light"/>
          <w:sz w:val="18"/>
          <w:szCs w:val="18"/>
          <w:lang w:val="lv-LV"/>
        </w:rPr>
        <w:t>ransports un uzglabāšana</w:t>
      </w:r>
    </w:p>
    <w:p w14:paraId="096526F2" w14:textId="77777777" w:rsidR="00262896" w:rsidRPr="003404AC" w:rsidRDefault="00262896" w:rsidP="00262896">
      <w:pPr>
        <w:widowControl/>
        <w:tabs>
          <w:tab w:val="center" w:pos="2410"/>
          <w:tab w:val="center" w:pos="7230"/>
        </w:tabs>
        <w:spacing w:after="120" w:line="240" w:lineRule="auto"/>
        <w:rPr>
          <w:rFonts w:ascii="Verdana Pro Cond Light" w:hAnsi="Verdana Pro Cond Light"/>
          <w:sz w:val="18"/>
          <w:szCs w:val="18"/>
          <w:lang w:val="lv-LV"/>
        </w:rPr>
      </w:pPr>
      <w:r w:rsidRPr="00BF40DE">
        <w:rPr>
          <w:rFonts w:ascii="Verdana Pro Cond Light" w:hAnsi="Verdana Pro Cond Light"/>
          <w:noProof/>
        </w:rPr>
        <w:drawing>
          <wp:inline distT="0" distB="0" distL="0" distR="0" wp14:anchorId="1A527438" wp14:editId="68414FAC">
            <wp:extent cx="3060000" cy="2160000"/>
            <wp:effectExtent l="0" t="0" r="0" b="0"/>
            <wp:docPr id="164981409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r w:rsidRPr="00BF40DE">
        <w:rPr>
          <w:rFonts w:ascii="Verdana Pro Cond Light" w:hAnsi="Verdana Pro Cond Light"/>
          <w:noProof/>
        </w:rPr>
        <w:drawing>
          <wp:inline distT="0" distB="0" distL="0" distR="0" wp14:anchorId="2C9A76B1" wp14:editId="3CC82BC8">
            <wp:extent cx="3060000" cy="2160000"/>
            <wp:effectExtent l="0" t="0" r="0" b="0"/>
            <wp:docPr id="231157558"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0893C625" w14:textId="77777777" w:rsidR="00262896" w:rsidRPr="00BD73D7" w:rsidRDefault="00262896" w:rsidP="00262896">
      <w:pPr>
        <w:widowControl/>
        <w:tabs>
          <w:tab w:val="center" w:pos="2410"/>
          <w:tab w:val="center" w:pos="7230"/>
        </w:tabs>
        <w:spacing w:after="120" w:line="240" w:lineRule="auto"/>
        <w:rPr>
          <w:rFonts w:ascii="Arial Nova Cond Light" w:hAnsi="Arial Nova Cond Light"/>
          <w:sz w:val="16"/>
          <w:szCs w:val="16"/>
          <w:lang w:val="lv-LV"/>
        </w:rPr>
      </w:pPr>
      <w:r w:rsidRPr="00BD73D7">
        <w:rPr>
          <w:rFonts w:ascii="Arial Nova Cond Light" w:hAnsi="Arial Nova Cond Light"/>
          <w:sz w:val="16"/>
          <w:szCs w:val="16"/>
          <w:lang w:val="lv-LV"/>
        </w:rPr>
        <w:t>Avots: EUROSTAT</w:t>
      </w:r>
    </w:p>
    <w:p w14:paraId="28251DB5" w14:textId="77777777" w:rsidR="00262896" w:rsidRPr="004C2ACE" w:rsidRDefault="00262896" w:rsidP="00262896">
      <w:pPr>
        <w:widowControl/>
        <w:spacing w:after="120" w:line="240" w:lineRule="auto"/>
        <w:rPr>
          <w:rFonts w:ascii="Verdana Pro Cond Light" w:hAnsi="Verdana Pro Cond Light"/>
          <w:lang w:val="lv-LV"/>
        </w:rPr>
      </w:pPr>
    </w:p>
    <w:p w14:paraId="32F17F4C" w14:textId="77777777" w:rsidR="00262896" w:rsidRDefault="00262896" w:rsidP="00262896">
      <w:pPr>
        <w:widowControl/>
        <w:spacing w:after="120" w:line="240" w:lineRule="auto"/>
        <w:rPr>
          <w:rFonts w:ascii="Verdana Pro Cond Light" w:hAnsi="Verdana Pro Cond Light"/>
          <w:lang w:val="lv-LV"/>
        </w:rPr>
      </w:pPr>
      <w:r w:rsidRPr="00BF40DE">
        <w:rPr>
          <w:rFonts w:ascii="Verdana Pro Cond Light" w:hAnsi="Verdana Pro Cond Light"/>
          <w:lang w:val="lv-LV"/>
        </w:rPr>
        <w:lastRenderedPageBreak/>
        <w:t>SEG izmešu samazinājumu lielā mērā noteica apjomīgi ieguldījumi nozaru nefinanšu aktīvos. Periodā no 2010. līdz 2022. gadam tautsaimniecības nozarēs investīcijas (vērtējot faktiskajās cenās) bija 76,3 mljrd. euro. Šāds investīciju apjoms sekmēja SEG emisiju samazinājumu tautsaimniecības nozarēs par 2129,7 tūkst. tonnām. Tas nozīmē, ka 1 euro investīcijas nefinanšu aktīvos nodrošināja SEG izmešu samazinājumu vidēji tautsaimniecības nozarēs par gandrīz 0,03 kilogramiem (skatīt 5.2. tabulu).</w:t>
      </w:r>
    </w:p>
    <w:p w14:paraId="75AD5894" w14:textId="77777777" w:rsidR="00262896" w:rsidRPr="00BF40DE" w:rsidRDefault="00262896" w:rsidP="00262896">
      <w:pPr>
        <w:widowControl/>
        <w:spacing w:after="120" w:line="240" w:lineRule="auto"/>
        <w:jc w:val="right"/>
        <w:rPr>
          <w:rFonts w:ascii="Verdana Pro Cond Light" w:hAnsi="Verdana Pro Cond Light"/>
          <w:lang w:val="lv-LV"/>
        </w:rPr>
      </w:pPr>
      <w:r w:rsidRPr="00BF40DE">
        <w:rPr>
          <w:rFonts w:ascii="Verdana Pro Cond Light" w:hAnsi="Verdana Pro Cond Light"/>
          <w:lang w:val="lv-LV"/>
        </w:rPr>
        <w:t>5.2. tabula</w:t>
      </w:r>
    </w:p>
    <w:p w14:paraId="162C1B08" w14:textId="77777777" w:rsidR="00262896" w:rsidRDefault="00262896" w:rsidP="00262896">
      <w:pPr>
        <w:widowControl/>
        <w:spacing w:after="120" w:line="240" w:lineRule="auto"/>
        <w:jc w:val="center"/>
        <w:rPr>
          <w:rFonts w:ascii="Verdana Pro Cond Light" w:hAnsi="Verdana Pro Cond Light"/>
          <w:b/>
          <w:bCs/>
          <w:lang w:val="lv-LV"/>
        </w:rPr>
      </w:pPr>
      <w:r w:rsidRPr="00BF40DE">
        <w:rPr>
          <w:rFonts w:ascii="Verdana Pro Cond Light" w:hAnsi="Verdana Pro Cond Light"/>
          <w:b/>
          <w:bCs/>
          <w:lang w:val="lv-LV"/>
        </w:rPr>
        <w:t>SEG emisiju apjoma izmaiņas un ieguldījumi kopējā pamatkapitāla veidošana periodā no 2010. gada</w:t>
      </w:r>
    </w:p>
    <w:tbl>
      <w:tblPr>
        <w:tblStyle w:val="TableGrid"/>
        <w:tblW w:w="963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850"/>
        <w:gridCol w:w="850"/>
        <w:gridCol w:w="850"/>
        <w:gridCol w:w="850"/>
        <w:gridCol w:w="850"/>
        <w:gridCol w:w="850"/>
        <w:gridCol w:w="850"/>
        <w:gridCol w:w="850"/>
      </w:tblGrid>
      <w:tr w:rsidR="00262896" w:rsidRPr="00D24F07" w14:paraId="789C4F22" w14:textId="77777777" w:rsidTr="0002297E">
        <w:trPr>
          <w:cantSplit/>
          <w:trHeight w:val="1984"/>
          <w:jc w:val="center"/>
        </w:trPr>
        <w:tc>
          <w:tcPr>
            <w:tcW w:w="2835" w:type="dxa"/>
            <w:shd w:val="clear" w:color="auto" w:fill="4472C4" w:themeFill="accent1"/>
            <w:textDirection w:val="btLr"/>
            <w:vAlign w:val="center"/>
          </w:tcPr>
          <w:p w14:paraId="3515BFB9" w14:textId="77777777" w:rsidR="00262896" w:rsidRPr="00DA424D" w:rsidRDefault="00262896" w:rsidP="0002297E">
            <w:pPr>
              <w:widowControl/>
              <w:spacing w:before="40" w:after="40" w:line="240" w:lineRule="auto"/>
              <w:ind w:left="113" w:right="113"/>
              <w:jc w:val="center"/>
              <w:rPr>
                <w:rFonts w:asciiTheme="majorHAnsi" w:hAnsiTheme="majorHAnsi" w:cstheme="majorHAnsi"/>
                <w:b/>
                <w:bCs/>
                <w:color w:val="FFFFFF" w:themeColor="background1"/>
                <w:sz w:val="16"/>
                <w:szCs w:val="16"/>
                <w:lang w:val="lv-LV"/>
              </w:rPr>
            </w:pPr>
          </w:p>
        </w:tc>
        <w:tc>
          <w:tcPr>
            <w:tcW w:w="850" w:type="dxa"/>
            <w:shd w:val="clear" w:color="auto" w:fill="4472C4" w:themeFill="accent1"/>
            <w:textDirection w:val="btLr"/>
            <w:vAlign w:val="center"/>
          </w:tcPr>
          <w:p w14:paraId="1E68F06E" w14:textId="77777777" w:rsidR="00262896" w:rsidRPr="000F3EF0" w:rsidRDefault="00262896" w:rsidP="0002297E">
            <w:pPr>
              <w:widowControl/>
              <w:spacing w:after="0" w:line="240" w:lineRule="auto"/>
              <w:jc w:val="center"/>
              <w:rPr>
                <w:rFonts w:ascii="Arial Nova Cond Light" w:hAnsi="Arial Nova Cond Light" w:cstheme="majorHAnsi"/>
                <w:b/>
                <w:bCs/>
                <w:color w:val="FFFFFF" w:themeColor="background1"/>
                <w:sz w:val="16"/>
                <w:szCs w:val="16"/>
                <w:lang w:val="lv-LV"/>
              </w:rPr>
            </w:pPr>
            <w:r w:rsidRPr="000F3EF0">
              <w:rPr>
                <w:rFonts w:ascii="Arial Nova Cond Light" w:eastAsia="Times New Roman" w:hAnsi="Arial Nova Cond Light" w:cs="Calibri"/>
                <w:color w:val="FFFFFF" w:themeColor="background1"/>
                <w:sz w:val="16"/>
                <w:szCs w:val="16"/>
                <w:lang w:val="lv-LV" w:eastAsia="lv-LV"/>
              </w:rPr>
              <w:t>SEG emisija (tūkst.t CO2 ekvivalentā)</w:t>
            </w:r>
            <w:r>
              <w:rPr>
                <w:rFonts w:ascii="Arial Nova Cond Light" w:eastAsia="Times New Roman" w:hAnsi="Arial Nova Cond Light" w:cs="Calibri"/>
                <w:color w:val="FFFFFF" w:themeColor="background1"/>
                <w:sz w:val="16"/>
                <w:szCs w:val="16"/>
                <w:lang w:val="lv-LV" w:eastAsia="lv-LV"/>
              </w:rPr>
              <w:t xml:space="preserve">, </w:t>
            </w:r>
            <w:r w:rsidRPr="000F3EF0">
              <w:rPr>
                <w:rFonts w:ascii="Arial Nova Cond Light" w:eastAsia="Times New Roman" w:hAnsi="Arial Nova Cond Light" w:cs="Calibri"/>
                <w:color w:val="FFFFFF" w:themeColor="background1"/>
                <w:sz w:val="16"/>
                <w:szCs w:val="16"/>
                <w:lang w:val="lv-LV" w:eastAsia="lv-LV"/>
              </w:rPr>
              <w:t>2022.gadā</w:t>
            </w:r>
          </w:p>
        </w:tc>
        <w:tc>
          <w:tcPr>
            <w:tcW w:w="850" w:type="dxa"/>
            <w:shd w:val="clear" w:color="auto" w:fill="4472C4" w:themeFill="accent1"/>
            <w:textDirection w:val="btLr"/>
            <w:vAlign w:val="center"/>
          </w:tcPr>
          <w:p w14:paraId="3ADC65BB" w14:textId="77777777" w:rsidR="00262896" w:rsidRPr="000F3EF0" w:rsidRDefault="00262896" w:rsidP="0002297E">
            <w:pPr>
              <w:widowControl/>
              <w:spacing w:after="0" w:line="240" w:lineRule="auto"/>
              <w:jc w:val="center"/>
              <w:rPr>
                <w:rFonts w:ascii="Arial Nova Cond Light" w:eastAsia="Times New Roman" w:hAnsi="Arial Nova Cond Light" w:cs="Calibri"/>
                <w:color w:val="FFFFFF" w:themeColor="background1"/>
                <w:sz w:val="16"/>
                <w:szCs w:val="16"/>
                <w:lang w:val="lv-LV" w:eastAsia="lv-LV"/>
              </w:rPr>
            </w:pPr>
            <w:r w:rsidRPr="000F3EF0">
              <w:rPr>
                <w:rFonts w:ascii="Arial Nova Cond Light" w:eastAsia="Times New Roman" w:hAnsi="Arial Nova Cond Light" w:cs="Calibri"/>
                <w:color w:val="FFFFFF" w:themeColor="background1"/>
                <w:sz w:val="16"/>
                <w:szCs w:val="16"/>
                <w:lang w:val="lv-LV" w:eastAsia="lv-LV"/>
              </w:rPr>
              <w:t>SEG izmaiņas (tūkst.t)</w:t>
            </w:r>
            <w:r>
              <w:rPr>
                <w:rFonts w:ascii="Arial Nova Cond Light" w:eastAsia="Times New Roman" w:hAnsi="Arial Nova Cond Light" w:cs="Calibri"/>
                <w:color w:val="FFFFFF" w:themeColor="background1"/>
                <w:sz w:val="16"/>
                <w:szCs w:val="16"/>
                <w:lang w:val="lv-LV" w:eastAsia="lv-LV"/>
              </w:rPr>
              <w:t xml:space="preserve">, </w:t>
            </w:r>
            <w:r>
              <w:rPr>
                <w:rFonts w:ascii="Arial Nova Cond Light" w:eastAsia="Times New Roman" w:hAnsi="Arial Nova Cond Light" w:cs="Calibri"/>
                <w:color w:val="FFFFFF" w:themeColor="background1"/>
                <w:sz w:val="16"/>
                <w:szCs w:val="16"/>
                <w:lang w:val="lv-LV" w:eastAsia="lv-LV"/>
              </w:rPr>
              <w:br/>
            </w:r>
            <w:r w:rsidRPr="000F3EF0">
              <w:rPr>
                <w:rFonts w:ascii="Arial Nova Cond Light" w:eastAsia="Times New Roman" w:hAnsi="Arial Nova Cond Light" w:cs="Calibri"/>
                <w:color w:val="FFFFFF" w:themeColor="background1"/>
                <w:sz w:val="16"/>
                <w:szCs w:val="16"/>
                <w:lang w:val="lv-LV" w:eastAsia="lv-LV"/>
              </w:rPr>
              <w:t>2010-2022</w:t>
            </w:r>
          </w:p>
          <w:p w14:paraId="3437927F" w14:textId="77777777" w:rsidR="00262896" w:rsidRPr="000F3EF0" w:rsidRDefault="00262896" w:rsidP="0002297E">
            <w:pPr>
              <w:widowControl/>
              <w:spacing w:after="0" w:line="240" w:lineRule="auto"/>
              <w:jc w:val="center"/>
              <w:rPr>
                <w:rFonts w:ascii="Arial Nova Cond Light" w:hAnsi="Arial Nova Cond Light" w:cstheme="majorHAnsi"/>
                <w:b/>
                <w:bCs/>
                <w:color w:val="FFFFFF" w:themeColor="background1"/>
                <w:sz w:val="16"/>
                <w:szCs w:val="16"/>
                <w:lang w:val="lv-LV"/>
              </w:rPr>
            </w:pPr>
          </w:p>
        </w:tc>
        <w:tc>
          <w:tcPr>
            <w:tcW w:w="850" w:type="dxa"/>
            <w:shd w:val="clear" w:color="auto" w:fill="4472C4" w:themeFill="accent1"/>
            <w:textDirection w:val="btLr"/>
            <w:vAlign w:val="center"/>
          </w:tcPr>
          <w:p w14:paraId="52FBEAA0" w14:textId="77777777" w:rsidR="00262896" w:rsidRPr="000F3EF0" w:rsidRDefault="00262896" w:rsidP="0002297E">
            <w:pPr>
              <w:widowControl/>
              <w:spacing w:after="0" w:line="240" w:lineRule="auto"/>
              <w:jc w:val="center"/>
              <w:rPr>
                <w:rFonts w:ascii="Arial Nova Cond Light" w:hAnsi="Arial Nova Cond Light" w:cstheme="majorHAnsi"/>
                <w:b/>
                <w:bCs/>
                <w:color w:val="FFFFFF" w:themeColor="background1"/>
                <w:sz w:val="16"/>
                <w:szCs w:val="16"/>
                <w:lang w:val="lv-LV"/>
              </w:rPr>
            </w:pPr>
            <w:r w:rsidRPr="000F3EF0">
              <w:rPr>
                <w:rFonts w:ascii="Arial Nova Cond Light" w:eastAsia="Times New Roman" w:hAnsi="Arial Nova Cond Light" w:cs="Calibri"/>
                <w:color w:val="FFFFFF" w:themeColor="background1"/>
                <w:sz w:val="16"/>
                <w:szCs w:val="16"/>
                <w:lang w:val="lv-LV" w:eastAsia="lv-LV"/>
              </w:rPr>
              <w:t xml:space="preserve">Investīcijas (izdevumi kopējā pamatkapitāla veidošanā) </w:t>
            </w:r>
            <w:r>
              <w:rPr>
                <w:rFonts w:ascii="Arial Nova Cond Light" w:eastAsia="Times New Roman" w:hAnsi="Arial Nova Cond Light" w:cs="Calibri"/>
                <w:color w:val="FFFFFF" w:themeColor="background1"/>
                <w:sz w:val="16"/>
                <w:szCs w:val="16"/>
                <w:lang w:val="lv-LV" w:eastAsia="lv-LV"/>
              </w:rPr>
              <w:br/>
            </w:r>
            <w:r w:rsidRPr="000F3EF0">
              <w:rPr>
                <w:rFonts w:ascii="Arial Nova Cond Light" w:eastAsia="Times New Roman" w:hAnsi="Arial Nova Cond Light" w:cs="Calibri"/>
                <w:color w:val="FFFFFF" w:themeColor="background1"/>
                <w:sz w:val="16"/>
                <w:szCs w:val="16"/>
                <w:lang w:val="lv-LV" w:eastAsia="lv-LV"/>
              </w:rPr>
              <w:t>2010-2022.</w:t>
            </w:r>
            <w:r>
              <w:rPr>
                <w:rFonts w:ascii="Arial Nova Cond Light" w:eastAsia="Times New Roman" w:hAnsi="Arial Nova Cond Light" w:cs="Calibri"/>
                <w:color w:val="FFFFFF" w:themeColor="background1"/>
                <w:sz w:val="16"/>
                <w:szCs w:val="16"/>
                <w:lang w:val="lv-LV" w:eastAsia="lv-LV"/>
              </w:rPr>
              <w:t>, m</w:t>
            </w:r>
            <w:r w:rsidRPr="000F3EF0">
              <w:rPr>
                <w:rFonts w:ascii="Arial Nova Cond Light" w:eastAsia="Times New Roman" w:hAnsi="Arial Nova Cond Light" w:cs="Calibri"/>
                <w:color w:val="FFFFFF" w:themeColor="background1"/>
                <w:sz w:val="16"/>
                <w:szCs w:val="16"/>
                <w:lang w:val="lv-LV" w:eastAsia="lv-LV"/>
              </w:rPr>
              <w:t>ilj. euro</w:t>
            </w:r>
          </w:p>
        </w:tc>
        <w:tc>
          <w:tcPr>
            <w:tcW w:w="850" w:type="dxa"/>
            <w:shd w:val="clear" w:color="auto" w:fill="4472C4" w:themeFill="accent1"/>
            <w:textDirection w:val="btLr"/>
            <w:vAlign w:val="center"/>
          </w:tcPr>
          <w:p w14:paraId="2564E9D2" w14:textId="77777777" w:rsidR="00262896" w:rsidRPr="000F3EF0" w:rsidRDefault="00262896" w:rsidP="0002297E">
            <w:pPr>
              <w:widowControl/>
              <w:spacing w:after="0" w:line="240" w:lineRule="auto"/>
              <w:jc w:val="center"/>
              <w:rPr>
                <w:rFonts w:ascii="Arial Nova Cond Light" w:hAnsi="Arial Nova Cond Light" w:cstheme="majorHAnsi"/>
                <w:b/>
                <w:bCs/>
                <w:color w:val="FFFFFF" w:themeColor="background1"/>
                <w:sz w:val="16"/>
                <w:szCs w:val="16"/>
                <w:lang w:val="lv-LV"/>
              </w:rPr>
            </w:pPr>
            <w:r w:rsidRPr="000F3EF0">
              <w:rPr>
                <w:rFonts w:ascii="Arial Nova Cond Light" w:eastAsia="Times New Roman" w:hAnsi="Arial Nova Cond Light" w:cs="Calibri"/>
                <w:color w:val="FFFFFF" w:themeColor="background1"/>
                <w:sz w:val="16"/>
                <w:szCs w:val="16"/>
                <w:lang w:val="lv-LV" w:eastAsia="lv-LV"/>
              </w:rPr>
              <w:t xml:space="preserve">SEG emisiju apjoma izmaiņas </w:t>
            </w:r>
            <w:r>
              <w:rPr>
                <w:rFonts w:ascii="Arial Nova Cond Light" w:eastAsia="Times New Roman" w:hAnsi="Arial Nova Cond Light" w:cs="Calibri"/>
                <w:color w:val="FFFFFF" w:themeColor="background1"/>
                <w:sz w:val="16"/>
                <w:szCs w:val="16"/>
                <w:lang w:val="lv-LV" w:eastAsia="lv-LV"/>
              </w:rPr>
              <w:br/>
            </w:r>
            <w:r w:rsidRPr="000F3EF0">
              <w:rPr>
                <w:rFonts w:ascii="Arial Nova Cond Light" w:eastAsia="Times New Roman" w:hAnsi="Arial Nova Cond Light" w:cs="Calibri"/>
                <w:color w:val="FFFFFF" w:themeColor="background1"/>
                <w:sz w:val="16"/>
                <w:szCs w:val="16"/>
                <w:lang w:val="lv-LV" w:eastAsia="lv-LV"/>
              </w:rPr>
              <w:t xml:space="preserve">(kg. uz 1 euro ieguldījumos </w:t>
            </w:r>
            <w:r>
              <w:rPr>
                <w:rFonts w:ascii="Arial Nova Cond Light" w:eastAsia="Times New Roman" w:hAnsi="Arial Nova Cond Light" w:cs="Calibri"/>
                <w:color w:val="FFFFFF" w:themeColor="background1"/>
                <w:sz w:val="16"/>
                <w:szCs w:val="16"/>
                <w:lang w:val="lv-LV" w:eastAsia="lv-LV"/>
              </w:rPr>
              <w:br/>
            </w:r>
            <w:r w:rsidRPr="000F3EF0">
              <w:rPr>
                <w:rFonts w:ascii="Arial Nova Cond Light" w:eastAsia="Times New Roman" w:hAnsi="Arial Nova Cond Light" w:cs="Calibri"/>
                <w:color w:val="FFFFFF" w:themeColor="background1"/>
                <w:sz w:val="16"/>
                <w:szCs w:val="16"/>
                <w:lang w:val="lv-LV" w:eastAsia="lv-LV"/>
              </w:rPr>
              <w:t>kopējā pamatkapitāla veidošanā</w:t>
            </w:r>
          </w:p>
        </w:tc>
        <w:tc>
          <w:tcPr>
            <w:tcW w:w="850" w:type="dxa"/>
            <w:shd w:val="clear" w:color="auto" w:fill="4472C4" w:themeFill="accent1"/>
            <w:textDirection w:val="btLr"/>
            <w:vAlign w:val="center"/>
          </w:tcPr>
          <w:p w14:paraId="2B6AF422" w14:textId="77777777" w:rsidR="00262896" w:rsidRPr="000F3EF0" w:rsidRDefault="00262896" w:rsidP="0002297E">
            <w:pPr>
              <w:widowControl/>
              <w:spacing w:after="0" w:line="240" w:lineRule="auto"/>
              <w:jc w:val="center"/>
              <w:rPr>
                <w:rFonts w:ascii="Arial Nova Cond Light" w:hAnsi="Arial Nova Cond Light" w:cstheme="majorHAnsi"/>
                <w:b/>
                <w:bCs/>
                <w:color w:val="FFFFFF" w:themeColor="background1"/>
                <w:sz w:val="16"/>
                <w:szCs w:val="16"/>
                <w:lang w:val="lv-LV"/>
              </w:rPr>
            </w:pPr>
            <w:r w:rsidRPr="000F3EF0">
              <w:rPr>
                <w:rFonts w:ascii="Arial Nova Cond Light" w:eastAsia="Times New Roman" w:hAnsi="Arial Nova Cond Light" w:cs="Calibri"/>
                <w:color w:val="FFFFFF" w:themeColor="background1"/>
                <w:sz w:val="16"/>
                <w:szCs w:val="16"/>
                <w:lang w:val="lv-LV" w:eastAsia="lv-LV"/>
              </w:rPr>
              <w:t xml:space="preserve">Investīciju līmenis (izdevumi kopējā pamatkapitāla veidošanā </w:t>
            </w:r>
            <w:r>
              <w:rPr>
                <w:rFonts w:ascii="Arial Nova Cond Light" w:eastAsia="Times New Roman" w:hAnsi="Arial Nova Cond Light" w:cs="Calibri"/>
                <w:color w:val="FFFFFF" w:themeColor="background1"/>
                <w:sz w:val="16"/>
                <w:szCs w:val="16"/>
                <w:lang w:val="lv-LV" w:eastAsia="lv-LV"/>
              </w:rPr>
              <w:br/>
            </w:r>
            <w:r w:rsidRPr="000F3EF0">
              <w:rPr>
                <w:rFonts w:ascii="Arial Nova Cond Light" w:eastAsia="Times New Roman" w:hAnsi="Arial Nova Cond Light" w:cs="Calibri"/>
                <w:color w:val="FFFFFF" w:themeColor="background1"/>
                <w:sz w:val="16"/>
                <w:szCs w:val="16"/>
                <w:lang w:val="lv-LV" w:eastAsia="lv-LV"/>
              </w:rPr>
              <w:t>% pret PV)</w:t>
            </w:r>
            <w:r>
              <w:rPr>
                <w:rFonts w:ascii="Arial Nova Cond Light" w:eastAsia="Times New Roman" w:hAnsi="Arial Nova Cond Light" w:cs="Calibri"/>
                <w:color w:val="FFFFFF" w:themeColor="background1"/>
                <w:sz w:val="16"/>
                <w:szCs w:val="16"/>
                <w:lang w:val="lv-LV" w:eastAsia="lv-LV"/>
              </w:rPr>
              <w:t xml:space="preserve">, </w:t>
            </w:r>
            <w:r w:rsidRPr="000F3EF0">
              <w:rPr>
                <w:rFonts w:ascii="Arial Nova Cond Light" w:eastAsia="Times New Roman" w:hAnsi="Arial Nova Cond Light" w:cs="Calibri"/>
                <w:color w:val="FFFFFF" w:themeColor="background1"/>
                <w:sz w:val="16"/>
                <w:szCs w:val="16"/>
                <w:lang w:val="lv-LV" w:eastAsia="lv-LV"/>
              </w:rPr>
              <w:t>vidēji 2010-2022</w:t>
            </w:r>
          </w:p>
        </w:tc>
        <w:tc>
          <w:tcPr>
            <w:tcW w:w="850" w:type="dxa"/>
            <w:shd w:val="clear" w:color="auto" w:fill="4472C4" w:themeFill="accent1"/>
            <w:textDirection w:val="btLr"/>
            <w:vAlign w:val="center"/>
          </w:tcPr>
          <w:p w14:paraId="412483D5" w14:textId="77777777" w:rsidR="00262896" w:rsidRPr="000F3EF0" w:rsidRDefault="00262896" w:rsidP="0002297E">
            <w:pPr>
              <w:widowControl/>
              <w:spacing w:after="0" w:line="240" w:lineRule="auto"/>
              <w:jc w:val="center"/>
              <w:rPr>
                <w:rFonts w:ascii="Arial Nova Cond Light" w:hAnsi="Arial Nova Cond Light" w:cstheme="majorHAnsi"/>
                <w:b/>
                <w:bCs/>
                <w:color w:val="FFFFFF" w:themeColor="background1"/>
                <w:sz w:val="16"/>
                <w:szCs w:val="16"/>
                <w:lang w:val="lv-LV"/>
              </w:rPr>
            </w:pPr>
            <w:r>
              <w:rPr>
                <w:rFonts w:ascii="Arial Nova Cond Light" w:eastAsia="Times New Roman" w:hAnsi="Arial Nova Cond Light" w:cs="Calibri"/>
                <w:color w:val="FFFFFF" w:themeColor="background1"/>
                <w:sz w:val="16"/>
                <w:szCs w:val="16"/>
                <w:lang w:val="lv-LV" w:eastAsia="lv-LV"/>
              </w:rPr>
              <w:t>I</w:t>
            </w:r>
            <w:r w:rsidRPr="000F3EF0">
              <w:rPr>
                <w:rFonts w:ascii="Arial Nova Cond Light" w:eastAsia="Times New Roman" w:hAnsi="Arial Nova Cond Light" w:cs="Calibri"/>
                <w:color w:val="FFFFFF" w:themeColor="background1"/>
                <w:sz w:val="16"/>
                <w:szCs w:val="16"/>
                <w:lang w:val="lv-LV" w:eastAsia="lv-LV"/>
              </w:rPr>
              <w:t>zdevumi kopējā pamatkapitāla veidošanā % no nefinanšu aktīvu bruto vērtības 2021.gadā</w:t>
            </w:r>
            <w:r>
              <w:rPr>
                <w:rFonts w:ascii="Arial Nova Cond Light" w:eastAsia="Times New Roman" w:hAnsi="Arial Nova Cond Light" w:cs="Calibri"/>
                <w:color w:val="FFFFFF" w:themeColor="background1"/>
                <w:sz w:val="16"/>
                <w:szCs w:val="16"/>
                <w:lang w:val="lv-LV" w:eastAsia="lv-LV"/>
              </w:rPr>
              <w:t>, fc.</w:t>
            </w:r>
          </w:p>
        </w:tc>
        <w:tc>
          <w:tcPr>
            <w:tcW w:w="1700" w:type="dxa"/>
            <w:gridSpan w:val="2"/>
            <w:shd w:val="clear" w:color="auto" w:fill="4472C4" w:themeFill="accent1"/>
            <w:textDirection w:val="btLr"/>
            <w:vAlign w:val="center"/>
          </w:tcPr>
          <w:p w14:paraId="30E26729" w14:textId="77777777" w:rsidR="00262896" w:rsidRPr="00DA424D" w:rsidRDefault="00262896" w:rsidP="0002297E">
            <w:pPr>
              <w:widowControl/>
              <w:spacing w:before="40" w:after="40" w:line="240" w:lineRule="auto"/>
              <w:ind w:left="113" w:right="-85"/>
              <w:jc w:val="center"/>
              <w:rPr>
                <w:rFonts w:asciiTheme="majorHAnsi" w:hAnsiTheme="majorHAnsi" w:cstheme="majorHAnsi"/>
                <w:b/>
                <w:bCs/>
                <w:color w:val="FFFFFF" w:themeColor="background1"/>
                <w:sz w:val="16"/>
                <w:szCs w:val="16"/>
                <w:lang w:val="lv-LV"/>
              </w:rPr>
            </w:pPr>
            <w:r w:rsidRPr="000F3EF0">
              <w:rPr>
                <w:rFonts w:ascii="Arial Nova Cond Light" w:eastAsia="Times New Roman" w:hAnsi="Arial Nova Cond Light" w:cs="Calibri"/>
                <w:color w:val="FFFFFF" w:themeColor="background1"/>
                <w:sz w:val="16"/>
                <w:szCs w:val="16"/>
                <w:lang w:val="lv-LV" w:eastAsia="lv-LV"/>
              </w:rPr>
              <w:t xml:space="preserve">SEG emisiju pret </w:t>
            </w:r>
            <w:r>
              <w:rPr>
                <w:rFonts w:ascii="Arial Nova Cond Light" w:eastAsia="Times New Roman" w:hAnsi="Arial Nova Cond Light" w:cs="Calibri"/>
                <w:color w:val="FFFFFF" w:themeColor="background1"/>
                <w:sz w:val="16"/>
                <w:szCs w:val="16"/>
                <w:lang w:val="lv-LV" w:eastAsia="lv-LV"/>
              </w:rPr>
              <w:br/>
            </w:r>
            <w:r w:rsidRPr="000F3EF0">
              <w:rPr>
                <w:rFonts w:ascii="Arial Nova Cond Light" w:eastAsia="Times New Roman" w:hAnsi="Arial Nova Cond Light" w:cs="Calibri"/>
                <w:color w:val="FFFFFF" w:themeColor="background1"/>
                <w:sz w:val="16"/>
                <w:szCs w:val="16"/>
                <w:lang w:val="lv-LV" w:eastAsia="lv-LV"/>
              </w:rPr>
              <w:t xml:space="preserve">nefinanšu aktīvu </w:t>
            </w:r>
            <w:r>
              <w:rPr>
                <w:rFonts w:ascii="Arial Nova Cond Light" w:eastAsia="Times New Roman" w:hAnsi="Arial Nova Cond Light" w:cs="Calibri"/>
                <w:color w:val="FFFFFF" w:themeColor="background1"/>
                <w:sz w:val="16"/>
                <w:szCs w:val="16"/>
                <w:lang w:val="lv-LV" w:eastAsia="lv-LV"/>
              </w:rPr>
              <w:br/>
            </w:r>
            <w:r w:rsidRPr="000F3EF0">
              <w:rPr>
                <w:rFonts w:ascii="Arial Nova Cond Light" w:eastAsia="Times New Roman" w:hAnsi="Arial Nova Cond Light" w:cs="Calibri"/>
                <w:color w:val="FFFFFF" w:themeColor="background1"/>
                <w:sz w:val="16"/>
                <w:szCs w:val="16"/>
                <w:lang w:val="lv-LV" w:eastAsia="lv-LV"/>
              </w:rPr>
              <w:t xml:space="preserve">bruto vērtību </w:t>
            </w:r>
            <w:r>
              <w:rPr>
                <w:rFonts w:ascii="Arial Nova Cond Light" w:eastAsia="Times New Roman" w:hAnsi="Arial Nova Cond Light" w:cs="Calibri"/>
                <w:color w:val="FFFFFF" w:themeColor="background1"/>
                <w:sz w:val="16"/>
                <w:szCs w:val="16"/>
                <w:lang w:val="lv-LV" w:eastAsia="lv-LV"/>
              </w:rPr>
              <w:br/>
            </w:r>
            <w:r w:rsidRPr="000F3EF0">
              <w:rPr>
                <w:rFonts w:ascii="Arial Nova Cond Light" w:eastAsia="Times New Roman" w:hAnsi="Arial Nova Cond Light" w:cs="Calibri"/>
                <w:color w:val="FFFFFF" w:themeColor="background1"/>
                <w:sz w:val="16"/>
                <w:szCs w:val="16"/>
                <w:lang w:val="lv-LV" w:eastAsia="lv-LV"/>
              </w:rPr>
              <w:t>(kg uz 1 euro NA)</w:t>
            </w:r>
          </w:p>
        </w:tc>
      </w:tr>
      <w:tr w:rsidR="00262896" w:rsidRPr="00DA424D" w14:paraId="34F09590" w14:textId="77777777" w:rsidTr="0002297E">
        <w:trPr>
          <w:jc w:val="center"/>
        </w:trPr>
        <w:tc>
          <w:tcPr>
            <w:tcW w:w="2835" w:type="dxa"/>
            <w:shd w:val="clear" w:color="auto" w:fill="4472C4" w:themeFill="accent1"/>
            <w:vAlign w:val="center"/>
          </w:tcPr>
          <w:p w14:paraId="1F94B0E2" w14:textId="77777777" w:rsidR="00262896" w:rsidRPr="00DA424D" w:rsidRDefault="00262896" w:rsidP="0002297E">
            <w:pPr>
              <w:widowControl/>
              <w:spacing w:before="40" w:after="40" w:line="240" w:lineRule="auto"/>
              <w:jc w:val="center"/>
              <w:rPr>
                <w:rFonts w:asciiTheme="majorHAnsi" w:hAnsiTheme="majorHAnsi" w:cstheme="majorHAnsi"/>
                <w:b/>
                <w:bCs/>
                <w:color w:val="FFFFFF" w:themeColor="background1"/>
                <w:sz w:val="16"/>
                <w:szCs w:val="16"/>
                <w:lang w:val="lv-LV"/>
              </w:rPr>
            </w:pPr>
          </w:p>
        </w:tc>
        <w:tc>
          <w:tcPr>
            <w:tcW w:w="850" w:type="dxa"/>
            <w:shd w:val="clear" w:color="auto" w:fill="4472C4" w:themeFill="accent1"/>
            <w:vAlign w:val="center"/>
          </w:tcPr>
          <w:p w14:paraId="26528660" w14:textId="77777777" w:rsidR="00262896" w:rsidRPr="00DA424D" w:rsidRDefault="00262896" w:rsidP="0002297E">
            <w:pPr>
              <w:widowControl/>
              <w:spacing w:before="40" w:after="40" w:line="240" w:lineRule="auto"/>
              <w:ind w:right="-85"/>
              <w:jc w:val="center"/>
              <w:rPr>
                <w:rFonts w:asciiTheme="majorHAnsi" w:hAnsiTheme="majorHAnsi" w:cstheme="majorHAnsi"/>
                <w:b/>
                <w:bCs/>
                <w:color w:val="FFFFFF" w:themeColor="background1"/>
                <w:sz w:val="16"/>
                <w:szCs w:val="16"/>
                <w:lang w:val="lv-LV"/>
              </w:rPr>
            </w:pPr>
          </w:p>
        </w:tc>
        <w:tc>
          <w:tcPr>
            <w:tcW w:w="850" w:type="dxa"/>
            <w:shd w:val="clear" w:color="auto" w:fill="4472C4" w:themeFill="accent1"/>
            <w:vAlign w:val="center"/>
          </w:tcPr>
          <w:p w14:paraId="46F9D429" w14:textId="77777777" w:rsidR="00262896" w:rsidRPr="00DA424D" w:rsidRDefault="00262896" w:rsidP="0002297E">
            <w:pPr>
              <w:widowControl/>
              <w:spacing w:before="40" w:after="40" w:line="240" w:lineRule="auto"/>
              <w:ind w:right="-85"/>
              <w:jc w:val="center"/>
              <w:rPr>
                <w:rFonts w:asciiTheme="majorHAnsi" w:hAnsiTheme="majorHAnsi" w:cstheme="majorHAnsi"/>
                <w:b/>
                <w:bCs/>
                <w:color w:val="FFFFFF" w:themeColor="background1"/>
                <w:sz w:val="16"/>
                <w:szCs w:val="16"/>
                <w:lang w:val="lv-LV"/>
              </w:rPr>
            </w:pPr>
          </w:p>
        </w:tc>
        <w:tc>
          <w:tcPr>
            <w:tcW w:w="850" w:type="dxa"/>
            <w:shd w:val="clear" w:color="auto" w:fill="4472C4" w:themeFill="accent1"/>
            <w:vAlign w:val="center"/>
          </w:tcPr>
          <w:p w14:paraId="794D0714" w14:textId="77777777" w:rsidR="00262896" w:rsidRPr="00DA424D" w:rsidRDefault="00262896" w:rsidP="0002297E">
            <w:pPr>
              <w:widowControl/>
              <w:spacing w:before="40" w:after="40" w:line="240" w:lineRule="auto"/>
              <w:jc w:val="center"/>
              <w:rPr>
                <w:rFonts w:asciiTheme="majorHAnsi" w:hAnsiTheme="majorHAnsi" w:cstheme="majorHAnsi"/>
                <w:b/>
                <w:bCs/>
                <w:color w:val="FFFFFF" w:themeColor="background1"/>
                <w:sz w:val="16"/>
                <w:szCs w:val="16"/>
                <w:lang w:val="lv-LV"/>
              </w:rPr>
            </w:pPr>
          </w:p>
        </w:tc>
        <w:tc>
          <w:tcPr>
            <w:tcW w:w="850" w:type="dxa"/>
            <w:shd w:val="clear" w:color="auto" w:fill="4472C4" w:themeFill="accent1"/>
            <w:vAlign w:val="center"/>
          </w:tcPr>
          <w:p w14:paraId="1B157078" w14:textId="77777777" w:rsidR="00262896" w:rsidRPr="00DA424D" w:rsidRDefault="00262896" w:rsidP="0002297E">
            <w:pPr>
              <w:widowControl/>
              <w:spacing w:before="40" w:after="40" w:line="240" w:lineRule="auto"/>
              <w:jc w:val="center"/>
              <w:rPr>
                <w:rFonts w:asciiTheme="majorHAnsi" w:hAnsiTheme="majorHAnsi" w:cstheme="majorHAnsi"/>
                <w:b/>
                <w:bCs/>
                <w:color w:val="FFFFFF" w:themeColor="background1"/>
                <w:sz w:val="16"/>
                <w:szCs w:val="16"/>
                <w:lang w:val="lv-LV"/>
              </w:rPr>
            </w:pPr>
          </w:p>
        </w:tc>
        <w:tc>
          <w:tcPr>
            <w:tcW w:w="850" w:type="dxa"/>
            <w:shd w:val="clear" w:color="auto" w:fill="4472C4" w:themeFill="accent1"/>
          </w:tcPr>
          <w:p w14:paraId="20887C25" w14:textId="77777777" w:rsidR="00262896" w:rsidRPr="00DA424D" w:rsidRDefault="00262896" w:rsidP="0002297E">
            <w:pPr>
              <w:widowControl/>
              <w:spacing w:before="40" w:after="40" w:line="240" w:lineRule="auto"/>
              <w:ind w:right="-85"/>
              <w:jc w:val="center"/>
              <w:rPr>
                <w:rFonts w:asciiTheme="majorHAnsi" w:hAnsiTheme="majorHAnsi" w:cstheme="majorHAnsi"/>
                <w:b/>
                <w:bCs/>
                <w:color w:val="FFFFFF" w:themeColor="background1"/>
                <w:sz w:val="16"/>
                <w:szCs w:val="16"/>
                <w:lang w:val="lv-LV"/>
              </w:rPr>
            </w:pPr>
          </w:p>
        </w:tc>
        <w:tc>
          <w:tcPr>
            <w:tcW w:w="850" w:type="dxa"/>
            <w:shd w:val="clear" w:color="auto" w:fill="4472C4" w:themeFill="accent1"/>
          </w:tcPr>
          <w:p w14:paraId="2F0F5509" w14:textId="77777777" w:rsidR="00262896" w:rsidRPr="00DA424D" w:rsidRDefault="00262896" w:rsidP="0002297E">
            <w:pPr>
              <w:widowControl/>
              <w:spacing w:before="40" w:after="40" w:line="240" w:lineRule="auto"/>
              <w:ind w:right="-85"/>
              <w:jc w:val="center"/>
              <w:rPr>
                <w:rFonts w:asciiTheme="majorHAnsi" w:hAnsiTheme="majorHAnsi" w:cstheme="majorHAnsi"/>
                <w:b/>
                <w:bCs/>
                <w:color w:val="FFFFFF" w:themeColor="background1"/>
                <w:sz w:val="16"/>
                <w:szCs w:val="16"/>
                <w:lang w:val="lv-LV"/>
              </w:rPr>
            </w:pPr>
          </w:p>
        </w:tc>
        <w:tc>
          <w:tcPr>
            <w:tcW w:w="850" w:type="dxa"/>
            <w:shd w:val="clear" w:color="auto" w:fill="4472C4" w:themeFill="accent1"/>
            <w:vAlign w:val="center"/>
          </w:tcPr>
          <w:p w14:paraId="7A3DF995" w14:textId="77777777" w:rsidR="00262896" w:rsidRPr="00DA424D" w:rsidRDefault="00262896" w:rsidP="0002297E">
            <w:pPr>
              <w:widowControl/>
              <w:spacing w:before="40" w:after="40" w:line="240" w:lineRule="auto"/>
              <w:ind w:right="-85"/>
              <w:jc w:val="center"/>
              <w:rPr>
                <w:rFonts w:asciiTheme="majorHAnsi" w:hAnsiTheme="majorHAnsi" w:cstheme="majorHAnsi"/>
                <w:b/>
                <w:bCs/>
                <w:color w:val="FFFFFF" w:themeColor="background1"/>
                <w:sz w:val="16"/>
                <w:szCs w:val="16"/>
                <w:lang w:val="lv-LV"/>
              </w:rPr>
            </w:pPr>
            <w:r w:rsidRPr="00DA424D">
              <w:rPr>
                <w:rFonts w:asciiTheme="majorHAnsi" w:hAnsiTheme="majorHAnsi" w:cstheme="majorHAnsi"/>
                <w:b/>
                <w:bCs/>
                <w:color w:val="FFFFFF" w:themeColor="background1"/>
                <w:sz w:val="16"/>
                <w:szCs w:val="16"/>
                <w:lang w:val="lv-LV"/>
              </w:rPr>
              <w:t>2010</w:t>
            </w:r>
          </w:p>
        </w:tc>
        <w:tc>
          <w:tcPr>
            <w:tcW w:w="850" w:type="dxa"/>
            <w:shd w:val="clear" w:color="auto" w:fill="4472C4" w:themeFill="accent1"/>
            <w:vAlign w:val="center"/>
          </w:tcPr>
          <w:p w14:paraId="369CB5A0" w14:textId="77777777" w:rsidR="00262896" w:rsidRPr="00DA424D" w:rsidRDefault="00262896" w:rsidP="0002297E">
            <w:pPr>
              <w:widowControl/>
              <w:spacing w:before="40" w:after="40" w:line="240" w:lineRule="auto"/>
              <w:ind w:right="-85"/>
              <w:jc w:val="center"/>
              <w:rPr>
                <w:rFonts w:asciiTheme="majorHAnsi" w:hAnsiTheme="majorHAnsi" w:cstheme="majorHAnsi"/>
                <w:b/>
                <w:bCs/>
                <w:color w:val="FFFFFF" w:themeColor="background1"/>
                <w:sz w:val="16"/>
                <w:szCs w:val="16"/>
                <w:lang w:val="lv-LV"/>
              </w:rPr>
            </w:pPr>
            <w:r>
              <w:rPr>
                <w:rFonts w:asciiTheme="majorHAnsi" w:hAnsiTheme="majorHAnsi" w:cstheme="majorHAnsi"/>
                <w:b/>
                <w:bCs/>
                <w:color w:val="FFFFFF" w:themeColor="background1"/>
                <w:sz w:val="16"/>
                <w:szCs w:val="16"/>
                <w:lang w:val="lv-LV"/>
              </w:rPr>
              <w:t>2021</w:t>
            </w:r>
          </w:p>
        </w:tc>
      </w:tr>
      <w:tr w:rsidR="00262896" w:rsidRPr="00DA424D" w14:paraId="2DF9A132" w14:textId="77777777" w:rsidTr="0002297E">
        <w:trPr>
          <w:jc w:val="center"/>
        </w:trPr>
        <w:tc>
          <w:tcPr>
            <w:tcW w:w="2835" w:type="dxa"/>
            <w:shd w:val="clear" w:color="auto" w:fill="D9E2F3" w:themeFill="accent1" w:themeFillTint="33"/>
            <w:vAlign w:val="center"/>
          </w:tcPr>
          <w:p w14:paraId="0CA6985F" w14:textId="77777777" w:rsidR="00262896" w:rsidRPr="00DA424D" w:rsidRDefault="00262896" w:rsidP="0002297E">
            <w:pPr>
              <w:widowControl/>
              <w:spacing w:before="40" w:after="40" w:line="240" w:lineRule="auto"/>
              <w:rPr>
                <w:rFonts w:asciiTheme="majorHAnsi" w:hAnsiTheme="majorHAnsi" w:cstheme="majorHAnsi"/>
                <w:b/>
                <w:bCs/>
                <w:sz w:val="16"/>
                <w:szCs w:val="16"/>
                <w:lang w:val="lv-LV"/>
              </w:rPr>
            </w:pPr>
            <w:r w:rsidRPr="00DA424D">
              <w:rPr>
                <w:rFonts w:asciiTheme="majorHAnsi" w:hAnsiTheme="majorHAnsi" w:cstheme="majorHAnsi"/>
                <w:b/>
                <w:bCs/>
                <w:sz w:val="16"/>
                <w:szCs w:val="16"/>
                <w:lang w:val="lv-LV"/>
              </w:rPr>
              <w:t>Kopā</w:t>
            </w:r>
          </w:p>
        </w:tc>
        <w:tc>
          <w:tcPr>
            <w:tcW w:w="850" w:type="dxa"/>
            <w:shd w:val="clear" w:color="auto" w:fill="D9E2F3" w:themeFill="accent1" w:themeFillTint="33"/>
            <w:vAlign w:val="bottom"/>
          </w:tcPr>
          <w:p w14:paraId="6E302CEE" w14:textId="77777777" w:rsidR="00262896" w:rsidRPr="000F3EF0" w:rsidRDefault="00262896" w:rsidP="0002297E">
            <w:pPr>
              <w:widowControl/>
              <w:spacing w:before="40" w:after="40" w:line="240" w:lineRule="auto"/>
              <w:jc w:val="center"/>
              <w:rPr>
                <w:rFonts w:asciiTheme="majorHAnsi" w:hAnsiTheme="majorHAnsi" w:cstheme="majorHAnsi"/>
                <w:b/>
                <w:bCs/>
                <w:sz w:val="16"/>
                <w:szCs w:val="16"/>
                <w:lang w:val="lv-LV"/>
              </w:rPr>
            </w:pPr>
            <w:r w:rsidRPr="000F3EF0">
              <w:rPr>
                <w:rFonts w:asciiTheme="majorHAnsi" w:eastAsia="Times New Roman" w:hAnsiTheme="majorHAnsi" w:cstheme="majorHAnsi"/>
                <w:b/>
                <w:bCs/>
                <w:color w:val="000000"/>
                <w:sz w:val="16"/>
                <w:szCs w:val="16"/>
                <w:lang w:val="lv-LV" w:eastAsia="lv-LV"/>
              </w:rPr>
              <w:t>9 290,5</w:t>
            </w:r>
          </w:p>
        </w:tc>
        <w:tc>
          <w:tcPr>
            <w:tcW w:w="850" w:type="dxa"/>
            <w:shd w:val="clear" w:color="auto" w:fill="D9E2F3" w:themeFill="accent1" w:themeFillTint="33"/>
            <w:vAlign w:val="bottom"/>
          </w:tcPr>
          <w:p w14:paraId="49389E0C" w14:textId="77777777" w:rsidR="00262896" w:rsidRPr="000F3EF0" w:rsidRDefault="00262896" w:rsidP="0002297E">
            <w:pPr>
              <w:widowControl/>
              <w:spacing w:before="40" w:after="40" w:line="240" w:lineRule="auto"/>
              <w:jc w:val="center"/>
              <w:rPr>
                <w:rFonts w:asciiTheme="majorHAnsi" w:hAnsiTheme="majorHAnsi" w:cstheme="majorHAnsi"/>
                <w:b/>
                <w:bCs/>
                <w:sz w:val="16"/>
                <w:szCs w:val="16"/>
                <w:lang w:val="lv-LV"/>
              </w:rPr>
            </w:pPr>
            <w:r w:rsidRPr="000F3EF0">
              <w:rPr>
                <w:rFonts w:asciiTheme="majorHAnsi" w:eastAsia="Times New Roman" w:hAnsiTheme="majorHAnsi" w:cstheme="majorHAnsi"/>
                <w:b/>
                <w:bCs/>
                <w:color w:val="000000"/>
                <w:sz w:val="16"/>
                <w:szCs w:val="16"/>
                <w:lang w:val="lv-LV" w:eastAsia="lv-LV"/>
              </w:rPr>
              <w:t>-2 129,7</w:t>
            </w:r>
          </w:p>
        </w:tc>
        <w:tc>
          <w:tcPr>
            <w:tcW w:w="850" w:type="dxa"/>
            <w:shd w:val="clear" w:color="auto" w:fill="D9E2F3" w:themeFill="accent1" w:themeFillTint="33"/>
            <w:vAlign w:val="bottom"/>
          </w:tcPr>
          <w:p w14:paraId="1C14084E" w14:textId="77777777" w:rsidR="00262896" w:rsidRPr="000F3EF0" w:rsidRDefault="00262896" w:rsidP="0002297E">
            <w:pPr>
              <w:widowControl/>
              <w:spacing w:before="40" w:after="40" w:line="240" w:lineRule="auto"/>
              <w:jc w:val="center"/>
              <w:rPr>
                <w:rFonts w:asciiTheme="majorHAnsi" w:hAnsiTheme="majorHAnsi" w:cstheme="majorHAnsi"/>
                <w:b/>
                <w:bCs/>
                <w:sz w:val="16"/>
                <w:szCs w:val="16"/>
                <w:lang w:val="lv-LV"/>
              </w:rPr>
            </w:pPr>
            <w:r w:rsidRPr="000F3EF0">
              <w:rPr>
                <w:rFonts w:asciiTheme="majorHAnsi" w:eastAsia="Times New Roman" w:hAnsiTheme="majorHAnsi" w:cstheme="majorHAnsi"/>
                <w:b/>
                <w:bCs/>
                <w:color w:val="000000"/>
                <w:sz w:val="16"/>
                <w:szCs w:val="16"/>
                <w:lang w:val="lv-LV" w:eastAsia="lv-LV"/>
              </w:rPr>
              <w:t>76 285,1</w:t>
            </w:r>
          </w:p>
        </w:tc>
        <w:tc>
          <w:tcPr>
            <w:tcW w:w="850" w:type="dxa"/>
            <w:shd w:val="clear" w:color="auto" w:fill="D9E2F3" w:themeFill="accent1" w:themeFillTint="33"/>
            <w:vAlign w:val="bottom"/>
          </w:tcPr>
          <w:p w14:paraId="478F58ED" w14:textId="77777777" w:rsidR="00262896" w:rsidRPr="000F3EF0" w:rsidRDefault="00262896" w:rsidP="0002297E">
            <w:pPr>
              <w:widowControl/>
              <w:spacing w:before="40" w:after="40" w:line="240" w:lineRule="auto"/>
              <w:jc w:val="center"/>
              <w:rPr>
                <w:rFonts w:asciiTheme="majorHAnsi" w:hAnsiTheme="majorHAnsi" w:cstheme="majorHAnsi"/>
                <w:b/>
                <w:bCs/>
                <w:sz w:val="16"/>
                <w:szCs w:val="16"/>
                <w:lang w:val="lv-LV"/>
              </w:rPr>
            </w:pPr>
            <w:r w:rsidRPr="000F3EF0">
              <w:rPr>
                <w:rFonts w:asciiTheme="majorHAnsi" w:eastAsia="Times New Roman" w:hAnsiTheme="majorHAnsi" w:cstheme="majorHAnsi"/>
                <w:b/>
                <w:bCs/>
                <w:color w:val="000000"/>
                <w:sz w:val="16"/>
                <w:szCs w:val="16"/>
                <w:lang w:val="lv-LV" w:eastAsia="lv-LV"/>
              </w:rPr>
              <w:t>-0,028</w:t>
            </w:r>
          </w:p>
        </w:tc>
        <w:tc>
          <w:tcPr>
            <w:tcW w:w="850" w:type="dxa"/>
            <w:shd w:val="clear" w:color="auto" w:fill="D9E2F3" w:themeFill="accent1" w:themeFillTint="33"/>
            <w:vAlign w:val="bottom"/>
          </w:tcPr>
          <w:p w14:paraId="6153459A" w14:textId="77777777" w:rsidR="00262896" w:rsidRPr="000F3EF0" w:rsidRDefault="00262896" w:rsidP="0002297E">
            <w:pPr>
              <w:widowControl/>
              <w:spacing w:before="40" w:after="40" w:line="240" w:lineRule="auto"/>
              <w:jc w:val="center"/>
              <w:rPr>
                <w:rFonts w:asciiTheme="majorHAnsi" w:hAnsiTheme="majorHAnsi" w:cstheme="majorHAnsi"/>
                <w:b/>
                <w:bCs/>
                <w:sz w:val="16"/>
                <w:szCs w:val="16"/>
                <w:lang w:val="lv-LV"/>
              </w:rPr>
            </w:pPr>
            <w:r w:rsidRPr="000F3EF0">
              <w:rPr>
                <w:rFonts w:asciiTheme="majorHAnsi" w:eastAsia="Times New Roman" w:hAnsiTheme="majorHAnsi" w:cstheme="majorHAnsi"/>
                <w:b/>
                <w:bCs/>
                <w:color w:val="000000"/>
                <w:sz w:val="16"/>
                <w:szCs w:val="16"/>
                <w:lang w:val="lv-LV" w:eastAsia="lv-LV"/>
              </w:rPr>
              <w:t>25,2</w:t>
            </w:r>
          </w:p>
        </w:tc>
        <w:tc>
          <w:tcPr>
            <w:tcW w:w="850" w:type="dxa"/>
            <w:shd w:val="clear" w:color="auto" w:fill="D9E2F3" w:themeFill="accent1" w:themeFillTint="33"/>
            <w:vAlign w:val="bottom"/>
          </w:tcPr>
          <w:p w14:paraId="52A2060D" w14:textId="77777777" w:rsidR="00262896" w:rsidRPr="000F3EF0" w:rsidRDefault="00262896" w:rsidP="0002297E">
            <w:pPr>
              <w:widowControl/>
              <w:spacing w:before="40" w:after="40" w:line="240" w:lineRule="auto"/>
              <w:jc w:val="center"/>
              <w:rPr>
                <w:rFonts w:asciiTheme="majorHAnsi" w:hAnsiTheme="majorHAnsi" w:cstheme="majorHAnsi"/>
                <w:b/>
                <w:bCs/>
                <w:sz w:val="16"/>
                <w:szCs w:val="16"/>
                <w:lang w:val="lv-LV"/>
              </w:rPr>
            </w:pPr>
            <w:r w:rsidRPr="000F3EF0">
              <w:rPr>
                <w:rFonts w:asciiTheme="majorHAnsi" w:eastAsia="Times New Roman" w:hAnsiTheme="majorHAnsi" w:cstheme="majorHAnsi"/>
                <w:b/>
                <w:bCs/>
                <w:color w:val="000000"/>
                <w:sz w:val="16"/>
                <w:szCs w:val="16"/>
                <w:lang w:val="lv-LV" w:eastAsia="lv-LV"/>
              </w:rPr>
              <w:t>27,5</w:t>
            </w:r>
          </w:p>
        </w:tc>
        <w:tc>
          <w:tcPr>
            <w:tcW w:w="850" w:type="dxa"/>
            <w:shd w:val="clear" w:color="auto" w:fill="D9E2F3" w:themeFill="accent1" w:themeFillTint="33"/>
            <w:vAlign w:val="bottom"/>
          </w:tcPr>
          <w:p w14:paraId="2CCF0A26" w14:textId="77777777" w:rsidR="00262896" w:rsidRPr="000F3EF0" w:rsidRDefault="00262896" w:rsidP="0002297E">
            <w:pPr>
              <w:widowControl/>
              <w:spacing w:before="40" w:after="40" w:line="240" w:lineRule="auto"/>
              <w:jc w:val="center"/>
              <w:rPr>
                <w:rFonts w:asciiTheme="majorHAnsi" w:hAnsiTheme="majorHAnsi" w:cstheme="majorHAnsi"/>
                <w:b/>
                <w:bCs/>
                <w:sz w:val="16"/>
                <w:szCs w:val="16"/>
                <w:lang w:val="lv-LV"/>
              </w:rPr>
            </w:pPr>
            <w:r w:rsidRPr="000F3EF0">
              <w:rPr>
                <w:rFonts w:asciiTheme="majorHAnsi" w:eastAsia="Times New Roman" w:hAnsiTheme="majorHAnsi" w:cstheme="majorHAnsi"/>
                <w:b/>
                <w:bCs/>
                <w:color w:val="000000"/>
                <w:sz w:val="16"/>
                <w:szCs w:val="16"/>
                <w:lang w:val="lv-LV" w:eastAsia="lv-LV"/>
              </w:rPr>
              <w:t>0,069</w:t>
            </w:r>
          </w:p>
        </w:tc>
        <w:tc>
          <w:tcPr>
            <w:tcW w:w="850" w:type="dxa"/>
            <w:shd w:val="clear" w:color="auto" w:fill="D9E2F3" w:themeFill="accent1" w:themeFillTint="33"/>
            <w:vAlign w:val="bottom"/>
          </w:tcPr>
          <w:p w14:paraId="1DC51D16" w14:textId="77777777" w:rsidR="00262896" w:rsidRPr="000F3EF0" w:rsidRDefault="00262896" w:rsidP="0002297E">
            <w:pPr>
              <w:widowControl/>
              <w:spacing w:before="40" w:after="40" w:line="240" w:lineRule="auto"/>
              <w:jc w:val="center"/>
              <w:rPr>
                <w:rFonts w:asciiTheme="majorHAnsi" w:hAnsiTheme="majorHAnsi" w:cstheme="majorHAnsi"/>
                <w:b/>
                <w:bCs/>
                <w:sz w:val="16"/>
                <w:szCs w:val="16"/>
                <w:lang w:val="lv-LV"/>
              </w:rPr>
            </w:pPr>
            <w:r w:rsidRPr="000F3EF0">
              <w:rPr>
                <w:rFonts w:asciiTheme="majorHAnsi" w:eastAsia="Times New Roman" w:hAnsiTheme="majorHAnsi" w:cstheme="majorHAnsi"/>
                <w:b/>
                <w:bCs/>
                <w:color w:val="000000"/>
                <w:sz w:val="16"/>
                <w:szCs w:val="16"/>
                <w:lang w:val="lv-LV" w:eastAsia="lv-LV"/>
              </w:rPr>
              <w:t>0,035</w:t>
            </w:r>
          </w:p>
        </w:tc>
      </w:tr>
      <w:tr w:rsidR="00262896" w:rsidRPr="00674542" w14:paraId="62206864" w14:textId="77777777" w:rsidTr="0002297E">
        <w:trPr>
          <w:jc w:val="center"/>
        </w:trPr>
        <w:tc>
          <w:tcPr>
            <w:tcW w:w="2835" w:type="dxa"/>
            <w:shd w:val="clear" w:color="auto" w:fill="B4C6E7" w:themeFill="accent1" w:themeFillTint="66"/>
            <w:vAlign w:val="bottom"/>
          </w:tcPr>
          <w:p w14:paraId="5CA9CA96" w14:textId="77777777" w:rsidR="00262896" w:rsidRPr="00674542" w:rsidRDefault="00262896" w:rsidP="0002297E">
            <w:pPr>
              <w:widowControl/>
              <w:spacing w:before="40" w:after="40" w:line="240" w:lineRule="auto"/>
              <w:rPr>
                <w:rFonts w:asciiTheme="majorHAnsi" w:hAnsiTheme="majorHAnsi" w:cstheme="majorHAnsi"/>
                <w:sz w:val="16"/>
                <w:szCs w:val="16"/>
                <w:lang w:val="lv-LV"/>
              </w:rPr>
            </w:pPr>
            <w:r w:rsidRPr="000F3EF0">
              <w:rPr>
                <w:rFonts w:asciiTheme="majorHAnsi" w:hAnsiTheme="majorHAnsi" w:cstheme="majorHAnsi"/>
                <w:sz w:val="16"/>
                <w:szCs w:val="16"/>
                <w:lang w:val="lv-LV"/>
              </w:rPr>
              <w:t>A Lauksaimniecība, mežsaimniecība un zivsaimniecība</w:t>
            </w:r>
          </w:p>
        </w:tc>
        <w:tc>
          <w:tcPr>
            <w:tcW w:w="850" w:type="dxa"/>
            <w:shd w:val="clear" w:color="auto" w:fill="C45911" w:themeFill="accent2" w:themeFillShade="BF"/>
            <w:vAlign w:val="bottom"/>
          </w:tcPr>
          <w:p w14:paraId="78CDCB02" w14:textId="77777777" w:rsidR="00262896" w:rsidRPr="000F3EF0" w:rsidRDefault="00262896" w:rsidP="0002297E">
            <w:pPr>
              <w:widowControl/>
              <w:spacing w:before="40" w:after="40" w:line="240" w:lineRule="auto"/>
              <w:jc w:val="center"/>
              <w:rPr>
                <w:rFonts w:asciiTheme="majorHAnsi" w:hAnsiTheme="majorHAnsi" w:cstheme="majorHAnsi"/>
                <w:color w:val="FFFFFF" w:themeColor="background1"/>
                <w:sz w:val="16"/>
                <w:szCs w:val="16"/>
                <w:lang w:val="lv-LV"/>
              </w:rPr>
            </w:pPr>
            <w:r w:rsidRPr="000F3EF0">
              <w:rPr>
                <w:rFonts w:asciiTheme="majorHAnsi" w:eastAsia="Times New Roman" w:hAnsiTheme="majorHAnsi" w:cstheme="majorHAnsi"/>
                <w:color w:val="FFFFFF" w:themeColor="background1"/>
                <w:sz w:val="16"/>
                <w:szCs w:val="16"/>
                <w:lang w:val="lv-LV" w:eastAsia="lv-LV"/>
              </w:rPr>
              <w:t>2 900,6</w:t>
            </w:r>
          </w:p>
        </w:tc>
        <w:tc>
          <w:tcPr>
            <w:tcW w:w="850" w:type="dxa"/>
            <w:shd w:val="clear" w:color="auto" w:fill="B4C6E7" w:themeFill="accent1" w:themeFillTint="66"/>
            <w:vAlign w:val="bottom"/>
          </w:tcPr>
          <w:p w14:paraId="09F208DC"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474,6</w:t>
            </w:r>
          </w:p>
        </w:tc>
        <w:tc>
          <w:tcPr>
            <w:tcW w:w="850" w:type="dxa"/>
            <w:shd w:val="clear" w:color="auto" w:fill="B4C6E7" w:themeFill="accent1" w:themeFillTint="66"/>
            <w:vAlign w:val="bottom"/>
          </w:tcPr>
          <w:p w14:paraId="254AA096"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5 658,6</w:t>
            </w:r>
          </w:p>
        </w:tc>
        <w:tc>
          <w:tcPr>
            <w:tcW w:w="850" w:type="dxa"/>
            <w:shd w:val="clear" w:color="auto" w:fill="B4C6E7" w:themeFill="accent1" w:themeFillTint="66"/>
            <w:vAlign w:val="bottom"/>
          </w:tcPr>
          <w:p w14:paraId="3AFF6AF7"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0,084</w:t>
            </w:r>
          </w:p>
        </w:tc>
        <w:tc>
          <w:tcPr>
            <w:tcW w:w="850" w:type="dxa"/>
            <w:shd w:val="clear" w:color="auto" w:fill="B4C6E7" w:themeFill="accent1" w:themeFillTint="66"/>
            <w:vAlign w:val="bottom"/>
          </w:tcPr>
          <w:p w14:paraId="73B762B7"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43,0</w:t>
            </w:r>
          </w:p>
        </w:tc>
        <w:tc>
          <w:tcPr>
            <w:tcW w:w="850" w:type="dxa"/>
            <w:shd w:val="clear" w:color="auto" w:fill="B4C6E7" w:themeFill="accent1" w:themeFillTint="66"/>
            <w:vAlign w:val="bottom"/>
          </w:tcPr>
          <w:p w14:paraId="5D52F047"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24,9</w:t>
            </w:r>
          </w:p>
        </w:tc>
        <w:tc>
          <w:tcPr>
            <w:tcW w:w="850" w:type="dxa"/>
            <w:shd w:val="clear" w:color="auto" w:fill="B4C6E7" w:themeFill="accent1" w:themeFillTint="66"/>
            <w:vAlign w:val="bottom"/>
          </w:tcPr>
          <w:p w14:paraId="51D8BFEA"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0,128</w:t>
            </w:r>
          </w:p>
        </w:tc>
        <w:tc>
          <w:tcPr>
            <w:tcW w:w="850" w:type="dxa"/>
            <w:shd w:val="clear" w:color="auto" w:fill="B4C6E7" w:themeFill="accent1" w:themeFillTint="66"/>
            <w:vAlign w:val="bottom"/>
          </w:tcPr>
          <w:p w14:paraId="034751F9"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0,128</w:t>
            </w:r>
          </w:p>
        </w:tc>
      </w:tr>
      <w:tr w:rsidR="00262896" w:rsidRPr="00674542" w14:paraId="10966B2D" w14:textId="77777777" w:rsidTr="0002297E">
        <w:trPr>
          <w:jc w:val="center"/>
        </w:trPr>
        <w:tc>
          <w:tcPr>
            <w:tcW w:w="2835" w:type="dxa"/>
            <w:shd w:val="clear" w:color="auto" w:fill="D9E2F3" w:themeFill="accent1" w:themeFillTint="33"/>
            <w:vAlign w:val="bottom"/>
          </w:tcPr>
          <w:p w14:paraId="1051A13F" w14:textId="77777777" w:rsidR="00262896" w:rsidRPr="00674542" w:rsidRDefault="00262896" w:rsidP="0002297E">
            <w:pPr>
              <w:widowControl/>
              <w:spacing w:before="40" w:after="40" w:line="240" w:lineRule="auto"/>
              <w:rPr>
                <w:rFonts w:asciiTheme="majorHAnsi" w:hAnsiTheme="majorHAnsi" w:cstheme="majorHAnsi"/>
                <w:sz w:val="16"/>
                <w:szCs w:val="16"/>
                <w:lang w:val="lv-LV"/>
              </w:rPr>
            </w:pPr>
            <w:r w:rsidRPr="000F3EF0">
              <w:rPr>
                <w:rFonts w:asciiTheme="majorHAnsi" w:hAnsiTheme="majorHAnsi" w:cstheme="majorHAnsi"/>
                <w:sz w:val="16"/>
                <w:szCs w:val="16"/>
                <w:lang w:val="lv-LV"/>
              </w:rPr>
              <w:t>B Ieguves rūpniecība un karjeru izstrāde</w:t>
            </w:r>
          </w:p>
        </w:tc>
        <w:tc>
          <w:tcPr>
            <w:tcW w:w="850" w:type="dxa"/>
            <w:shd w:val="clear" w:color="auto" w:fill="D9E2F3" w:themeFill="accent1" w:themeFillTint="33"/>
            <w:vAlign w:val="bottom"/>
          </w:tcPr>
          <w:p w14:paraId="26A39AFF"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44,6</w:t>
            </w:r>
          </w:p>
        </w:tc>
        <w:tc>
          <w:tcPr>
            <w:tcW w:w="850" w:type="dxa"/>
            <w:shd w:val="clear" w:color="auto" w:fill="D9E2F3" w:themeFill="accent1" w:themeFillTint="33"/>
            <w:vAlign w:val="bottom"/>
          </w:tcPr>
          <w:p w14:paraId="6D7DE972"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10,5</w:t>
            </w:r>
          </w:p>
        </w:tc>
        <w:tc>
          <w:tcPr>
            <w:tcW w:w="850" w:type="dxa"/>
            <w:shd w:val="clear" w:color="auto" w:fill="D9E2F3" w:themeFill="accent1" w:themeFillTint="33"/>
            <w:vAlign w:val="bottom"/>
          </w:tcPr>
          <w:p w14:paraId="1271BF31"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434,9</w:t>
            </w:r>
          </w:p>
        </w:tc>
        <w:tc>
          <w:tcPr>
            <w:tcW w:w="850" w:type="dxa"/>
            <w:shd w:val="clear" w:color="auto" w:fill="D9E2F3" w:themeFill="accent1" w:themeFillTint="33"/>
            <w:vAlign w:val="bottom"/>
          </w:tcPr>
          <w:p w14:paraId="30C0692F"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0,024</w:t>
            </w:r>
          </w:p>
        </w:tc>
        <w:tc>
          <w:tcPr>
            <w:tcW w:w="850" w:type="dxa"/>
            <w:shd w:val="clear" w:color="auto" w:fill="D9E2F3" w:themeFill="accent1" w:themeFillTint="33"/>
            <w:vAlign w:val="bottom"/>
          </w:tcPr>
          <w:p w14:paraId="608FF442"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29,2</w:t>
            </w:r>
          </w:p>
        </w:tc>
        <w:tc>
          <w:tcPr>
            <w:tcW w:w="850" w:type="dxa"/>
            <w:shd w:val="clear" w:color="auto" w:fill="D9E2F3" w:themeFill="accent1" w:themeFillTint="33"/>
            <w:vAlign w:val="bottom"/>
          </w:tcPr>
          <w:p w14:paraId="0D9A6D0F"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70,2</w:t>
            </w:r>
          </w:p>
        </w:tc>
        <w:tc>
          <w:tcPr>
            <w:tcW w:w="850" w:type="dxa"/>
            <w:shd w:val="clear" w:color="auto" w:fill="D9E2F3" w:themeFill="accent1" w:themeFillTint="33"/>
            <w:vAlign w:val="bottom"/>
          </w:tcPr>
          <w:p w14:paraId="78568D32"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0,114</w:t>
            </w:r>
          </w:p>
        </w:tc>
        <w:tc>
          <w:tcPr>
            <w:tcW w:w="850" w:type="dxa"/>
            <w:shd w:val="clear" w:color="auto" w:fill="D9E2F3" w:themeFill="accent1" w:themeFillTint="33"/>
            <w:vAlign w:val="bottom"/>
          </w:tcPr>
          <w:p w14:paraId="2B73B293"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0,076</w:t>
            </w:r>
          </w:p>
        </w:tc>
      </w:tr>
      <w:tr w:rsidR="00262896" w:rsidRPr="00674542" w14:paraId="5735F6EE" w14:textId="77777777" w:rsidTr="0002297E">
        <w:trPr>
          <w:jc w:val="center"/>
        </w:trPr>
        <w:tc>
          <w:tcPr>
            <w:tcW w:w="2835" w:type="dxa"/>
            <w:shd w:val="clear" w:color="auto" w:fill="B4C6E7" w:themeFill="accent1" w:themeFillTint="66"/>
            <w:vAlign w:val="bottom"/>
          </w:tcPr>
          <w:p w14:paraId="759A528B" w14:textId="77777777" w:rsidR="00262896" w:rsidRPr="00674542" w:rsidRDefault="00262896" w:rsidP="0002297E">
            <w:pPr>
              <w:widowControl/>
              <w:spacing w:before="40" w:after="40" w:line="240" w:lineRule="auto"/>
              <w:rPr>
                <w:rFonts w:asciiTheme="majorHAnsi" w:hAnsiTheme="majorHAnsi" w:cstheme="majorHAnsi"/>
                <w:sz w:val="16"/>
                <w:szCs w:val="16"/>
                <w:lang w:val="lv-LV"/>
              </w:rPr>
            </w:pPr>
            <w:r w:rsidRPr="000F3EF0">
              <w:rPr>
                <w:rFonts w:asciiTheme="majorHAnsi" w:hAnsiTheme="majorHAnsi" w:cstheme="majorHAnsi"/>
                <w:sz w:val="16"/>
                <w:szCs w:val="16"/>
                <w:lang w:val="lv-LV"/>
              </w:rPr>
              <w:t>C Apstrādes rūpniecība</w:t>
            </w:r>
          </w:p>
        </w:tc>
        <w:tc>
          <w:tcPr>
            <w:tcW w:w="850" w:type="dxa"/>
            <w:shd w:val="clear" w:color="auto" w:fill="F4B083" w:themeFill="accent2" w:themeFillTint="99"/>
            <w:vAlign w:val="bottom"/>
          </w:tcPr>
          <w:p w14:paraId="3C5D9D5A"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1 250,4</w:t>
            </w:r>
          </w:p>
        </w:tc>
        <w:tc>
          <w:tcPr>
            <w:tcW w:w="850" w:type="dxa"/>
            <w:shd w:val="clear" w:color="auto" w:fill="B4C6E7" w:themeFill="accent1" w:themeFillTint="66"/>
            <w:vAlign w:val="bottom"/>
          </w:tcPr>
          <w:p w14:paraId="6E6A4D19"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-514,0</w:t>
            </w:r>
          </w:p>
        </w:tc>
        <w:tc>
          <w:tcPr>
            <w:tcW w:w="850" w:type="dxa"/>
            <w:shd w:val="clear" w:color="auto" w:fill="B4C6E7" w:themeFill="accent1" w:themeFillTint="66"/>
            <w:vAlign w:val="bottom"/>
          </w:tcPr>
          <w:p w14:paraId="7F1CBC41"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8 021,7</w:t>
            </w:r>
          </w:p>
        </w:tc>
        <w:tc>
          <w:tcPr>
            <w:tcW w:w="850" w:type="dxa"/>
            <w:shd w:val="clear" w:color="auto" w:fill="B4C6E7" w:themeFill="accent1" w:themeFillTint="66"/>
            <w:vAlign w:val="bottom"/>
          </w:tcPr>
          <w:p w14:paraId="0C6EF357"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-0,064</w:t>
            </w:r>
          </w:p>
        </w:tc>
        <w:tc>
          <w:tcPr>
            <w:tcW w:w="850" w:type="dxa"/>
            <w:shd w:val="clear" w:color="auto" w:fill="B4C6E7" w:themeFill="accent1" w:themeFillTint="66"/>
            <w:vAlign w:val="bottom"/>
          </w:tcPr>
          <w:p w14:paraId="177A0F79"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20,7</w:t>
            </w:r>
          </w:p>
        </w:tc>
        <w:tc>
          <w:tcPr>
            <w:tcW w:w="850" w:type="dxa"/>
            <w:shd w:val="clear" w:color="auto" w:fill="B4C6E7" w:themeFill="accent1" w:themeFillTint="66"/>
            <w:vAlign w:val="bottom"/>
          </w:tcPr>
          <w:p w14:paraId="40B057A5"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47,2</w:t>
            </w:r>
          </w:p>
        </w:tc>
        <w:tc>
          <w:tcPr>
            <w:tcW w:w="850" w:type="dxa"/>
            <w:shd w:val="clear" w:color="auto" w:fill="B4C6E7" w:themeFill="accent1" w:themeFillTint="66"/>
            <w:vAlign w:val="bottom"/>
          </w:tcPr>
          <w:p w14:paraId="481F21BE"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0,152</w:t>
            </w:r>
          </w:p>
        </w:tc>
        <w:tc>
          <w:tcPr>
            <w:tcW w:w="850" w:type="dxa"/>
            <w:shd w:val="clear" w:color="auto" w:fill="B4C6E7" w:themeFill="accent1" w:themeFillTint="66"/>
            <w:vAlign w:val="bottom"/>
          </w:tcPr>
          <w:p w14:paraId="6D5E56D4"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0,076</w:t>
            </w:r>
          </w:p>
        </w:tc>
      </w:tr>
      <w:tr w:rsidR="00262896" w:rsidRPr="00674542" w14:paraId="5F0F8C59" w14:textId="77777777" w:rsidTr="0002297E">
        <w:trPr>
          <w:jc w:val="center"/>
        </w:trPr>
        <w:tc>
          <w:tcPr>
            <w:tcW w:w="2835" w:type="dxa"/>
            <w:shd w:val="clear" w:color="auto" w:fill="D9E2F3" w:themeFill="accent1" w:themeFillTint="33"/>
            <w:vAlign w:val="bottom"/>
          </w:tcPr>
          <w:p w14:paraId="4C4EE24D" w14:textId="77777777" w:rsidR="00262896" w:rsidRPr="00DA424D" w:rsidRDefault="00262896" w:rsidP="0002297E">
            <w:pPr>
              <w:widowControl/>
              <w:spacing w:before="40" w:after="40" w:line="240" w:lineRule="auto"/>
              <w:rPr>
                <w:rFonts w:asciiTheme="majorHAnsi" w:hAnsiTheme="majorHAnsi" w:cstheme="majorHAnsi"/>
                <w:sz w:val="16"/>
                <w:szCs w:val="16"/>
                <w:lang w:val="lv-LV"/>
              </w:rPr>
            </w:pPr>
            <w:r w:rsidRPr="000F3EF0">
              <w:rPr>
                <w:rFonts w:asciiTheme="majorHAnsi" w:hAnsiTheme="majorHAnsi" w:cstheme="majorHAnsi"/>
                <w:sz w:val="16"/>
                <w:szCs w:val="16"/>
                <w:lang w:val="lv-LV"/>
              </w:rPr>
              <w:t>D Elektroenerģija, gāzes apgāde, siltumapgāde un gaisa kondicionēšana</w:t>
            </w:r>
          </w:p>
        </w:tc>
        <w:tc>
          <w:tcPr>
            <w:tcW w:w="850" w:type="dxa"/>
            <w:shd w:val="clear" w:color="auto" w:fill="F4B083" w:themeFill="accent2" w:themeFillTint="99"/>
            <w:vAlign w:val="bottom"/>
          </w:tcPr>
          <w:p w14:paraId="094C75A6"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1 087,3</w:t>
            </w:r>
          </w:p>
        </w:tc>
        <w:tc>
          <w:tcPr>
            <w:tcW w:w="850" w:type="dxa"/>
            <w:shd w:val="clear" w:color="auto" w:fill="D9E2F3" w:themeFill="accent1" w:themeFillTint="33"/>
            <w:vAlign w:val="bottom"/>
          </w:tcPr>
          <w:p w14:paraId="554A1454"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-1 300,3</w:t>
            </w:r>
          </w:p>
        </w:tc>
        <w:tc>
          <w:tcPr>
            <w:tcW w:w="850" w:type="dxa"/>
            <w:shd w:val="clear" w:color="auto" w:fill="D9E2F3" w:themeFill="accent1" w:themeFillTint="33"/>
            <w:vAlign w:val="bottom"/>
          </w:tcPr>
          <w:p w14:paraId="15FACF1B"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4 984,3</w:t>
            </w:r>
          </w:p>
        </w:tc>
        <w:tc>
          <w:tcPr>
            <w:tcW w:w="850" w:type="dxa"/>
            <w:shd w:val="clear" w:color="auto" w:fill="D9E2F3" w:themeFill="accent1" w:themeFillTint="33"/>
            <w:vAlign w:val="bottom"/>
          </w:tcPr>
          <w:p w14:paraId="51E80A8F"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-0,261</w:t>
            </w:r>
          </w:p>
        </w:tc>
        <w:tc>
          <w:tcPr>
            <w:tcW w:w="850" w:type="dxa"/>
            <w:shd w:val="clear" w:color="auto" w:fill="D9E2F3" w:themeFill="accent1" w:themeFillTint="33"/>
            <w:vAlign w:val="bottom"/>
          </w:tcPr>
          <w:p w14:paraId="4DEA024A"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65,0</w:t>
            </w:r>
          </w:p>
        </w:tc>
        <w:tc>
          <w:tcPr>
            <w:tcW w:w="850" w:type="dxa"/>
            <w:shd w:val="clear" w:color="auto" w:fill="D9E2F3" w:themeFill="accent1" w:themeFillTint="33"/>
            <w:vAlign w:val="bottom"/>
          </w:tcPr>
          <w:p w14:paraId="2566B1C4"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40,1</w:t>
            </w:r>
          </w:p>
        </w:tc>
        <w:tc>
          <w:tcPr>
            <w:tcW w:w="850" w:type="dxa"/>
            <w:shd w:val="clear" w:color="auto" w:fill="D9E2F3" w:themeFill="accent1" w:themeFillTint="33"/>
            <w:vAlign w:val="bottom"/>
          </w:tcPr>
          <w:p w14:paraId="6FBE80B8"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0,260</w:t>
            </w:r>
          </w:p>
        </w:tc>
        <w:tc>
          <w:tcPr>
            <w:tcW w:w="850" w:type="dxa"/>
            <w:shd w:val="clear" w:color="auto" w:fill="D9E2F3" w:themeFill="accent1" w:themeFillTint="33"/>
            <w:vAlign w:val="bottom"/>
          </w:tcPr>
          <w:p w14:paraId="7A5D0ED9"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0,123</w:t>
            </w:r>
          </w:p>
        </w:tc>
      </w:tr>
      <w:tr w:rsidR="00262896" w:rsidRPr="00674542" w14:paraId="62E1FDC1" w14:textId="77777777" w:rsidTr="0002297E">
        <w:trPr>
          <w:jc w:val="center"/>
        </w:trPr>
        <w:tc>
          <w:tcPr>
            <w:tcW w:w="2835" w:type="dxa"/>
            <w:shd w:val="clear" w:color="auto" w:fill="B4C6E7" w:themeFill="accent1" w:themeFillTint="66"/>
            <w:vAlign w:val="bottom"/>
          </w:tcPr>
          <w:p w14:paraId="7288135D" w14:textId="77777777" w:rsidR="00262896" w:rsidRPr="00DA424D" w:rsidRDefault="00262896" w:rsidP="0002297E">
            <w:pPr>
              <w:widowControl/>
              <w:spacing w:before="40" w:after="40" w:line="240" w:lineRule="auto"/>
              <w:rPr>
                <w:rFonts w:asciiTheme="majorHAnsi" w:hAnsiTheme="majorHAnsi" w:cstheme="majorHAnsi"/>
                <w:sz w:val="16"/>
                <w:szCs w:val="16"/>
                <w:lang w:val="lv-LV"/>
              </w:rPr>
            </w:pPr>
            <w:r w:rsidRPr="000F3EF0">
              <w:rPr>
                <w:rFonts w:asciiTheme="majorHAnsi" w:hAnsiTheme="majorHAnsi" w:cstheme="majorHAnsi"/>
                <w:sz w:val="16"/>
                <w:szCs w:val="16"/>
                <w:lang w:val="lv-LV"/>
              </w:rPr>
              <w:t>E Ūdens apgāde, notekūdeņu, atkritumu apsaimniekošana un sanācija</w:t>
            </w:r>
          </w:p>
        </w:tc>
        <w:tc>
          <w:tcPr>
            <w:tcW w:w="850" w:type="dxa"/>
            <w:shd w:val="clear" w:color="auto" w:fill="F7CAAC" w:themeFill="accent2" w:themeFillTint="66"/>
            <w:vAlign w:val="bottom"/>
          </w:tcPr>
          <w:p w14:paraId="695BB93D"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557,4</w:t>
            </w:r>
          </w:p>
        </w:tc>
        <w:tc>
          <w:tcPr>
            <w:tcW w:w="850" w:type="dxa"/>
            <w:shd w:val="clear" w:color="auto" w:fill="B4C6E7" w:themeFill="accent1" w:themeFillTint="66"/>
            <w:vAlign w:val="bottom"/>
          </w:tcPr>
          <w:p w14:paraId="7EDE4D12"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-120,9</w:t>
            </w:r>
          </w:p>
        </w:tc>
        <w:tc>
          <w:tcPr>
            <w:tcW w:w="850" w:type="dxa"/>
            <w:shd w:val="clear" w:color="auto" w:fill="B4C6E7" w:themeFill="accent1" w:themeFillTint="66"/>
            <w:vAlign w:val="bottom"/>
          </w:tcPr>
          <w:p w14:paraId="313FABAB"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1 578,5</w:t>
            </w:r>
          </w:p>
        </w:tc>
        <w:tc>
          <w:tcPr>
            <w:tcW w:w="850" w:type="dxa"/>
            <w:shd w:val="clear" w:color="auto" w:fill="B4C6E7" w:themeFill="accent1" w:themeFillTint="66"/>
            <w:vAlign w:val="bottom"/>
          </w:tcPr>
          <w:p w14:paraId="72A989F9"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-0,077</w:t>
            </w:r>
          </w:p>
        </w:tc>
        <w:tc>
          <w:tcPr>
            <w:tcW w:w="850" w:type="dxa"/>
            <w:shd w:val="clear" w:color="auto" w:fill="B4C6E7" w:themeFill="accent1" w:themeFillTint="66"/>
            <w:vAlign w:val="bottom"/>
          </w:tcPr>
          <w:p w14:paraId="6D1F00E7"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60,3</w:t>
            </w:r>
          </w:p>
        </w:tc>
        <w:tc>
          <w:tcPr>
            <w:tcW w:w="850" w:type="dxa"/>
            <w:shd w:val="clear" w:color="auto" w:fill="B4C6E7" w:themeFill="accent1" w:themeFillTint="66"/>
            <w:vAlign w:val="bottom"/>
          </w:tcPr>
          <w:p w14:paraId="59728A0A"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25,3</w:t>
            </w:r>
          </w:p>
        </w:tc>
        <w:tc>
          <w:tcPr>
            <w:tcW w:w="850" w:type="dxa"/>
            <w:shd w:val="clear" w:color="auto" w:fill="B4C6E7" w:themeFill="accent1" w:themeFillTint="66"/>
            <w:vAlign w:val="bottom"/>
          </w:tcPr>
          <w:p w14:paraId="1A267FAC"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0,133</w:t>
            </w:r>
          </w:p>
        </w:tc>
        <w:tc>
          <w:tcPr>
            <w:tcW w:w="850" w:type="dxa"/>
            <w:shd w:val="clear" w:color="auto" w:fill="B4C6E7" w:themeFill="accent1" w:themeFillTint="66"/>
            <w:vAlign w:val="bottom"/>
          </w:tcPr>
          <w:p w14:paraId="51FC9B63"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0,085</w:t>
            </w:r>
          </w:p>
        </w:tc>
      </w:tr>
      <w:tr w:rsidR="00262896" w:rsidRPr="00674542" w14:paraId="5B1EA84A" w14:textId="77777777" w:rsidTr="0002297E">
        <w:trPr>
          <w:jc w:val="center"/>
        </w:trPr>
        <w:tc>
          <w:tcPr>
            <w:tcW w:w="2835" w:type="dxa"/>
            <w:shd w:val="clear" w:color="auto" w:fill="D9E2F3" w:themeFill="accent1" w:themeFillTint="33"/>
            <w:vAlign w:val="bottom"/>
          </w:tcPr>
          <w:p w14:paraId="12D0B852" w14:textId="77777777" w:rsidR="00262896" w:rsidRPr="00DA424D" w:rsidRDefault="00262896" w:rsidP="0002297E">
            <w:pPr>
              <w:widowControl/>
              <w:spacing w:before="40" w:after="40" w:line="240" w:lineRule="auto"/>
              <w:rPr>
                <w:rFonts w:asciiTheme="majorHAnsi" w:hAnsiTheme="majorHAnsi" w:cstheme="majorHAnsi"/>
                <w:sz w:val="16"/>
                <w:szCs w:val="16"/>
                <w:lang w:val="lv-LV"/>
              </w:rPr>
            </w:pPr>
            <w:r w:rsidRPr="000F3EF0">
              <w:rPr>
                <w:rFonts w:asciiTheme="majorHAnsi" w:hAnsiTheme="majorHAnsi" w:cstheme="majorHAnsi"/>
                <w:sz w:val="16"/>
                <w:szCs w:val="16"/>
                <w:lang w:val="lv-LV"/>
              </w:rPr>
              <w:t>F Būvniecība</w:t>
            </w:r>
          </w:p>
        </w:tc>
        <w:tc>
          <w:tcPr>
            <w:tcW w:w="850" w:type="dxa"/>
            <w:shd w:val="clear" w:color="auto" w:fill="FCEEE4"/>
            <w:vAlign w:val="bottom"/>
          </w:tcPr>
          <w:p w14:paraId="6C3BE825"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225,9</w:t>
            </w:r>
          </w:p>
        </w:tc>
        <w:tc>
          <w:tcPr>
            <w:tcW w:w="850" w:type="dxa"/>
            <w:shd w:val="clear" w:color="auto" w:fill="D9E2F3" w:themeFill="accent1" w:themeFillTint="33"/>
            <w:vAlign w:val="bottom"/>
          </w:tcPr>
          <w:p w14:paraId="5145C2C9"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-28,2</w:t>
            </w:r>
          </w:p>
        </w:tc>
        <w:tc>
          <w:tcPr>
            <w:tcW w:w="850" w:type="dxa"/>
            <w:shd w:val="clear" w:color="auto" w:fill="D9E2F3" w:themeFill="accent1" w:themeFillTint="33"/>
            <w:vAlign w:val="bottom"/>
          </w:tcPr>
          <w:p w14:paraId="7C4E6FDC"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1 978,6</w:t>
            </w:r>
          </w:p>
        </w:tc>
        <w:tc>
          <w:tcPr>
            <w:tcW w:w="850" w:type="dxa"/>
            <w:shd w:val="clear" w:color="auto" w:fill="D9E2F3" w:themeFill="accent1" w:themeFillTint="33"/>
            <w:vAlign w:val="bottom"/>
          </w:tcPr>
          <w:p w14:paraId="682638C4"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-0,014</w:t>
            </w:r>
          </w:p>
        </w:tc>
        <w:tc>
          <w:tcPr>
            <w:tcW w:w="850" w:type="dxa"/>
            <w:shd w:val="clear" w:color="auto" w:fill="D9E2F3" w:themeFill="accent1" w:themeFillTint="33"/>
            <w:vAlign w:val="bottom"/>
          </w:tcPr>
          <w:p w14:paraId="1D5C9C22"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11,2</w:t>
            </w:r>
          </w:p>
        </w:tc>
        <w:tc>
          <w:tcPr>
            <w:tcW w:w="850" w:type="dxa"/>
            <w:shd w:val="clear" w:color="auto" w:fill="D9E2F3" w:themeFill="accent1" w:themeFillTint="33"/>
            <w:vAlign w:val="bottom"/>
          </w:tcPr>
          <w:p w14:paraId="04DE9188"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36,0</w:t>
            </w:r>
          </w:p>
        </w:tc>
        <w:tc>
          <w:tcPr>
            <w:tcW w:w="850" w:type="dxa"/>
            <w:shd w:val="clear" w:color="auto" w:fill="D9E2F3" w:themeFill="accent1" w:themeFillTint="33"/>
            <w:vAlign w:val="bottom"/>
          </w:tcPr>
          <w:p w14:paraId="6981C554"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0,054</w:t>
            </w:r>
          </w:p>
        </w:tc>
        <w:tc>
          <w:tcPr>
            <w:tcW w:w="850" w:type="dxa"/>
            <w:shd w:val="clear" w:color="auto" w:fill="D9E2F3" w:themeFill="accent1" w:themeFillTint="33"/>
            <w:vAlign w:val="bottom"/>
          </w:tcPr>
          <w:p w14:paraId="327C06D3"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0,045</w:t>
            </w:r>
          </w:p>
        </w:tc>
      </w:tr>
      <w:tr w:rsidR="00262896" w:rsidRPr="00674542" w14:paraId="64003E31" w14:textId="77777777" w:rsidTr="0002297E">
        <w:trPr>
          <w:jc w:val="center"/>
        </w:trPr>
        <w:tc>
          <w:tcPr>
            <w:tcW w:w="2835" w:type="dxa"/>
            <w:shd w:val="clear" w:color="auto" w:fill="B4C6E7" w:themeFill="accent1" w:themeFillTint="66"/>
            <w:vAlign w:val="bottom"/>
          </w:tcPr>
          <w:p w14:paraId="422AFE57" w14:textId="77777777" w:rsidR="00262896" w:rsidRPr="00DA424D" w:rsidRDefault="00262896" w:rsidP="0002297E">
            <w:pPr>
              <w:widowControl/>
              <w:spacing w:before="40" w:after="40" w:line="240" w:lineRule="auto"/>
              <w:rPr>
                <w:rFonts w:asciiTheme="majorHAnsi" w:hAnsiTheme="majorHAnsi" w:cstheme="majorHAnsi"/>
                <w:sz w:val="16"/>
                <w:szCs w:val="16"/>
                <w:lang w:val="lv-LV"/>
              </w:rPr>
            </w:pPr>
            <w:r w:rsidRPr="000F3EF0">
              <w:rPr>
                <w:rFonts w:asciiTheme="majorHAnsi" w:hAnsiTheme="majorHAnsi" w:cstheme="majorHAnsi"/>
                <w:sz w:val="16"/>
                <w:szCs w:val="16"/>
                <w:lang w:val="lv-LV"/>
              </w:rPr>
              <w:t>G Vairumtirdzniecība un mazumtirdzniecība, automobiļu un motociklu remonts</w:t>
            </w:r>
          </w:p>
        </w:tc>
        <w:tc>
          <w:tcPr>
            <w:tcW w:w="850" w:type="dxa"/>
            <w:shd w:val="clear" w:color="auto" w:fill="FBE4D5" w:themeFill="accent2" w:themeFillTint="33"/>
            <w:vAlign w:val="bottom"/>
          </w:tcPr>
          <w:p w14:paraId="066C392F"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309,8</w:t>
            </w:r>
          </w:p>
        </w:tc>
        <w:tc>
          <w:tcPr>
            <w:tcW w:w="850" w:type="dxa"/>
            <w:shd w:val="clear" w:color="auto" w:fill="B4C6E7" w:themeFill="accent1" w:themeFillTint="66"/>
            <w:vAlign w:val="bottom"/>
          </w:tcPr>
          <w:p w14:paraId="00DA70EF"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-64,0</w:t>
            </w:r>
          </w:p>
        </w:tc>
        <w:tc>
          <w:tcPr>
            <w:tcW w:w="850" w:type="dxa"/>
            <w:shd w:val="clear" w:color="auto" w:fill="B4C6E7" w:themeFill="accent1" w:themeFillTint="66"/>
            <w:vAlign w:val="bottom"/>
          </w:tcPr>
          <w:p w14:paraId="572B1E6B"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4 596,8</w:t>
            </w:r>
          </w:p>
        </w:tc>
        <w:tc>
          <w:tcPr>
            <w:tcW w:w="850" w:type="dxa"/>
            <w:shd w:val="clear" w:color="auto" w:fill="B4C6E7" w:themeFill="accent1" w:themeFillTint="66"/>
            <w:vAlign w:val="bottom"/>
          </w:tcPr>
          <w:p w14:paraId="2C3AE569"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-0,014</w:t>
            </w:r>
          </w:p>
        </w:tc>
        <w:tc>
          <w:tcPr>
            <w:tcW w:w="850" w:type="dxa"/>
            <w:shd w:val="clear" w:color="auto" w:fill="B4C6E7" w:themeFill="accent1" w:themeFillTint="66"/>
            <w:vAlign w:val="bottom"/>
          </w:tcPr>
          <w:p w14:paraId="6A7FB9B8"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10,4</w:t>
            </w:r>
          </w:p>
        </w:tc>
        <w:tc>
          <w:tcPr>
            <w:tcW w:w="850" w:type="dxa"/>
            <w:shd w:val="clear" w:color="auto" w:fill="B4C6E7" w:themeFill="accent1" w:themeFillTint="66"/>
            <w:vAlign w:val="bottom"/>
          </w:tcPr>
          <w:p w14:paraId="4104BA1C"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46,1</w:t>
            </w:r>
          </w:p>
        </w:tc>
        <w:tc>
          <w:tcPr>
            <w:tcW w:w="850" w:type="dxa"/>
            <w:shd w:val="clear" w:color="auto" w:fill="B4C6E7" w:themeFill="accent1" w:themeFillTint="66"/>
            <w:vAlign w:val="bottom"/>
          </w:tcPr>
          <w:p w14:paraId="6D649E15"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0,046</w:t>
            </w:r>
          </w:p>
        </w:tc>
        <w:tc>
          <w:tcPr>
            <w:tcW w:w="850" w:type="dxa"/>
            <w:shd w:val="clear" w:color="auto" w:fill="B4C6E7" w:themeFill="accent1" w:themeFillTint="66"/>
            <w:vAlign w:val="bottom"/>
          </w:tcPr>
          <w:p w14:paraId="48118AA2"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0,032</w:t>
            </w:r>
          </w:p>
        </w:tc>
      </w:tr>
      <w:tr w:rsidR="00262896" w:rsidRPr="00674542" w14:paraId="5E9DF149" w14:textId="77777777" w:rsidTr="0002297E">
        <w:trPr>
          <w:jc w:val="center"/>
        </w:trPr>
        <w:tc>
          <w:tcPr>
            <w:tcW w:w="2835" w:type="dxa"/>
            <w:shd w:val="clear" w:color="auto" w:fill="D9E2F3" w:themeFill="accent1" w:themeFillTint="33"/>
            <w:vAlign w:val="bottom"/>
          </w:tcPr>
          <w:p w14:paraId="785ED9BB" w14:textId="77777777" w:rsidR="00262896" w:rsidRPr="00DA424D" w:rsidRDefault="00262896" w:rsidP="0002297E">
            <w:pPr>
              <w:widowControl/>
              <w:spacing w:before="40" w:after="40" w:line="240" w:lineRule="auto"/>
              <w:rPr>
                <w:rFonts w:asciiTheme="majorHAnsi" w:hAnsiTheme="majorHAnsi" w:cstheme="majorHAnsi"/>
                <w:sz w:val="16"/>
                <w:szCs w:val="16"/>
                <w:lang w:val="lv-LV"/>
              </w:rPr>
            </w:pPr>
            <w:r w:rsidRPr="000F3EF0">
              <w:rPr>
                <w:rFonts w:asciiTheme="majorHAnsi" w:hAnsiTheme="majorHAnsi" w:cstheme="majorHAnsi"/>
                <w:sz w:val="16"/>
                <w:szCs w:val="16"/>
                <w:lang w:val="lv-LV"/>
              </w:rPr>
              <w:t>H Transports un uzglabāšana</w:t>
            </w:r>
          </w:p>
        </w:tc>
        <w:tc>
          <w:tcPr>
            <w:tcW w:w="850" w:type="dxa"/>
            <w:shd w:val="clear" w:color="auto" w:fill="ED7D31" w:themeFill="accent2"/>
            <w:vAlign w:val="bottom"/>
          </w:tcPr>
          <w:p w14:paraId="69D3C568"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2 384,1</w:t>
            </w:r>
          </w:p>
        </w:tc>
        <w:tc>
          <w:tcPr>
            <w:tcW w:w="850" w:type="dxa"/>
            <w:shd w:val="clear" w:color="auto" w:fill="D9E2F3" w:themeFill="accent1" w:themeFillTint="33"/>
            <w:vAlign w:val="bottom"/>
          </w:tcPr>
          <w:p w14:paraId="7C4904F6"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-525,9</w:t>
            </w:r>
          </w:p>
        </w:tc>
        <w:tc>
          <w:tcPr>
            <w:tcW w:w="850" w:type="dxa"/>
            <w:shd w:val="clear" w:color="auto" w:fill="D9E2F3" w:themeFill="accent1" w:themeFillTint="33"/>
            <w:vAlign w:val="bottom"/>
          </w:tcPr>
          <w:p w14:paraId="18505DEF"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8 202,2</w:t>
            </w:r>
          </w:p>
        </w:tc>
        <w:tc>
          <w:tcPr>
            <w:tcW w:w="850" w:type="dxa"/>
            <w:shd w:val="clear" w:color="auto" w:fill="D9E2F3" w:themeFill="accent1" w:themeFillTint="33"/>
            <w:vAlign w:val="bottom"/>
          </w:tcPr>
          <w:p w14:paraId="5E306A5F"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-0,064</w:t>
            </w:r>
          </w:p>
        </w:tc>
        <w:tc>
          <w:tcPr>
            <w:tcW w:w="850" w:type="dxa"/>
            <w:shd w:val="clear" w:color="auto" w:fill="D9E2F3" w:themeFill="accent1" w:themeFillTint="33"/>
            <w:vAlign w:val="bottom"/>
          </w:tcPr>
          <w:p w14:paraId="026DA278"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31,6</w:t>
            </w:r>
          </w:p>
        </w:tc>
        <w:tc>
          <w:tcPr>
            <w:tcW w:w="850" w:type="dxa"/>
            <w:shd w:val="clear" w:color="auto" w:fill="D9E2F3" w:themeFill="accent1" w:themeFillTint="33"/>
            <w:vAlign w:val="bottom"/>
          </w:tcPr>
          <w:p w14:paraId="42FE94E9"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48,2</w:t>
            </w:r>
          </w:p>
        </w:tc>
        <w:tc>
          <w:tcPr>
            <w:tcW w:w="850" w:type="dxa"/>
            <w:shd w:val="clear" w:color="auto" w:fill="D9E2F3" w:themeFill="accent1" w:themeFillTint="33"/>
            <w:vAlign w:val="bottom"/>
          </w:tcPr>
          <w:p w14:paraId="3BA374C8"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0,226</w:t>
            </w:r>
          </w:p>
        </w:tc>
        <w:tc>
          <w:tcPr>
            <w:tcW w:w="850" w:type="dxa"/>
            <w:shd w:val="clear" w:color="auto" w:fill="D9E2F3" w:themeFill="accent1" w:themeFillTint="33"/>
            <w:vAlign w:val="bottom"/>
          </w:tcPr>
          <w:p w14:paraId="08C3E7BD"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0,133</w:t>
            </w:r>
          </w:p>
        </w:tc>
      </w:tr>
      <w:tr w:rsidR="00262896" w:rsidRPr="00674542" w14:paraId="79FB35B1" w14:textId="77777777" w:rsidTr="0002297E">
        <w:trPr>
          <w:jc w:val="center"/>
        </w:trPr>
        <w:tc>
          <w:tcPr>
            <w:tcW w:w="2835" w:type="dxa"/>
            <w:shd w:val="clear" w:color="auto" w:fill="B4C6E7" w:themeFill="accent1" w:themeFillTint="66"/>
            <w:vAlign w:val="bottom"/>
          </w:tcPr>
          <w:p w14:paraId="6C3E5D20" w14:textId="77777777" w:rsidR="00262896" w:rsidRPr="00DA424D" w:rsidRDefault="00262896" w:rsidP="0002297E">
            <w:pPr>
              <w:widowControl/>
              <w:spacing w:before="40" w:after="40" w:line="240" w:lineRule="auto"/>
              <w:rPr>
                <w:rFonts w:asciiTheme="majorHAnsi" w:hAnsiTheme="majorHAnsi" w:cstheme="majorHAnsi"/>
                <w:sz w:val="16"/>
                <w:szCs w:val="16"/>
                <w:lang w:val="lv-LV"/>
              </w:rPr>
            </w:pPr>
            <w:r w:rsidRPr="000F3EF0">
              <w:rPr>
                <w:rFonts w:asciiTheme="majorHAnsi" w:hAnsiTheme="majorHAnsi" w:cstheme="majorHAnsi"/>
                <w:sz w:val="16"/>
                <w:szCs w:val="16"/>
                <w:lang w:val="lv-LV"/>
              </w:rPr>
              <w:t>I Izmitināšana un ēdināšanas pakalpojumi</w:t>
            </w:r>
          </w:p>
        </w:tc>
        <w:tc>
          <w:tcPr>
            <w:tcW w:w="850" w:type="dxa"/>
            <w:shd w:val="clear" w:color="auto" w:fill="B4C6E7" w:themeFill="accent1" w:themeFillTint="66"/>
            <w:vAlign w:val="bottom"/>
          </w:tcPr>
          <w:p w14:paraId="2F878C23"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17,5</w:t>
            </w:r>
          </w:p>
        </w:tc>
        <w:tc>
          <w:tcPr>
            <w:tcW w:w="850" w:type="dxa"/>
            <w:shd w:val="clear" w:color="auto" w:fill="B4C6E7" w:themeFill="accent1" w:themeFillTint="66"/>
            <w:vAlign w:val="bottom"/>
          </w:tcPr>
          <w:p w14:paraId="7E17E9C3"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-5,5</w:t>
            </w:r>
          </w:p>
        </w:tc>
        <w:tc>
          <w:tcPr>
            <w:tcW w:w="850" w:type="dxa"/>
            <w:shd w:val="clear" w:color="auto" w:fill="B4C6E7" w:themeFill="accent1" w:themeFillTint="66"/>
            <w:vAlign w:val="bottom"/>
          </w:tcPr>
          <w:p w14:paraId="766FCFE1"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692,4</w:t>
            </w:r>
          </w:p>
        </w:tc>
        <w:tc>
          <w:tcPr>
            <w:tcW w:w="850" w:type="dxa"/>
            <w:shd w:val="clear" w:color="auto" w:fill="B4C6E7" w:themeFill="accent1" w:themeFillTint="66"/>
            <w:vAlign w:val="bottom"/>
          </w:tcPr>
          <w:p w14:paraId="3A86D643"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-0,008</w:t>
            </w:r>
          </w:p>
        </w:tc>
        <w:tc>
          <w:tcPr>
            <w:tcW w:w="850" w:type="dxa"/>
            <w:shd w:val="clear" w:color="auto" w:fill="B4C6E7" w:themeFill="accent1" w:themeFillTint="66"/>
            <w:vAlign w:val="bottom"/>
          </w:tcPr>
          <w:p w14:paraId="61D694FD"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13,4</w:t>
            </w:r>
          </w:p>
        </w:tc>
        <w:tc>
          <w:tcPr>
            <w:tcW w:w="850" w:type="dxa"/>
            <w:shd w:val="clear" w:color="auto" w:fill="B4C6E7" w:themeFill="accent1" w:themeFillTint="66"/>
            <w:vAlign w:val="bottom"/>
          </w:tcPr>
          <w:p w14:paraId="001EA726"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19,7</w:t>
            </w:r>
          </w:p>
        </w:tc>
        <w:tc>
          <w:tcPr>
            <w:tcW w:w="850" w:type="dxa"/>
            <w:shd w:val="clear" w:color="auto" w:fill="B4C6E7" w:themeFill="accent1" w:themeFillTint="66"/>
            <w:vAlign w:val="bottom"/>
          </w:tcPr>
          <w:p w14:paraId="32FF0C3C"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0,008</w:t>
            </w:r>
          </w:p>
        </w:tc>
        <w:tc>
          <w:tcPr>
            <w:tcW w:w="850" w:type="dxa"/>
            <w:shd w:val="clear" w:color="auto" w:fill="B4C6E7" w:themeFill="accent1" w:themeFillTint="66"/>
            <w:vAlign w:val="bottom"/>
          </w:tcPr>
          <w:p w14:paraId="7D8532CF"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0,005</w:t>
            </w:r>
          </w:p>
        </w:tc>
      </w:tr>
      <w:tr w:rsidR="00262896" w:rsidRPr="00674542" w14:paraId="353477D1" w14:textId="77777777" w:rsidTr="0002297E">
        <w:trPr>
          <w:jc w:val="center"/>
        </w:trPr>
        <w:tc>
          <w:tcPr>
            <w:tcW w:w="2835" w:type="dxa"/>
            <w:shd w:val="clear" w:color="auto" w:fill="D9E2F3" w:themeFill="accent1" w:themeFillTint="33"/>
            <w:vAlign w:val="bottom"/>
          </w:tcPr>
          <w:p w14:paraId="3547C94D" w14:textId="77777777" w:rsidR="00262896" w:rsidRPr="00DA424D" w:rsidRDefault="00262896" w:rsidP="0002297E">
            <w:pPr>
              <w:widowControl/>
              <w:spacing w:before="40" w:after="40" w:line="240" w:lineRule="auto"/>
              <w:rPr>
                <w:rFonts w:asciiTheme="majorHAnsi" w:hAnsiTheme="majorHAnsi" w:cstheme="majorHAnsi"/>
                <w:sz w:val="16"/>
                <w:szCs w:val="16"/>
                <w:lang w:val="lv-LV"/>
              </w:rPr>
            </w:pPr>
            <w:r w:rsidRPr="000F3EF0">
              <w:rPr>
                <w:rFonts w:asciiTheme="majorHAnsi" w:hAnsiTheme="majorHAnsi" w:cstheme="majorHAnsi"/>
                <w:sz w:val="16"/>
                <w:szCs w:val="16"/>
                <w:lang w:val="lv-LV"/>
              </w:rPr>
              <w:t>J Informācijas un komunikācijas pakalpojumi</w:t>
            </w:r>
          </w:p>
        </w:tc>
        <w:tc>
          <w:tcPr>
            <w:tcW w:w="850" w:type="dxa"/>
            <w:shd w:val="clear" w:color="auto" w:fill="D9E2F3" w:themeFill="accent1" w:themeFillTint="33"/>
            <w:vAlign w:val="bottom"/>
          </w:tcPr>
          <w:p w14:paraId="1E026E82"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9,9</w:t>
            </w:r>
          </w:p>
        </w:tc>
        <w:tc>
          <w:tcPr>
            <w:tcW w:w="850" w:type="dxa"/>
            <w:shd w:val="clear" w:color="auto" w:fill="D9E2F3" w:themeFill="accent1" w:themeFillTint="33"/>
            <w:vAlign w:val="bottom"/>
          </w:tcPr>
          <w:p w14:paraId="5E563B67"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-18,1</w:t>
            </w:r>
          </w:p>
        </w:tc>
        <w:tc>
          <w:tcPr>
            <w:tcW w:w="850" w:type="dxa"/>
            <w:shd w:val="clear" w:color="auto" w:fill="D9E2F3" w:themeFill="accent1" w:themeFillTint="33"/>
            <w:vAlign w:val="bottom"/>
          </w:tcPr>
          <w:p w14:paraId="2D31D7E1"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3 836,4</w:t>
            </w:r>
          </w:p>
        </w:tc>
        <w:tc>
          <w:tcPr>
            <w:tcW w:w="850" w:type="dxa"/>
            <w:shd w:val="clear" w:color="auto" w:fill="D9E2F3" w:themeFill="accent1" w:themeFillTint="33"/>
            <w:vAlign w:val="bottom"/>
          </w:tcPr>
          <w:p w14:paraId="6C339712"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-0,005</w:t>
            </w:r>
          </w:p>
        </w:tc>
        <w:tc>
          <w:tcPr>
            <w:tcW w:w="850" w:type="dxa"/>
            <w:shd w:val="clear" w:color="auto" w:fill="D9E2F3" w:themeFill="accent1" w:themeFillTint="33"/>
            <w:vAlign w:val="bottom"/>
          </w:tcPr>
          <w:p w14:paraId="1237808F"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24,0</w:t>
            </w:r>
          </w:p>
        </w:tc>
        <w:tc>
          <w:tcPr>
            <w:tcW w:w="850" w:type="dxa"/>
            <w:shd w:val="clear" w:color="auto" w:fill="D9E2F3" w:themeFill="accent1" w:themeFillTint="33"/>
            <w:vAlign w:val="bottom"/>
          </w:tcPr>
          <w:p w14:paraId="764B9A87"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77,5</w:t>
            </w:r>
          </w:p>
        </w:tc>
        <w:tc>
          <w:tcPr>
            <w:tcW w:w="850" w:type="dxa"/>
            <w:shd w:val="clear" w:color="auto" w:fill="D9E2F3" w:themeFill="accent1" w:themeFillTint="33"/>
            <w:vAlign w:val="bottom"/>
          </w:tcPr>
          <w:p w14:paraId="4D74302B"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0,007</w:t>
            </w:r>
          </w:p>
        </w:tc>
        <w:tc>
          <w:tcPr>
            <w:tcW w:w="850" w:type="dxa"/>
            <w:shd w:val="clear" w:color="auto" w:fill="D9E2F3" w:themeFill="accent1" w:themeFillTint="33"/>
            <w:vAlign w:val="bottom"/>
          </w:tcPr>
          <w:p w14:paraId="7D68B6A9"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0,002</w:t>
            </w:r>
          </w:p>
        </w:tc>
      </w:tr>
      <w:tr w:rsidR="00262896" w:rsidRPr="00674542" w14:paraId="462F9FB0" w14:textId="77777777" w:rsidTr="0002297E">
        <w:trPr>
          <w:jc w:val="center"/>
        </w:trPr>
        <w:tc>
          <w:tcPr>
            <w:tcW w:w="2835" w:type="dxa"/>
            <w:shd w:val="clear" w:color="auto" w:fill="B4C6E7" w:themeFill="accent1" w:themeFillTint="66"/>
            <w:vAlign w:val="bottom"/>
          </w:tcPr>
          <w:p w14:paraId="38E561AC" w14:textId="77777777" w:rsidR="00262896" w:rsidRPr="00DA424D" w:rsidRDefault="00262896" w:rsidP="0002297E">
            <w:pPr>
              <w:widowControl/>
              <w:spacing w:before="40" w:after="40" w:line="240" w:lineRule="auto"/>
              <w:rPr>
                <w:rFonts w:asciiTheme="majorHAnsi" w:hAnsiTheme="majorHAnsi" w:cstheme="majorHAnsi"/>
                <w:sz w:val="16"/>
                <w:szCs w:val="16"/>
                <w:lang w:val="lv-LV"/>
              </w:rPr>
            </w:pPr>
            <w:r w:rsidRPr="000F3EF0">
              <w:rPr>
                <w:rFonts w:asciiTheme="majorHAnsi" w:hAnsiTheme="majorHAnsi" w:cstheme="majorHAnsi"/>
                <w:sz w:val="16"/>
                <w:szCs w:val="16"/>
                <w:lang w:val="lv-LV"/>
              </w:rPr>
              <w:t>K Finanšu un apdrošināšanas darbības</w:t>
            </w:r>
          </w:p>
        </w:tc>
        <w:tc>
          <w:tcPr>
            <w:tcW w:w="850" w:type="dxa"/>
            <w:shd w:val="clear" w:color="auto" w:fill="B4C6E7" w:themeFill="accent1" w:themeFillTint="66"/>
            <w:vAlign w:val="bottom"/>
          </w:tcPr>
          <w:p w14:paraId="52E0C7AB"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4,6</w:t>
            </w:r>
          </w:p>
        </w:tc>
        <w:tc>
          <w:tcPr>
            <w:tcW w:w="850" w:type="dxa"/>
            <w:shd w:val="clear" w:color="auto" w:fill="B4C6E7" w:themeFill="accent1" w:themeFillTint="66"/>
            <w:vAlign w:val="bottom"/>
          </w:tcPr>
          <w:p w14:paraId="1458D034"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-6,5</w:t>
            </w:r>
          </w:p>
        </w:tc>
        <w:tc>
          <w:tcPr>
            <w:tcW w:w="850" w:type="dxa"/>
            <w:shd w:val="clear" w:color="auto" w:fill="B4C6E7" w:themeFill="accent1" w:themeFillTint="66"/>
            <w:vAlign w:val="bottom"/>
          </w:tcPr>
          <w:p w14:paraId="2E380FA4"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1 050,2</w:t>
            </w:r>
          </w:p>
        </w:tc>
        <w:tc>
          <w:tcPr>
            <w:tcW w:w="850" w:type="dxa"/>
            <w:shd w:val="clear" w:color="auto" w:fill="B4C6E7" w:themeFill="accent1" w:themeFillTint="66"/>
            <w:vAlign w:val="bottom"/>
          </w:tcPr>
          <w:p w14:paraId="37BCDB9F"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-0,006</w:t>
            </w:r>
          </w:p>
        </w:tc>
        <w:tc>
          <w:tcPr>
            <w:tcW w:w="850" w:type="dxa"/>
            <w:shd w:val="clear" w:color="auto" w:fill="B4C6E7" w:themeFill="accent1" w:themeFillTint="66"/>
            <w:vAlign w:val="bottom"/>
          </w:tcPr>
          <w:p w14:paraId="634242D1"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9,3</w:t>
            </w:r>
          </w:p>
        </w:tc>
        <w:tc>
          <w:tcPr>
            <w:tcW w:w="850" w:type="dxa"/>
            <w:shd w:val="clear" w:color="auto" w:fill="B4C6E7" w:themeFill="accent1" w:themeFillTint="66"/>
            <w:vAlign w:val="bottom"/>
          </w:tcPr>
          <w:p w14:paraId="000A46E3"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51,4</w:t>
            </w:r>
          </w:p>
        </w:tc>
        <w:tc>
          <w:tcPr>
            <w:tcW w:w="850" w:type="dxa"/>
            <w:shd w:val="clear" w:color="auto" w:fill="B4C6E7" w:themeFill="accent1" w:themeFillTint="66"/>
            <w:vAlign w:val="bottom"/>
          </w:tcPr>
          <w:p w14:paraId="254E28B7"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0,006</w:t>
            </w:r>
          </w:p>
        </w:tc>
        <w:tc>
          <w:tcPr>
            <w:tcW w:w="850" w:type="dxa"/>
            <w:shd w:val="clear" w:color="auto" w:fill="B4C6E7" w:themeFill="accent1" w:themeFillTint="66"/>
            <w:vAlign w:val="bottom"/>
          </w:tcPr>
          <w:p w14:paraId="427CBB70"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0,002</w:t>
            </w:r>
          </w:p>
        </w:tc>
      </w:tr>
      <w:tr w:rsidR="00262896" w:rsidRPr="00674542" w14:paraId="2759D65F" w14:textId="77777777" w:rsidTr="0002297E">
        <w:trPr>
          <w:jc w:val="center"/>
        </w:trPr>
        <w:tc>
          <w:tcPr>
            <w:tcW w:w="2835" w:type="dxa"/>
            <w:shd w:val="clear" w:color="auto" w:fill="D9E2F3" w:themeFill="accent1" w:themeFillTint="33"/>
            <w:vAlign w:val="bottom"/>
          </w:tcPr>
          <w:p w14:paraId="2C0E0146" w14:textId="77777777" w:rsidR="00262896" w:rsidRPr="00DA424D" w:rsidRDefault="00262896" w:rsidP="0002297E">
            <w:pPr>
              <w:widowControl/>
              <w:spacing w:before="40" w:after="40" w:line="240" w:lineRule="auto"/>
              <w:rPr>
                <w:rFonts w:asciiTheme="majorHAnsi" w:hAnsiTheme="majorHAnsi" w:cstheme="majorHAnsi"/>
                <w:sz w:val="16"/>
                <w:szCs w:val="16"/>
                <w:lang w:val="lv-LV"/>
              </w:rPr>
            </w:pPr>
            <w:r w:rsidRPr="000F3EF0">
              <w:rPr>
                <w:rFonts w:asciiTheme="majorHAnsi" w:hAnsiTheme="majorHAnsi" w:cstheme="majorHAnsi"/>
                <w:sz w:val="16"/>
                <w:szCs w:val="16"/>
                <w:lang w:val="lv-LV"/>
              </w:rPr>
              <w:t>L Operācijas ar nekustamo īpašumu</w:t>
            </w:r>
          </w:p>
        </w:tc>
        <w:tc>
          <w:tcPr>
            <w:tcW w:w="850" w:type="dxa"/>
            <w:shd w:val="clear" w:color="auto" w:fill="D9E2F3" w:themeFill="accent1" w:themeFillTint="33"/>
            <w:vAlign w:val="bottom"/>
          </w:tcPr>
          <w:p w14:paraId="3053A835"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209,5</w:t>
            </w:r>
          </w:p>
        </w:tc>
        <w:tc>
          <w:tcPr>
            <w:tcW w:w="850" w:type="dxa"/>
            <w:shd w:val="clear" w:color="auto" w:fill="D9E2F3" w:themeFill="accent1" w:themeFillTint="33"/>
            <w:vAlign w:val="bottom"/>
          </w:tcPr>
          <w:p w14:paraId="1468C190"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75,8</w:t>
            </w:r>
          </w:p>
        </w:tc>
        <w:tc>
          <w:tcPr>
            <w:tcW w:w="850" w:type="dxa"/>
            <w:shd w:val="clear" w:color="auto" w:fill="D9E2F3" w:themeFill="accent1" w:themeFillTint="33"/>
            <w:vAlign w:val="bottom"/>
          </w:tcPr>
          <w:p w14:paraId="11D66FA8"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15 401,8</w:t>
            </w:r>
          </w:p>
        </w:tc>
        <w:tc>
          <w:tcPr>
            <w:tcW w:w="850" w:type="dxa"/>
            <w:shd w:val="clear" w:color="auto" w:fill="D9E2F3" w:themeFill="accent1" w:themeFillTint="33"/>
            <w:vAlign w:val="bottom"/>
          </w:tcPr>
          <w:p w14:paraId="6A86384D"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0,005</w:t>
            </w:r>
          </w:p>
        </w:tc>
        <w:tc>
          <w:tcPr>
            <w:tcW w:w="850" w:type="dxa"/>
            <w:shd w:val="clear" w:color="auto" w:fill="D9E2F3" w:themeFill="accent1" w:themeFillTint="33"/>
            <w:vAlign w:val="bottom"/>
          </w:tcPr>
          <w:p w14:paraId="3A2ACB9F"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41,7</w:t>
            </w:r>
          </w:p>
        </w:tc>
        <w:tc>
          <w:tcPr>
            <w:tcW w:w="850" w:type="dxa"/>
            <w:shd w:val="clear" w:color="auto" w:fill="D9E2F3" w:themeFill="accent1" w:themeFillTint="33"/>
            <w:vAlign w:val="bottom"/>
          </w:tcPr>
          <w:p w14:paraId="16D270F3"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13,3</w:t>
            </w:r>
          </w:p>
        </w:tc>
        <w:tc>
          <w:tcPr>
            <w:tcW w:w="850" w:type="dxa"/>
            <w:shd w:val="clear" w:color="auto" w:fill="D9E2F3" w:themeFill="accent1" w:themeFillTint="33"/>
            <w:vAlign w:val="bottom"/>
          </w:tcPr>
          <w:p w14:paraId="2243DA1E"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0,003</w:t>
            </w:r>
          </w:p>
        </w:tc>
        <w:tc>
          <w:tcPr>
            <w:tcW w:w="850" w:type="dxa"/>
            <w:shd w:val="clear" w:color="auto" w:fill="D9E2F3" w:themeFill="accent1" w:themeFillTint="33"/>
            <w:vAlign w:val="bottom"/>
          </w:tcPr>
          <w:p w14:paraId="20138173"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0,002</w:t>
            </w:r>
          </w:p>
        </w:tc>
      </w:tr>
      <w:tr w:rsidR="00262896" w:rsidRPr="00674542" w14:paraId="2705B454" w14:textId="77777777" w:rsidTr="0002297E">
        <w:trPr>
          <w:jc w:val="center"/>
        </w:trPr>
        <w:tc>
          <w:tcPr>
            <w:tcW w:w="2835" w:type="dxa"/>
            <w:shd w:val="clear" w:color="auto" w:fill="B4C6E7" w:themeFill="accent1" w:themeFillTint="66"/>
            <w:vAlign w:val="bottom"/>
          </w:tcPr>
          <w:p w14:paraId="3C81B9D4" w14:textId="77777777" w:rsidR="00262896" w:rsidRPr="00DA424D" w:rsidRDefault="00262896" w:rsidP="0002297E">
            <w:pPr>
              <w:widowControl/>
              <w:spacing w:before="40" w:after="40" w:line="240" w:lineRule="auto"/>
              <w:rPr>
                <w:rFonts w:asciiTheme="majorHAnsi" w:hAnsiTheme="majorHAnsi" w:cstheme="majorHAnsi"/>
                <w:sz w:val="16"/>
                <w:szCs w:val="16"/>
                <w:lang w:val="lv-LV"/>
              </w:rPr>
            </w:pPr>
            <w:r w:rsidRPr="000F3EF0">
              <w:rPr>
                <w:rFonts w:asciiTheme="majorHAnsi" w:hAnsiTheme="majorHAnsi" w:cstheme="majorHAnsi"/>
                <w:sz w:val="16"/>
                <w:szCs w:val="16"/>
                <w:lang w:val="lv-LV"/>
              </w:rPr>
              <w:t>M Profesionālie, zinātniskie un tehniskie pakalpojumi</w:t>
            </w:r>
          </w:p>
        </w:tc>
        <w:tc>
          <w:tcPr>
            <w:tcW w:w="850" w:type="dxa"/>
            <w:shd w:val="clear" w:color="auto" w:fill="B4C6E7" w:themeFill="accent1" w:themeFillTint="66"/>
            <w:vAlign w:val="bottom"/>
          </w:tcPr>
          <w:p w14:paraId="57C2C026"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23,2</w:t>
            </w:r>
          </w:p>
        </w:tc>
        <w:tc>
          <w:tcPr>
            <w:tcW w:w="850" w:type="dxa"/>
            <w:shd w:val="clear" w:color="auto" w:fill="B4C6E7" w:themeFill="accent1" w:themeFillTint="66"/>
            <w:vAlign w:val="bottom"/>
          </w:tcPr>
          <w:p w14:paraId="65524C3E"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-18,4</w:t>
            </w:r>
          </w:p>
        </w:tc>
        <w:tc>
          <w:tcPr>
            <w:tcW w:w="850" w:type="dxa"/>
            <w:shd w:val="clear" w:color="auto" w:fill="B4C6E7" w:themeFill="accent1" w:themeFillTint="66"/>
            <w:vAlign w:val="bottom"/>
          </w:tcPr>
          <w:p w14:paraId="2143C995"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2 273,</w:t>
            </w:r>
          </w:p>
        </w:tc>
        <w:tc>
          <w:tcPr>
            <w:tcW w:w="850" w:type="dxa"/>
            <w:shd w:val="clear" w:color="auto" w:fill="B4C6E7" w:themeFill="accent1" w:themeFillTint="66"/>
            <w:vAlign w:val="bottom"/>
          </w:tcPr>
          <w:p w14:paraId="4099118D"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-0,008</w:t>
            </w:r>
          </w:p>
        </w:tc>
        <w:tc>
          <w:tcPr>
            <w:tcW w:w="850" w:type="dxa"/>
            <w:shd w:val="clear" w:color="auto" w:fill="B4C6E7" w:themeFill="accent1" w:themeFillTint="66"/>
            <w:vAlign w:val="bottom"/>
          </w:tcPr>
          <w:p w14:paraId="4B431F72"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16,3</w:t>
            </w:r>
          </w:p>
        </w:tc>
        <w:tc>
          <w:tcPr>
            <w:tcW w:w="850" w:type="dxa"/>
            <w:shd w:val="clear" w:color="auto" w:fill="B4C6E7" w:themeFill="accent1" w:themeFillTint="66"/>
            <w:vAlign w:val="bottom"/>
          </w:tcPr>
          <w:p w14:paraId="691A2E5B"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83,3</w:t>
            </w:r>
          </w:p>
        </w:tc>
        <w:tc>
          <w:tcPr>
            <w:tcW w:w="850" w:type="dxa"/>
            <w:shd w:val="clear" w:color="auto" w:fill="B4C6E7" w:themeFill="accent1" w:themeFillTint="66"/>
            <w:vAlign w:val="bottom"/>
          </w:tcPr>
          <w:p w14:paraId="2C714003"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0,026</w:t>
            </w:r>
          </w:p>
        </w:tc>
        <w:tc>
          <w:tcPr>
            <w:tcW w:w="850" w:type="dxa"/>
            <w:shd w:val="clear" w:color="auto" w:fill="B4C6E7" w:themeFill="accent1" w:themeFillTint="66"/>
            <w:vAlign w:val="bottom"/>
          </w:tcPr>
          <w:p w14:paraId="0FB17C99"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0,009</w:t>
            </w:r>
          </w:p>
        </w:tc>
      </w:tr>
      <w:tr w:rsidR="00262896" w:rsidRPr="00674542" w14:paraId="15993CAA" w14:textId="77777777" w:rsidTr="0002297E">
        <w:trPr>
          <w:jc w:val="center"/>
        </w:trPr>
        <w:tc>
          <w:tcPr>
            <w:tcW w:w="2835" w:type="dxa"/>
            <w:shd w:val="clear" w:color="auto" w:fill="D9E2F3" w:themeFill="accent1" w:themeFillTint="33"/>
            <w:vAlign w:val="bottom"/>
          </w:tcPr>
          <w:p w14:paraId="20E3BD94" w14:textId="77777777" w:rsidR="00262896" w:rsidRPr="00DA424D" w:rsidRDefault="00262896" w:rsidP="0002297E">
            <w:pPr>
              <w:widowControl/>
              <w:spacing w:before="40" w:after="40" w:line="240" w:lineRule="auto"/>
              <w:rPr>
                <w:rFonts w:asciiTheme="majorHAnsi" w:hAnsiTheme="majorHAnsi" w:cstheme="majorHAnsi"/>
                <w:sz w:val="16"/>
                <w:szCs w:val="16"/>
                <w:lang w:val="lv-LV"/>
              </w:rPr>
            </w:pPr>
            <w:r w:rsidRPr="000F3EF0">
              <w:rPr>
                <w:rFonts w:asciiTheme="majorHAnsi" w:hAnsiTheme="majorHAnsi" w:cstheme="majorHAnsi"/>
                <w:sz w:val="16"/>
                <w:szCs w:val="16"/>
                <w:lang w:val="lv-LV"/>
              </w:rPr>
              <w:t>N Administratīvo un apkalpojošo dienestu darbība</w:t>
            </w:r>
          </w:p>
        </w:tc>
        <w:tc>
          <w:tcPr>
            <w:tcW w:w="850" w:type="dxa"/>
            <w:shd w:val="clear" w:color="auto" w:fill="D9E2F3" w:themeFill="accent1" w:themeFillTint="33"/>
            <w:vAlign w:val="bottom"/>
          </w:tcPr>
          <w:p w14:paraId="5BECA00B"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52,5</w:t>
            </w:r>
          </w:p>
        </w:tc>
        <w:tc>
          <w:tcPr>
            <w:tcW w:w="850" w:type="dxa"/>
            <w:shd w:val="clear" w:color="auto" w:fill="D9E2F3" w:themeFill="accent1" w:themeFillTint="33"/>
            <w:vAlign w:val="bottom"/>
          </w:tcPr>
          <w:p w14:paraId="1FC4B890"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-4,4</w:t>
            </w:r>
          </w:p>
        </w:tc>
        <w:tc>
          <w:tcPr>
            <w:tcW w:w="850" w:type="dxa"/>
            <w:shd w:val="clear" w:color="auto" w:fill="D9E2F3" w:themeFill="accent1" w:themeFillTint="33"/>
            <w:vAlign w:val="bottom"/>
          </w:tcPr>
          <w:p w14:paraId="58E93BBC"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1 542,4</w:t>
            </w:r>
          </w:p>
        </w:tc>
        <w:tc>
          <w:tcPr>
            <w:tcW w:w="850" w:type="dxa"/>
            <w:shd w:val="clear" w:color="auto" w:fill="D9E2F3" w:themeFill="accent1" w:themeFillTint="33"/>
            <w:vAlign w:val="bottom"/>
          </w:tcPr>
          <w:p w14:paraId="06A589D2"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-0,003</w:t>
            </w:r>
          </w:p>
        </w:tc>
        <w:tc>
          <w:tcPr>
            <w:tcW w:w="850" w:type="dxa"/>
            <w:shd w:val="clear" w:color="auto" w:fill="D9E2F3" w:themeFill="accent1" w:themeFillTint="33"/>
            <w:vAlign w:val="bottom"/>
          </w:tcPr>
          <w:p w14:paraId="17A4EDB2"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17,2</w:t>
            </w:r>
          </w:p>
        </w:tc>
        <w:tc>
          <w:tcPr>
            <w:tcW w:w="850" w:type="dxa"/>
            <w:shd w:val="clear" w:color="auto" w:fill="D9E2F3" w:themeFill="accent1" w:themeFillTint="33"/>
            <w:vAlign w:val="bottom"/>
          </w:tcPr>
          <w:p w14:paraId="2D3F862E"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58,5</w:t>
            </w:r>
          </w:p>
        </w:tc>
        <w:tc>
          <w:tcPr>
            <w:tcW w:w="850" w:type="dxa"/>
            <w:shd w:val="clear" w:color="auto" w:fill="D9E2F3" w:themeFill="accent1" w:themeFillTint="33"/>
            <w:vAlign w:val="bottom"/>
          </w:tcPr>
          <w:p w14:paraId="790B553E"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0,033</w:t>
            </w:r>
          </w:p>
        </w:tc>
        <w:tc>
          <w:tcPr>
            <w:tcW w:w="850" w:type="dxa"/>
            <w:shd w:val="clear" w:color="auto" w:fill="D9E2F3" w:themeFill="accent1" w:themeFillTint="33"/>
            <w:vAlign w:val="bottom"/>
          </w:tcPr>
          <w:p w14:paraId="42D2371D"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0,020</w:t>
            </w:r>
          </w:p>
        </w:tc>
      </w:tr>
      <w:tr w:rsidR="00262896" w:rsidRPr="00674542" w14:paraId="34DA375F" w14:textId="77777777" w:rsidTr="0002297E">
        <w:trPr>
          <w:jc w:val="center"/>
        </w:trPr>
        <w:tc>
          <w:tcPr>
            <w:tcW w:w="2835" w:type="dxa"/>
            <w:shd w:val="clear" w:color="auto" w:fill="B4C6E7" w:themeFill="accent1" w:themeFillTint="66"/>
            <w:vAlign w:val="bottom"/>
          </w:tcPr>
          <w:p w14:paraId="32B8F32A" w14:textId="77777777" w:rsidR="00262896" w:rsidRPr="00DA424D" w:rsidRDefault="00262896" w:rsidP="0002297E">
            <w:pPr>
              <w:widowControl/>
              <w:spacing w:before="40" w:after="40" w:line="240" w:lineRule="auto"/>
              <w:rPr>
                <w:rFonts w:asciiTheme="majorHAnsi" w:hAnsiTheme="majorHAnsi" w:cstheme="majorHAnsi"/>
                <w:sz w:val="16"/>
                <w:szCs w:val="16"/>
                <w:lang w:val="lv-LV"/>
              </w:rPr>
            </w:pPr>
            <w:r w:rsidRPr="000F3EF0">
              <w:rPr>
                <w:rFonts w:asciiTheme="majorHAnsi" w:hAnsiTheme="majorHAnsi" w:cstheme="majorHAnsi"/>
                <w:sz w:val="16"/>
                <w:szCs w:val="16"/>
                <w:lang w:val="lv-LV"/>
              </w:rPr>
              <w:t>O Valsts pārvalde un aizsardzība, obligātā sociālā apdrošināšana</w:t>
            </w:r>
          </w:p>
        </w:tc>
        <w:tc>
          <w:tcPr>
            <w:tcW w:w="850" w:type="dxa"/>
            <w:shd w:val="clear" w:color="auto" w:fill="B4C6E7" w:themeFill="accent1" w:themeFillTint="66"/>
            <w:vAlign w:val="bottom"/>
          </w:tcPr>
          <w:p w14:paraId="7C556EF1"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108,2</w:t>
            </w:r>
          </w:p>
        </w:tc>
        <w:tc>
          <w:tcPr>
            <w:tcW w:w="850" w:type="dxa"/>
            <w:shd w:val="clear" w:color="auto" w:fill="B4C6E7" w:themeFill="accent1" w:themeFillTint="66"/>
            <w:vAlign w:val="bottom"/>
          </w:tcPr>
          <w:p w14:paraId="748E07D6"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-40,0</w:t>
            </w:r>
          </w:p>
        </w:tc>
        <w:tc>
          <w:tcPr>
            <w:tcW w:w="850" w:type="dxa"/>
            <w:shd w:val="clear" w:color="auto" w:fill="B4C6E7" w:themeFill="accent1" w:themeFillTint="66"/>
            <w:vAlign w:val="bottom"/>
          </w:tcPr>
          <w:p w14:paraId="07CF995A"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10 126,2</w:t>
            </w:r>
          </w:p>
        </w:tc>
        <w:tc>
          <w:tcPr>
            <w:tcW w:w="850" w:type="dxa"/>
            <w:shd w:val="clear" w:color="auto" w:fill="B4C6E7" w:themeFill="accent1" w:themeFillTint="66"/>
            <w:vAlign w:val="bottom"/>
          </w:tcPr>
          <w:p w14:paraId="423AC7DE"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-0,004</w:t>
            </w:r>
          </w:p>
        </w:tc>
        <w:tc>
          <w:tcPr>
            <w:tcW w:w="850" w:type="dxa"/>
            <w:shd w:val="clear" w:color="auto" w:fill="B4C6E7" w:themeFill="accent1" w:themeFillTint="66"/>
            <w:vAlign w:val="bottom"/>
          </w:tcPr>
          <w:p w14:paraId="64127600"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43,7</w:t>
            </w:r>
          </w:p>
        </w:tc>
        <w:tc>
          <w:tcPr>
            <w:tcW w:w="850" w:type="dxa"/>
            <w:shd w:val="clear" w:color="auto" w:fill="B4C6E7" w:themeFill="accent1" w:themeFillTint="66"/>
            <w:vAlign w:val="bottom"/>
          </w:tcPr>
          <w:p w14:paraId="3345BC7C"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27,5</w:t>
            </w:r>
          </w:p>
        </w:tc>
        <w:tc>
          <w:tcPr>
            <w:tcW w:w="850" w:type="dxa"/>
            <w:shd w:val="clear" w:color="auto" w:fill="B4C6E7" w:themeFill="accent1" w:themeFillTint="66"/>
            <w:vAlign w:val="bottom"/>
          </w:tcPr>
          <w:p w14:paraId="155CBCC3"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0,007</w:t>
            </w:r>
          </w:p>
        </w:tc>
        <w:tc>
          <w:tcPr>
            <w:tcW w:w="850" w:type="dxa"/>
            <w:shd w:val="clear" w:color="auto" w:fill="B4C6E7" w:themeFill="accent1" w:themeFillTint="66"/>
            <w:vAlign w:val="bottom"/>
          </w:tcPr>
          <w:p w14:paraId="21C244E8"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0,003</w:t>
            </w:r>
          </w:p>
        </w:tc>
      </w:tr>
      <w:tr w:rsidR="00262896" w:rsidRPr="00674542" w14:paraId="06023711" w14:textId="77777777" w:rsidTr="0002297E">
        <w:trPr>
          <w:jc w:val="center"/>
        </w:trPr>
        <w:tc>
          <w:tcPr>
            <w:tcW w:w="2835" w:type="dxa"/>
            <w:shd w:val="clear" w:color="auto" w:fill="D9E2F3" w:themeFill="accent1" w:themeFillTint="33"/>
            <w:vAlign w:val="bottom"/>
          </w:tcPr>
          <w:p w14:paraId="328B0F1B" w14:textId="77777777" w:rsidR="00262896" w:rsidRPr="00DA424D" w:rsidRDefault="00262896" w:rsidP="0002297E">
            <w:pPr>
              <w:widowControl/>
              <w:spacing w:before="40" w:after="40" w:line="240" w:lineRule="auto"/>
              <w:rPr>
                <w:rFonts w:asciiTheme="majorHAnsi" w:hAnsiTheme="majorHAnsi" w:cstheme="majorHAnsi"/>
                <w:sz w:val="16"/>
                <w:szCs w:val="16"/>
                <w:lang w:val="lv-LV"/>
              </w:rPr>
            </w:pPr>
            <w:r w:rsidRPr="000F3EF0">
              <w:rPr>
                <w:rFonts w:asciiTheme="majorHAnsi" w:hAnsiTheme="majorHAnsi" w:cstheme="majorHAnsi"/>
                <w:sz w:val="16"/>
                <w:szCs w:val="16"/>
                <w:lang w:val="lv-LV"/>
              </w:rPr>
              <w:t>P Izglītība</w:t>
            </w:r>
          </w:p>
        </w:tc>
        <w:tc>
          <w:tcPr>
            <w:tcW w:w="850" w:type="dxa"/>
            <w:shd w:val="clear" w:color="auto" w:fill="D9E2F3" w:themeFill="accent1" w:themeFillTint="33"/>
            <w:vAlign w:val="bottom"/>
          </w:tcPr>
          <w:p w14:paraId="1BCF3F40"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16,</w:t>
            </w:r>
          </w:p>
        </w:tc>
        <w:tc>
          <w:tcPr>
            <w:tcW w:w="850" w:type="dxa"/>
            <w:shd w:val="clear" w:color="auto" w:fill="D9E2F3" w:themeFill="accent1" w:themeFillTint="33"/>
            <w:vAlign w:val="bottom"/>
          </w:tcPr>
          <w:p w14:paraId="78BA35D1"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-27,9</w:t>
            </w:r>
          </w:p>
        </w:tc>
        <w:tc>
          <w:tcPr>
            <w:tcW w:w="850" w:type="dxa"/>
            <w:shd w:val="clear" w:color="auto" w:fill="D9E2F3" w:themeFill="accent1" w:themeFillTint="33"/>
            <w:vAlign w:val="bottom"/>
          </w:tcPr>
          <w:p w14:paraId="1AAF7C47"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2 258,5</w:t>
            </w:r>
          </w:p>
        </w:tc>
        <w:tc>
          <w:tcPr>
            <w:tcW w:w="850" w:type="dxa"/>
            <w:shd w:val="clear" w:color="auto" w:fill="D9E2F3" w:themeFill="accent1" w:themeFillTint="33"/>
            <w:vAlign w:val="bottom"/>
          </w:tcPr>
          <w:p w14:paraId="593F7241"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-0,012</w:t>
            </w:r>
          </w:p>
        </w:tc>
        <w:tc>
          <w:tcPr>
            <w:tcW w:w="850" w:type="dxa"/>
            <w:shd w:val="clear" w:color="auto" w:fill="D9E2F3" w:themeFill="accent1" w:themeFillTint="33"/>
            <w:vAlign w:val="bottom"/>
          </w:tcPr>
          <w:p w14:paraId="720F05DF"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15,2</w:t>
            </w:r>
          </w:p>
        </w:tc>
        <w:tc>
          <w:tcPr>
            <w:tcW w:w="850" w:type="dxa"/>
            <w:shd w:val="clear" w:color="auto" w:fill="D9E2F3" w:themeFill="accent1" w:themeFillTint="33"/>
            <w:vAlign w:val="bottom"/>
          </w:tcPr>
          <w:p w14:paraId="4561292F"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25,7</w:t>
            </w:r>
          </w:p>
        </w:tc>
        <w:tc>
          <w:tcPr>
            <w:tcW w:w="850" w:type="dxa"/>
            <w:shd w:val="clear" w:color="auto" w:fill="D9E2F3" w:themeFill="accent1" w:themeFillTint="33"/>
            <w:vAlign w:val="bottom"/>
          </w:tcPr>
          <w:p w14:paraId="3B75BC94"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0,007</w:t>
            </w:r>
          </w:p>
        </w:tc>
        <w:tc>
          <w:tcPr>
            <w:tcW w:w="850" w:type="dxa"/>
            <w:shd w:val="clear" w:color="auto" w:fill="D9E2F3" w:themeFill="accent1" w:themeFillTint="33"/>
            <w:vAlign w:val="bottom"/>
          </w:tcPr>
          <w:p w14:paraId="2ED03EB3"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0,002</w:t>
            </w:r>
          </w:p>
        </w:tc>
      </w:tr>
      <w:tr w:rsidR="00262896" w:rsidRPr="00674542" w14:paraId="7022E8D7" w14:textId="77777777" w:rsidTr="0002297E">
        <w:trPr>
          <w:jc w:val="center"/>
        </w:trPr>
        <w:tc>
          <w:tcPr>
            <w:tcW w:w="2835" w:type="dxa"/>
            <w:shd w:val="clear" w:color="auto" w:fill="B4C6E7" w:themeFill="accent1" w:themeFillTint="66"/>
            <w:vAlign w:val="bottom"/>
          </w:tcPr>
          <w:p w14:paraId="1E073915" w14:textId="77777777" w:rsidR="00262896" w:rsidRPr="00DA424D" w:rsidRDefault="00262896" w:rsidP="0002297E">
            <w:pPr>
              <w:widowControl/>
              <w:spacing w:before="40" w:after="40" w:line="240" w:lineRule="auto"/>
              <w:rPr>
                <w:rFonts w:asciiTheme="majorHAnsi" w:hAnsiTheme="majorHAnsi" w:cstheme="majorHAnsi"/>
                <w:sz w:val="16"/>
                <w:szCs w:val="16"/>
                <w:lang w:val="lv-LV"/>
              </w:rPr>
            </w:pPr>
            <w:r w:rsidRPr="000F3EF0">
              <w:rPr>
                <w:rFonts w:asciiTheme="majorHAnsi" w:hAnsiTheme="majorHAnsi" w:cstheme="majorHAnsi"/>
                <w:sz w:val="16"/>
                <w:szCs w:val="16"/>
                <w:lang w:val="lv-LV"/>
              </w:rPr>
              <w:t>Q Veselība un sociālā aprūpe</w:t>
            </w:r>
          </w:p>
        </w:tc>
        <w:tc>
          <w:tcPr>
            <w:tcW w:w="850" w:type="dxa"/>
            <w:shd w:val="clear" w:color="auto" w:fill="B4C6E7" w:themeFill="accent1" w:themeFillTint="66"/>
            <w:vAlign w:val="bottom"/>
          </w:tcPr>
          <w:p w14:paraId="16258D0F"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71,1</w:t>
            </w:r>
          </w:p>
        </w:tc>
        <w:tc>
          <w:tcPr>
            <w:tcW w:w="850" w:type="dxa"/>
            <w:shd w:val="clear" w:color="auto" w:fill="B4C6E7" w:themeFill="accent1" w:themeFillTint="66"/>
            <w:vAlign w:val="bottom"/>
          </w:tcPr>
          <w:p w14:paraId="39A1354B"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-7,3</w:t>
            </w:r>
          </w:p>
        </w:tc>
        <w:tc>
          <w:tcPr>
            <w:tcW w:w="850" w:type="dxa"/>
            <w:shd w:val="clear" w:color="auto" w:fill="B4C6E7" w:themeFill="accent1" w:themeFillTint="66"/>
            <w:vAlign w:val="bottom"/>
          </w:tcPr>
          <w:p w14:paraId="7886449A"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2 151,0</w:t>
            </w:r>
          </w:p>
        </w:tc>
        <w:tc>
          <w:tcPr>
            <w:tcW w:w="850" w:type="dxa"/>
            <w:shd w:val="clear" w:color="auto" w:fill="B4C6E7" w:themeFill="accent1" w:themeFillTint="66"/>
            <w:vAlign w:val="bottom"/>
          </w:tcPr>
          <w:p w14:paraId="5202B74A"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-0,003</w:t>
            </w:r>
          </w:p>
        </w:tc>
        <w:tc>
          <w:tcPr>
            <w:tcW w:w="850" w:type="dxa"/>
            <w:shd w:val="clear" w:color="auto" w:fill="B4C6E7" w:themeFill="accent1" w:themeFillTint="66"/>
            <w:vAlign w:val="bottom"/>
          </w:tcPr>
          <w:p w14:paraId="4D3E68B9"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17,6</w:t>
            </w:r>
          </w:p>
        </w:tc>
        <w:tc>
          <w:tcPr>
            <w:tcW w:w="850" w:type="dxa"/>
            <w:shd w:val="clear" w:color="auto" w:fill="B4C6E7" w:themeFill="accent1" w:themeFillTint="66"/>
            <w:vAlign w:val="bottom"/>
          </w:tcPr>
          <w:p w14:paraId="6E446F0D"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50,2</w:t>
            </w:r>
          </w:p>
        </w:tc>
        <w:tc>
          <w:tcPr>
            <w:tcW w:w="850" w:type="dxa"/>
            <w:shd w:val="clear" w:color="auto" w:fill="B4C6E7" w:themeFill="accent1" w:themeFillTint="66"/>
            <w:vAlign w:val="bottom"/>
          </w:tcPr>
          <w:p w14:paraId="52652A80"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0,030</w:t>
            </w:r>
          </w:p>
        </w:tc>
        <w:tc>
          <w:tcPr>
            <w:tcW w:w="850" w:type="dxa"/>
            <w:shd w:val="clear" w:color="auto" w:fill="B4C6E7" w:themeFill="accent1" w:themeFillTint="66"/>
            <w:vAlign w:val="bottom"/>
          </w:tcPr>
          <w:p w14:paraId="0E1C562E"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0,017</w:t>
            </w:r>
          </w:p>
        </w:tc>
      </w:tr>
      <w:tr w:rsidR="00262896" w:rsidRPr="00674542" w14:paraId="25577D0E" w14:textId="77777777" w:rsidTr="0002297E">
        <w:trPr>
          <w:jc w:val="center"/>
        </w:trPr>
        <w:tc>
          <w:tcPr>
            <w:tcW w:w="2835" w:type="dxa"/>
            <w:shd w:val="clear" w:color="auto" w:fill="D9E2F3" w:themeFill="accent1" w:themeFillTint="33"/>
          </w:tcPr>
          <w:p w14:paraId="064B80E9" w14:textId="77777777" w:rsidR="00262896" w:rsidRPr="00DA424D" w:rsidRDefault="00262896" w:rsidP="0002297E">
            <w:pPr>
              <w:widowControl/>
              <w:spacing w:before="40" w:after="40" w:line="240" w:lineRule="auto"/>
              <w:rPr>
                <w:rFonts w:asciiTheme="majorHAnsi" w:hAnsiTheme="majorHAnsi" w:cstheme="majorHAnsi"/>
                <w:sz w:val="16"/>
                <w:szCs w:val="16"/>
                <w:lang w:val="lv-LV"/>
              </w:rPr>
            </w:pPr>
            <w:r w:rsidRPr="000F3EF0">
              <w:rPr>
                <w:rFonts w:asciiTheme="majorHAnsi" w:hAnsiTheme="majorHAnsi" w:cstheme="majorHAnsi"/>
                <w:sz w:val="16"/>
                <w:szCs w:val="16"/>
                <w:lang w:val="lv-LV"/>
              </w:rPr>
              <w:t>R Māksla, izklaide un atpūta</w:t>
            </w:r>
          </w:p>
        </w:tc>
        <w:tc>
          <w:tcPr>
            <w:tcW w:w="850" w:type="dxa"/>
            <w:shd w:val="clear" w:color="auto" w:fill="D9E2F3" w:themeFill="accent1" w:themeFillTint="33"/>
            <w:vAlign w:val="bottom"/>
          </w:tcPr>
          <w:p w14:paraId="199D276A"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9,0</w:t>
            </w:r>
          </w:p>
        </w:tc>
        <w:tc>
          <w:tcPr>
            <w:tcW w:w="850" w:type="dxa"/>
            <w:shd w:val="clear" w:color="auto" w:fill="D9E2F3" w:themeFill="accent1" w:themeFillTint="33"/>
            <w:vAlign w:val="bottom"/>
          </w:tcPr>
          <w:p w14:paraId="3CFDCCE6"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-8,6</w:t>
            </w:r>
          </w:p>
        </w:tc>
        <w:tc>
          <w:tcPr>
            <w:tcW w:w="850" w:type="dxa"/>
            <w:shd w:val="clear" w:color="auto" w:fill="D9E2F3" w:themeFill="accent1" w:themeFillTint="33"/>
            <w:vAlign w:val="bottom"/>
          </w:tcPr>
          <w:p w14:paraId="6FAA60A7"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1 065,4</w:t>
            </w:r>
          </w:p>
        </w:tc>
        <w:tc>
          <w:tcPr>
            <w:tcW w:w="850" w:type="dxa"/>
            <w:shd w:val="clear" w:color="auto" w:fill="D9E2F3" w:themeFill="accent1" w:themeFillTint="33"/>
            <w:vAlign w:val="bottom"/>
          </w:tcPr>
          <w:p w14:paraId="764AE358"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-0,008</w:t>
            </w:r>
          </w:p>
        </w:tc>
        <w:tc>
          <w:tcPr>
            <w:tcW w:w="850" w:type="dxa"/>
            <w:shd w:val="clear" w:color="auto" w:fill="D9E2F3" w:themeFill="accent1" w:themeFillTint="33"/>
            <w:vAlign w:val="bottom"/>
          </w:tcPr>
          <w:p w14:paraId="3200B0C3"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18,8</w:t>
            </w:r>
          </w:p>
        </w:tc>
        <w:tc>
          <w:tcPr>
            <w:tcW w:w="850" w:type="dxa"/>
            <w:shd w:val="clear" w:color="auto" w:fill="D9E2F3" w:themeFill="accent1" w:themeFillTint="33"/>
            <w:vAlign w:val="bottom"/>
          </w:tcPr>
          <w:p w14:paraId="5F8A042D"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34,8</w:t>
            </w:r>
          </w:p>
        </w:tc>
        <w:tc>
          <w:tcPr>
            <w:tcW w:w="850" w:type="dxa"/>
            <w:shd w:val="clear" w:color="auto" w:fill="D9E2F3" w:themeFill="accent1" w:themeFillTint="33"/>
            <w:vAlign w:val="bottom"/>
          </w:tcPr>
          <w:p w14:paraId="4CCF1C4C"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0,007</w:t>
            </w:r>
          </w:p>
        </w:tc>
        <w:tc>
          <w:tcPr>
            <w:tcW w:w="850" w:type="dxa"/>
            <w:shd w:val="clear" w:color="auto" w:fill="D9E2F3" w:themeFill="accent1" w:themeFillTint="33"/>
            <w:vAlign w:val="bottom"/>
          </w:tcPr>
          <w:p w14:paraId="407D634E"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0,003</w:t>
            </w:r>
          </w:p>
        </w:tc>
      </w:tr>
      <w:tr w:rsidR="00262896" w:rsidRPr="00674542" w14:paraId="1D1B47D9" w14:textId="77777777" w:rsidTr="0002297E">
        <w:trPr>
          <w:jc w:val="center"/>
        </w:trPr>
        <w:tc>
          <w:tcPr>
            <w:tcW w:w="2835" w:type="dxa"/>
            <w:shd w:val="clear" w:color="auto" w:fill="B4C6E7" w:themeFill="accent1" w:themeFillTint="66"/>
          </w:tcPr>
          <w:p w14:paraId="28655422" w14:textId="77777777" w:rsidR="00262896" w:rsidRPr="00DA424D" w:rsidRDefault="00262896" w:rsidP="0002297E">
            <w:pPr>
              <w:widowControl/>
              <w:spacing w:before="40" w:after="40" w:line="240" w:lineRule="auto"/>
              <w:rPr>
                <w:rFonts w:asciiTheme="majorHAnsi" w:hAnsiTheme="majorHAnsi" w:cstheme="majorHAnsi"/>
                <w:sz w:val="16"/>
                <w:szCs w:val="16"/>
                <w:lang w:val="lv-LV"/>
              </w:rPr>
            </w:pPr>
            <w:r w:rsidRPr="000F3EF0">
              <w:rPr>
                <w:rFonts w:asciiTheme="majorHAnsi" w:hAnsiTheme="majorHAnsi" w:cstheme="majorHAnsi"/>
                <w:sz w:val="16"/>
                <w:szCs w:val="16"/>
                <w:lang w:val="lv-LV"/>
              </w:rPr>
              <w:t>S_T  citi pakalpojumi, mājsaimniecību kā darba devēju darbība</w:t>
            </w:r>
          </w:p>
        </w:tc>
        <w:tc>
          <w:tcPr>
            <w:tcW w:w="850" w:type="dxa"/>
            <w:shd w:val="clear" w:color="auto" w:fill="B4C6E7" w:themeFill="accent1" w:themeFillTint="66"/>
            <w:vAlign w:val="bottom"/>
          </w:tcPr>
          <w:p w14:paraId="52597238"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9,0</w:t>
            </w:r>
          </w:p>
        </w:tc>
        <w:tc>
          <w:tcPr>
            <w:tcW w:w="850" w:type="dxa"/>
            <w:shd w:val="clear" w:color="auto" w:fill="B4C6E7" w:themeFill="accent1" w:themeFillTint="66"/>
            <w:vAlign w:val="bottom"/>
          </w:tcPr>
          <w:p w14:paraId="4C7FAE54"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-0,6</w:t>
            </w:r>
          </w:p>
        </w:tc>
        <w:tc>
          <w:tcPr>
            <w:tcW w:w="850" w:type="dxa"/>
            <w:shd w:val="clear" w:color="auto" w:fill="B4C6E7" w:themeFill="accent1" w:themeFillTint="66"/>
            <w:vAlign w:val="bottom"/>
          </w:tcPr>
          <w:p w14:paraId="594F9A24"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432,0</w:t>
            </w:r>
          </w:p>
        </w:tc>
        <w:tc>
          <w:tcPr>
            <w:tcW w:w="850" w:type="dxa"/>
            <w:shd w:val="clear" w:color="auto" w:fill="B4C6E7" w:themeFill="accent1" w:themeFillTint="66"/>
            <w:vAlign w:val="bottom"/>
          </w:tcPr>
          <w:p w14:paraId="5DD937CF"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-0,001</w:t>
            </w:r>
          </w:p>
        </w:tc>
        <w:tc>
          <w:tcPr>
            <w:tcW w:w="850" w:type="dxa"/>
            <w:shd w:val="clear" w:color="auto" w:fill="B4C6E7" w:themeFill="accent1" w:themeFillTint="66"/>
            <w:vAlign w:val="bottom"/>
          </w:tcPr>
          <w:p w14:paraId="713EED24"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15,4</w:t>
            </w:r>
          </w:p>
        </w:tc>
        <w:tc>
          <w:tcPr>
            <w:tcW w:w="850" w:type="dxa"/>
            <w:shd w:val="clear" w:color="auto" w:fill="B4C6E7" w:themeFill="accent1" w:themeFillTint="66"/>
            <w:vAlign w:val="bottom"/>
          </w:tcPr>
          <w:p w14:paraId="161C8254"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43,0</w:t>
            </w:r>
          </w:p>
        </w:tc>
        <w:tc>
          <w:tcPr>
            <w:tcW w:w="850" w:type="dxa"/>
            <w:shd w:val="clear" w:color="auto" w:fill="B4C6E7" w:themeFill="accent1" w:themeFillTint="66"/>
            <w:vAlign w:val="bottom"/>
          </w:tcPr>
          <w:p w14:paraId="5EC09AEB"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0,014</w:t>
            </w:r>
          </w:p>
        </w:tc>
        <w:tc>
          <w:tcPr>
            <w:tcW w:w="850" w:type="dxa"/>
            <w:shd w:val="clear" w:color="auto" w:fill="B4C6E7" w:themeFill="accent1" w:themeFillTint="66"/>
            <w:vAlign w:val="bottom"/>
          </w:tcPr>
          <w:p w14:paraId="1E041160"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0,009</w:t>
            </w:r>
          </w:p>
        </w:tc>
      </w:tr>
    </w:tbl>
    <w:p w14:paraId="3AA01D9C" w14:textId="77777777" w:rsidR="00262896" w:rsidRPr="000F3EF0" w:rsidRDefault="00262896" w:rsidP="00262896">
      <w:pPr>
        <w:widowControl/>
        <w:tabs>
          <w:tab w:val="center" w:pos="2410"/>
          <w:tab w:val="center" w:pos="7230"/>
        </w:tabs>
        <w:spacing w:after="120" w:line="240" w:lineRule="auto"/>
        <w:rPr>
          <w:rFonts w:ascii="Arial Nova Cond Light" w:hAnsi="Arial Nova Cond Light"/>
          <w:sz w:val="16"/>
          <w:szCs w:val="16"/>
          <w:lang w:val="lv-LV"/>
        </w:rPr>
      </w:pPr>
      <w:r w:rsidRPr="000F3EF0">
        <w:rPr>
          <w:rFonts w:ascii="Arial Nova Cond Light" w:hAnsi="Arial Nova Cond Light"/>
          <w:sz w:val="16"/>
          <w:szCs w:val="16"/>
          <w:lang w:val="lv-LV"/>
        </w:rPr>
        <w:t>Avots: Eurostat, autoru aprēķins</w:t>
      </w:r>
    </w:p>
    <w:p w14:paraId="2B9CB1FB" w14:textId="77777777" w:rsidR="00262896" w:rsidRPr="000F3EF0" w:rsidRDefault="00262896" w:rsidP="00262896">
      <w:pPr>
        <w:widowControl/>
        <w:spacing w:after="120" w:line="240" w:lineRule="auto"/>
        <w:ind w:left="142"/>
        <w:rPr>
          <w:rFonts w:ascii="Verdana Pro Cond Light" w:hAnsi="Verdana Pro Cond Light"/>
          <w:lang w:val="lv-LV"/>
        </w:rPr>
      </w:pPr>
    </w:p>
    <w:p w14:paraId="3564A886" w14:textId="77777777" w:rsidR="00262896" w:rsidRDefault="00262896" w:rsidP="00262896">
      <w:pPr>
        <w:widowControl/>
        <w:spacing w:after="120" w:line="240" w:lineRule="auto"/>
        <w:rPr>
          <w:rFonts w:ascii="Verdana Pro Cond Light" w:hAnsi="Verdana Pro Cond Light"/>
          <w:lang w:val="lv-LV"/>
        </w:rPr>
      </w:pPr>
      <w:r w:rsidRPr="000F3EF0">
        <w:rPr>
          <w:rFonts w:ascii="Verdana Pro Cond Light" w:hAnsi="Verdana Pro Cond Light"/>
          <w:lang w:val="lv-LV"/>
        </w:rPr>
        <w:t>Tomēr jāatzīmē, ka ne visās nozarēs investīcijas rada pozitīvu efektu uz SEG izmešu apjomiem. Tā, piemēram, lauksaimniecības nozarē neskatoties uz apjomīgām investīcijām, kopējais SEG emisiju daudzums 2022. gadā pārsniedza 2010. gada līmeni. Turklāt enerģētikas nozarē investīcijas veicināja SEG izmešu samazinājumu par 0,26 kg. CO2 ekvivalentā uz 1 eiro izdevumu kopējā pamatkapitāla veidošanai.</w:t>
      </w:r>
    </w:p>
    <w:p w14:paraId="71A1FB50" w14:textId="77777777" w:rsidR="00262896" w:rsidRPr="000F3EF0" w:rsidRDefault="00262896" w:rsidP="00262896">
      <w:pPr>
        <w:widowControl/>
        <w:spacing w:after="120" w:line="240" w:lineRule="auto"/>
        <w:rPr>
          <w:rFonts w:ascii="Verdana Pro Cond Light" w:hAnsi="Verdana Pro Cond Light"/>
          <w:lang w:val="lv-LV"/>
        </w:rPr>
      </w:pPr>
      <w:r w:rsidRPr="000F3EF0">
        <w:rPr>
          <w:rFonts w:ascii="Verdana Pro Cond Light" w:hAnsi="Verdana Pro Cond Light"/>
          <w:lang w:val="lv-LV"/>
        </w:rPr>
        <w:lastRenderedPageBreak/>
        <w:t>SEG emisijas apjomu ietekmē vairāki faktori, kur būtiska loma ir arī konjunktūras svārstībām. Īpaši izteikti tas ir vērojams tādās nozarēs, kā transporta pakalpojumi un būvmateriālu ražošana. Tā, piemēram, laika periodā no 2013. līdz 2018. gadam transporta nozarē bija vērojams stabils SEG emisiju pieaugums (par 26 %), ko galvenokārt noteica pasažieru apgrozības palielināšanās. Savukārt 2020. gadā SEG emisiju apjoms strauji samazinājās dēļ kravu pārvadājuma sarukuma ar dzelzceļa transportu. SEG emisiju mazināja arī COVID-19 pandēmijas radītie ierobežojumi. Turklāt jāatzīmē, ka investīciju dinamika (rēķinot salīdzināmās cenās) transporta nozarē ir bijusi ļoti svārstīga, bet ilgtermiņa skatījumā periodā no 2013. līdz 2021. gadam investīciju dinamika bija lejupvērsta – vidēji gadā tās samazinājās par 7,7 %. Kopumā laika periodā no 2010. līdz 2021. gadam transporta nozarē bija investēts gandrīz 7</w:t>
      </w:r>
      <w:r>
        <w:rPr>
          <w:rFonts w:ascii="Verdana Pro Cond Light" w:hAnsi="Verdana Pro Cond Light"/>
          <w:lang w:val="lv-LV"/>
        </w:rPr>
        <w:t> </w:t>
      </w:r>
      <w:r w:rsidRPr="000F3EF0">
        <w:rPr>
          <w:rFonts w:ascii="Verdana Pro Cond Light" w:hAnsi="Verdana Pro Cond Light"/>
          <w:lang w:val="lv-LV"/>
        </w:rPr>
        <w:t>miljardi eiro, kas ir 41 % no nozarēs nefinanšu aktīvu kopējās bruto vērtības 2021. gadā (30% no nozares pievienotās vērtības). Lai arī transporta nozares radītais SEG emisiju apjoms un SEG emisiju intensitātes samazinās, tai joprojām ir būtiska ietekme uz SEG emisiju apjomu. Kā rāda Eiropas Komisijas dati, tad transporta sektors 2022. gadā Latvijā radīja vislielāko ietekmi uz SEG kopējo apjomu un tas liecina, ka līdz šim veiktie ieguldījumi ir nepietiekami, lai panāktu būtisku nozares dekarbonizāciju (skatīt 5.7. attēlu).</w:t>
      </w:r>
    </w:p>
    <w:p w14:paraId="6E3315B5" w14:textId="77777777" w:rsidR="00262896" w:rsidRPr="000F3EF0" w:rsidRDefault="00262896" w:rsidP="00262896">
      <w:pPr>
        <w:widowControl/>
        <w:spacing w:after="120" w:line="240" w:lineRule="auto"/>
        <w:jc w:val="right"/>
        <w:rPr>
          <w:rFonts w:ascii="Verdana Pro Cond Light" w:hAnsi="Verdana Pro Cond Light"/>
          <w:lang w:val="lv-LV"/>
        </w:rPr>
      </w:pPr>
      <w:r w:rsidRPr="000F3EF0">
        <w:rPr>
          <w:rFonts w:ascii="Verdana Pro Cond Light" w:hAnsi="Verdana Pro Cond Light"/>
          <w:lang w:val="lv-LV"/>
        </w:rPr>
        <w:t>5.7. attēls</w:t>
      </w:r>
    </w:p>
    <w:p w14:paraId="38D4C574" w14:textId="77777777" w:rsidR="00262896" w:rsidRDefault="00262896" w:rsidP="00262896">
      <w:pPr>
        <w:widowControl/>
        <w:spacing w:after="120" w:line="240" w:lineRule="auto"/>
        <w:jc w:val="center"/>
        <w:rPr>
          <w:rFonts w:ascii="Verdana Pro Cond Light" w:hAnsi="Verdana Pro Cond Light"/>
          <w:b/>
          <w:bCs/>
          <w:lang w:val="lv-LV"/>
        </w:rPr>
      </w:pPr>
      <w:r w:rsidRPr="000F3EF0">
        <w:rPr>
          <w:rFonts w:ascii="Verdana Pro Cond Light" w:hAnsi="Verdana Pro Cond Light"/>
          <w:b/>
          <w:bCs/>
          <w:lang w:val="lv-LV"/>
        </w:rPr>
        <w:t>Siltumnīcefekta gāzu (SEG) emisijas ES reģionu salīdzinājumā</w:t>
      </w:r>
    </w:p>
    <w:p w14:paraId="55A7C0FD" w14:textId="77777777" w:rsidR="00262896" w:rsidRPr="000F3EF0" w:rsidRDefault="00262896" w:rsidP="00262896">
      <w:pPr>
        <w:widowControl/>
        <w:spacing w:after="120" w:line="240" w:lineRule="auto"/>
        <w:ind w:right="-143"/>
        <w:jc w:val="center"/>
        <w:rPr>
          <w:rFonts w:ascii="Verdana Pro Cond Light" w:hAnsi="Verdana Pro Cond Light"/>
          <w:lang w:val="lv-LV"/>
        </w:rPr>
      </w:pPr>
      <w:r>
        <w:rPr>
          <w:noProof/>
        </w:rPr>
        <w:drawing>
          <wp:inline distT="0" distB="0" distL="0" distR="0" wp14:anchorId="66447C6F" wp14:editId="6C6693ED">
            <wp:extent cx="3060000" cy="3999198"/>
            <wp:effectExtent l="0" t="0" r="7620" b="1905"/>
            <wp:docPr id="19571050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105014" name=""/>
                    <pic:cNvPicPr/>
                  </pic:nvPicPr>
                  <pic:blipFill>
                    <a:blip r:embed="rId45"/>
                    <a:stretch>
                      <a:fillRect/>
                    </a:stretch>
                  </pic:blipFill>
                  <pic:spPr>
                    <a:xfrm>
                      <a:off x="0" y="0"/>
                      <a:ext cx="3060000" cy="3999198"/>
                    </a:xfrm>
                    <a:prstGeom prst="rect">
                      <a:avLst/>
                    </a:prstGeom>
                  </pic:spPr>
                </pic:pic>
              </a:graphicData>
            </a:graphic>
          </wp:inline>
        </w:drawing>
      </w:r>
      <w:r>
        <w:rPr>
          <w:rFonts w:ascii="Verdana Pro Cond Light" w:hAnsi="Verdana Pro Cond Light"/>
          <w:lang w:val="lv-LV"/>
        </w:rPr>
        <w:t xml:space="preserve"> </w:t>
      </w:r>
      <w:r>
        <w:rPr>
          <w:noProof/>
        </w:rPr>
        <w:drawing>
          <wp:inline distT="0" distB="0" distL="0" distR="0" wp14:anchorId="3645D0A0" wp14:editId="2F6168C3">
            <wp:extent cx="3060000" cy="4275337"/>
            <wp:effectExtent l="0" t="0" r="7620" b="0"/>
            <wp:docPr id="8512909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290928" name=""/>
                    <pic:cNvPicPr/>
                  </pic:nvPicPr>
                  <pic:blipFill>
                    <a:blip r:embed="rId46"/>
                    <a:stretch>
                      <a:fillRect/>
                    </a:stretch>
                  </pic:blipFill>
                  <pic:spPr>
                    <a:xfrm>
                      <a:off x="0" y="0"/>
                      <a:ext cx="3060000" cy="4275337"/>
                    </a:xfrm>
                    <a:prstGeom prst="rect">
                      <a:avLst/>
                    </a:prstGeom>
                  </pic:spPr>
                </pic:pic>
              </a:graphicData>
            </a:graphic>
          </wp:inline>
        </w:drawing>
      </w:r>
    </w:p>
    <w:p w14:paraId="1FA39F8D" w14:textId="77777777" w:rsidR="00262896" w:rsidRDefault="00262896" w:rsidP="00262896">
      <w:pPr>
        <w:widowControl/>
        <w:spacing w:after="0" w:line="240" w:lineRule="auto"/>
        <w:jc w:val="both"/>
        <w:rPr>
          <w:rFonts w:ascii="Arial Nova Cond Light" w:hAnsi="Arial Nova Cond Light"/>
          <w:sz w:val="16"/>
          <w:szCs w:val="16"/>
        </w:rPr>
      </w:pPr>
      <w:r w:rsidRPr="000F3EF0">
        <w:rPr>
          <w:rFonts w:ascii="Arial Nova Cond Light" w:hAnsi="Arial Nova Cond Light"/>
          <w:sz w:val="16"/>
          <w:szCs w:val="16"/>
          <w:lang w:val="lv-LV"/>
        </w:rPr>
        <w:t>Avots:</w:t>
      </w:r>
      <w:r w:rsidRPr="000F3EF0">
        <w:rPr>
          <w:rFonts w:ascii="Arial Nova Cond Light" w:hAnsi="Arial Nova Cond Light"/>
          <w:sz w:val="16"/>
          <w:szCs w:val="16"/>
        </w:rPr>
        <w:t xml:space="preserve"> </w:t>
      </w:r>
      <w:hyperlink r:id="rId47" w:history="1">
        <w:r w:rsidRPr="000F3EF0">
          <w:rPr>
            <w:rStyle w:val="Hyperlink"/>
            <w:sz w:val="16"/>
            <w:szCs w:val="16"/>
          </w:rPr>
          <w:t>https://ec.europa.eu/regional_policy/information-sources/cohesion-report_en</w:t>
        </w:r>
      </w:hyperlink>
    </w:p>
    <w:p w14:paraId="632C9E71" w14:textId="77777777" w:rsidR="00262896" w:rsidRPr="000F3EF0" w:rsidRDefault="00262896" w:rsidP="00262896">
      <w:pPr>
        <w:widowControl/>
        <w:spacing w:before="120" w:after="120" w:line="240" w:lineRule="auto"/>
        <w:jc w:val="both"/>
        <w:rPr>
          <w:rFonts w:ascii="Verdana Pro Cond Light" w:hAnsi="Verdana Pro Cond Light"/>
          <w:lang w:val="lv-LV"/>
        </w:rPr>
      </w:pPr>
    </w:p>
    <w:p w14:paraId="0B9DEFCD" w14:textId="77777777" w:rsidR="00FC2A8E" w:rsidRDefault="00FC2A8E">
      <w:pPr>
        <w:widowControl/>
        <w:spacing w:after="160" w:line="259" w:lineRule="auto"/>
        <w:rPr>
          <w:rFonts w:ascii="Verdana Pro Cond Light" w:hAnsi="Verdana Pro Cond Light"/>
          <w:lang w:val="lv-LV"/>
        </w:rPr>
      </w:pPr>
      <w:r>
        <w:rPr>
          <w:rFonts w:ascii="Verdana Pro Cond Light" w:hAnsi="Verdana Pro Cond Light"/>
          <w:lang w:val="lv-LV"/>
        </w:rPr>
        <w:br w:type="page"/>
      </w:r>
    </w:p>
    <w:p w14:paraId="41C7340F" w14:textId="297BC0BE" w:rsidR="00262896" w:rsidRPr="000F3EF0" w:rsidRDefault="00262896" w:rsidP="00262896">
      <w:pPr>
        <w:widowControl/>
        <w:spacing w:before="120" w:after="120" w:line="240" w:lineRule="auto"/>
        <w:rPr>
          <w:rFonts w:ascii="Verdana Pro Cond Light" w:hAnsi="Verdana Pro Cond Light"/>
          <w:lang w:val="lv-LV"/>
        </w:rPr>
      </w:pPr>
      <w:r w:rsidRPr="000F3EF0">
        <w:rPr>
          <w:rFonts w:ascii="Verdana Pro Cond Light" w:hAnsi="Verdana Pro Cond Light"/>
          <w:lang w:val="lv-LV"/>
        </w:rPr>
        <w:lastRenderedPageBreak/>
        <w:t>Makro līmeņa datos balstītā analīze rāda, ka investīcijām ir neviennozīmīga ietekme uz ekonomiskās darbības dekarbonizāciju. No vienas puses, investīcijas nodrošina ražošanas kapacitātes uzturēšanu un kāpināšanu, tomēr daudzām nozarēm SEG emisiju izmaiņas var būtiski ietekmēt ar investīcijām nesaistīti faktori, kā, piemēram, konjunktūras svārstības. Turklāt tikai investīcijas zaļajās tehnoloģijās un energoefektivitātes palielināšanai var radīt noturīgu tendenci klimata neitralitātes mērķu sasniegšanai. Lielu devumu ekonomikas dekarbonizācijas mērķa sasniegšanai nākotnē būs investīcijām, kas pilnībā aizvietos vidi piesaiņojošos aktīvus. 5.3. tabulā ir apkopoti dati par esošo nefinanšu aktīvu vērtību nozarēs ar būtisku ietekmi uz SEG emisiju apjomu Latvijas tautsaimniecībā.</w:t>
      </w:r>
    </w:p>
    <w:p w14:paraId="12250994" w14:textId="77777777" w:rsidR="00262896" w:rsidRPr="000F3EF0" w:rsidRDefault="00262896" w:rsidP="00262896">
      <w:pPr>
        <w:widowControl/>
        <w:spacing w:before="120" w:after="120" w:line="240" w:lineRule="auto"/>
        <w:jc w:val="right"/>
        <w:rPr>
          <w:rFonts w:ascii="Verdana Pro Cond Light" w:hAnsi="Verdana Pro Cond Light"/>
          <w:lang w:val="lv-LV"/>
        </w:rPr>
      </w:pPr>
      <w:r w:rsidRPr="000F3EF0">
        <w:rPr>
          <w:rFonts w:ascii="Verdana Pro Cond Light" w:hAnsi="Verdana Pro Cond Light"/>
          <w:lang w:val="lv-LV"/>
        </w:rPr>
        <w:t>5.3. tabula</w:t>
      </w:r>
    </w:p>
    <w:p w14:paraId="31ED3C59" w14:textId="77777777" w:rsidR="00262896" w:rsidRDefault="00262896" w:rsidP="00262896">
      <w:pPr>
        <w:widowControl/>
        <w:spacing w:before="120" w:after="120" w:line="240" w:lineRule="auto"/>
        <w:ind w:left="142"/>
        <w:jc w:val="center"/>
        <w:rPr>
          <w:rFonts w:ascii="Verdana Pro Cond Light" w:hAnsi="Verdana Pro Cond Light"/>
          <w:sz w:val="18"/>
          <w:szCs w:val="18"/>
          <w:lang w:val="lv-LV"/>
        </w:rPr>
      </w:pPr>
      <w:r w:rsidRPr="000F3EF0">
        <w:rPr>
          <w:rFonts w:ascii="Verdana Pro Cond Light" w:hAnsi="Verdana Pro Cond Light"/>
          <w:b/>
          <w:bCs/>
          <w:lang w:val="lv-LV"/>
        </w:rPr>
        <w:t xml:space="preserve">Nozaru ar vislielāko SEG emisiju apjomu nefinanšu aktīvu bruto kopējā vērtība </w:t>
      </w:r>
      <w:r>
        <w:rPr>
          <w:rFonts w:ascii="Verdana Pro Cond Light" w:hAnsi="Verdana Pro Cond Light"/>
          <w:b/>
          <w:bCs/>
          <w:lang w:val="lv-LV"/>
        </w:rPr>
        <w:br/>
      </w:r>
      <w:r w:rsidRPr="00AB3438">
        <w:rPr>
          <w:rFonts w:ascii="Verdana Pro Cond Light" w:hAnsi="Verdana Pro Cond Light"/>
          <w:sz w:val="18"/>
          <w:szCs w:val="18"/>
          <w:lang w:val="lv-LV"/>
        </w:rPr>
        <w:t>2021.gads, milj eiro, faktiskajās cenās</w:t>
      </w:r>
    </w:p>
    <w:tbl>
      <w:tblPr>
        <w:tblStyle w:val="TableGrid"/>
        <w:tblW w:w="964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74"/>
        <w:gridCol w:w="829"/>
        <w:gridCol w:w="793"/>
        <w:gridCol w:w="793"/>
        <w:gridCol w:w="793"/>
        <w:gridCol w:w="790"/>
        <w:gridCol w:w="791"/>
        <w:gridCol w:w="792"/>
        <w:gridCol w:w="793"/>
        <w:gridCol w:w="792"/>
      </w:tblGrid>
      <w:tr w:rsidR="00262896" w:rsidRPr="00D24F07" w14:paraId="17B235D5" w14:textId="77777777" w:rsidTr="0002297E">
        <w:trPr>
          <w:cantSplit/>
          <w:trHeight w:val="1984"/>
          <w:jc w:val="center"/>
        </w:trPr>
        <w:tc>
          <w:tcPr>
            <w:tcW w:w="2474" w:type="dxa"/>
            <w:shd w:val="clear" w:color="auto" w:fill="4472C4" w:themeFill="accent1"/>
            <w:vAlign w:val="center"/>
          </w:tcPr>
          <w:p w14:paraId="7530E40B" w14:textId="77777777" w:rsidR="00262896" w:rsidRPr="00AB3438" w:rsidRDefault="00262896" w:rsidP="0002297E">
            <w:pPr>
              <w:widowControl/>
              <w:spacing w:before="40" w:after="40" w:line="240" w:lineRule="auto"/>
              <w:jc w:val="center"/>
              <w:rPr>
                <w:rFonts w:asciiTheme="majorHAnsi" w:hAnsiTheme="majorHAnsi" w:cstheme="majorHAnsi"/>
                <w:b/>
                <w:bCs/>
                <w:color w:val="FFFFFF" w:themeColor="background1"/>
                <w:sz w:val="16"/>
                <w:szCs w:val="16"/>
                <w:lang w:val="lv-LV"/>
              </w:rPr>
            </w:pPr>
          </w:p>
        </w:tc>
        <w:tc>
          <w:tcPr>
            <w:tcW w:w="829" w:type="dxa"/>
            <w:shd w:val="clear" w:color="auto" w:fill="4472C4" w:themeFill="accent1"/>
            <w:textDirection w:val="btLr"/>
            <w:vAlign w:val="center"/>
          </w:tcPr>
          <w:p w14:paraId="6FA95F4C" w14:textId="77777777" w:rsidR="00262896" w:rsidRPr="00AB3438" w:rsidRDefault="00262896" w:rsidP="0002297E">
            <w:pPr>
              <w:widowControl/>
              <w:spacing w:before="40" w:after="40" w:line="240" w:lineRule="auto"/>
              <w:jc w:val="center"/>
              <w:rPr>
                <w:rFonts w:asciiTheme="majorHAnsi" w:hAnsiTheme="majorHAnsi" w:cstheme="majorHAnsi"/>
                <w:color w:val="FFFFFF" w:themeColor="background1"/>
                <w:sz w:val="16"/>
                <w:szCs w:val="16"/>
                <w:lang w:val="lv-LV"/>
              </w:rPr>
            </w:pPr>
            <w:r w:rsidRPr="00AB3438">
              <w:rPr>
                <w:rFonts w:asciiTheme="majorHAnsi" w:eastAsia="Times New Roman" w:hAnsiTheme="majorHAnsi" w:cstheme="majorHAnsi"/>
                <w:color w:val="FFFFFF" w:themeColor="background1"/>
                <w:sz w:val="16"/>
                <w:szCs w:val="16"/>
                <w:lang w:eastAsia="lv-LV"/>
              </w:rPr>
              <w:t>Kopā tautsaimniecībā</w:t>
            </w:r>
          </w:p>
        </w:tc>
        <w:tc>
          <w:tcPr>
            <w:tcW w:w="793" w:type="dxa"/>
            <w:shd w:val="clear" w:color="auto" w:fill="4472C4" w:themeFill="accent1"/>
            <w:textDirection w:val="btLr"/>
            <w:vAlign w:val="center"/>
          </w:tcPr>
          <w:p w14:paraId="4FB9D6A0" w14:textId="77777777" w:rsidR="00262896" w:rsidRPr="00AB3438" w:rsidRDefault="00262896" w:rsidP="0002297E">
            <w:pPr>
              <w:widowControl/>
              <w:spacing w:before="40" w:after="40" w:line="240" w:lineRule="auto"/>
              <w:jc w:val="center"/>
              <w:rPr>
                <w:rFonts w:asciiTheme="majorHAnsi" w:hAnsiTheme="majorHAnsi" w:cstheme="majorHAnsi"/>
                <w:color w:val="FFFFFF" w:themeColor="background1"/>
                <w:sz w:val="16"/>
                <w:szCs w:val="16"/>
                <w:lang w:val="lv-LV"/>
              </w:rPr>
            </w:pPr>
            <w:r w:rsidRPr="00AB3438">
              <w:rPr>
                <w:rFonts w:asciiTheme="majorHAnsi" w:eastAsia="Times New Roman" w:hAnsiTheme="majorHAnsi" w:cstheme="majorHAnsi"/>
                <w:color w:val="FFFFFF" w:themeColor="background1"/>
                <w:sz w:val="16"/>
                <w:szCs w:val="16"/>
                <w:lang w:eastAsia="lv-LV"/>
              </w:rPr>
              <w:t>Enerģētika (</w:t>
            </w:r>
            <w:r>
              <w:rPr>
                <w:rFonts w:asciiTheme="majorHAnsi" w:eastAsia="Times New Roman" w:hAnsiTheme="majorHAnsi" w:cstheme="majorHAnsi"/>
                <w:color w:val="FFFFFF" w:themeColor="background1"/>
                <w:sz w:val="16"/>
                <w:szCs w:val="16"/>
                <w:lang w:eastAsia="lv-LV"/>
              </w:rPr>
              <w:t>D</w:t>
            </w:r>
            <w:r w:rsidRPr="00AB3438">
              <w:rPr>
                <w:rFonts w:asciiTheme="majorHAnsi" w:eastAsia="Times New Roman" w:hAnsiTheme="majorHAnsi" w:cstheme="majorHAnsi"/>
                <w:color w:val="FFFFFF" w:themeColor="background1"/>
                <w:sz w:val="16"/>
                <w:szCs w:val="16"/>
                <w:lang w:eastAsia="lv-LV"/>
              </w:rPr>
              <w:t>)</w:t>
            </w:r>
          </w:p>
        </w:tc>
        <w:tc>
          <w:tcPr>
            <w:tcW w:w="793" w:type="dxa"/>
            <w:shd w:val="clear" w:color="auto" w:fill="4472C4" w:themeFill="accent1"/>
            <w:textDirection w:val="btLr"/>
            <w:vAlign w:val="center"/>
          </w:tcPr>
          <w:p w14:paraId="276BA73F" w14:textId="77777777" w:rsidR="00262896" w:rsidRPr="00AB3438" w:rsidRDefault="00262896" w:rsidP="0002297E">
            <w:pPr>
              <w:widowControl/>
              <w:spacing w:before="40" w:after="40" w:line="240" w:lineRule="auto"/>
              <w:jc w:val="center"/>
              <w:rPr>
                <w:rFonts w:asciiTheme="majorHAnsi" w:hAnsiTheme="majorHAnsi" w:cstheme="majorHAnsi"/>
                <w:color w:val="FFFFFF" w:themeColor="background1"/>
                <w:sz w:val="16"/>
                <w:szCs w:val="16"/>
                <w:lang w:val="lv-LV"/>
              </w:rPr>
            </w:pPr>
            <w:r w:rsidRPr="00AB3438">
              <w:rPr>
                <w:rFonts w:asciiTheme="majorHAnsi" w:eastAsia="Times New Roman" w:hAnsiTheme="majorHAnsi" w:cstheme="majorHAnsi"/>
                <w:color w:val="FFFFFF" w:themeColor="background1"/>
                <w:sz w:val="16"/>
                <w:szCs w:val="16"/>
                <w:lang w:eastAsia="lv-LV"/>
              </w:rPr>
              <w:t>Transports (</w:t>
            </w:r>
            <w:r>
              <w:rPr>
                <w:rFonts w:asciiTheme="majorHAnsi" w:eastAsia="Times New Roman" w:hAnsiTheme="majorHAnsi" w:cstheme="majorHAnsi"/>
                <w:color w:val="FFFFFF" w:themeColor="background1"/>
                <w:sz w:val="16"/>
                <w:szCs w:val="16"/>
                <w:lang w:eastAsia="lv-LV"/>
              </w:rPr>
              <w:t>H</w:t>
            </w:r>
            <w:r w:rsidRPr="00AB3438">
              <w:rPr>
                <w:rFonts w:asciiTheme="majorHAnsi" w:eastAsia="Times New Roman" w:hAnsiTheme="majorHAnsi" w:cstheme="majorHAnsi"/>
                <w:color w:val="FFFFFF" w:themeColor="background1"/>
                <w:sz w:val="16"/>
                <w:szCs w:val="16"/>
                <w:lang w:eastAsia="lv-LV"/>
              </w:rPr>
              <w:t>)</w:t>
            </w:r>
          </w:p>
        </w:tc>
        <w:tc>
          <w:tcPr>
            <w:tcW w:w="793" w:type="dxa"/>
            <w:shd w:val="clear" w:color="auto" w:fill="4472C4" w:themeFill="accent1"/>
            <w:textDirection w:val="btLr"/>
            <w:vAlign w:val="center"/>
          </w:tcPr>
          <w:p w14:paraId="67FBDDAC" w14:textId="77777777" w:rsidR="00262896" w:rsidRPr="00AB3438" w:rsidRDefault="00262896" w:rsidP="0002297E">
            <w:pPr>
              <w:widowControl/>
              <w:spacing w:before="40" w:after="40" w:line="240" w:lineRule="auto"/>
              <w:jc w:val="center"/>
              <w:rPr>
                <w:rFonts w:asciiTheme="majorHAnsi" w:hAnsiTheme="majorHAnsi" w:cstheme="majorHAnsi"/>
                <w:color w:val="FFFFFF" w:themeColor="background1"/>
                <w:sz w:val="16"/>
                <w:szCs w:val="16"/>
                <w:lang w:val="lv-LV"/>
              </w:rPr>
            </w:pPr>
            <w:r w:rsidRPr="00AB3438">
              <w:rPr>
                <w:rFonts w:asciiTheme="majorHAnsi" w:eastAsia="Times New Roman" w:hAnsiTheme="majorHAnsi" w:cstheme="majorHAnsi"/>
                <w:color w:val="FFFFFF" w:themeColor="background1"/>
                <w:sz w:val="16"/>
                <w:szCs w:val="16"/>
                <w:lang w:eastAsia="lv-LV"/>
              </w:rPr>
              <w:t>Rūpniecība (</w:t>
            </w:r>
            <w:r>
              <w:rPr>
                <w:rFonts w:asciiTheme="majorHAnsi" w:eastAsia="Times New Roman" w:hAnsiTheme="majorHAnsi" w:cstheme="majorHAnsi"/>
                <w:color w:val="FFFFFF" w:themeColor="background1"/>
                <w:sz w:val="16"/>
                <w:szCs w:val="16"/>
                <w:lang w:eastAsia="lv-LV"/>
              </w:rPr>
              <w:t>C</w:t>
            </w:r>
            <w:r w:rsidRPr="00AB3438">
              <w:rPr>
                <w:rFonts w:asciiTheme="majorHAnsi" w:eastAsia="Times New Roman" w:hAnsiTheme="majorHAnsi" w:cstheme="majorHAnsi"/>
                <w:color w:val="FFFFFF" w:themeColor="background1"/>
                <w:sz w:val="16"/>
                <w:szCs w:val="16"/>
                <w:lang w:eastAsia="lv-LV"/>
              </w:rPr>
              <w:t>)</w:t>
            </w:r>
          </w:p>
        </w:tc>
        <w:tc>
          <w:tcPr>
            <w:tcW w:w="790" w:type="dxa"/>
            <w:shd w:val="clear" w:color="auto" w:fill="4472C4" w:themeFill="accent1"/>
            <w:textDirection w:val="btLr"/>
            <w:vAlign w:val="center"/>
          </w:tcPr>
          <w:p w14:paraId="4473FBC1" w14:textId="77777777" w:rsidR="00262896" w:rsidRPr="00AB3438" w:rsidRDefault="00262896" w:rsidP="0002297E">
            <w:pPr>
              <w:widowControl/>
              <w:spacing w:before="40" w:after="40" w:line="240" w:lineRule="auto"/>
              <w:jc w:val="center"/>
              <w:rPr>
                <w:rFonts w:asciiTheme="majorHAnsi" w:hAnsiTheme="majorHAnsi" w:cstheme="majorHAnsi"/>
                <w:color w:val="FFFFFF" w:themeColor="background1"/>
                <w:sz w:val="16"/>
                <w:szCs w:val="16"/>
                <w:lang w:val="lv-LV"/>
              </w:rPr>
            </w:pPr>
            <w:r w:rsidRPr="00AB3438">
              <w:rPr>
                <w:rFonts w:asciiTheme="majorHAnsi" w:eastAsia="Times New Roman" w:hAnsiTheme="majorHAnsi" w:cstheme="majorHAnsi"/>
                <w:color w:val="FFFFFF" w:themeColor="background1"/>
                <w:sz w:val="16"/>
                <w:szCs w:val="16"/>
                <w:lang w:eastAsia="lv-LV"/>
              </w:rPr>
              <w:t>Lauksaimniecība (</w:t>
            </w:r>
            <w:r>
              <w:rPr>
                <w:rFonts w:asciiTheme="majorHAnsi" w:eastAsia="Times New Roman" w:hAnsiTheme="majorHAnsi" w:cstheme="majorHAnsi"/>
                <w:color w:val="FFFFFF" w:themeColor="background1"/>
                <w:sz w:val="16"/>
                <w:szCs w:val="16"/>
                <w:lang w:eastAsia="lv-LV"/>
              </w:rPr>
              <w:t>A</w:t>
            </w:r>
            <w:r w:rsidRPr="00AB3438">
              <w:rPr>
                <w:rFonts w:asciiTheme="majorHAnsi" w:eastAsia="Times New Roman" w:hAnsiTheme="majorHAnsi" w:cstheme="majorHAnsi"/>
                <w:color w:val="FFFFFF" w:themeColor="background1"/>
                <w:sz w:val="16"/>
                <w:szCs w:val="16"/>
                <w:lang w:eastAsia="lv-LV"/>
              </w:rPr>
              <w:t>)</w:t>
            </w:r>
          </w:p>
        </w:tc>
        <w:tc>
          <w:tcPr>
            <w:tcW w:w="791" w:type="dxa"/>
            <w:shd w:val="clear" w:color="auto" w:fill="4472C4" w:themeFill="accent1"/>
            <w:textDirection w:val="btLr"/>
            <w:vAlign w:val="center"/>
          </w:tcPr>
          <w:p w14:paraId="308E0703" w14:textId="77777777" w:rsidR="00262896" w:rsidRPr="00AB3438" w:rsidRDefault="00262896" w:rsidP="0002297E">
            <w:pPr>
              <w:widowControl/>
              <w:spacing w:before="40" w:after="40" w:line="240" w:lineRule="auto"/>
              <w:jc w:val="center"/>
              <w:rPr>
                <w:rFonts w:asciiTheme="majorHAnsi" w:hAnsiTheme="majorHAnsi" w:cstheme="majorHAnsi"/>
                <w:color w:val="FFFFFF" w:themeColor="background1"/>
                <w:sz w:val="16"/>
                <w:szCs w:val="16"/>
                <w:lang w:val="lv-LV"/>
              </w:rPr>
            </w:pPr>
            <w:r w:rsidRPr="00AB3438">
              <w:rPr>
                <w:rFonts w:asciiTheme="majorHAnsi" w:eastAsia="Times New Roman" w:hAnsiTheme="majorHAnsi" w:cstheme="majorHAnsi"/>
                <w:color w:val="FFFFFF" w:themeColor="background1"/>
                <w:sz w:val="16"/>
                <w:szCs w:val="16"/>
                <w:lang w:eastAsia="lv-LV"/>
              </w:rPr>
              <w:t xml:space="preserve">Atkritumu apsaimniekošana </w:t>
            </w:r>
            <w:r>
              <w:rPr>
                <w:rFonts w:asciiTheme="majorHAnsi" w:eastAsia="Times New Roman" w:hAnsiTheme="majorHAnsi" w:cstheme="majorHAnsi"/>
                <w:color w:val="FFFFFF" w:themeColor="background1"/>
                <w:sz w:val="16"/>
                <w:szCs w:val="16"/>
                <w:lang w:eastAsia="lv-LV"/>
              </w:rPr>
              <w:br/>
            </w:r>
            <w:r w:rsidRPr="00AB3438">
              <w:rPr>
                <w:rFonts w:asciiTheme="majorHAnsi" w:eastAsia="Times New Roman" w:hAnsiTheme="majorHAnsi" w:cstheme="majorHAnsi"/>
                <w:color w:val="FFFFFF" w:themeColor="background1"/>
                <w:sz w:val="16"/>
                <w:szCs w:val="16"/>
                <w:lang w:eastAsia="lv-LV"/>
              </w:rPr>
              <w:t>(</w:t>
            </w:r>
            <w:r>
              <w:rPr>
                <w:rFonts w:asciiTheme="majorHAnsi" w:eastAsia="Times New Roman" w:hAnsiTheme="majorHAnsi" w:cstheme="majorHAnsi"/>
                <w:color w:val="FFFFFF" w:themeColor="background1"/>
                <w:sz w:val="16"/>
                <w:szCs w:val="16"/>
                <w:lang w:eastAsia="lv-LV"/>
              </w:rPr>
              <w:t>E</w:t>
            </w:r>
            <w:r w:rsidRPr="00AB3438">
              <w:rPr>
                <w:rFonts w:asciiTheme="majorHAnsi" w:eastAsia="Times New Roman" w:hAnsiTheme="majorHAnsi" w:cstheme="majorHAnsi"/>
                <w:color w:val="FFFFFF" w:themeColor="background1"/>
                <w:sz w:val="16"/>
                <w:szCs w:val="16"/>
                <w:lang w:eastAsia="lv-LV"/>
              </w:rPr>
              <w:t>37-</w:t>
            </w:r>
            <w:r>
              <w:rPr>
                <w:rFonts w:asciiTheme="majorHAnsi" w:eastAsia="Times New Roman" w:hAnsiTheme="majorHAnsi" w:cstheme="majorHAnsi"/>
                <w:color w:val="FFFFFF" w:themeColor="background1"/>
                <w:sz w:val="16"/>
                <w:szCs w:val="16"/>
                <w:lang w:eastAsia="lv-LV"/>
              </w:rPr>
              <w:t>E</w:t>
            </w:r>
            <w:r w:rsidRPr="00AB3438">
              <w:rPr>
                <w:rFonts w:asciiTheme="majorHAnsi" w:eastAsia="Times New Roman" w:hAnsiTheme="majorHAnsi" w:cstheme="majorHAnsi"/>
                <w:color w:val="FFFFFF" w:themeColor="background1"/>
                <w:sz w:val="16"/>
                <w:szCs w:val="16"/>
                <w:lang w:eastAsia="lv-LV"/>
              </w:rPr>
              <w:t>39)</w:t>
            </w:r>
          </w:p>
        </w:tc>
        <w:tc>
          <w:tcPr>
            <w:tcW w:w="792" w:type="dxa"/>
            <w:shd w:val="clear" w:color="auto" w:fill="4472C4" w:themeFill="accent1"/>
            <w:textDirection w:val="btLr"/>
            <w:vAlign w:val="center"/>
          </w:tcPr>
          <w:p w14:paraId="53AFC725" w14:textId="77777777" w:rsidR="00262896" w:rsidRPr="00AB3438" w:rsidRDefault="00262896" w:rsidP="0002297E">
            <w:pPr>
              <w:widowControl/>
              <w:spacing w:before="40" w:after="40" w:line="240" w:lineRule="auto"/>
              <w:jc w:val="center"/>
              <w:rPr>
                <w:rFonts w:asciiTheme="majorHAnsi" w:hAnsiTheme="majorHAnsi" w:cstheme="majorHAnsi"/>
                <w:color w:val="FFFFFF" w:themeColor="background1"/>
                <w:sz w:val="16"/>
                <w:szCs w:val="16"/>
                <w:lang w:val="lv-LV"/>
              </w:rPr>
            </w:pPr>
            <w:r w:rsidRPr="00097491">
              <w:rPr>
                <w:rFonts w:asciiTheme="majorHAnsi" w:eastAsia="Times New Roman" w:hAnsiTheme="majorHAnsi" w:cstheme="majorHAnsi"/>
                <w:color w:val="FFFFFF" w:themeColor="background1"/>
                <w:sz w:val="16"/>
                <w:szCs w:val="16"/>
                <w:lang w:val="lv-LV" w:eastAsia="lv-LV"/>
              </w:rPr>
              <w:t xml:space="preserve">Darījumi ar </w:t>
            </w:r>
            <w:r w:rsidRPr="00097491">
              <w:rPr>
                <w:rFonts w:asciiTheme="majorHAnsi" w:eastAsia="Times New Roman" w:hAnsiTheme="majorHAnsi" w:cstheme="majorHAnsi"/>
                <w:color w:val="FFFFFF" w:themeColor="background1"/>
                <w:sz w:val="16"/>
                <w:szCs w:val="16"/>
                <w:lang w:val="lv-LV" w:eastAsia="lv-LV"/>
              </w:rPr>
              <w:br/>
              <w:t>nekustāmo īpašumu (l)</w:t>
            </w:r>
          </w:p>
        </w:tc>
        <w:tc>
          <w:tcPr>
            <w:tcW w:w="793" w:type="dxa"/>
            <w:shd w:val="clear" w:color="auto" w:fill="4472C4" w:themeFill="accent1"/>
            <w:textDirection w:val="btLr"/>
            <w:vAlign w:val="center"/>
          </w:tcPr>
          <w:p w14:paraId="1977B41B" w14:textId="77777777" w:rsidR="00262896" w:rsidRPr="00AB3438" w:rsidRDefault="00262896" w:rsidP="0002297E">
            <w:pPr>
              <w:widowControl/>
              <w:spacing w:before="40" w:after="40" w:line="240" w:lineRule="auto"/>
              <w:jc w:val="center"/>
              <w:rPr>
                <w:rFonts w:asciiTheme="majorHAnsi" w:hAnsiTheme="majorHAnsi" w:cstheme="majorHAnsi"/>
                <w:color w:val="FFFFFF" w:themeColor="background1"/>
                <w:sz w:val="16"/>
                <w:szCs w:val="16"/>
                <w:lang w:val="lv-LV"/>
              </w:rPr>
            </w:pPr>
            <w:r w:rsidRPr="00AB3438">
              <w:rPr>
                <w:rFonts w:asciiTheme="majorHAnsi" w:eastAsia="Times New Roman" w:hAnsiTheme="majorHAnsi" w:cstheme="majorHAnsi"/>
                <w:color w:val="FFFFFF" w:themeColor="background1"/>
                <w:sz w:val="16"/>
                <w:szCs w:val="16"/>
                <w:lang w:val="sv-SE" w:eastAsia="lv-LV"/>
              </w:rPr>
              <w:t xml:space="preserve">Kopā seg emisijas </w:t>
            </w:r>
            <w:r>
              <w:rPr>
                <w:rFonts w:asciiTheme="majorHAnsi" w:eastAsia="Times New Roman" w:hAnsiTheme="majorHAnsi" w:cstheme="majorHAnsi"/>
                <w:color w:val="FFFFFF" w:themeColor="background1"/>
                <w:sz w:val="16"/>
                <w:szCs w:val="16"/>
                <w:lang w:val="sv-SE" w:eastAsia="lv-LV"/>
              </w:rPr>
              <w:br/>
            </w:r>
            <w:r w:rsidRPr="00AB3438">
              <w:rPr>
                <w:rFonts w:asciiTheme="majorHAnsi" w:eastAsia="Times New Roman" w:hAnsiTheme="majorHAnsi" w:cstheme="majorHAnsi"/>
                <w:color w:val="FFFFFF" w:themeColor="background1"/>
                <w:sz w:val="16"/>
                <w:szCs w:val="16"/>
                <w:lang w:val="sv-SE" w:eastAsia="lv-LV"/>
              </w:rPr>
              <w:t>sektorā (bez l)</w:t>
            </w:r>
          </w:p>
        </w:tc>
        <w:tc>
          <w:tcPr>
            <w:tcW w:w="792" w:type="dxa"/>
            <w:shd w:val="clear" w:color="auto" w:fill="4472C4" w:themeFill="accent1"/>
            <w:textDirection w:val="btLr"/>
            <w:vAlign w:val="center"/>
          </w:tcPr>
          <w:p w14:paraId="2045253C" w14:textId="77777777" w:rsidR="00262896" w:rsidRPr="00AB3438" w:rsidRDefault="00262896" w:rsidP="0002297E">
            <w:pPr>
              <w:widowControl/>
              <w:spacing w:before="40" w:after="40" w:line="240" w:lineRule="auto"/>
              <w:jc w:val="center"/>
              <w:rPr>
                <w:rFonts w:asciiTheme="majorHAnsi" w:hAnsiTheme="majorHAnsi" w:cstheme="majorHAnsi"/>
                <w:color w:val="FFFFFF" w:themeColor="background1"/>
                <w:sz w:val="16"/>
                <w:szCs w:val="16"/>
                <w:lang w:val="lv-LV"/>
              </w:rPr>
            </w:pPr>
            <w:r w:rsidRPr="00AB3438">
              <w:rPr>
                <w:rFonts w:asciiTheme="majorHAnsi" w:eastAsia="Times New Roman" w:hAnsiTheme="majorHAnsi" w:cstheme="majorHAnsi"/>
                <w:color w:val="FFFFFF" w:themeColor="background1"/>
                <w:sz w:val="16"/>
                <w:szCs w:val="16"/>
                <w:lang w:val="sv-SE" w:eastAsia="lv-LV"/>
              </w:rPr>
              <w:t xml:space="preserve">Kopā seg emisijas </w:t>
            </w:r>
            <w:r>
              <w:rPr>
                <w:rFonts w:asciiTheme="majorHAnsi" w:eastAsia="Times New Roman" w:hAnsiTheme="majorHAnsi" w:cstheme="majorHAnsi"/>
                <w:color w:val="FFFFFF" w:themeColor="background1"/>
                <w:sz w:val="16"/>
                <w:szCs w:val="16"/>
                <w:lang w:val="sv-SE" w:eastAsia="lv-LV"/>
              </w:rPr>
              <w:br/>
            </w:r>
            <w:r w:rsidRPr="00AB3438">
              <w:rPr>
                <w:rFonts w:asciiTheme="majorHAnsi" w:eastAsia="Times New Roman" w:hAnsiTheme="majorHAnsi" w:cstheme="majorHAnsi"/>
                <w:color w:val="FFFFFF" w:themeColor="background1"/>
                <w:sz w:val="16"/>
                <w:szCs w:val="16"/>
                <w:lang w:val="sv-SE" w:eastAsia="lv-LV"/>
              </w:rPr>
              <w:t>sektorā (ieskaitot l)</w:t>
            </w:r>
          </w:p>
        </w:tc>
      </w:tr>
      <w:tr w:rsidR="00262896" w:rsidRPr="00AB3438" w14:paraId="626DE834" w14:textId="77777777" w:rsidTr="0002297E">
        <w:trPr>
          <w:jc w:val="center"/>
        </w:trPr>
        <w:tc>
          <w:tcPr>
            <w:tcW w:w="2474" w:type="dxa"/>
            <w:shd w:val="clear" w:color="auto" w:fill="D9E2F3" w:themeFill="accent1" w:themeFillTint="33"/>
          </w:tcPr>
          <w:p w14:paraId="2AC7E759" w14:textId="77777777" w:rsidR="00262896" w:rsidRPr="00AB3438" w:rsidRDefault="00262896" w:rsidP="0002297E">
            <w:pPr>
              <w:widowControl/>
              <w:spacing w:before="40" w:after="40" w:line="240" w:lineRule="auto"/>
              <w:rPr>
                <w:rFonts w:asciiTheme="majorHAnsi" w:hAnsiTheme="majorHAnsi" w:cstheme="majorHAnsi"/>
                <w:b/>
                <w:bCs/>
                <w:sz w:val="16"/>
                <w:szCs w:val="16"/>
                <w:lang w:val="lv-LV"/>
              </w:rPr>
            </w:pPr>
            <w:r w:rsidRPr="00AB3438">
              <w:rPr>
                <w:rFonts w:asciiTheme="majorHAnsi" w:eastAsia="Times New Roman" w:hAnsiTheme="majorHAnsi" w:cstheme="majorHAnsi"/>
                <w:b/>
                <w:bCs/>
                <w:color w:val="000000"/>
                <w:sz w:val="16"/>
                <w:szCs w:val="16"/>
                <w:lang w:val="lv-LV" w:eastAsia="lv-LV"/>
              </w:rPr>
              <w:t>Nefinanšu aktīvu bruto vērtība, kopā</w:t>
            </w:r>
            <w:r>
              <w:rPr>
                <w:rFonts w:asciiTheme="majorHAnsi" w:eastAsia="Times New Roman" w:hAnsiTheme="majorHAnsi" w:cstheme="majorHAnsi"/>
                <w:b/>
                <w:bCs/>
                <w:color w:val="000000"/>
                <w:sz w:val="16"/>
                <w:szCs w:val="16"/>
                <w:lang w:val="lv-LV" w:eastAsia="lv-LV"/>
              </w:rPr>
              <w:t>,</w:t>
            </w:r>
            <w:r w:rsidRPr="00AB3438">
              <w:rPr>
                <w:rFonts w:asciiTheme="majorHAnsi" w:eastAsia="Times New Roman" w:hAnsiTheme="majorHAnsi" w:cstheme="majorHAnsi"/>
                <w:color w:val="000000"/>
                <w:sz w:val="16"/>
                <w:szCs w:val="16"/>
                <w:lang w:val="lv-LV" w:eastAsia="lv-LV"/>
              </w:rPr>
              <w:t xml:space="preserve"> tai skaitā:</w:t>
            </w:r>
          </w:p>
        </w:tc>
        <w:tc>
          <w:tcPr>
            <w:tcW w:w="829" w:type="dxa"/>
            <w:shd w:val="clear" w:color="auto" w:fill="D9E2F3" w:themeFill="accent1" w:themeFillTint="33"/>
            <w:vAlign w:val="center"/>
          </w:tcPr>
          <w:p w14:paraId="5203194C" w14:textId="77777777" w:rsidR="00262896" w:rsidRPr="00AB3438" w:rsidRDefault="00262896" w:rsidP="0002297E">
            <w:pPr>
              <w:widowControl/>
              <w:spacing w:before="40" w:after="40" w:line="240" w:lineRule="auto"/>
              <w:jc w:val="center"/>
              <w:rPr>
                <w:rFonts w:ascii="Arial Nova Cond Light" w:hAnsi="Arial Nova Cond Light" w:cstheme="majorHAnsi"/>
                <w:b/>
                <w:bCs/>
                <w:sz w:val="16"/>
                <w:szCs w:val="16"/>
                <w:lang w:val="lv-LV"/>
              </w:rPr>
            </w:pPr>
            <w:r w:rsidRPr="00AB3438">
              <w:rPr>
                <w:rFonts w:ascii="Arial Nova Cond Light" w:eastAsia="Times New Roman" w:hAnsi="Arial Nova Cond Light" w:cstheme="minorHAnsi"/>
                <w:b/>
                <w:bCs/>
                <w:color w:val="000000"/>
                <w:sz w:val="16"/>
                <w:szCs w:val="16"/>
                <w:lang w:eastAsia="lv-LV"/>
              </w:rPr>
              <w:t>277</w:t>
            </w:r>
            <w:r>
              <w:rPr>
                <w:rFonts w:ascii="Arial Nova Cond Light" w:eastAsia="Times New Roman" w:hAnsi="Arial Nova Cond Light" w:cstheme="minorHAnsi"/>
                <w:b/>
                <w:bCs/>
                <w:color w:val="000000"/>
                <w:sz w:val="16"/>
                <w:szCs w:val="16"/>
                <w:lang w:eastAsia="lv-LV"/>
              </w:rPr>
              <w:t xml:space="preserve"> </w:t>
            </w:r>
            <w:r w:rsidRPr="00AB3438">
              <w:rPr>
                <w:rFonts w:ascii="Arial Nova Cond Light" w:eastAsia="Times New Roman" w:hAnsi="Arial Nova Cond Light" w:cstheme="minorHAnsi"/>
                <w:b/>
                <w:bCs/>
                <w:color w:val="000000"/>
                <w:sz w:val="16"/>
                <w:szCs w:val="16"/>
                <w:lang w:eastAsia="lv-LV"/>
              </w:rPr>
              <w:t>013,9</w:t>
            </w:r>
          </w:p>
        </w:tc>
        <w:tc>
          <w:tcPr>
            <w:tcW w:w="793" w:type="dxa"/>
            <w:shd w:val="clear" w:color="auto" w:fill="D9E2F3" w:themeFill="accent1" w:themeFillTint="33"/>
            <w:vAlign w:val="center"/>
          </w:tcPr>
          <w:p w14:paraId="5BEE5BE3" w14:textId="77777777" w:rsidR="00262896" w:rsidRPr="00AB3438" w:rsidRDefault="00262896" w:rsidP="0002297E">
            <w:pPr>
              <w:widowControl/>
              <w:spacing w:before="40" w:after="40" w:line="240" w:lineRule="auto"/>
              <w:jc w:val="center"/>
              <w:rPr>
                <w:rFonts w:ascii="Arial Nova Cond Light" w:hAnsi="Arial Nova Cond Light" w:cstheme="majorHAnsi"/>
                <w:b/>
                <w:bCs/>
                <w:sz w:val="16"/>
                <w:szCs w:val="16"/>
                <w:lang w:val="lv-LV"/>
              </w:rPr>
            </w:pPr>
            <w:r w:rsidRPr="00AB3438">
              <w:rPr>
                <w:rFonts w:ascii="Arial Nova Cond Light" w:eastAsia="Times New Roman" w:hAnsi="Arial Nova Cond Light" w:cstheme="minorHAnsi"/>
                <w:b/>
                <w:bCs/>
                <w:color w:val="000000"/>
                <w:sz w:val="16"/>
                <w:szCs w:val="16"/>
                <w:lang w:eastAsia="lv-LV"/>
              </w:rPr>
              <w:t>12</w:t>
            </w:r>
            <w:r>
              <w:rPr>
                <w:rFonts w:ascii="Arial Nova Cond Light" w:eastAsia="Times New Roman" w:hAnsi="Arial Nova Cond Light" w:cstheme="minorHAnsi"/>
                <w:b/>
                <w:bCs/>
                <w:color w:val="000000"/>
                <w:sz w:val="16"/>
                <w:szCs w:val="16"/>
                <w:lang w:eastAsia="lv-LV"/>
              </w:rPr>
              <w:t xml:space="preserve"> </w:t>
            </w:r>
            <w:r w:rsidRPr="00AB3438">
              <w:rPr>
                <w:rFonts w:ascii="Arial Nova Cond Light" w:eastAsia="Times New Roman" w:hAnsi="Arial Nova Cond Light" w:cstheme="minorHAnsi"/>
                <w:b/>
                <w:bCs/>
                <w:color w:val="000000"/>
                <w:sz w:val="16"/>
                <w:szCs w:val="16"/>
                <w:lang w:eastAsia="lv-LV"/>
              </w:rPr>
              <w:t>432,2</w:t>
            </w:r>
          </w:p>
        </w:tc>
        <w:tc>
          <w:tcPr>
            <w:tcW w:w="793" w:type="dxa"/>
            <w:shd w:val="clear" w:color="auto" w:fill="D9E2F3" w:themeFill="accent1" w:themeFillTint="33"/>
            <w:vAlign w:val="center"/>
          </w:tcPr>
          <w:p w14:paraId="62480727" w14:textId="77777777" w:rsidR="00262896" w:rsidRPr="00AB3438" w:rsidRDefault="00262896" w:rsidP="0002297E">
            <w:pPr>
              <w:widowControl/>
              <w:spacing w:before="40" w:after="40" w:line="240" w:lineRule="auto"/>
              <w:jc w:val="center"/>
              <w:rPr>
                <w:rFonts w:ascii="Arial Nova Cond Light" w:eastAsia="Times New Roman" w:hAnsi="Arial Nova Cond Light" w:cstheme="majorHAnsi"/>
                <w:b/>
                <w:bCs/>
                <w:color w:val="000000"/>
                <w:sz w:val="16"/>
                <w:szCs w:val="16"/>
                <w:lang w:val="lv-LV" w:eastAsia="lv-LV"/>
              </w:rPr>
            </w:pPr>
            <w:r w:rsidRPr="00AB3438">
              <w:rPr>
                <w:rFonts w:ascii="Arial Nova Cond Light" w:eastAsia="Times New Roman" w:hAnsi="Arial Nova Cond Light" w:cstheme="minorHAnsi"/>
                <w:b/>
                <w:bCs/>
                <w:color w:val="000000"/>
                <w:sz w:val="16"/>
                <w:szCs w:val="16"/>
                <w:lang w:eastAsia="lv-LV"/>
              </w:rPr>
              <w:t>17</w:t>
            </w:r>
            <w:r>
              <w:rPr>
                <w:rFonts w:ascii="Arial Nova Cond Light" w:eastAsia="Times New Roman" w:hAnsi="Arial Nova Cond Light" w:cstheme="minorHAnsi"/>
                <w:b/>
                <w:bCs/>
                <w:color w:val="000000"/>
                <w:sz w:val="16"/>
                <w:szCs w:val="16"/>
                <w:lang w:eastAsia="lv-LV"/>
              </w:rPr>
              <w:t xml:space="preserve"> </w:t>
            </w:r>
            <w:r w:rsidRPr="00AB3438">
              <w:rPr>
                <w:rFonts w:ascii="Arial Nova Cond Light" w:eastAsia="Times New Roman" w:hAnsi="Arial Nova Cond Light" w:cstheme="minorHAnsi"/>
                <w:b/>
                <w:bCs/>
                <w:color w:val="000000"/>
                <w:sz w:val="16"/>
                <w:szCs w:val="16"/>
                <w:lang w:eastAsia="lv-LV"/>
              </w:rPr>
              <w:t>004,1</w:t>
            </w:r>
          </w:p>
        </w:tc>
        <w:tc>
          <w:tcPr>
            <w:tcW w:w="793" w:type="dxa"/>
            <w:shd w:val="clear" w:color="auto" w:fill="D9E2F3" w:themeFill="accent1" w:themeFillTint="33"/>
            <w:vAlign w:val="center"/>
          </w:tcPr>
          <w:p w14:paraId="00474E65" w14:textId="77777777" w:rsidR="00262896" w:rsidRPr="00AB3438" w:rsidRDefault="00262896" w:rsidP="0002297E">
            <w:pPr>
              <w:widowControl/>
              <w:spacing w:before="40" w:after="40" w:line="240" w:lineRule="auto"/>
              <w:jc w:val="center"/>
              <w:rPr>
                <w:rFonts w:ascii="Arial Nova Cond Light" w:hAnsi="Arial Nova Cond Light" w:cstheme="majorHAnsi"/>
                <w:b/>
                <w:bCs/>
                <w:sz w:val="16"/>
                <w:szCs w:val="16"/>
                <w:lang w:val="lv-LV"/>
              </w:rPr>
            </w:pPr>
            <w:r w:rsidRPr="00AB3438">
              <w:rPr>
                <w:rFonts w:ascii="Arial Nova Cond Light" w:eastAsia="Times New Roman" w:hAnsi="Arial Nova Cond Light" w:cstheme="minorHAnsi"/>
                <w:b/>
                <w:bCs/>
                <w:color w:val="000000"/>
                <w:sz w:val="16"/>
                <w:szCs w:val="16"/>
                <w:lang w:eastAsia="lv-LV"/>
              </w:rPr>
              <w:t>16</w:t>
            </w:r>
            <w:r>
              <w:rPr>
                <w:rFonts w:ascii="Arial Nova Cond Light" w:eastAsia="Times New Roman" w:hAnsi="Arial Nova Cond Light" w:cstheme="minorHAnsi"/>
                <w:b/>
                <w:bCs/>
                <w:color w:val="000000"/>
                <w:sz w:val="16"/>
                <w:szCs w:val="16"/>
                <w:lang w:eastAsia="lv-LV"/>
              </w:rPr>
              <w:t xml:space="preserve"> </w:t>
            </w:r>
            <w:r w:rsidRPr="00AB3438">
              <w:rPr>
                <w:rFonts w:ascii="Arial Nova Cond Light" w:eastAsia="Times New Roman" w:hAnsi="Arial Nova Cond Light" w:cstheme="minorHAnsi"/>
                <w:b/>
                <w:bCs/>
                <w:color w:val="000000"/>
                <w:sz w:val="16"/>
                <w:szCs w:val="16"/>
                <w:lang w:eastAsia="lv-LV"/>
              </w:rPr>
              <w:t>986,9</w:t>
            </w:r>
          </w:p>
        </w:tc>
        <w:tc>
          <w:tcPr>
            <w:tcW w:w="790" w:type="dxa"/>
            <w:shd w:val="clear" w:color="auto" w:fill="D9E2F3" w:themeFill="accent1" w:themeFillTint="33"/>
            <w:vAlign w:val="center"/>
          </w:tcPr>
          <w:p w14:paraId="4A972965" w14:textId="77777777" w:rsidR="00262896" w:rsidRPr="00AB3438" w:rsidRDefault="00262896" w:rsidP="0002297E">
            <w:pPr>
              <w:widowControl/>
              <w:spacing w:before="40" w:after="40" w:line="240" w:lineRule="auto"/>
              <w:jc w:val="center"/>
              <w:rPr>
                <w:rFonts w:ascii="Arial Nova Cond Light" w:hAnsi="Arial Nova Cond Light" w:cstheme="majorHAnsi"/>
                <w:b/>
                <w:bCs/>
                <w:sz w:val="16"/>
                <w:szCs w:val="16"/>
                <w:lang w:val="lv-LV"/>
              </w:rPr>
            </w:pPr>
            <w:r w:rsidRPr="00AB3438">
              <w:rPr>
                <w:rFonts w:ascii="Arial Nova Cond Light" w:eastAsia="Times New Roman" w:hAnsi="Arial Nova Cond Light" w:cstheme="minorHAnsi"/>
                <w:b/>
                <w:bCs/>
                <w:color w:val="000000"/>
                <w:sz w:val="16"/>
                <w:szCs w:val="16"/>
                <w:lang w:eastAsia="lv-LV"/>
              </w:rPr>
              <w:t>22</w:t>
            </w:r>
            <w:r>
              <w:rPr>
                <w:rFonts w:ascii="Arial Nova Cond Light" w:eastAsia="Times New Roman" w:hAnsi="Arial Nova Cond Light" w:cstheme="minorHAnsi"/>
                <w:b/>
                <w:bCs/>
                <w:color w:val="000000"/>
                <w:sz w:val="16"/>
                <w:szCs w:val="16"/>
                <w:lang w:eastAsia="lv-LV"/>
              </w:rPr>
              <w:t xml:space="preserve"> </w:t>
            </w:r>
            <w:r w:rsidRPr="00AB3438">
              <w:rPr>
                <w:rFonts w:ascii="Arial Nova Cond Light" w:eastAsia="Times New Roman" w:hAnsi="Arial Nova Cond Light" w:cstheme="minorHAnsi"/>
                <w:b/>
                <w:bCs/>
                <w:color w:val="000000"/>
                <w:sz w:val="16"/>
                <w:szCs w:val="16"/>
                <w:lang w:eastAsia="lv-LV"/>
              </w:rPr>
              <w:t>692</w:t>
            </w:r>
          </w:p>
        </w:tc>
        <w:tc>
          <w:tcPr>
            <w:tcW w:w="791" w:type="dxa"/>
            <w:shd w:val="clear" w:color="auto" w:fill="D9E2F3" w:themeFill="accent1" w:themeFillTint="33"/>
            <w:vAlign w:val="center"/>
          </w:tcPr>
          <w:p w14:paraId="241BE415" w14:textId="77777777" w:rsidR="00262896" w:rsidRPr="00AB3438" w:rsidRDefault="00262896" w:rsidP="0002297E">
            <w:pPr>
              <w:widowControl/>
              <w:spacing w:before="40" w:after="40" w:line="240" w:lineRule="auto"/>
              <w:jc w:val="center"/>
              <w:rPr>
                <w:rFonts w:ascii="Arial Nova Cond Light" w:hAnsi="Arial Nova Cond Light" w:cstheme="majorHAnsi"/>
                <w:b/>
                <w:bCs/>
                <w:sz w:val="16"/>
                <w:szCs w:val="16"/>
                <w:lang w:val="lv-LV"/>
              </w:rPr>
            </w:pPr>
            <w:r w:rsidRPr="00AB3438">
              <w:rPr>
                <w:rFonts w:ascii="Arial Nova Cond Light" w:eastAsia="Times New Roman" w:hAnsi="Arial Nova Cond Light" w:cstheme="minorHAnsi"/>
                <w:b/>
                <w:bCs/>
                <w:color w:val="000000"/>
                <w:sz w:val="16"/>
                <w:szCs w:val="16"/>
                <w:lang w:eastAsia="lv-LV"/>
              </w:rPr>
              <w:t>6</w:t>
            </w:r>
            <w:r>
              <w:rPr>
                <w:rFonts w:ascii="Arial Nova Cond Light" w:eastAsia="Times New Roman" w:hAnsi="Arial Nova Cond Light" w:cstheme="minorHAnsi"/>
                <w:b/>
                <w:bCs/>
                <w:color w:val="000000"/>
                <w:sz w:val="16"/>
                <w:szCs w:val="16"/>
                <w:lang w:eastAsia="lv-LV"/>
              </w:rPr>
              <w:t xml:space="preserve"> </w:t>
            </w:r>
            <w:r w:rsidRPr="00AB3438">
              <w:rPr>
                <w:rFonts w:ascii="Arial Nova Cond Light" w:eastAsia="Times New Roman" w:hAnsi="Arial Nova Cond Light" w:cstheme="minorHAnsi"/>
                <w:b/>
                <w:bCs/>
                <w:color w:val="000000"/>
                <w:sz w:val="16"/>
                <w:szCs w:val="16"/>
                <w:lang w:eastAsia="lv-LV"/>
              </w:rPr>
              <w:t>249,9</w:t>
            </w:r>
          </w:p>
        </w:tc>
        <w:tc>
          <w:tcPr>
            <w:tcW w:w="792" w:type="dxa"/>
            <w:shd w:val="clear" w:color="auto" w:fill="D9E2F3" w:themeFill="accent1" w:themeFillTint="33"/>
            <w:vAlign w:val="center"/>
          </w:tcPr>
          <w:p w14:paraId="5D09BA11" w14:textId="77777777" w:rsidR="00262896" w:rsidRPr="00AB3438" w:rsidRDefault="00262896" w:rsidP="0002297E">
            <w:pPr>
              <w:widowControl/>
              <w:spacing w:before="40" w:after="40" w:line="240" w:lineRule="auto"/>
              <w:jc w:val="center"/>
              <w:rPr>
                <w:rFonts w:ascii="Arial Nova Cond Light" w:hAnsi="Arial Nova Cond Light" w:cstheme="majorHAnsi"/>
                <w:b/>
                <w:bCs/>
                <w:sz w:val="16"/>
                <w:szCs w:val="16"/>
                <w:lang w:val="lv-LV"/>
              </w:rPr>
            </w:pPr>
            <w:r w:rsidRPr="00AB3438">
              <w:rPr>
                <w:rFonts w:ascii="Arial Nova Cond Light" w:eastAsia="Times New Roman" w:hAnsi="Arial Nova Cond Light" w:cstheme="minorHAnsi"/>
                <w:b/>
                <w:bCs/>
                <w:color w:val="000000"/>
                <w:sz w:val="16"/>
                <w:szCs w:val="16"/>
                <w:lang w:eastAsia="lv-LV"/>
              </w:rPr>
              <w:t>115</w:t>
            </w:r>
            <w:r>
              <w:rPr>
                <w:rFonts w:ascii="Arial Nova Cond Light" w:eastAsia="Times New Roman" w:hAnsi="Arial Nova Cond Light" w:cstheme="minorHAnsi"/>
                <w:b/>
                <w:bCs/>
                <w:color w:val="000000"/>
                <w:sz w:val="16"/>
                <w:szCs w:val="16"/>
                <w:lang w:eastAsia="lv-LV"/>
              </w:rPr>
              <w:t xml:space="preserve"> </w:t>
            </w:r>
            <w:r w:rsidRPr="00AB3438">
              <w:rPr>
                <w:rFonts w:ascii="Arial Nova Cond Light" w:eastAsia="Times New Roman" w:hAnsi="Arial Nova Cond Light" w:cstheme="minorHAnsi"/>
                <w:b/>
                <w:bCs/>
                <w:color w:val="000000"/>
                <w:sz w:val="16"/>
                <w:szCs w:val="16"/>
                <w:lang w:eastAsia="lv-LV"/>
              </w:rPr>
              <w:t>774</w:t>
            </w:r>
          </w:p>
        </w:tc>
        <w:tc>
          <w:tcPr>
            <w:tcW w:w="793" w:type="dxa"/>
            <w:shd w:val="clear" w:color="auto" w:fill="D9E2F3" w:themeFill="accent1" w:themeFillTint="33"/>
            <w:vAlign w:val="center"/>
          </w:tcPr>
          <w:p w14:paraId="5934001B" w14:textId="77777777" w:rsidR="00262896" w:rsidRPr="00AB3438" w:rsidRDefault="00262896" w:rsidP="0002297E">
            <w:pPr>
              <w:widowControl/>
              <w:spacing w:before="40" w:after="40" w:line="240" w:lineRule="auto"/>
              <w:jc w:val="center"/>
              <w:rPr>
                <w:rFonts w:ascii="Arial Nova Cond Light" w:hAnsi="Arial Nova Cond Light" w:cstheme="majorHAnsi"/>
                <w:b/>
                <w:bCs/>
                <w:sz w:val="16"/>
                <w:szCs w:val="16"/>
                <w:lang w:val="lv-LV"/>
              </w:rPr>
            </w:pPr>
            <w:r w:rsidRPr="00AB3438">
              <w:rPr>
                <w:rFonts w:ascii="Arial Nova Cond Light" w:eastAsia="Times New Roman" w:hAnsi="Arial Nova Cond Light" w:cstheme="minorHAnsi"/>
                <w:b/>
                <w:bCs/>
                <w:color w:val="000000"/>
                <w:sz w:val="16"/>
                <w:szCs w:val="16"/>
                <w:lang w:eastAsia="lv-LV"/>
              </w:rPr>
              <w:t>75</w:t>
            </w:r>
            <w:r>
              <w:rPr>
                <w:rFonts w:ascii="Arial Nova Cond Light" w:eastAsia="Times New Roman" w:hAnsi="Arial Nova Cond Light" w:cstheme="minorHAnsi"/>
                <w:b/>
                <w:bCs/>
                <w:color w:val="000000"/>
                <w:sz w:val="16"/>
                <w:szCs w:val="16"/>
                <w:lang w:eastAsia="lv-LV"/>
              </w:rPr>
              <w:t xml:space="preserve"> </w:t>
            </w:r>
            <w:r w:rsidRPr="00AB3438">
              <w:rPr>
                <w:rFonts w:ascii="Arial Nova Cond Light" w:eastAsia="Times New Roman" w:hAnsi="Arial Nova Cond Light" w:cstheme="minorHAnsi"/>
                <w:b/>
                <w:bCs/>
                <w:color w:val="000000"/>
                <w:sz w:val="16"/>
                <w:szCs w:val="16"/>
                <w:lang w:eastAsia="lv-LV"/>
              </w:rPr>
              <w:t>364,8</w:t>
            </w:r>
          </w:p>
        </w:tc>
        <w:tc>
          <w:tcPr>
            <w:tcW w:w="792" w:type="dxa"/>
            <w:shd w:val="clear" w:color="auto" w:fill="D9E2F3" w:themeFill="accent1" w:themeFillTint="33"/>
            <w:vAlign w:val="center"/>
          </w:tcPr>
          <w:p w14:paraId="3AF4F529" w14:textId="77777777" w:rsidR="00262896" w:rsidRPr="00AB3438" w:rsidRDefault="00262896" w:rsidP="0002297E">
            <w:pPr>
              <w:widowControl/>
              <w:spacing w:before="40" w:after="40" w:line="240" w:lineRule="auto"/>
              <w:jc w:val="center"/>
              <w:rPr>
                <w:rFonts w:ascii="Arial Nova Cond Light" w:hAnsi="Arial Nova Cond Light" w:cstheme="majorHAnsi"/>
                <w:b/>
                <w:bCs/>
                <w:sz w:val="16"/>
                <w:szCs w:val="16"/>
                <w:lang w:val="lv-LV"/>
              </w:rPr>
            </w:pPr>
            <w:r w:rsidRPr="00AB3438">
              <w:rPr>
                <w:rFonts w:ascii="Arial Nova Cond Light" w:eastAsia="Times New Roman" w:hAnsi="Arial Nova Cond Light" w:cstheme="minorHAnsi"/>
                <w:b/>
                <w:bCs/>
                <w:color w:val="000000"/>
                <w:sz w:val="16"/>
                <w:szCs w:val="16"/>
                <w:lang w:eastAsia="lv-LV"/>
              </w:rPr>
              <w:t>191</w:t>
            </w:r>
            <w:r>
              <w:rPr>
                <w:rFonts w:ascii="Arial Nova Cond Light" w:eastAsia="Times New Roman" w:hAnsi="Arial Nova Cond Light" w:cstheme="minorHAnsi"/>
                <w:b/>
                <w:bCs/>
                <w:color w:val="000000"/>
                <w:sz w:val="16"/>
                <w:szCs w:val="16"/>
                <w:lang w:eastAsia="lv-LV"/>
              </w:rPr>
              <w:t xml:space="preserve"> </w:t>
            </w:r>
            <w:r w:rsidRPr="00AB3438">
              <w:rPr>
                <w:rFonts w:ascii="Arial Nova Cond Light" w:eastAsia="Times New Roman" w:hAnsi="Arial Nova Cond Light" w:cstheme="minorHAnsi"/>
                <w:b/>
                <w:bCs/>
                <w:color w:val="000000"/>
                <w:sz w:val="16"/>
                <w:szCs w:val="16"/>
                <w:lang w:eastAsia="lv-LV"/>
              </w:rPr>
              <w:t>139</w:t>
            </w:r>
          </w:p>
        </w:tc>
      </w:tr>
      <w:tr w:rsidR="00262896" w:rsidRPr="00AB3438" w14:paraId="5453BFE6" w14:textId="77777777" w:rsidTr="0002297E">
        <w:trPr>
          <w:jc w:val="center"/>
        </w:trPr>
        <w:tc>
          <w:tcPr>
            <w:tcW w:w="2474" w:type="dxa"/>
            <w:shd w:val="clear" w:color="auto" w:fill="B4C6E7" w:themeFill="accent1" w:themeFillTint="66"/>
            <w:vAlign w:val="bottom"/>
          </w:tcPr>
          <w:p w14:paraId="2D720994" w14:textId="77777777" w:rsidR="00262896" w:rsidRPr="00AB3438" w:rsidRDefault="00262896" w:rsidP="0002297E">
            <w:pPr>
              <w:widowControl/>
              <w:spacing w:before="40" w:after="40" w:line="240" w:lineRule="auto"/>
              <w:rPr>
                <w:rFonts w:asciiTheme="majorHAnsi" w:hAnsiTheme="majorHAnsi" w:cstheme="majorHAnsi"/>
                <w:sz w:val="16"/>
                <w:szCs w:val="16"/>
                <w:lang w:val="lv-LV"/>
              </w:rPr>
            </w:pPr>
            <w:r w:rsidRPr="00AB3438">
              <w:rPr>
                <w:rFonts w:asciiTheme="majorHAnsi" w:eastAsia="Times New Roman" w:hAnsiTheme="majorHAnsi" w:cstheme="majorHAnsi"/>
                <w:b/>
                <w:bCs/>
                <w:color w:val="333F4F"/>
                <w:sz w:val="16"/>
                <w:szCs w:val="16"/>
                <w:lang w:val="lv-LV" w:eastAsia="lv-LV"/>
              </w:rPr>
              <w:t>N11KG - Būvniecība - kopā</w:t>
            </w:r>
          </w:p>
        </w:tc>
        <w:tc>
          <w:tcPr>
            <w:tcW w:w="829" w:type="dxa"/>
            <w:shd w:val="clear" w:color="auto" w:fill="B4C6E7" w:themeFill="accent1" w:themeFillTint="66"/>
            <w:vAlign w:val="center"/>
          </w:tcPr>
          <w:p w14:paraId="0AE641D2" w14:textId="77777777" w:rsidR="00262896" w:rsidRPr="00AB3438" w:rsidRDefault="00262896" w:rsidP="0002297E">
            <w:pPr>
              <w:widowControl/>
              <w:spacing w:before="40" w:after="40" w:line="240" w:lineRule="auto"/>
              <w:jc w:val="center"/>
              <w:rPr>
                <w:rFonts w:ascii="Arial Nova Cond Light" w:hAnsi="Arial Nova Cond Light" w:cstheme="majorHAnsi"/>
                <w:color w:val="FFFFFF" w:themeColor="background1"/>
                <w:sz w:val="16"/>
                <w:szCs w:val="16"/>
                <w:lang w:val="lv-LV"/>
              </w:rPr>
            </w:pPr>
            <w:r w:rsidRPr="00AB3438">
              <w:rPr>
                <w:rFonts w:ascii="Arial Nova Cond Light" w:eastAsia="Times New Roman" w:hAnsi="Arial Nova Cond Light" w:cstheme="minorHAnsi"/>
                <w:color w:val="000000"/>
                <w:sz w:val="16"/>
                <w:szCs w:val="16"/>
                <w:lang w:eastAsia="lv-LV"/>
              </w:rPr>
              <w:t>239</w:t>
            </w:r>
            <w:r>
              <w:rPr>
                <w:rFonts w:ascii="Arial Nova Cond Light" w:eastAsia="Times New Roman" w:hAnsi="Arial Nova Cond Light" w:cstheme="minorHAnsi"/>
                <w:color w:val="000000"/>
                <w:sz w:val="16"/>
                <w:szCs w:val="16"/>
                <w:lang w:eastAsia="lv-LV"/>
              </w:rPr>
              <w:t xml:space="preserve"> </w:t>
            </w:r>
            <w:r w:rsidRPr="00AB3438">
              <w:rPr>
                <w:rFonts w:ascii="Arial Nova Cond Light" w:eastAsia="Times New Roman" w:hAnsi="Arial Nova Cond Light" w:cstheme="minorHAnsi"/>
                <w:color w:val="000000"/>
                <w:sz w:val="16"/>
                <w:szCs w:val="16"/>
                <w:lang w:eastAsia="lv-LV"/>
              </w:rPr>
              <w:t>891,8</w:t>
            </w:r>
          </w:p>
        </w:tc>
        <w:tc>
          <w:tcPr>
            <w:tcW w:w="793" w:type="dxa"/>
            <w:shd w:val="clear" w:color="auto" w:fill="B4C6E7" w:themeFill="accent1" w:themeFillTint="66"/>
            <w:vAlign w:val="center"/>
          </w:tcPr>
          <w:p w14:paraId="3E77BA9B" w14:textId="77777777" w:rsidR="00262896" w:rsidRPr="00AB3438" w:rsidRDefault="00262896" w:rsidP="0002297E">
            <w:pPr>
              <w:widowControl/>
              <w:spacing w:before="40" w:after="40" w:line="240" w:lineRule="auto"/>
              <w:jc w:val="center"/>
              <w:rPr>
                <w:rFonts w:ascii="Arial Nova Cond Light" w:hAnsi="Arial Nova Cond Light" w:cstheme="majorHAnsi"/>
                <w:sz w:val="16"/>
                <w:szCs w:val="16"/>
                <w:lang w:val="lv-LV"/>
              </w:rPr>
            </w:pPr>
            <w:r w:rsidRPr="00AB3438">
              <w:rPr>
                <w:rFonts w:ascii="Arial Nova Cond Light" w:eastAsia="Times New Roman" w:hAnsi="Arial Nova Cond Light" w:cstheme="minorHAnsi"/>
                <w:color w:val="000000"/>
                <w:sz w:val="16"/>
                <w:szCs w:val="16"/>
                <w:lang w:eastAsia="lv-LV"/>
              </w:rPr>
              <w:t>9</w:t>
            </w:r>
            <w:r>
              <w:rPr>
                <w:rFonts w:ascii="Arial Nova Cond Light" w:eastAsia="Times New Roman" w:hAnsi="Arial Nova Cond Light" w:cstheme="minorHAnsi"/>
                <w:color w:val="000000"/>
                <w:sz w:val="16"/>
                <w:szCs w:val="16"/>
                <w:lang w:eastAsia="lv-LV"/>
              </w:rPr>
              <w:t xml:space="preserve"> </w:t>
            </w:r>
            <w:r w:rsidRPr="00AB3438">
              <w:rPr>
                <w:rFonts w:ascii="Arial Nova Cond Light" w:eastAsia="Times New Roman" w:hAnsi="Arial Nova Cond Light" w:cstheme="minorHAnsi"/>
                <w:color w:val="000000"/>
                <w:sz w:val="16"/>
                <w:szCs w:val="16"/>
                <w:lang w:eastAsia="lv-LV"/>
              </w:rPr>
              <w:t>990,2</w:t>
            </w:r>
          </w:p>
        </w:tc>
        <w:tc>
          <w:tcPr>
            <w:tcW w:w="793" w:type="dxa"/>
            <w:shd w:val="clear" w:color="auto" w:fill="B4C6E7" w:themeFill="accent1" w:themeFillTint="66"/>
            <w:vAlign w:val="center"/>
          </w:tcPr>
          <w:p w14:paraId="123E9152" w14:textId="77777777" w:rsidR="00262896" w:rsidRPr="00AB3438" w:rsidRDefault="00262896" w:rsidP="0002297E">
            <w:pPr>
              <w:widowControl/>
              <w:spacing w:before="40" w:after="40" w:line="240" w:lineRule="auto"/>
              <w:jc w:val="center"/>
              <w:rPr>
                <w:rFonts w:ascii="Arial Nova Cond Light" w:eastAsia="Times New Roman" w:hAnsi="Arial Nova Cond Light" w:cstheme="majorHAnsi"/>
                <w:color w:val="000000"/>
                <w:sz w:val="16"/>
                <w:szCs w:val="16"/>
                <w:lang w:val="lv-LV" w:eastAsia="lv-LV"/>
              </w:rPr>
            </w:pPr>
            <w:r w:rsidRPr="00AB3438">
              <w:rPr>
                <w:rFonts w:ascii="Arial Nova Cond Light" w:eastAsia="Times New Roman" w:hAnsi="Arial Nova Cond Light" w:cstheme="minorHAnsi"/>
                <w:color w:val="000000"/>
                <w:sz w:val="16"/>
                <w:szCs w:val="16"/>
                <w:lang w:eastAsia="lv-LV"/>
              </w:rPr>
              <w:t>11</w:t>
            </w:r>
            <w:r>
              <w:rPr>
                <w:rFonts w:ascii="Arial Nova Cond Light" w:eastAsia="Times New Roman" w:hAnsi="Arial Nova Cond Light" w:cstheme="minorHAnsi"/>
                <w:color w:val="000000"/>
                <w:sz w:val="16"/>
                <w:szCs w:val="16"/>
                <w:lang w:eastAsia="lv-LV"/>
              </w:rPr>
              <w:t xml:space="preserve"> </w:t>
            </w:r>
            <w:r w:rsidRPr="00AB3438">
              <w:rPr>
                <w:rFonts w:ascii="Arial Nova Cond Light" w:eastAsia="Times New Roman" w:hAnsi="Arial Nova Cond Light" w:cstheme="minorHAnsi"/>
                <w:color w:val="000000"/>
                <w:sz w:val="16"/>
                <w:szCs w:val="16"/>
                <w:lang w:eastAsia="lv-LV"/>
              </w:rPr>
              <w:t>135,7</w:t>
            </w:r>
          </w:p>
        </w:tc>
        <w:tc>
          <w:tcPr>
            <w:tcW w:w="793" w:type="dxa"/>
            <w:shd w:val="clear" w:color="auto" w:fill="B4C6E7" w:themeFill="accent1" w:themeFillTint="66"/>
            <w:vAlign w:val="center"/>
          </w:tcPr>
          <w:p w14:paraId="0559B56F" w14:textId="77777777" w:rsidR="00262896" w:rsidRPr="00AB3438" w:rsidRDefault="00262896" w:rsidP="0002297E">
            <w:pPr>
              <w:widowControl/>
              <w:spacing w:before="40" w:after="40" w:line="240" w:lineRule="auto"/>
              <w:jc w:val="center"/>
              <w:rPr>
                <w:rFonts w:ascii="Arial Nova Cond Light" w:hAnsi="Arial Nova Cond Light" w:cstheme="majorHAnsi"/>
                <w:sz w:val="16"/>
                <w:szCs w:val="16"/>
                <w:lang w:val="lv-LV"/>
              </w:rPr>
            </w:pPr>
            <w:r w:rsidRPr="00AB3438">
              <w:rPr>
                <w:rFonts w:ascii="Arial Nova Cond Light" w:eastAsia="Times New Roman" w:hAnsi="Arial Nova Cond Light" w:cstheme="minorHAnsi"/>
                <w:color w:val="000000"/>
                <w:sz w:val="16"/>
                <w:szCs w:val="16"/>
                <w:lang w:eastAsia="lv-LV"/>
              </w:rPr>
              <w:t>8</w:t>
            </w:r>
            <w:r>
              <w:rPr>
                <w:rFonts w:ascii="Arial Nova Cond Light" w:eastAsia="Times New Roman" w:hAnsi="Arial Nova Cond Light" w:cstheme="minorHAnsi"/>
                <w:color w:val="000000"/>
                <w:sz w:val="16"/>
                <w:szCs w:val="16"/>
                <w:lang w:eastAsia="lv-LV"/>
              </w:rPr>
              <w:t xml:space="preserve"> </w:t>
            </w:r>
            <w:r w:rsidRPr="00AB3438">
              <w:rPr>
                <w:rFonts w:ascii="Arial Nova Cond Light" w:eastAsia="Times New Roman" w:hAnsi="Arial Nova Cond Light" w:cstheme="minorHAnsi"/>
                <w:color w:val="000000"/>
                <w:sz w:val="16"/>
                <w:szCs w:val="16"/>
                <w:lang w:eastAsia="lv-LV"/>
              </w:rPr>
              <w:t>787,3</w:t>
            </w:r>
          </w:p>
        </w:tc>
        <w:tc>
          <w:tcPr>
            <w:tcW w:w="790" w:type="dxa"/>
            <w:shd w:val="clear" w:color="auto" w:fill="B4C6E7" w:themeFill="accent1" w:themeFillTint="66"/>
            <w:vAlign w:val="center"/>
          </w:tcPr>
          <w:p w14:paraId="5D92111B" w14:textId="77777777" w:rsidR="00262896" w:rsidRPr="00AB3438" w:rsidRDefault="00262896" w:rsidP="0002297E">
            <w:pPr>
              <w:widowControl/>
              <w:spacing w:before="40" w:after="40" w:line="240" w:lineRule="auto"/>
              <w:jc w:val="center"/>
              <w:rPr>
                <w:rFonts w:ascii="Arial Nova Cond Light" w:hAnsi="Arial Nova Cond Light" w:cstheme="majorHAnsi"/>
                <w:sz w:val="16"/>
                <w:szCs w:val="16"/>
                <w:lang w:val="lv-LV"/>
              </w:rPr>
            </w:pPr>
            <w:r w:rsidRPr="00AB3438">
              <w:rPr>
                <w:rFonts w:ascii="Arial Nova Cond Light" w:eastAsia="Times New Roman" w:hAnsi="Arial Nova Cond Light" w:cstheme="minorHAnsi"/>
                <w:color w:val="000000"/>
                <w:sz w:val="16"/>
                <w:szCs w:val="16"/>
                <w:lang w:eastAsia="lv-LV"/>
              </w:rPr>
              <w:t>18</w:t>
            </w:r>
            <w:r>
              <w:rPr>
                <w:rFonts w:ascii="Arial Nova Cond Light" w:eastAsia="Times New Roman" w:hAnsi="Arial Nova Cond Light" w:cstheme="minorHAnsi"/>
                <w:color w:val="000000"/>
                <w:sz w:val="16"/>
                <w:szCs w:val="16"/>
                <w:lang w:eastAsia="lv-LV"/>
              </w:rPr>
              <w:t xml:space="preserve"> </w:t>
            </w:r>
            <w:r w:rsidRPr="00AB3438">
              <w:rPr>
                <w:rFonts w:ascii="Arial Nova Cond Light" w:eastAsia="Times New Roman" w:hAnsi="Arial Nova Cond Light" w:cstheme="minorHAnsi"/>
                <w:color w:val="000000"/>
                <w:sz w:val="16"/>
                <w:szCs w:val="16"/>
                <w:lang w:eastAsia="lv-LV"/>
              </w:rPr>
              <w:t>536</w:t>
            </w:r>
          </w:p>
        </w:tc>
        <w:tc>
          <w:tcPr>
            <w:tcW w:w="791" w:type="dxa"/>
            <w:shd w:val="clear" w:color="auto" w:fill="B4C6E7" w:themeFill="accent1" w:themeFillTint="66"/>
            <w:vAlign w:val="center"/>
          </w:tcPr>
          <w:p w14:paraId="47A711F9" w14:textId="77777777" w:rsidR="00262896" w:rsidRPr="00AB3438" w:rsidRDefault="00262896" w:rsidP="0002297E">
            <w:pPr>
              <w:widowControl/>
              <w:spacing w:before="40" w:after="40" w:line="240" w:lineRule="auto"/>
              <w:jc w:val="center"/>
              <w:rPr>
                <w:rFonts w:ascii="Arial Nova Cond Light" w:hAnsi="Arial Nova Cond Light" w:cstheme="majorHAnsi"/>
                <w:sz w:val="16"/>
                <w:szCs w:val="16"/>
                <w:lang w:val="lv-LV"/>
              </w:rPr>
            </w:pPr>
            <w:r w:rsidRPr="00AB3438">
              <w:rPr>
                <w:rFonts w:ascii="Arial Nova Cond Light" w:eastAsia="Times New Roman" w:hAnsi="Arial Nova Cond Light" w:cstheme="minorHAnsi"/>
                <w:color w:val="000000"/>
                <w:sz w:val="16"/>
                <w:szCs w:val="16"/>
                <w:lang w:eastAsia="lv-LV"/>
              </w:rPr>
              <w:t>5</w:t>
            </w:r>
            <w:r>
              <w:rPr>
                <w:rFonts w:ascii="Arial Nova Cond Light" w:eastAsia="Times New Roman" w:hAnsi="Arial Nova Cond Light" w:cstheme="minorHAnsi"/>
                <w:color w:val="000000"/>
                <w:sz w:val="16"/>
                <w:szCs w:val="16"/>
                <w:lang w:eastAsia="lv-LV"/>
              </w:rPr>
              <w:t xml:space="preserve"> </w:t>
            </w:r>
            <w:r w:rsidRPr="00AB3438">
              <w:rPr>
                <w:rFonts w:ascii="Arial Nova Cond Light" w:eastAsia="Times New Roman" w:hAnsi="Arial Nova Cond Light" w:cstheme="minorHAnsi"/>
                <w:color w:val="000000"/>
                <w:sz w:val="16"/>
                <w:szCs w:val="16"/>
                <w:lang w:eastAsia="lv-LV"/>
              </w:rPr>
              <w:t>788,6</w:t>
            </w:r>
          </w:p>
        </w:tc>
        <w:tc>
          <w:tcPr>
            <w:tcW w:w="792" w:type="dxa"/>
            <w:shd w:val="clear" w:color="auto" w:fill="B4C6E7" w:themeFill="accent1" w:themeFillTint="66"/>
            <w:vAlign w:val="center"/>
          </w:tcPr>
          <w:p w14:paraId="6F695D23" w14:textId="77777777" w:rsidR="00262896" w:rsidRPr="00AB3438" w:rsidRDefault="00262896" w:rsidP="0002297E">
            <w:pPr>
              <w:widowControl/>
              <w:spacing w:before="40" w:after="40" w:line="240" w:lineRule="auto"/>
              <w:jc w:val="center"/>
              <w:rPr>
                <w:rFonts w:ascii="Arial Nova Cond Light" w:hAnsi="Arial Nova Cond Light" w:cstheme="majorHAnsi"/>
                <w:sz w:val="16"/>
                <w:szCs w:val="16"/>
                <w:lang w:val="lv-LV"/>
              </w:rPr>
            </w:pPr>
            <w:r w:rsidRPr="00AB3438">
              <w:rPr>
                <w:rFonts w:ascii="Arial Nova Cond Light" w:eastAsia="Times New Roman" w:hAnsi="Arial Nova Cond Light" w:cstheme="minorHAnsi"/>
                <w:color w:val="000000"/>
                <w:sz w:val="16"/>
                <w:szCs w:val="16"/>
                <w:lang w:eastAsia="lv-LV"/>
              </w:rPr>
              <w:t>114</w:t>
            </w:r>
            <w:r>
              <w:rPr>
                <w:rFonts w:ascii="Arial Nova Cond Light" w:eastAsia="Times New Roman" w:hAnsi="Arial Nova Cond Light" w:cstheme="minorHAnsi"/>
                <w:color w:val="000000"/>
                <w:sz w:val="16"/>
                <w:szCs w:val="16"/>
                <w:lang w:eastAsia="lv-LV"/>
              </w:rPr>
              <w:t xml:space="preserve"> </w:t>
            </w:r>
            <w:r w:rsidRPr="00AB3438">
              <w:rPr>
                <w:rFonts w:ascii="Arial Nova Cond Light" w:eastAsia="Times New Roman" w:hAnsi="Arial Nova Cond Light" w:cstheme="minorHAnsi"/>
                <w:color w:val="000000"/>
                <w:sz w:val="16"/>
                <w:szCs w:val="16"/>
                <w:lang w:eastAsia="lv-LV"/>
              </w:rPr>
              <w:t>726</w:t>
            </w:r>
          </w:p>
        </w:tc>
        <w:tc>
          <w:tcPr>
            <w:tcW w:w="793" w:type="dxa"/>
            <w:shd w:val="clear" w:color="auto" w:fill="B4C6E7" w:themeFill="accent1" w:themeFillTint="66"/>
            <w:vAlign w:val="center"/>
          </w:tcPr>
          <w:p w14:paraId="38270632" w14:textId="77777777" w:rsidR="00262896" w:rsidRPr="00AB3438" w:rsidRDefault="00262896" w:rsidP="0002297E">
            <w:pPr>
              <w:widowControl/>
              <w:spacing w:before="40" w:after="40" w:line="240" w:lineRule="auto"/>
              <w:jc w:val="center"/>
              <w:rPr>
                <w:rFonts w:ascii="Arial Nova Cond Light" w:hAnsi="Arial Nova Cond Light" w:cstheme="majorHAnsi"/>
                <w:sz w:val="16"/>
                <w:szCs w:val="16"/>
                <w:lang w:val="lv-LV"/>
              </w:rPr>
            </w:pPr>
            <w:r w:rsidRPr="00AB3438">
              <w:rPr>
                <w:rFonts w:ascii="Arial Nova Cond Light" w:eastAsia="Times New Roman" w:hAnsi="Arial Nova Cond Light" w:cstheme="minorHAnsi"/>
                <w:color w:val="000000"/>
                <w:sz w:val="16"/>
                <w:szCs w:val="16"/>
                <w:lang w:eastAsia="lv-LV"/>
              </w:rPr>
              <w:t>54</w:t>
            </w:r>
            <w:r>
              <w:rPr>
                <w:rFonts w:ascii="Arial Nova Cond Light" w:eastAsia="Times New Roman" w:hAnsi="Arial Nova Cond Light" w:cstheme="minorHAnsi"/>
                <w:color w:val="000000"/>
                <w:sz w:val="16"/>
                <w:szCs w:val="16"/>
                <w:lang w:eastAsia="lv-LV"/>
              </w:rPr>
              <w:t xml:space="preserve"> </w:t>
            </w:r>
            <w:r w:rsidRPr="00AB3438">
              <w:rPr>
                <w:rFonts w:ascii="Arial Nova Cond Light" w:eastAsia="Times New Roman" w:hAnsi="Arial Nova Cond Light" w:cstheme="minorHAnsi"/>
                <w:color w:val="000000"/>
                <w:sz w:val="16"/>
                <w:szCs w:val="16"/>
                <w:lang w:eastAsia="lv-LV"/>
              </w:rPr>
              <w:t>237,6</w:t>
            </w:r>
          </w:p>
        </w:tc>
        <w:tc>
          <w:tcPr>
            <w:tcW w:w="792" w:type="dxa"/>
            <w:shd w:val="clear" w:color="auto" w:fill="B4C6E7" w:themeFill="accent1" w:themeFillTint="66"/>
            <w:vAlign w:val="center"/>
          </w:tcPr>
          <w:p w14:paraId="4C257704" w14:textId="77777777" w:rsidR="00262896" w:rsidRPr="00AB3438" w:rsidRDefault="00262896" w:rsidP="0002297E">
            <w:pPr>
              <w:widowControl/>
              <w:spacing w:before="40" w:after="40" w:line="240" w:lineRule="auto"/>
              <w:jc w:val="center"/>
              <w:rPr>
                <w:rFonts w:ascii="Arial Nova Cond Light" w:hAnsi="Arial Nova Cond Light" w:cstheme="majorHAnsi"/>
                <w:sz w:val="16"/>
                <w:szCs w:val="16"/>
                <w:lang w:val="lv-LV"/>
              </w:rPr>
            </w:pPr>
            <w:r w:rsidRPr="00AB3438">
              <w:rPr>
                <w:rFonts w:ascii="Arial Nova Cond Light" w:eastAsia="Times New Roman" w:hAnsi="Arial Nova Cond Light" w:cstheme="minorHAnsi"/>
                <w:color w:val="000000"/>
                <w:sz w:val="16"/>
                <w:szCs w:val="16"/>
                <w:lang w:eastAsia="lv-LV"/>
              </w:rPr>
              <w:t>168</w:t>
            </w:r>
            <w:r>
              <w:rPr>
                <w:rFonts w:ascii="Arial Nova Cond Light" w:eastAsia="Times New Roman" w:hAnsi="Arial Nova Cond Light" w:cstheme="minorHAnsi"/>
                <w:color w:val="000000"/>
                <w:sz w:val="16"/>
                <w:szCs w:val="16"/>
                <w:lang w:eastAsia="lv-LV"/>
              </w:rPr>
              <w:t xml:space="preserve"> </w:t>
            </w:r>
            <w:r w:rsidRPr="00AB3438">
              <w:rPr>
                <w:rFonts w:ascii="Arial Nova Cond Light" w:eastAsia="Times New Roman" w:hAnsi="Arial Nova Cond Light" w:cstheme="minorHAnsi"/>
                <w:color w:val="000000"/>
                <w:sz w:val="16"/>
                <w:szCs w:val="16"/>
                <w:lang w:eastAsia="lv-LV"/>
              </w:rPr>
              <w:t>963</w:t>
            </w:r>
          </w:p>
        </w:tc>
      </w:tr>
      <w:tr w:rsidR="00262896" w:rsidRPr="00AB3438" w14:paraId="7C284ABF" w14:textId="77777777" w:rsidTr="0002297E">
        <w:trPr>
          <w:jc w:val="center"/>
        </w:trPr>
        <w:tc>
          <w:tcPr>
            <w:tcW w:w="2474" w:type="dxa"/>
            <w:shd w:val="clear" w:color="auto" w:fill="D9E2F3" w:themeFill="accent1" w:themeFillTint="33"/>
            <w:vAlign w:val="bottom"/>
          </w:tcPr>
          <w:p w14:paraId="2BF5C687" w14:textId="77777777" w:rsidR="00262896" w:rsidRPr="00AB3438" w:rsidRDefault="00262896" w:rsidP="0002297E">
            <w:pPr>
              <w:widowControl/>
              <w:spacing w:before="40" w:after="40" w:line="240" w:lineRule="auto"/>
              <w:ind w:left="174"/>
              <w:rPr>
                <w:rFonts w:asciiTheme="majorHAnsi" w:hAnsiTheme="majorHAnsi" w:cstheme="majorHAnsi"/>
                <w:sz w:val="16"/>
                <w:szCs w:val="16"/>
                <w:lang w:val="lv-LV"/>
              </w:rPr>
            </w:pPr>
            <w:r w:rsidRPr="00AB3438">
              <w:rPr>
                <w:rFonts w:asciiTheme="majorHAnsi" w:eastAsia="Times New Roman" w:hAnsiTheme="majorHAnsi" w:cstheme="majorHAnsi"/>
                <w:sz w:val="16"/>
                <w:szCs w:val="16"/>
                <w:lang w:val="lv-LV" w:eastAsia="lv-LV"/>
              </w:rPr>
              <w:t>N111G - Mājokļi</w:t>
            </w:r>
          </w:p>
        </w:tc>
        <w:tc>
          <w:tcPr>
            <w:tcW w:w="829" w:type="dxa"/>
            <w:shd w:val="clear" w:color="auto" w:fill="D9E2F3" w:themeFill="accent1" w:themeFillTint="33"/>
            <w:vAlign w:val="center"/>
          </w:tcPr>
          <w:p w14:paraId="0ECDF912" w14:textId="77777777" w:rsidR="00262896" w:rsidRPr="00AB3438" w:rsidRDefault="00262896" w:rsidP="0002297E">
            <w:pPr>
              <w:widowControl/>
              <w:spacing w:before="40" w:after="40" w:line="240" w:lineRule="auto"/>
              <w:jc w:val="center"/>
              <w:rPr>
                <w:rFonts w:ascii="Arial Nova Cond Light" w:hAnsi="Arial Nova Cond Light" w:cstheme="majorHAnsi"/>
                <w:sz w:val="16"/>
                <w:szCs w:val="16"/>
                <w:lang w:val="lv-LV"/>
              </w:rPr>
            </w:pPr>
            <w:r w:rsidRPr="00AB3438">
              <w:rPr>
                <w:rFonts w:ascii="Arial Nova Cond Light" w:eastAsia="Times New Roman" w:hAnsi="Arial Nova Cond Light" w:cstheme="minorHAnsi"/>
                <w:color w:val="000000"/>
                <w:sz w:val="16"/>
                <w:szCs w:val="16"/>
                <w:lang w:eastAsia="lv-LV"/>
              </w:rPr>
              <w:t>108</w:t>
            </w:r>
            <w:r>
              <w:rPr>
                <w:rFonts w:ascii="Arial Nova Cond Light" w:eastAsia="Times New Roman" w:hAnsi="Arial Nova Cond Light" w:cstheme="minorHAnsi"/>
                <w:color w:val="000000"/>
                <w:sz w:val="16"/>
                <w:szCs w:val="16"/>
                <w:lang w:eastAsia="lv-LV"/>
              </w:rPr>
              <w:t xml:space="preserve"> </w:t>
            </w:r>
            <w:r w:rsidRPr="00AB3438">
              <w:rPr>
                <w:rFonts w:ascii="Arial Nova Cond Light" w:eastAsia="Times New Roman" w:hAnsi="Arial Nova Cond Light" w:cstheme="minorHAnsi"/>
                <w:color w:val="000000"/>
                <w:sz w:val="16"/>
                <w:szCs w:val="16"/>
                <w:lang w:eastAsia="lv-LV"/>
              </w:rPr>
              <w:t>053,9</w:t>
            </w:r>
          </w:p>
        </w:tc>
        <w:tc>
          <w:tcPr>
            <w:tcW w:w="793" w:type="dxa"/>
            <w:shd w:val="clear" w:color="auto" w:fill="D9E2F3" w:themeFill="accent1" w:themeFillTint="33"/>
            <w:vAlign w:val="center"/>
          </w:tcPr>
          <w:p w14:paraId="0ED8DAB8" w14:textId="77777777" w:rsidR="00262896" w:rsidRPr="00AB3438" w:rsidRDefault="00262896" w:rsidP="0002297E">
            <w:pPr>
              <w:widowControl/>
              <w:spacing w:before="40" w:after="40" w:line="240" w:lineRule="auto"/>
              <w:jc w:val="center"/>
              <w:rPr>
                <w:rFonts w:ascii="Arial Nova Cond Light" w:hAnsi="Arial Nova Cond Light" w:cstheme="majorHAnsi"/>
                <w:sz w:val="16"/>
                <w:szCs w:val="16"/>
                <w:lang w:val="lv-LV"/>
              </w:rPr>
            </w:pPr>
            <w:r w:rsidRPr="00AB3438">
              <w:rPr>
                <w:rFonts w:ascii="Arial Nova Cond Light" w:eastAsia="Times New Roman" w:hAnsi="Arial Nova Cond Light" w:cstheme="minorHAnsi"/>
                <w:color w:val="000000"/>
                <w:sz w:val="16"/>
                <w:szCs w:val="16"/>
                <w:lang w:eastAsia="lv-LV"/>
              </w:rPr>
              <w:t>7,9</w:t>
            </w:r>
          </w:p>
        </w:tc>
        <w:tc>
          <w:tcPr>
            <w:tcW w:w="793" w:type="dxa"/>
            <w:shd w:val="clear" w:color="auto" w:fill="D9E2F3" w:themeFill="accent1" w:themeFillTint="33"/>
            <w:vAlign w:val="center"/>
          </w:tcPr>
          <w:p w14:paraId="304B7AA5" w14:textId="77777777" w:rsidR="00262896" w:rsidRPr="00AB3438" w:rsidRDefault="00262896" w:rsidP="0002297E">
            <w:pPr>
              <w:widowControl/>
              <w:spacing w:before="40" w:after="40" w:line="240" w:lineRule="auto"/>
              <w:jc w:val="center"/>
              <w:rPr>
                <w:rFonts w:ascii="Arial Nova Cond Light" w:eastAsia="Times New Roman" w:hAnsi="Arial Nova Cond Light" w:cstheme="majorHAnsi"/>
                <w:color w:val="000000"/>
                <w:sz w:val="16"/>
                <w:szCs w:val="16"/>
                <w:lang w:val="lv-LV" w:eastAsia="lv-LV"/>
              </w:rPr>
            </w:pPr>
            <w:r w:rsidRPr="00AB3438">
              <w:rPr>
                <w:rFonts w:ascii="Arial Nova Cond Light" w:eastAsia="Times New Roman" w:hAnsi="Arial Nova Cond Light" w:cstheme="minorHAnsi"/>
                <w:color w:val="000000"/>
                <w:sz w:val="16"/>
                <w:szCs w:val="16"/>
                <w:lang w:eastAsia="lv-LV"/>
              </w:rPr>
              <w:t>29,0</w:t>
            </w:r>
          </w:p>
        </w:tc>
        <w:tc>
          <w:tcPr>
            <w:tcW w:w="793" w:type="dxa"/>
            <w:shd w:val="clear" w:color="auto" w:fill="D9E2F3" w:themeFill="accent1" w:themeFillTint="33"/>
            <w:vAlign w:val="center"/>
          </w:tcPr>
          <w:p w14:paraId="5AACCF73" w14:textId="77777777" w:rsidR="00262896" w:rsidRPr="00AB3438" w:rsidRDefault="00262896" w:rsidP="0002297E">
            <w:pPr>
              <w:widowControl/>
              <w:spacing w:before="40" w:after="40" w:line="240" w:lineRule="auto"/>
              <w:jc w:val="center"/>
              <w:rPr>
                <w:rFonts w:ascii="Arial Nova Cond Light" w:hAnsi="Arial Nova Cond Light" w:cstheme="majorHAnsi"/>
                <w:sz w:val="16"/>
                <w:szCs w:val="16"/>
                <w:lang w:val="lv-LV"/>
              </w:rPr>
            </w:pPr>
            <w:r w:rsidRPr="00AB3438">
              <w:rPr>
                <w:rFonts w:ascii="Arial Nova Cond Light" w:eastAsia="Times New Roman" w:hAnsi="Arial Nova Cond Light" w:cstheme="minorHAnsi"/>
                <w:color w:val="000000"/>
                <w:sz w:val="16"/>
                <w:szCs w:val="16"/>
                <w:lang w:eastAsia="lv-LV"/>
              </w:rPr>
              <w:t>151,4</w:t>
            </w:r>
          </w:p>
        </w:tc>
        <w:tc>
          <w:tcPr>
            <w:tcW w:w="790" w:type="dxa"/>
            <w:shd w:val="clear" w:color="auto" w:fill="D9E2F3" w:themeFill="accent1" w:themeFillTint="33"/>
            <w:vAlign w:val="center"/>
          </w:tcPr>
          <w:p w14:paraId="329F61DE" w14:textId="77777777" w:rsidR="00262896" w:rsidRPr="00AB3438" w:rsidRDefault="00262896" w:rsidP="0002297E">
            <w:pPr>
              <w:widowControl/>
              <w:spacing w:before="40" w:after="40" w:line="240" w:lineRule="auto"/>
              <w:jc w:val="center"/>
              <w:rPr>
                <w:rFonts w:ascii="Arial Nova Cond Light" w:hAnsi="Arial Nova Cond Light" w:cstheme="majorHAnsi"/>
                <w:sz w:val="16"/>
                <w:szCs w:val="16"/>
                <w:lang w:val="lv-LV"/>
              </w:rPr>
            </w:pPr>
            <w:r w:rsidRPr="00AB3438">
              <w:rPr>
                <w:rFonts w:ascii="Arial Nova Cond Light" w:eastAsia="Times New Roman" w:hAnsi="Arial Nova Cond Light" w:cstheme="minorHAnsi"/>
                <w:color w:val="000000"/>
                <w:sz w:val="16"/>
                <w:szCs w:val="16"/>
                <w:lang w:eastAsia="lv-LV"/>
              </w:rPr>
              <w:t>29,5</w:t>
            </w:r>
          </w:p>
        </w:tc>
        <w:tc>
          <w:tcPr>
            <w:tcW w:w="791" w:type="dxa"/>
            <w:shd w:val="clear" w:color="auto" w:fill="D9E2F3" w:themeFill="accent1" w:themeFillTint="33"/>
            <w:vAlign w:val="center"/>
          </w:tcPr>
          <w:p w14:paraId="277A5B7D" w14:textId="77777777" w:rsidR="00262896" w:rsidRPr="00AB3438" w:rsidRDefault="00262896" w:rsidP="0002297E">
            <w:pPr>
              <w:widowControl/>
              <w:spacing w:before="40" w:after="40" w:line="240" w:lineRule="auto"/>
              <w:jc w:val="center"/>
              <w:rPr>
                <w:rFonts w:ascii="Arial Nova Cond Light" w:hAnsi="Arial Nova Cond Light" w:cstheme="majorHAnsi"/>
                <w:sz w:val="16"/>
                <w:szCs w:val="16"/>
                <w:lang w:val="lv-LV"/>
              </w:rPr>
            </w:pPr>
            <w:r w:rsidRPr="00AB3438">
              <w:rPr>
                <w:rFonts w:ascii="Arial Nova Cond Light" w:eastAsia="Times New Roman" w:hAnsi="Arial Nova Cond Light" w:cstheme="minorHAnsi"/>
                <w:color w:val="000000"/>
                <w:sz w:val="16"/>
                <w:szCs w:val="16"/>
                <w:lang w:eastAsia="lv-LV"/>
              </w:rPr>
              <w:t>9,8</w:t>
            </w:r>
          </w:p>
        </w:tc>
        <w:tc>
          <w:tcPr>
            <w:tcW w:w="792" w:type="dxa"/>
            <w:shd w:val="clear" w:color="auto" w:fill="D9E2F3" w:themeFill="accent1" w:themeFillTint="33"/>
            <w:vAlign w:val="center"/>
          </w:tcPr>
          <w:p w14:paraId="1C149C16" w14:textId="77777777" w:rsidR="00262896" w:rsidRPr="00AB3438" w:rsidRDefault="00262896" w:rsidP="0002297E">
            <w:pPr>
              <w:widowControl/>
              <w:spacing w:before="40" w:after="40" w:line="240" w:lineRule="auto"/>
              <w:jc w:val="center"/>
              <w:rPr>
                <w:rFonts w:ascii="Arial Nova Cond Light" w:hAnsi="Arial Nova Cond Light" w:cstheme="majorHAnsi"/>
                <w:sz w:val="16"/>
                <w:szCs w:val="16"/>
                <w:lang w:val="lv-LV"/>
              </w:rPr>
            </w:pPr>
            <w:r w:rsidRPr="00AB3438">
              <w:rPr>
                <w:rFonts w:ascii="Arial Nova Cond Light" w:eastAsia="Times New Roman" w:hAnsi="Arial Nova Cond Light" w:cstheme="minorHAnsi"/>
                <w:color w:val="000000"/>
                <w:sz w:val="16"/>
                <w:szCs w:val="16"/>
                <w:lang w:eastAsia="lv-LV"/>
              </w:rPr>
              <w:t>98</w:t>
            </w:r>
            <w:r>
              <w:rPr>
                <w:rFonts w:ascii="Arial Nova Cond Light" w:eastAsia="Times New Roman" w:hAnsi="Arial Nova Cond Light" w:cstheme="minorHAnsi"/>
                <w:color w:val="000000"/>
                <w:sz w:val="16"/>
                <w:szCs w:val="16"/>
                <w:lang w:eastAsia="lv-LV"/>
              </w:rPr>
              <w:t xml:space="preserve"> </w:t>
            </w:r>
            <w:r w:rsidRPr="00AB3438">
              <w:rPr>
                <w:rFonts w:ascii="Arial Nova Cond Light" w:eastAsia="Times New Roman" w:hAnsi="Arial Nova Cond Light" w:cstheme="minorHAnsi"/>
                <w:color w:val="000000"/>
                <w:sz w:val="16"/>
                <w:szCs w:val="16"/>
                <w:lang w:eastAsia="lv-LV"/>
              </w:rPr>
              <w:t>982,8</w:t>
            </w:r>
          </w:p>
        </w:tc>
        <w:tc>
          <w:tcPr>
            <w:tcW w:w="793" w:type="dxa"/>
            <w:shd w:val="clear" w:color="auto" w:fill="D9E2F3" w:themeFill="accent1" w:themeFillTint="33"/>
            <w:vAlign w:val="center"/>
          </w:tcPr>
          <w:p w14:paraId="5DB4AB04" w14:textId="77777777" w:rsidR="00262896" w:rsidRPr="00AB3438" w:rsidRDefault="00262896" w:rsidP="0002297E">
            <w:pPr>
              <w:widowControl/>
              <w:spacing w:before="40" w:after="40" w:line="240" w:lineRule="auto"/>
              <w:jc w:val="center"/>
              <w:rPr>
                <w:rFonts w:ascii="Arial Nova Cond Light" w:hAnsi="Arial Nova Cond Light" w:cstheme="majorHAnsi"/>
                <w:sz w:val="16"/>
                <w:szCs w:val="16"/>
                <w:lang w:val="lv-LV"/>
              </w:rPr>
            </w:pPr>
            <w:r w:rsidRPr="00AB3438">
              <w:rPr>
                <w:rFonts w:ascii="Arial Nova Cond Light" w:eastAsia="Times New Roman" w:hAnsi="Arial Nova Cond Light" w:cstheme="minorHAnsi"/>
                <w:color w:val="000000"/>
                <w:sz w:val="16"/>
                <w:szCs w:val="16"/>
                <w:lang w:eastAsia="lv-LV"/>
              </w:rPr>
              <w:t>227,6</w:t>
            </w:r>
          </w:p>
        </w:tc>
        <w:tc>
          <w:tcPr>
            <w:tcW w:w="792" w:type="dxa"/>
            <w:shd w:val="clear" w:color="auto" w:fill="D9E2F3" w:themeFill="accent1" w:themeFillTint="33"/>
            <w:vAlign w:val="center"/>
          </w:tcPr>
          <w:p w14:paraId="7711AD0A" w14:textId="77777777" w:rsidR="00262896" w:rsidRPr="00AB3438" w:rsidRDefault="00262896" w:rsidP="0002297E">
            <w:pPr>
              <w:widowControl/>
              <w:spacing w:before="40" w:after="40" w:line="240" w:lineRule="auto"/>
              <w:jc w:val="center"/>
              <w:rPr>
                <w:rFonts w:ascii="Arial Nova Cond Light" w:hAnsi="Arial Nova Cond Light" w:cstheme="majorHAnsi"/>
                <w:sz w:val="16"/>
                <w:szCs w:val="16"/>
                <w:lang w:val="lv-LV"/>
              </w:rPr>
            </w:pPr>
            <w:r w:rsidRPr="00AB3438">
              <w:rPr>
                <w:rFonts w:ascii="Arial Nova Cond Light" w:eastAsia="Times New Roman" w:hAnsi="Arial Nova Cond Light" w:cstheme="minorHAnsi"/>
                <w:color w:val="000000"/>
                <w:sz w:val="16"/>
                <w:szCs w:val="16"/>
                <w:lang w:eastAsia="lv-LV"/>
              </w:rPr>
              <w:t>99</w:t>
            </w:r>
            <w:r>
              <w:rPr>
                <w:rFonts w:ascii="Arial Nova Cond Light" w:eastAsia="Times New Roman" w:hAnsi="Arial Nova Cond Light" w:cstheme="minorHAnsi"/>
                <w:color w:val="000000"/>
                <w:sz w:val="16"/>
                <w:szCs w:val="16"/>
                <w:lang w:eastAsia="lv-LV"/>
              </w:rPr>
              <w:t xml:space="preserve"> </w:t>
            </w:r>
            <w:r w:rsidRPr="00AB3438">
              <w:rPr>
                <w:rFonts w:ascii="Arial Nova Cond Light" w:eastAsia="Times New Roman" w:hAnsi="Arial Nova Cond Light" w:cstheme="minorHAnsi"/>
                <w:color w:val="000000"/>
                <w:sz w:val="16"/>
                <w:szCs w:val="16"/>
                <w:lang w:eastAsia="lv-LV"/>
              </w:rPr>
              <w:t>210,4</w:t>
            </w:r>
          </w:p>
        </w:tc>
      </w:tr>
      <w:tr w:rsidR="00262896" w:rsidRPr="00AB3438" w14:paraId="0B7E9A1E" w14:textId="77777777" w:rsidTr="0002297E">
        <w:trPr>
          <w:jc w:val="center"/>
        </w:trPr>
        <w:tc>
          <w:tcPr>
            <w:tcW w:w="2474" w:type="dxa"/>
            <w:shd w:val="clear" w:color="auto" w:fill="B4C6E7" w:themeFill="accent1" w:themeFillTint="66"/>
            <w:vAlign w:val="bottom"/>
          </w:tcPr>
          <w:p w14:paraId="30C873CE" w14:textId="77777777" w:rsidR="00262896" w:rsidRPr="00AB3438" w:rsidRDefault="00262896" w:rsidP="0002297E">
            <w:pPr>
              <w:widowControl/>
              <w:spacing w:before="40" w:after="40" w:line="240" w:lineRule="auto"/>
              <w:ind w:left="174"/>
              <w:rPr>
                <w:rFonts w:asciiTheme="majorHAnsi" w:hAnsiTheme="majorHAnsi" w:cstheme="majorHAnsi"/>
                <w:sz w:val="16"/>
                <w:szCs w:val="16"/>
                <w:lang w:val="lv-LV"/>
              </w:rPr>
            </w:pPr>
            <w:r w:rsidRPr="00AB3438">
              <w:rPr>
                <w:rFonts w:asciiTheme="majorHAnsi" w:eastAsia="Times New Roman" w:hAnsiTheme="majorHAnsi" w:cstheme="majorHAnsi"/>
                <w:sz w:val="16"/>
                <w:szCs w:val="16"/>
                <w:lang w:val="lv-LV" w:eastAsia="lv-LV"/>
              </w:rPr>
              <w:t>N112G - Citas ēkas un celtnes</w:t>
            </w:r>
          </w:p>
        </w:tc>
        <w:tc>
          <w:tcPr>
            <w:tcW w:w="829" w:type="dxa"/>
            <w:shd w:val="clear" w:color="auto" w:fill="B4C6E7" w:themeFill="accent1" w:themeFillTint="66"/>
            <w:vAlign w:val="center"/>
          </w:tcPr>
          <w:p w14:paraId="150F6767" w14:textId="77777777" w:rsidR="00262896" w:rsidRPr="00AB3438" w:rsidRDefault="00262896" w:rsidP="0002297E">
            <w:pPr>
              <w:widowControl/>
              <w:spacing w:before="40" w:after="40" w:line="240" w:lineRule="auto"/>
              <w:jc w:val="center"/>
              <w:rPr>
                <w:rFonts w:ascii="Arial Nova Cond Light" w:hAnsi="Arial Nova Cond Light" w:cstheme="majorHAnsi"/>
                <w:sz w:val="16"/>
                <w:szCs w:val="16"/>
                <w:lang w:val="lv-LV"/>
              </w:rPr>
            </w:pPr>
            <w:r w:rsidRPr="00AB3438">
              <w:rPr>
                <w:rFonts w:ascii="Arial Nova Cond Light" w:eastAsia="Times New Roman" w:hAnsi="Arial Nova Cond Light" w:cstheme="minorHAnsi"/>
                <w:color w:val="000000"/>
                <w:sz w:val="16"/>
                <w:szCs w:val="16"/>
                <w:lang w:eastAsia="lv-LV"/>
              </w:rPr>
              <w:t>131</w:t>
            </w:r>
            <w:r>
              <w:rPr>
                <w:rFonts w:ascii="Arial Nova Cond Light" w:eastAsia="Times New Roman" w:hAnsi="Arial Nova Cond Light" w:cstheme="minorHAnsi"/>
                <w:color w:val="000000"/>
                <w:sz w:val="16"/>
                <w:szCs w:val="16"/>
                <w:lang w:eastAsia="lv-LV"/>
              </w:rPr>
              <w:t xml:space="preserve"> </w:t>
            </w:r>
            <w:r w:rsidRPr="00AB3438">
              <w:rPr>
                <w:rFonts w:ascii="Arial Nova Cond Light" w:eastAsia="Times New Roman" w:hAnsi="Arial Nova Cond Light" w:cstheme="minorHAnsi"/>
                <w:color w:val="000000"/>
                <w:sz w:val="16"/>
                <w:szCs w:val="16"/>
                <w:lang w:eastAsia="lv-LV"/>
              </w:rPr>
              <w:t>838</w:t>
            </w:r>
          </w:p>
        </w:tc>
        <w:tc>
          <w:tcPr>
            <w:tcW w:w="793" w:type="dxa"/>
            <w:shd w:val="clear" w:color="auto" w:fill="B4C6E7" w:themeFill="accent1" w:themeFillTint="66"/>
            <w:vAlign w:val="center"/>
          </w:tcPr>
          <w:p w14:paraId="0AFE8B6D" w14:textId="77777777" w:rsidR="00262896" w:rsidRPr="00AB3438" w:rsidRDefault="00262896" w:rsidP="0002297E">
            <w:pPr>
              <w:widowControl/>
              <w:spacing w:before="40" w:after="40" w:line="240" w:lineRule="auto"/>
              <w:jc w:val="center"/>
              <w:rPr>
                <w:rFonts w:ascii="Arial Nova Cond Light" w:hAnsi="Arial Nova Cond Light" w:cstheme="majorHAnsi"/>
                <w:sz w:val="16"/>
                <w:szCs w:val="16"/>
                <w:lang w:val="lv-LV"/>
              </w:rPr>
            </w:pPr>
            <w:r w:rsidRPr="00AB3438">
              <w:rPr>
                <w:rFonts w:ascii="Arial Nova Cond Light" w:eastAsia="Times New Roman" w:hAnsi="Arial Nova Cond Light" w:cstheme="minorHAnsi"/>
                <w:color w:val="000000"/>
                <w:sz w:val="16"/>
                <w:szCs w:val="16"/>
                <w:lang w:eastAsia="lv-LV"/>
              </w:rPr>
              <w:t>9</w:t>
            </w:r>
            <w:r>
              <w:rPr>
                <w:rFonts w:ascii="Arial Nova Cond Light" w:eastAsia="Times New Roman" w:hAnsi="Arial Nova Cond Light" w:cstheme="minorHAnsi"/>
                <w:color w:val="000000"/>
                <w:sz w:val="16"/>
                <w:szCs w:val="16"/>
                <w:lang w:eastAsia="lv-LV"/>
              </w:rPr>
              <w:t xml:space="preserve"> </w:t>
            </w:r>
            <w:r w:rsidRPr="00AB3438">
              <w:rPr>
                <w:rFonts w:ascii="Arial Nova Cond Light" w:eastAsia="Times New Roman" w:hAnsi="Arial Nova Cond Light" w:cstheme="minorHAnsi"/>
                <w:color w:val="000000"/>
                <w:sz w:val="16"/>
                <w:szCs w:val="16"/>
                <w:lang w:eastAsia="lv-LV"/>
              </w:rPr>
              <w:t>982,3</w:t>
            </w:r>
          </w:p>
        </w:tc>
        <w:tc>
          <w:tcPr>
            <w:tcW w:w="793" w:type="dxa"/>
            <w:shd w:val="clear" w:color="auto" w:fill="B4C6E7" w:themeFill="accent1" w:themeFillTint="66"/>
            <w:vAlign w:val="center"/>
          </w:tcPr>
          <w:p w14:paraId="62378021" w14:textId="77777777" w:rsidR="00262896" w:rsidRPr="00AB3438" w:rsidRDefault="00262896" w:rsidP="0002297E">
            <w:pPr>
              <w:widowControl/>
              <w:spacing w:before="40" w:after="40" w:line="240" w:lineRule="auto"/>
              <w:jc w:val="center"/>
              <w:rPr>
                <w:rFonts w:ascii="Arial Nova Cond Light" w:eastAsia="Times New Roman" w:hAnsi="Arial Nova Cond Light" w:cstheme="majorHAnsi"/>
                <w:color w:val="000000"/>
                <w:sz w:val="16"/>
                <w:szCs w:val="16"/>
                <w:lang w:val="lv-LV" w:eastAsia="lv-LV"/>
              </w:rPr>
            </w:pPr>
            <w:r w:rsidRPr="00AB3438">
              <w:rPr>
                <w:rFonts w:ascii="Arial Nova Cond Light" w:eastAsia="Times New Roman" w:hAnsi="Arial Nova Cond Light" w:cstheme="minorHAnsi"/>
                <w:color w:val="000000"/>
                <w:sz w:val="16"/>
                <w:szCs w:val="16"/>
                <w:lang w:eastAsia="lv-LV"/>
              </w:rPr>
              <w:t>11</w:t>
            </w:r>
            <w:r>
              <w:rPr>
                <w:rFonts w:ascii="Arial Nova Cond Light" w:eastAsia="Times New Roman" w:hAnsi="Arial Nova Cond Light" w:cstheme="minorHAnsi"/>
                <w:color w:val="000000"/>
                <w:sz w:val="16"/>
                <w:szCs w:val="16"/>
                <w:lang w:eastAsia="lv-LV"/>
              </w:rPr>
              <w:t xml:space="preserve"> </w:t>
            </w:r>
            <w:r w:rsidRPr="00AB3438">
              <w:rPr>
                <w:rFonts w:ascii="Arial Nova Cond Light" w:eastAsia="Times New Roman" w:hAnsi="Arial Nova Cond Light" w:cstheme="minorHAnsi"/>
                <w:color w:val="000000"/>
                <w:sz w:val="16"/>
                <w:szCs w:val="16"/>
                <w:lang w:eastAsia="lv-LV"/>
              </w:rPr>
              <w:t>106,7</w:t>
            </w:r>
          </w:p>
        </w:tc>
        <w:tc>
          <w:tcPr>
            <w:tcW w:w="793" w:type="dxa"/>
            <w:shd w:val="clear" w:color="auto" w:fill="B4C6E7" w:themeFill="accent1" w:themeFillTint="66"/>
            <w:vAlign w:val="center"/>
          </w:tcPr>
          <w:p w14:paraId="063B6049" w14:textId="77777777" w:rsidR="00262896" w:rsidRPr="00AB3438" w:rsidRDefault="00262896" w:rsidP="0002297E">
            <w:pPr>
              <w:widowControl/>
              <w:spacing w:before="40" w:after="40" w:line="240" w:lineRule="auto"/>
              <w:jc w:val="center"/>
              <w:rPr>
                <w:rFonts w:ascii="Arial Nova Cond Light" w:hAnsi="Arial Nova Cond Light" w:cstheme="majorHAnsi"/>
                <w:sz w:val="16"/>
                <w:szCs w:val="16"/>
                <w:lang w:val="lv-LV"/>
              </w:rPr>
            </w:pPr>
            <w:r w:rsidRPr="00AB3438">
              <w:rPr>
                <w:rFonts w:ascii="Arial Nova Cond Light" w:eastAsia="Times New Roman" w:hAnsi="Arial Nova Cond Light" w:cstheme="minorHAnsi"/>
                <w:color w:val="000000"/>
                <w:sz w:val="16"/>
                <w:szCs w:val="16"/>
                <w:lang w:eastAsia="lv-LV"/>
              </w:rPr>
              <w:t>8</w:t>
            </w:r>
            <w:r>
              <w:rPr>
                <w:rFonts w:ascii="Arial Nova Cond Light" w:eastAsia="Times New Roman" w:hAnsi="Arial Nova Cond Light" w:cstheme="minorHAnsi"/>
                <w:color w:val="000000"/>
                <w:sz w:val="16"/>
                <w:szCs w:val="16"/>
                <w:lang w:eastAsia="lv-LV"/>
              </w:rPr>
              <w:t xml:space="preserve"> </w:t>
            </w:r>
            <w:r w:rsidRPr="00AB3438">
              <w:rPr>
                <w:rFonts w:ascii="Arial Nova Cond Light" w:eastAsia="Times New Roman" w:hAnsi="Arial Nova Cond Light" w:cstheme="minorHAnsi"/>
                <w:color w:val="000000"/>
                <w:sz w:val="16"/>
                <w:szCs w:val="16"/>
                <w:lang w:eastAsia="lv-LV"/>
              </w:rPr>
              <w:t>635,9</w:t>
            </w:r>
          </w:p>
        </w:tc>
        <w:tc>
          <w:tcPr>
            <w:tcW w:w="790" w:type="dxa"/>
            <w:shd w:val="clear" w:color="auto" w:fill="B4C6E7" w:themeFill="accent1" w:themeFillTint="66"/>
            <w:vAlign w:val="center"/>
          </w:tcPr>
          <w:p w14:paraId="2EE99262" w14:textId="77777777" w:rsidR="00262896" w:rsidRPr="00AB3438" w:rsidRDefault="00262896" w:rsidP="0002297E">
            <w:pPr>
              <w:widowControl/>
              <w:spacing w:before="40" w:after="40" w:line="240" w:lineRule="auto"/>
              <w:jc w:val="center"/>
              <w:rPr>
                <w:rFonts w:ascii="Arial Nova Cond Light" w:hAnsi="Arial Nova Cond Light" w:cstheme="majorHAnsi"/>
                <w:sz w:val="16"/>
                <w:szCs w:val="16"/>
                <w:lang w:val="lv-LV"/>
              </w:rPr>
            </w:pPr>
            <w:r w:rsidRPr="00AB3438">
              <w:rPr>
                <w:rFonts w:ascii="Arial Nova Cond Light" w:eastAsia="Times New Roman" w:hAnsi="Arial Nova Cond Light" w:cstheme="minorHAnsi"/>
                <w:color w:val="000000"/>
                <w:sz w:val="16"/>
                <w:szCs w:val="16"/>
                <w:lang w:eastAsia="lv-LV"/>
              </w:rPr>
              <w:t>18</w:t>
            </w:r>
            <w:r>
              <w:rPr>
                <w:rFonts w:ascii="Arial Nova Cond Light" w:eastAsia="Times New Roman" w:hAnsi="Arial Nova Cond Light" w:cstheme="minorHAnsi"/>
                <w:color w:val="000000"/>
                <w:sz w:val="16"/>
                <w:szCs w:val="16"/>
                <w:lang w:eastAsia="lv-LV"/>
              </w:rPr>
              <w:t xml:space="preserve"> </w:t>
            </w:r>
            <w:r w:rsidRPr="00AB3438">
              <w:rPr>
                <w:rFonts w:ascii="Arial Nova Cond Light" w:eastAsia="Times New Roman" w:hAnsi="Arial Nova Cond Light" w:cstheme="minorHAnsi"/>
                <w:color w:val="000000"/>
                <w:sz w:val="16"/>
                <w:szCs w:val="16"/>
                <w:lang w:eastAsia="lv-LV"/>
              </w:rPr>
              <w:t>506</w:t>
            </w:r>
          </w:p>
        </w:tc>
        <w:tc>
          <w:tcPr>
            <w:tcW w:w="791" w:type="dxa"/>
            <w:shd w:val="clear" w:color="auto" w:fill="B4C6E7" w:themeFill="accent1" w:themeFillTint="66"/>
            <w:vAlign w:val="center"/>
          </w:tcPr>
          <w:p w14:paraId="51A1867A" w14:textId="77777777" w:rsidR="00262896" w:rsidRPr="00AB3438" w:rsidRDefault="00262896" w:rsidP="0002297E">
            <w:pPr>
              <w:widowControl/>
              <w:spacing w:before="40" w:after="40" w:line="240" w:lineRule="auto"/>
              <w:jc w:val="center"/>
              <w:rPr>
                <w:rFonts w:ascii="Arial Nova Cond Light" w:hAnsi="Arial Nova Cond Light" w:cstheme="majorHAnsi"/>
                <w:sz w:val="16"/>
                <w:szCs w:val="16"/>
                <w:lang w:val="lv-LV"/>
              </w:rPr>
            </w:pPr>
            <w:r w:rsidRPr="00AB3438">
              <w:rPr>
                <w:rFonts w:ascii="Arial Nova Cond Light" w:eastAsia="Times New Roman" w:hAnsi="Arial Nova Cond Light" w:cstheme="minorHAnsi"/>
                <w:color w:val="000000"/>
                <w:sz w:val="16"/>
                <w:szCs w:val="16"/>
                <w:lang w:eastAsia="lv-LV"/>
              </w:rPr>
              <w:t>5</w:t>
            </w:r>
            <w:r>
              <w:rPr>
                <w:rFonts w:ascii="Arial Nova Cond Light" w:eastAsia="Times New Roman" w:hAnsi="Arial Nova Cond Light" w:cstheme="minorHAnsi"/>
                <w:color w:val="000000"/>
                <w:sz w:val="16"/>
                <w:szCs w:val="16"/>
                <w:lang w:eastAsia="lv-LV"/>
              </w:rPr>
              <w:t xml:space="preserve"> </w:t>
            </w:r>
            <w:r w:rsidRPr="00AB3438">
              <w:rPr>
                <w:rFonts w:ascii="Arial Nova Cond Light" w:eastAsia="Times New Roman" w:hAnsi="Arial Nova Cond Light" w:cstheme="minorHAnsi"/>
                <w:color w:val="000000"/>
                <w:sz w:val="16"/>
                <w:szCs w:val="16"/>
                <w:lang w:eastAsia="lv-LV"/>
              </w:rPr>
              <w:t>778,8</w:t>
            </w:r>
          </w:p>
        </w:tc>
        <w:tc>
          <w:tcPr>
            <w:tcW w:w="792" w:type="dxa"/>
            <w:shd w:val="clear" w:color="auto" w:fill="B4C6E7" w:themeFill="accent1" w:themeFillTint="66"/>
            <w:vAlign w:val="center"/>
          </w:tcPr>
          <w:p w14:paraId="3CB0DE19" w14:textId="77777777" w:rsidR="00262896" w:rsidRPr="00AB3438" w:rsidRDefault="00262896" w:rsidP="0002297E">
            <w:pPr>
              <w:widowControl/>
              <w:spacing w:before="40" w:after="40" w:line="240" w:lineRule="auto"/>
              <w:jc w:val="center"/>
              <w:rPr>
                <w:rFonts w:ascii="Arial Nova Cond Light" w:hAnsi="Arial Nova Cond Light" w:cstheme="majorHAnsi"/>
                <w:sz w:val="16"/>
                <w:szCs w:val="16"/>
                <w:lang w:val="lv-LV"/>
              </w:rPr>
            </w:pPr>
            <w:r w:rsidRPr="00AB3438">
              <w:rPr>
                <w:rFonts w:ascii="Arial Nova Cond Light" w:eastAsia="Times New Roman" w:hAnsi="Arial Nova Cond Light" w:cstheme="minorHAnsi"/>
                <w:color w:val="000000"/>
                <w:sz w:val="16"/>
                <w:szCs w:val="16"/>
                <w:lang w:eastAsia="lv-LV"/>
              </w:rPr>
              <w:t>15</w:t>
            </w:r>
            <w:r>
              <w:rPr>
                <w:rFonts w:ascii="Arial Nova Cond Light" w:eastAsia="Times New Roman" w:hAnsi="Arial Nova Cond Light" w:cstheme="minorHAnsi"/>
                <w:color w:val="000000"/>
                <w:sz w:val="16"/>
                <w:szCs w:val="16"/>
                <w:lang w:eastAsia="lv-LV"/>
              </w:rPr>
              <w:t xml:space="preserve"> </w:t>
            </w:r>
            <w:r w:rsidRPr="00AB3438">
              <w:rPr>
                <w:rFonts w:ascii="Arial Nova Cond Light" w:eastAsia="Times New Roman" w:hAnsi="Arial Nova Cond Light" w:cstheme="minorHAnsi"/>
                <w:color w:val="000000"/>
                <w:sz w:val="16"/>
                <w:szCs w:val="16"/>
                <w:lang w:eastAsia="lv-LV"/>
              </w:rPr>
              <w:t>742,9</w:t>
            </w:r>
          </w:p>
        </w:tc>
        <w:tc>
          <w:tcPr>
            <w:tcW w:w="793" w:type="dxa"/>
            <w:shd w:val="clear" w:color="auto" w:fill="B4C6E7" w:themeFill="accent1" w:themeFillTint="66"/>
            <w:vAlign w:val="center"/>
          </w:tcPr>
          <w:p w14:paraId="68452E82" w14:textId="77777777" w:rsidR="00262896" w:rsidRPr="00AB3438" w:rsidRDefault="00262896" w:rsidP="0002297E">
            <w:pPr>
              <w:widowControl/>
              <w:spacing w:before="40" w:after="40" w:line="240" w:lineRule="auto"/>
              <w:jc w:val="center"/>
              <w:rPr>
                <w:rFonts w:ascii="Arial Nova Cond Light" w:hAnsi="Arial Nova Cond Light" w:cstheme="majorHAnsi"/>
                <w:sz w:val="16"/>
                <w:szCs w:val="16"/>
                <w:lang w:val="lv-LV"/>
              </w:rPr>
            </w:pPr>
            <w:r w:rsidRPr="00AB3438">
              <w:rPr>
                <w:rFonts w:ascii="Arial Nova Cond Light" w:eastAsia="Times New Roman" w:hAnsi="Arial Nova Cond Light" w:cstheme="minorHAnsi"/>
                <w:color w:val="000000"/>
                <w:sz w:val="16"/>
                <w:szCs w:val="16"/>
                <w:lang w:eastAsia="lv-LV"/>
              </w:rPr>
              <w:t>54</w:t>
            </w:r>
            <w:r>
              <w:rPr>
                <w:rFonts w:ascii="Arial Nova Cond Light" w:eastAsia="Times New Roman" w:hAnsi="Arial Nova Cond Light" w:cstheme="minorHAnsi"/>
                <w:color w:val="000000"/>
                <w:sz w:val="16"/>
                <w:szCs w:val="16"/>
                <w:lang w:eastAsia="lv-LV"/>
              </w:rPr>
              <w:t xml:space="preserve"> </w:t>
            </w:r>
            <w:r w:rsidRPr="00AB3438">
              <w:rPr>
                <w:rFonts w:ascii="Arial Nova Cond Light" w:eastAsia="Times New Roman" w:hAnsi="Arial Nova Cond Light" w:cstheme="minorHAnsi"/>
                <w:color w:val="000000"/>
                <w:sz w:val="16"/>
                <w:szCs w:val="16"/>
                <w:lang w:eastAsia="lv-LV"/>
              </w:rPr>
              <w:t>010,0</w:t>
            </w:r>
          </w:p>
        </w:tc>
        <w:tc>
          <w:tcPr>
            <w:tcW w:w="792" w:type="dxa"/>
            <w:shd w:val="clear" w:color="auto" w:fill="B4C6E7" w:themeFill="accent1" w:themeFillTint="66"/>
            <w:vAlign w:val="center"/>
          </w:tcPr>
          <w:p w14:paraId="411631BB" w14:textId="77777777" w:rsidR="00262896" w:rsidRPr="00AB3438" w:rsidRDefault="00262896" w:rsidP="0002297E">
            <w:pPr>
              <w:widowControl/>
              <w:spacing w:before="40" w:after="40" w:line="240" w:lineRule="auto"/>
              <w:jc w:val="center"/>
              <w:rPr>
                <w:rFonts w:ascii="Arial Nova Cond Light" w:hAnsi="Arial Nova Cond Light" w:cstheme="majorHAnsi"/>
                <w:sz w:val="16"/>
                <w:szCs w:val="16"/>
                <w:lang w:val="lv-LV"/>
              </w:rPr>
            </w:pPr>
            <w:r w:rsidRPr="00AB3438">
              <w:rPr>
                <w:rFonts w:ascii="Arial Nova Cond Light" w:eastAsia="Times New Roman" w:hAnsi="Arial Nova Cond Light" w:cstheme="minorHAnsi"/>
                <w:color w:val="000000"/>
                <w:sz w:val="16"/>
                <w:szCs w:val="16"/>
                <w:lang w:eastAsia="lv-LV"/>
              </w:rPr>
              <w:t>69</w:t>
            </w:r>
            <w:r>
              <w:rPr>
                <w:rFonts w:ascii="Arial Nova Cond Light" w:eastAsia="Times New Roman" w:hAnsi="Arial Nova Cond Light" w:cstheme="minorHAnsi"/>
                <w:color w:val="000000"/>
                <w:sz w:val="16"/>
                <w:szCs w:val="16"/>
                <w:lang w:eastAsia="lv-LV"/>
              </w:rPr>
              <w:t xml:space="preserve"> </w:t>
            </w:r>
            <w:r w:rsidRPr="00AB3438">
              <w:rPr>
                <w:rFonts w:ascii="Arial Nova Cond Light" w:eastAsia="Times New Roman" w:hAnsi="Arial Nova Cond Light" w:cstheme="minorHAnsi"/>
                <w:color w:val="000000"/>
                <w:sz w:val="16"/>
                <w:szCs w:val="16"/>
                <w:lang w:eastAsia="lv-LV"/>
              </w:rPr>
              <w:t>752,9</w:t>
            </w:r>
          </w:p>
        </w:tc>
      </w:tr>
      <w:tr w:rsidR="00262896" w:rsidRPr="00AB3438" w14:paraId="2B40F951" w14:textId="77777777" w:rsidTr="0002297E">
        <w:trPr>
          <w:jc w:val="center"/>
        </w:trPr>
        <w:tc>
          <w:tcPr>
            <w:tcW w:w="2474" w:type="dxa"/>
            <w:shd w:val="clear" w:color="auto" w:fill="D9E2F3" w:themeFill="accent1" w:themeFillTint="33"/>
            <w:vAlign w:val="bottom"/>
          </w:tcPr>
          <w:p w14:paraId="12EB39CF" w14:textId="77777777" w:rsidR="00262896" w:rsidRPr="00AB3438" w:rsidRDefault="00262896" w:rsidP="0002297E">
            <w:pPr>
              <w:widowControl/>
              <w:spacing w:before="40" w:after="40" w:line="240" w:lineRule="auto"/>
              <w:rPr>
                <w:rFonts w:asciiTheme="majorHAnsi" w:hAnsiTheme="majorHAnsi" w:cstheme="majorHAnsi"/>
                <w:sz w:val="16"/>
                <w:szCs w:val="16"/>
                <w:lang w:val="lv-LV"/>
              </w:rPr>
            </w:pPr>
            <w:r w:rsidRPr="00AB3438">
              <w:rPr>
                <w:rFonts w:asciiTheme="majorHAnsi" w:eastAsia="Times New Roman" w:hAnsiTheme="majorHAnsi" w:cstheme="majorHAnsi"/>
                <w:b/>
                <w:bCs/>
                <w:color w:val="333F4F"/>
                <w:sz w:val="16"/>
                <w:szCs w:val="16"/>
                <w:lang w:val="lv-LV" w:eastAsia="lv-LV"/>
              </w:rPr>
              <w:t>N11MG - Mašīnas un iekārtas un ieroču sistēmas</w:t>
            </w:r>
          </w:p>
        </w:tc>
        <w:tc>
          <w:tcPr>
            <w:tcW w:w="829" w:type="dxa"/>
            <w:shd w:val="clear" w:color="auto" w:fill="D9E2F3" w:themeFill="accent1" w:themeFillTint="33"/>
            <w:vAlign w:val="center"/>
          </w:tcPr>
          <w:p w14:paraId="6515638F" w14:textId="77777777" w:rsidR="00262896" w:rsidRPr="00AB3438" w:rsidRDefault="00262896" w:rsidP="0002297E">
            <w:pPr>
              <w:widowControl/>
              <w:spacing w:before="40" w:after="40" w:line="240" w:lineRule="auto"/>
              <w:jc w:val="center"/>
              <w:rPr>
                <w:rFonts w:ascii="Arial Nova Cond Light" w:hAnsi="Arial Nova Cond Light" w:cstheme="majorHAnsi"/>
                <w:sz w:val="16"/>
                <w:szCs w:val="16"/>
                <w:lang w:val="lv-LV"/>
              </w:rPr>
            </w:pPr>
            <w:r w:rsidRPr="00AB3438">
              <w:rPr>
                <w:rFonts w:ascii="Arial Nova Cond Light" w:eastAsia="Times New Roman" w:hAnsi="Arial Nova Cond Light" w:cstheme="minorHAnsi"/>
                <w:color w:val="000000"/>
                <w:sz w:val="16"/>
                <w:szCs w:val="16"/>
                <w:lang w:eastAsia="lv-LV"/>
              </w:rPr>
              <w:t>33</w:t>
            </w:r>
            <w:r>
              <w:rPr>
                <w:rFonts w:ascii="Arial Nova Cond Light" w:eastAsia="Times New Roman" w:hAnsi="Arial Nova Cond Light" w:cstheme="minorHAnsi"/>
                <w:color w:val="000000"/>
                <w:sz w:val="16"/>
                <w:szCs w:val="16"/>
                <w:lang w:eastAsia="lv-LV"/>
              </w:rPr>
              <w:t xml:space="preserve"> </w:t>
            </w:r>
            <w:r w:rsidRPr="00AB3438">
              <w:rPr>
                <w:rFonts w:ascii="Arial Nova Cond Light" w:eastAsia="Times New Roman" w:hAnsi="Arial Nova Cond Light" w:cstheme="minorHAnsi"/>
                <w:color w:val="000000"/>
                <w:sz w:val="16"/>
                <w:szCs w:val="16"/>
                <w:lang w:eastAsia="lv-LV"/>
              </w:rPr>
              <w:t>654,5</w:t>
            </w:r>
          </w:p>
        </w:tc>
        <w:tc>
          <w:tcPr>
            <w:tcW w:w="793" w:type="dxa"/>
            <w:shd w:val="clear" w:color="auto" w:fill="D9E2F3" w:themeFill="accent1" w:themeFillTint="33"/>
            <w:vAlign w:val="center"/>
          </w:tcPr>
          <w:p w14:paraId="009948FC" w14:textId="77777777" w:rsidR="00262896" w:rsidRPr="00AB3438" w:rsidRDefault="00262896" w:rsidP="0002297E">
            <w:pPr>
              <w:widowControl/>
              <w:spacing w:before="40" w:after="40" w:line="240" w:lineRule="auto"/>
              <w:jc w:val="center"/>
              <w:rPr>
                <w:rFonts w:ascii="Arial Nova Cond Light" w:hAnsi="Arial Nova Cond Light" w:cstheme="majorHAnsi"/>
                <w:sz w:val="16"/>
                <w:szCs w:val="16"/>
                <w:lang w:val="lv-LV"/>
              </w:rPr>
            </w:pPr>
            <w:r w:rsidRPr="00AB3438">
              <w:rPr>
                <w:rFonts w:ascii="Arial Nova Cond Light" w:eastAsia="Times New Roman" w:hAnsi="Arial Nova Cond Light" w:cstheme="minorHAnsi"/>
                <w:color w:val="000000"/>
                <w:sz w:val="16"/>
                <w:szCs w:val="16"/>
                <w:lang w:eastAsia="lv-LV"/>
              </w:rPr>
              <w:t>2</w:t>
            </w:r>
            <w:r>
              <w:rPr>
                <w:rFonts w:ascii="Arial Nova Cond Light" w:eastAsia="Times New Roman" w:hAnsi="Arial Nova Cond Light" w:cstheme="minorHAnsi"/>
                <w:color w:val="000000"/>
                <w:sz w:val="16"/>
                <w:szCs w:val="16"/>
                <w:lang w:eastAsia="lv-LV"/>
              </w:rPr>
              <w:t xml:space="preserve"> </w:t>
            </w:r>
            <w:r w:rsidRPr="00AB3438">
              <w:rPr>
                <w:rFonts w:ascii="Arial Nova Cond Light" w:eastAsia="Times New Roman" w:hAnsi="Arial Nova Cond Light" w:cstheme="minorHAnsi"/>
                <w:color w:val="000000"/>
                <w:sz w:val="16"/>
                <w:szCs w:val="16"/>
                <w:lang w:eastAsia="lv-LV"/>
              </w:rPr>
              <w:t>381,1</w:t>
            </w:r>
          </w:p>
        </w:tc>
        <w:tc>
          <w:tcPr>
            <w:tcW w:w="793" w:type="dxa"/>
            <w:shd w:val="clear" w:color="auto" w:fill="D9E2F3" w:themeFill="accent1" w:themeFillTint="33"/>
            <w:vAlign w:val="center"/>
          </w:tcPr>
          <w:p w14:paraId="13918B78" w14:textId="77777777" w:rsidR="00262896" w:rsidRPr="00AB3438" w:rsidRDefault="00262896" w:rsidP="0002297E">
            <w:pPr>
              <w:widowControl/>
              <w:spacing w:before="40" w:after="40" w:line="240" w:lineRule="auto"/>
              <w:jc w:val="center"/>
              <w:rPr>
                <w:rFonts w:ascii="Arial Nova Cond Light" w:eastAsia="Times New Roman" w:hAnsi="Arial Nova Cond Light" w:cstheme="majorHAnsi"/>
                <w:color w:val="000000"/>
                <w:sz w:val="16"/>
                <w:szCs w:val="16"/>
                <w:lang w:val="lv-LV" w:eastAsia="lv-LV"/>
              </w:rPr>
            </w:pPr>
            <w:r w:rsidRPr="00AB3438">
              <w:rPr>
                <w:rFonts w:ascii="Arial Nova Cond Light" w:eastAsia="Times New Roman" w:hAnsi="Arial Nova Cond Light" w:cstheme="minorHAnsi"/>
                <w:color w:val="000000"/>
                <w:sz w:val="16"/>
                <w:szCs w:val="16"/>
                <w:lang w:eastAsia="lv-LV"/>
              </w:rPr>
              <w:t>5</w:t>
            </w:r>
            <w:r>
              <w:rPr>
                <w:rFonts w:ascii="Arial Nova Cond Light" w:eastAsia="Times New Roman" w:hAnsi="Arial Nova Cond Light" w:cstheme="minorHAnsi"/>
                <w:color w:val="000000"/>
                <w:sz w:val="16"/>
                <w:szCs w:val="16"/>
                <w:lang w:eastAsia="lv-LV"/>
              </w:rPr>
              <w:t xml:space="preserve"> </w:t>
            </w:r>
            <w:r w:rsidRPr="00AB3438">
              <w:rPr>
                <w:rFonts w:ascii="Arial Nova Cond Light" w:eastAsia="Times New Roman" w:hAnsi="Arial Nova Cond Light" w:cstheme="minorHAnsi"/>
                <w:color w:val="000000"/>
                <w:sz w:val="16"/>
                <w:szCs w:val="16"/>
                <w:lang w:eastAsia="lv-LV"/>
              </w:rPr>
              <w:t>816,1</w:t>
            </w:r>
          </w:p>
        </w:tc>
        <w:tc>
          <w:tcPr>
            <w:tcW w:w="793" w:type="dxa"/>
            <w:shd w:val="clear" w:color="auto" w:fill="D9E2F3" w:themeFill="accent1" w:themeFillTint="33"/>
            <w:vAlign w:val="center"/>
          </w:tcPr>
          <w:p w14:paraId="51A03C9B" w14:textId="77777777" w:rsidR="00262896" w:rsidRPr="00AB3438" w:rsidRDefault="00262896" w:rsidP="0002297E">
            <w:pPr>
              <w:widowControl/>
              <w:spacing w:before="40" w:after="40" w:line="240" w:lineRule="auto"/>
              <w:jc w:val="center"/>
              <w:rPr>
                <w:rFonts w:ascii="Arial Nova Cond Light" w:hAnsi="Arial Nova Cond Light" w:cstheme="majorHAnsi"/>
                <w:sz w:val="16"/>
                <w:szCs w:val="16"/>
                <w:lang w:val="lv-LV"/>
              </w:rPr>
            </w:pPr>
            <w:r w:rsidRPr="00AB3438">
              <w:rPr>
                <w:rFonts w:ascii="Arial Nova Cond Light" w:eastAsia="Times New Roman" w:hAnsi="Arial Nova Cond Light" w:cstheme="minorHAnsi"/>
                <w:color w:val="000000"/>
                <w:sz w:val="16"/>
                <w:szCs w:val="16"/>
                <w:lang w:eastAsia="lv-LV"/>
              </w:rPr>
              <w:t>7</w:t>
            </w:r>
            <w:r>
              <w:rPr>
                <w:rFonts w:ascii="Arial Nova Cond Light" w:eastAsia="Times New Roman" w:hAnsi="Arial Nova Cond Light" w:cstheme="minorHAnsi"/>
                <w:color w:val="000000"/>
                <w:sz w:val="16"/>
                <w:szCs w:val="16"/>
                <w:lang w:eastAsia="lv-LV"/>
              </w:rPr>
              <w:t xml:space="preserve"> </w:t>
            </w:r>
            <w:r w:rsidRPr="00AB3438">
              <w:rPr>
                <w:rFonts w:ascii="Arial Nova Cond Light" w:eastAsia="Times New Roman" w:hAnsi="Arial Nova Cond Light" w:cstheme="minorHAnsi"/>
                <w:color w:val="000000"/>
                <w:sz w:val="16"/>
                <w:szCs w:val="16"/>
                <w:lang w:eastAsia="lv-LV"/>
              </w:rPr>
              <w:t>808</w:t>
            </w:r>
          </w:p>
        </w:tc>
        <w:tc>
          <w:tcPr>
            <w:tcW w:w="790" w:type="dxa"/>
            <w:shd w:val="clear" w:color="auto" w:fill="D9E2F3" w:themeFill="accent1" w:themeFillTint="33"/>
            <w:vAlign w:val="center"/>
          </w:tcPr>
          <w:p w14:paraId="0B41ECA0" w14:textId="77777777" w:rsidR="00262896" w:rsidRPr="00AB3438" w:rsidRDefault="00262896" w:rsidP="0002297E">
            <w:pPr>
              <w:widowControl/>
              <w:spacing w:before="40" w:after="40" w:line="240" w:lineRule="auto"/>
              <w:jc w:val="center"/>
              <w:rPr>
                <w:rFonts w:ascii="Arial Nova Cond Light" w:hAnsi="Arial Nova Cond Light" w:cstheme="majorHAnsi"/>
                <w:sz w:val="16"/>
                <w:szCs w:val="16"/>
                <w:lang w:val="lv-LV"/>
              </w:rPr>
            </w:pPr>
            <w:r w:rsidRPr="00AB3438">
              <w:rPr>
                <w:rFonts w:ascii="Arial Nova Cond Light" w:eastAsia="Times New Roman" w:hAnsi="Arial Nova Cond Light" w:cstheme="minorHAnsi"/>
                <w:color w:val="000000"/>
                <w:sz w:val="16"/>
                <w:szCs w:val="16"/>
                <w:lang w:eastAsia="lv-LV"/>
              </w:rPr>
              <w:t>3</w:t>
            </w:r>
            <w:r>
              <w:rPr>
                <w:rFonts w:ascii="Arial Nova Cond Light" w:eastAsia="Times New Roman" w:hAnsi="Arial Nova Cond Light" w:cstheme="minorHAnsi"/>
                <w:color w:val="000000"/>
                <w:sz w:val="16"/>
                <w:szCs w:val="16"/>
                <w:lang w:eastAsia="lv-LV"/>
              </w:rPr>
              <w:t xml:space="preserve"> </w:t>
            </w:r>
            <w:r w:rsidRPr="00AB3438">
              <w:rPr>
                <w:rFonts w:ascii="Arial Nova Cond Light" w:eastAsia="Times New Roman" w:hAnsi="Arial Nova Cond Light" w:cstheme="minorHAnsi"/>
                <w:color w:val="000000"/>
                <w:sz w:val="16"/>
                <w:szCs w:val="16"/>
                <w:lang w:eastAsia="lv-LV"/>
              </w:rPr>
              <w:t>901,3</w:t>
            </w:r>
          </w:p>
        </w:tc>
        <w:tc>
          <w:tcPr>
            <w:tcW w:w="791" w:type="dxa"/>
            <w:shd w:val="clear" w:color="auto" w:fill="D9E2F3" w:themeFill="accent1" w:themeFillTint="33"/>
            <w:vAlign w:val="center"/>
          </w:tcPr>
          <w:p w14:paraId="7B1F7DE7" w14:textId="77777777" w:rsidR="00262896" w:rsidRPr="00AB3438" w:rsidRDefault="00262896" w:rsidP="0002297E">
            <w:pPr>
              <w:widowControl/>
              <w:spacing w:before="40" w:after="40" w:line="240" w:lineRule="auto"/>
              <w:jc w:val="center"/>
              <w:rPr>
                <w:rFonts w:ascii="Arial Nova Cond Light" w:hAnsi="Arial Nova Cond Light" w:cstheme="majorHAnsi"/>
                <w:sz w:val="16"/>
                <w:szCs w:val="16"/>
                <w:lang w:val="lv-LV"/>
              </w:rPr>
            </w:pPr>
            <w:r w:rsidRPr="00AB3438">
              <w:rPr>
                <w:rFonts w:ascii="Arial Nova Cond Light" w:eastAsia="Times New Roman" w:hAnsi="Arial Nova Cond Light" w:cstheme="minorHAnsi"/>
                <w:color w:val="000000"/>
                <w:sz w:val="16"/>
                <w:szCs w:val="16"/>
                <w:lang w:eastAsia="lv-LV"/>
              </w:rPr>
              <w:t>453,8</w:t>
            </w:r>
          </w:p>
        </w:tc>
        <w:tc>
          <w:tcPr>
            <w:tcW w:w="792" w:type="dxa"/>
            <w:shd w:val="clear" w:color="auto" w:fill="D9E2F3" w:themeFill="accent1" w:themeFillTint="33"/>
            <w:vAlign w:val="center"/>
          </w:tcPr>
          <w:p w14:paraId="022E0793" w14:textId="77777777" w:rsidR="00262896" w:rsidRPr="00AB3438" w:rsidRDefault="00262896" w:rsidP="0002297E">
            <w:pPr>
              <w:widowControl/>
              <w:spacing w:before="40" w:after="40" w:line="240" w:lineRule="auto"/>
              <w:jc w:val="center"/>
              <w:rPr>
                <w:rFonts w:ascii="Arial Nova Cond Light" w:hAnsi="Arial Nova Cond Light" w:cstheme="majorHAnsi"/>
                <w:sz w:val="16"/>
                <w:szCs w:val="16"/>
                <w:lang w:val="lv-LV"/>
              </w:rPr>
            </w:pPr>
            <w:r w:rsidRPr="00AB3438">
              <w:rPr>
                <w:rFonts w:ascii="Arial Nova Cond Light" w:eastAsia="Times New Roman" w:hAnsi="Arial Nova Cond Light" w:cstheme="minorHAnsi"/>
                <w:color w:val="000000"/>
                <w:sz w:val="16"/>
                <w:szCs w:val="16"/>
                <w:lang w:eastAsia="lv-LV"/>
              </w:rPr>
              <w:t>1</w:t>
            </w:r>
            <w:r>
              <w:rPr>
                <w:rFonts w:ascii="Arial Nova Cond Light" w:eastAsia="Times New Roman" w:hAnsi="Arial Nova Cond Light" w:cstheme="minorHAnsi"/>
                <w:color w:val="000000"/>
                <w:sz w:val="16"/>
                <w:szCs w:val="16"/>
                <w:lang w:eastAsia="lv-LV"/>
              </w:rPr>
              <w:t xml:space="preserve"> </w:t>
            </w:r>
            <w:r w:rsidRPr="00AB3438">
              <w:rPr>
                <w:rFonts w:ascii="Arial Nova Cond Light" w:eastAsia="Times New Roman" w:hAnsi="Arial Nova Cond Light" w:cstheme="minorHAnsi"/>
                <w:color w:val="000000"/>
                <w:sz w:val="16"/>
                <w:szCs w:val="16"/>
                <w:lang w:eastAsia="lv-LV"/>
              </w:rPr>
              <w:t>002,5</w:t>
            </w:r>
          </w:p>
        </w:tc>
        <w:tc>
          <w:tcPr>
            <w:tcW w:w="793" w:type="dxa"/>
            <w:shd w:val="clear" w:color="auto" w:fill="D9E2F3" w:themeFill="accent1" w:themeFillTint="33"/>
            <w:vAlign w:val="center"/>
          </w:tcPr>
          <w:p w14:paraId="3AE5413C" w14:textId="77777777" w:rsidR="00262896" w:rsidRPr="00AB3438" w:rsidRDefault="00262896" w:rsidP="0002297E">
            <w:pPr>
              <w:widowControl/>
              <w:spacing w:before="40" w:after="40" w:line="240" w:lineRule="auto"/>
              <w:jc w:val="center"/>
              <w:rPr>
                <w:rFonts w:ascii="Arial Nova Cond Light" w:hAnsi="Arial Nova Cond Light" w:cstheme="majorHAnsi"/>
                <w:sz w:val="16"/>
                <w:szCs w:val="16"/>
                <w:lang w:val="lv-LV"/>
              </w:rPr>
            </w:pPr>
            <w:r w:rsidRPr="00AB3438">
              <w:rPr>
                <w:rFonts w:ascii="Arial Nova Cond Light" w:eastAsia="Times New Roman" w:hAnsi="Arial Nova Cond Light" w:cstheme="minorHAnsi"/>
                <w:color w:val="000000"/>
                <w:sz w:val="16"/>
                <w:szCs w:val="16"/>
                <w:lang w:eastAsia="lv-LV"/>
              </w:rPr>
              <w:t>20</w:t>
            </w:r>
            <w:r>
              <w:rPr>
                <w:rFonts w:ascii="Arial Nova Cond Light" w:eastAsia="Times New Roman" w:hAnsi="Arial Nova Cond Light" w:cstheme="minorHAnsi"/>
                <w:color w:val="000000"/>
                <w:sz w:val="16"/>
                <w:szCs w:val="16"/>
                <w:lang w:eastAsia="lv-LV"/>
              </w:rPr>
              <w:t xml:space="preserve"> </w:t>
            </w:r>
            <w:r w:rsidRPr="00AB3438">
              <w:rPr>
                <w:rFonts w:ascii="Arial Nova Cond Light" w:eastAsia="Times New Roman" w:hAnsi="Arial Nova Cond Light" w:cstheme="minorHAnsi"/>
                <w:color w:val="000000"/>
                <w:sz w:val="16"/>
                <w:szCs w:val="16"/>
                <w:lang w:eastAsia="lv-LV"/>
              </w:rPr>
              <w:t>360,3</w:t>
            </w:r>
          </w:p>
        </w:tc>
        <w:tc>
          <w:tcPr>
            <w:tcW w:w="792" w:type="dxa"/>
            <w:shd w:val="clear" w:color="auto" w:fill="D9E2F3" w:themeFill="accent1" w:themeFillTint="33"/>
            <w:vAlign w:val="center"/>
          </w:tcPr>
          <w:p w14:paraId="0804626F" w14:textId="77777777" w:rsidR="00262896" w:rsidRPr="00AB3438" w:rsidRDefault="00262896" w:rsidP="0002297E">
            <w:pPr>
              <w:widowControl/>
              <w:spacing w:before="40" w:after="40" w:line="240" w:lineRule="auto"/>
              <w:jc w:val="center"/>
              <w:rPr>
                <w:rFonts w:ascii="Arial Nova Cond Light" w:hAnsi="Arial Nova Cond Light" w:cstheme="majorHAnsi"/>
                <w:sz w:val="16"/>
                <w:szCs w:val="16"/>
                <w:lang w:val="lv-LV"/>
              </w:rPr>
            </w:pPr>
            <w:r w:rsidRPr="00AB3438">
              <w:rPr>
                <w:rFonts w:ascii="Arial Nova Cond Light" w:eastAsia="Times New Roman" w:hAnsi="Arial Nova Cond Light" w:cstheme="minorHAnsi"/>
                <w:color w:val="000000"/>
                <w:sz w:val="16"/>
                <w:szCs w:val="16"/>
                <w:lang w:eastAsia="lv-LV"/>
              </w:rPr>
              <w:t>21</w:t>
            </w:r>
            <w:r>
              <w:rPr>
                <w:rFonts w:ascii="Arial Nova Cond Light" w:eastAsia="Times New Roman" w:hAnsi="Arial Nova Cond Light" w:cstheme="minorHAnsi"/>
                <w:color w:val="000000"/>
                <w:sz w:val="16"/>
                <w:szCs w:val="16"/>
                <w:lang w:eastAsia="lv-LV"/>
              </w:rPr>
              <w:t xml:space="preserve"> </w:t>
            </w:r>
            <w:r w:rsidRPr="00AB3438">
              <w:rPr>
                <w:rFonts w:ascii="Arial Nova Cond Light" w:eastAsia="Times New Roman" w:hAnsi="Arial Nova Cond Light" w:cstheme="minorHAnsi"/>
                <w:color w:val="000000"/>
                <w:sz w:val="16"/>
                <w:szCs w:val="16"/>
                <w:lang w:eastAsia="lv-LV"/>
              </w:rPr>
              <w:t>362,8</w:t>
            </w:r>
          </w:p>
        </w:tc>
      </w:tr>
      <w:tr w:rsidR="00262896" w:rsidRPr="00AB3438" w14:paraId="47883D41" w14:textId="77777777" w:rsidTr="0002297E">
        <w:trPr>
          <w:jc w:val="center"/>
        </w:trPr>
        <w:tc>
          <w:tcPr>
            <w:tcW w:w="2474" w:type="dxa"/>
            <w:shd w:val="clear" w:color="auto" w:fill="B4C6E7" w:themeFill="accent1" w:themeFillTint="66"/>
            <w:vAlign w:val="bottom"/>
          </w:tcPr>
          <w:p w14:paraId="76A96CB8" w14:textId="77777777" w:rsidR="00262896" w:rsidRPr="00AB3438" w:rsidRDefault="00262896" w:rsidP="0002297E">
            <w:pPr>
              <w:widowControl/>
              <w:spacing w:before="40" w:after="40" w:line="240" w:lineRule="auto"/>
              <w:ind w:left="174"/>
              <w:rPr>
                <w:rFonts w:asciiTheme="majorHAnsi" w:hAnsiTheme="majorHAnsi" w:cstheme="majorHAnsi"/>
                <w:sz w:val="16"/>
                <w:szCs w:val="16"/>
                <w:lang w:val="lv-LV"/>
              </w:rPr>
            </w:pPr>
            <w:r w:rsidRPr="00AB3438">
              <w:rPr>
                <w:rFonts w:asciiTheme="majorHAnsi" w:eastAsia="Times New Roman" w:hAnsiTheme="majorHAnsi" w:cstheme="majorHAnsi"/>
                <w:sz w:val="16"/>
                <w:szCs w:val="16"/>
                <w:lang w:val="lv-LV" w:eastAsia="lv-LV"/>
              </w:rPr>
              <w:t>N1131G - Transportlīdzekļi</w:t>
            </w:r>
          </w:p>
        </w:tc>
        <w:tc>
          <w:tcPr>
            <w:tcW w:w="829" w:type="dxa"/>
            <w:shd w:val="clear" w:color="auto" w:fill="B4C6E7" w:themeFill="accent1" w:themeFillTint="66"/>
            <w:vAlign w:val="center"/>
          </w:tcPr>
          <w:p w14:paraId="5CBCB5F2" w14:textId="77777777" w:rsidR="00262896" w:rsidRPr="00AB3438" w:rsidRDefault="00262896" w:rsidP="0002297E">
            <w:pPr>
              <w:widowControl/>
              <w:spacing w:before="40" w:after="40" w:line="240" w:lineRule="auto"/>
              <w:jc w:val="center"/>
              <w:rPr>
                <w:rFonts w:ascii="Arial Nova Cond Light" w:hAnsi="Arial Nova Cond Light" w:cstheme="majorHAnsi"/>
                <w:sz w:val="16"/>
                <w:szCs w:val="16"/>
                <w:lang w:val="lv-LV"/>
              </w:rPr>
            </w:pPr>
            <w:r w:rsidRPr="00AB3438">
              <w:rPr>
                <w:rFonts w:ascii="Arial Nova Cond Light" w:eastAsia="Times New Roman" w:hAnsi="Arial Nova Cond Light" w:cstheme="minorHAnsi"/>
                <w:color w:val="000000"/>
                <w:sz w:val="16"/>
                <w:szCs w:val="16"/>
                <w:lang w:eastAsia="lv-LV"/>
              </w:rPr>
              <w:t>8</w:t>
            </w:r>
            <w:r>
              <w:rPr>
                <w:rFonts w:ascii="Arial Nova Cond Light" w:eastAsia="Times New Roman" w:hAnsi="Arial Nova Cond Light" w:cstheme="minorHAnsi"/>
                <w:color w:val="000000"/>
                <w:sz w:val="16"/>
                <w:szCs w:val="16"/>
                <w:lang w:eastAsia="lv-LV"/>
              </w:rPr>
              <w:t xml:space="preserve"> </w:t>
            </w:r>
            <w:r w:rsidRPr="00AB3438">
              <w:rPr>
                <w:rFonts w:ascii="Arial Nova Cond Light" w:eastAsia="Times New Roman" w:hAnsi="Arial Nova Cond Light" w:cstheme="minorHAnsi"/>
                <w:color w:val="000000"/>
                <w:sz w:val="16"/>
                <w:szCs w:val="16"/>
                <w:lang w:eastAsia="lv-LV"/>
              </w:rPr>
              <w:t>611,6</w:t>
            </w:r>
          </w:p>
        </w:tc>
        <w:tc>
          <w:tcPr>
            <w:tcW w:w="793" w:type="dxa"/>
            <w:shd w:val="clear" w:color="auto" w:fill="B4C6E7" w:themeFill="accent1" w:themeFillTint="66"/>
            <w:vAlign w:val="center"/>
          </w:tcPr>
          <w:p w14:paraId="4E9CDC5B" w14:textId="77777777" w:rsidR="00262896" w:rsidRPr="00AB3438" w:rsidRDefault="00262896" w:rsidP="0002297E">
            <w:pPr>
              <w:widowControl/>
              <w:spacing w:before="40" w:after="40" w:line="240" w:lineRule="auto"/>
              <w:jc w:val="center"/>
              <w:rPr>
                <w:rFonts w:ascii="Arial Nova Cond Light" w:hAnsi="Arial Nova Cond Light" w:cstheme="majorHAnsi"/>
                <w:sz w:val="16"/>
                <w:szCs w:val="16"/>
                <w:lang w:val="lv-LV"/>
              </w:rPr>
            </w:pPr>
            <w:r w:rsidRPr="00AB3438">
              <w:rPr>
                <w:rFonts w:ascii="Arial Nova Cond Light" w:eastAsia="Times New Roman" w:hAnsi="Arial Nova Cond Light" w:cstheme="minorHAnsi"/>
                <w:color w:val="000000"/>
                <w:sz w:val="16"/>
                <w:szCs w:val="16"/>
                <w:lang w:eastAsia="lv-LV"/>
              </w:rPr>
              <w:t>303,2</w:t>
            </w:r>
          </w:p>
        </w:tc>
        <w:tc>
          <w:tcPr>
            <w:tcW w:w="793" w:type="dxa"/>
            <w:shd w:val="clear" w:color="auto" w:fill="B4C6E7" w:themeFill="accent1" w:themeFillTint="66"/>
            <w:vAlign w:val="center"/>
          </w:tcPr>
          <w:p w14:paraId="72BE67EC" w14:textId="77777777" w:rsidR="00262896" w:rsidRPr="00AB3438" w:rsidRDefault="00262896" w:rsidP="0002297E">
            <w:pPr>
              <w:widowControl/>
              <w:spacing w:before="40" w:after="40" w:line="240" w:lineRule="auto"/>
              <w:jc w:val="center"/>
              <w:rPr>
                <w:rFonts w:ascii="Arial Nova Cond Light" w:eastAsia="Times New Roman" w:hAnsi="Arial Nova Cond Light" w:cstheme="majorHAnsi"/>
                <w:color w:val="000000"/>
                <w:sz w:val="16"/>
                <w:szCs w:val="16"/>
                <w:lang w:val="lv-LV" w:eastAsia="lv-LV"/>
              </w:rPr>
            </w:pPr>
            <w:r w:rsidRPr="00AB3438">
              <w:rPr>
                <w:rFonts w:ascii="Arial Nova Cond Light" w:eastAsia="Times New Roman" w:hAnsi="Arial Nova Cond Light" w:cstheme="minorHAnsi"/>
                <w:color w:val="000000"/>
                <w:sz w:val="16"/>
                <w:szCs w:val="16"/>
                <w:lang w:eastAsia="lv-LV"/>
              </w:rPr>
              <w:t>3</w:t>
            </w:r>
            <w:r>
              <w:rPr>
                <w:rFonts w:ascii="Arial Nova Cond Light" w:eastAsia="Times New Roman" w:hAnsi="Arial Nova Cond Light" w:cstheme="minorHAnsi"/>
                <w:color w:val="000000"/>
                <w:sz w:val="16"/>
                <w:szCs w:val="16"/>
                <w:lang w:eastAsia="lv-LV"/>
              </w:rPr>
              <w:t xml:space="preserve"> </w:t>
            </w:r>
            <w:r w:rsidRPr="00AB3438">
              <w:rPr>
                <w:rFonts w:ascii="Arial Nova Cond Light" w:eastAsia="Times New Roman" w:hAnsi="Arial Nova Cond Light" w:cstheme="minorHAnsi"/>
                <w:color w:val="000000"/>
                <w:sz w:val="16"/>
                <w:szCs w:val="16"/>
                <w:lang w:eastAsia="lv-LV"/>
              </w:rPr>
              <w:t>953,1</w:t>
            </w:r>
          </w:p>
        </w:tc>
        <w:tc>
          <w:tcPr>
            <w:tcW w:w="793" w:type="dxa"/>
            <w:shd w:val="clear" w:color="auto" w:fill="B4C6E7" w:themeFill="accent1" w:themeFillTint="66"/>
            <w:vAlign w:val="center"/>
          </w:tcPr>
          <w:p w14:paraId="0DA5B2E9" w14:textId="77777777" w:rsidR="00262896" w:rsidRPr="00AB3438" w:rsidRDefault="00262896" w:rsidP="0002297E">
            <w:pPr>
              <w:widowControl/>
              <w:spacing w:before="40" w:after="40" w:line="240" w:lineRule="auto"/>
              <w:jc w:val="center"/>
              <w:rPr>
                <w:rFonts w:ascii="Arial Nova Cond Light" w:hAnsi="Arial Nova Cond Light" w:cstheme="majorHAnsi"/>
                <w:sz w:val="16"/>
                <w:szCs w:val="16"/>
                <w:lang w:val="lv-LV"/>
              </w:rPr>
            </w:pPr>
            <w:r w:rsidRPr="00AB3438">
              <w:rPr>
                <w:rFonts w:ascii="Arial Nova Cond Light" w:eastAsia="Times New Roman" w:hAnsi="Arial Nova Cond Light" w:cstheme="minorHAnsi"/>
                <w:color w:val="000000"/>
                <w:sz w:val="16"/>
                <w:szCs w:val="16"/>
                <w:lang w:eastAsia="lv-LV"/>
              </w:rPr>
              <w:t>619</w:t>
            </w:r>
          </w:p>
        </w:tc>
        <w:tc>
          <w:tcPr>
            <w:tcW w:w="790" w:type="dxa"/>
            <w:shd w:val="clear" w:color="auto" w:fill="B4C6E7" w:themeFill="accent1" w:themeFillTint="66"/>
            <w:vAlign w:val="center"/>
          </w:tcPr>
          <w:p w14:paraId="28CD56F5" w14:textId="77777777" w:rsidR="00262896" w:rsidRPr="00AB3438" w:rsidRDefault="00262896" w:rsidP="0002297E">
            <w:pPr>
              <w:widowControl/>
              <w:spacing w:before="40" w:after="40" w:line="240" w:lineRule="auto"/>
              <w:jc w:val="center"/>
              <w:rPr>
                <w:rFonts w:ascii="Arial Nova Cond Light" w:hAnsi="Arial Nova Cond Light" w:cstheme="majorHAnsi"/>
                <w:sz w:val="16"/>
                <w:szCs w:val="16"/>
                <w:lang w:val="lv-LV"/>
              </w:rPr>
            </w:pPr>
            <w:r w:rsidRPr="00AB3438">
              <w:rPr>
                <w:rFonts w:ascii="Arial Nova Cond Light" w:eastAsia="Times New Roman" w:hAnsi="Arial Nova Cond Light" w:cstheme="minorHAnsi"/>
                <w:color w:val="000000"/>
                <w:sz w:val="16"/>
                <w:szCs w:val="16"/>
                <w:lang w:eastAsia="lv-LV"/>
              </w:rPr>
              <w:t>784,3</w:t>
            </w:r>
          </w:p>
        </w:tc>
        <w:tc>
          <w:tcPr>
            <w:tcW w:w="791" w:type="dxa"/>
            <w:shd w:val="clear" w:color="auto" w:fill="B4C6E7" w:themeFill="accent1" w:themeFillTint="66"/>
            <w:vAlign w:val="center"/>
          </w:tcPr>
          <w:p w14:paraId="688DC553" w14:textId="77777777" w:rsidR="00262896" w:rsidRPr="00AB3438" w:rsidRDefault="00262896" w:rsidP="0002297E">
            <w:pPr>
              <w:widowControl/>
              <w:spacing w:before="40" w:after="40" w:line="240" w:lineRule="auto"/>
              <w:jc w:val="center"/>
              <w:rPr>
                <w:rFonts w:ascii="Arial Nova Cond Light" w:hAnsi="Arial Nova Cond Light" w:cstheme="majorHAnsi"/>
                <w:sz w:val="16"/>
                <w:szCs w:val="16"/>
                <w:lang w:val="lv-LV"/>
              </w:rPr>
            </w:pPr>
            <w:r w:rsidRPr="00AB3438">
              <w:rPr>
                <w:rFonts w:ascii="Arial Nova Cond Light" w:eastAsia="Times New Roman" w:hAnsi="Arial Nova Cond Light" w:cstheme="minorHAnsi"/>
                <w:color w:val="000000"/>
                <w:sz w:val="16"/>
                <w:szCs w:val="16"/>
                <w:lang w:eastAsia="lv-LV"/>
              </w:rPr>
              <w:t>114</w:t>
            </w:r>
          </w:p>
        </w:tc>
        <w:tc>
          <w:tcPr>
            <w:tcW w:w="792" w:type="dxa"/>
            <w:shd w:val="clear" w:color="auto" w:fill="B4C6E7" w:themeFill="accent1" w:themeFillTint="66"/>
            <w:vAlign w:val="center"/>
          </w:tcPr>
          <w:p w14:paraId="21D7F691" w14:textId="77777777" w:rsidR="00262896" w:rsidRPr="00AB3438" w:rsidRDefault="00262896" w:rsidP="0002297E">
            <w:pPr>
              <w:widowControl/>
              <w:spacing w:before="40" w:after="40" w:line="240" w:lineRule="auto"/>
              <w:jc w:val="center"/>
              <w:rPr>
                <w:rFonts w:ascii="Arial Nova Cond Light" w:hAnsi="Arial Nova Cond Light" w:cstheme="majorHAnsi"/>
                <w:sz w:val="16"/>
                <w:szCs w:val="16"/>
                <w:lang w:val="lv-LV"/>
              </w:rPr>
            </w:pPr>
            <w:r w:rsidRPr="00AB3438">
              <w:rPr>
                <w:rFonts w:ascii="Arial Nova Cond Light" w:eastAsia="Times New Roman" w:hAnsi="Arial Nova Cond Light" w:cstheme="minorHAnsi"/>
                <w:color w:val="000000"/>
                <w:sz w:val="16"/>
                <w:szCs w:val="16"/>
                <w:lang w:eastAsia="lv-LV"/>
              </w:rPr>
              <w:t>184,8</w:t>
            </w:r>
          </w:p>
        </w:tc>
        <w:tc>
          <w:tcPr>
            <w:tcW w:w="793" w:type="dxa"/>
            <w:shd w:val="clear" w:color="auto" w:fill="B4C6E7" w:themeFill="accent1" w:themeFillTint="66"/>
            <w:vAlign w:val="center"/>
          </w:tcPr>
          <w:p w14:paraId="751AE45A" w14:textId="77777777" w:rsidR="00262896" w:rsidRPr="00AB3438" w:rsidRDefault="00262896" w:rsidP="0002297E">
            <w:pPr>
              <w:widowControl/>
              <w:spacing w:before="40" w:after="40" w:line="240" w:lineRule="auto"/>
              <w:jc w:val="center"/>
              <w:rPr>
                <w:rFonts w:ascii="Arial Nova Cond Light" w:hAnsi="Arial Nova Cond Light" w:cstheme="majorHAnsi"/>
                <w:sz w:val="16"/>
                <w:szCs w:val="16"/>
                <w:lang w:val="lv-LV"/>
              </w:rPr>
            </w:pPr>
            <w:r w:rsidRPr="00AB3438">
              <w:rPr>
                <w:rFonts w:ascii="Arial Nova Cond Light" w:eastAsia="Times New Roman" w:hAnsi="Arial Nova Cond Light" w:cstheme="minorHAnsi"/>
                <w:color w:val="000000"/>
                <w:sz w:val="16"/>
                <w:szCs w:val="16"/>
                <w:lang w:eastAsia="lv-LV"/>
              </w:rPr>
              <w:t>5</w:t>
            </w:r>
            <w:r>
              <w:rPr>
                <w:rFonts w:ascii="Arial Nova Cond Light" w:eastAsia="Times New Roman" w:hAnsi="Arial Nova Cond Light" w:cstheme="minorHAnsi"/>
                <w:color w:val="000000"/>
                <w:sz w:val="16"/>
                <w:szCs w:val="16"/>
                <w:lang w:eastAsia="lv-LV"/>
              </w:rPr>
              <w:t xml:space="preserve"> </w:t>
            </w:r>
            <w:r w:rsidRPr="00AB3438">
              <w:rPr>
                <w:rFonts w:ascii="Arial Nova Cond Light" w:eastAsia="Times New Roman" w:hAnsi="Arial Nova Cond Light" w:cstheme="minorHAnsi"/>
                <w:color w:val="000000"/>
                <w:sz w:val="16"/>
                <w:szCs w:val="16"/>
                <w:lang w:eastAsia="lv-LV"/>
              </w:rPr>
              <w:t>773,6</w:t>
            </w:r>
          </w:p>
        </w:tc>
        <w:tc>
          <w:tcPr>
            <w:tcW w:w="792" w:type="dxa"/>
            <w:shd w:val="clear" w:color="auto" w:fill="B4C6E7" w:themeFill="accent1" w:themeFillTint="66"/>
            <w:vAlign w:val="center"/>
          </w:tcPr>
          <w:p w14:paraId="23B73C12" w14:textId="77777777" w:rsidR="00262896" w:rsidRPr="00AB3438" w:rsidRDefault="00262896" w:rsidP="0002297E">
            <w:pPr>
              <w:widowControl/>
              <w:spacing w:before="40" w:after="40" w:line="240" w:lineRule="auto"/>
              <w:jc w:val="center"/>
              <w:rPr>
                <w:rFonts w:ascii="Arial Nova Cond Light" w:hAnsi="Arial Nova Cond Light" w:cstheme="majorHAnsi"/>
                <w:sz w:val="16"/>
                <w:szCs w:val="16"/>
                <w:lang w:val="lv-LV"/>
              </w:rPr>
            </w:pPr>
            <w:r w:rsidRPr="00AB3438">
              <w:rPr>
                <w:rFonts w:ascii="Arial Nova Cond Light" w:eastAsia="Times New Roman" w:hAnsi="Arial Nova Cond Light" w:cstheme="minorHAnsi"/>
                <w:color w:val="000000"/>
                <w:sz w:val="16"/>
                <w:szCs w:val="16"/>
                <w:lang w:eastAsia="lv-LV"/>
              </w:rPr>
              <w:t>5</w:t>
            </w:r>
            <w:r>
              <w:rPr>
                <w:rFonts w:ascii="Arial Nova Cond Light" w:eastAsia="Times New Roman" w:hAnsi="Arial Nova Cond Light" w:cstheme="minorHAnsi"/>
                <w:color w:val="000000"/>
                <w:sz w:val="16"/>
                <w:szCs w:val="16"/>
                <w:lang w:eastAsia="lv-LV"/>
              </w:rPr>
              <w:t xml:space="preserve"> </w:t>
            </w:r>
            <w:r w:rsidRPr="00AB3438">
              <w:rPr>
                <w:rFonts w:ascii="Arial Nova Cond Light" w:eastAsia="Times New Roman" w:hAnsi="Arial Nova Cond Light" w:cstheme="minorHAnsi"/>
                <w:color w:val="000000"/>
                <w:sz w:val="16"/>
                <w:szCs w:val="16"/>
                <w:lang w:eastAsia="lv-LV"/>
              </w:rPr>
              <w:t>958,4</w:t>
            </w:r>
          </w:p>
        </w:tc>
      </w:tr>
      <w:tr w:rsidR="00262896" w:rsidRPr="00AB3438" w14:paraId="3272DF8C" w14:textId="77777777" w:rsidTr="0002297E">
        <w:trPr>
          <w:jc w:val="center"/>
        </w:trPr>
        <w:tc>
          <w:tcPr>
            <w:tcW w:w="2474" w:type="dxa"/>
            <w:shd w:val="clear" w:color="auto" w:fill="D9E2F3" w:themeFill="accent1" w:themeFillTint="33"/>
            <w:vAlign w:val="bottom"/>
          </w:tcPr>
          <w:p w14:paraId="50A2C1BA" w14:textId="77777777" w:rsidR="00262896" w:rsidRPr="00AB3438" w:rsidRDefault="00262896" w:rsidP="0002297E">
            <w:pPr>
              <w:widowControl/>
              <w:spacing w:before="40" w:after="40" w:line="240" w:lineRule="auto"/>
              <w:ind w:left="174"/>
              <w:rPr>
                <w:rFonts w:asciiTheme="majorHAnsi" w:hAnsiTheme="majorHAnsi" w:cstheme="majorHAnsi"/>
                <w:sz w:val="16"/>
                <w:szCs w:val="16"/>
                <w:lang w:val="lv-LV"/>
              </w:rPr>
            </w:pPr>
            <w:r w:rsidRPr="00AB3438">
              <w:rPr>
                <w:rFonts w:asciiTheme="majorHAnsi" w:eastAsia="Times New Roman" w:hAnsiTheme="majorHAnsi" w:cstheme="majorHAnsi"/>
                <w:sz w:val="16"/>
                <w:szCs w:val="16"/>
                <w:lang w:val="lv-LV" w:eastAsia="lv-LV"/>
              </w:rPr>
              <w:t>N1132G -IKT aprīkojums</w:t>
            </w:r>
          </w:p>
        </w:tc>
        <w:tc>
          <w:tcPr>
            <w:tcW w:w="829" w:type="dxa"/>
            <w:shd w:val="clear" w:color="auto" w:fill="D9E2F3" w:themeFill="accent1" w:themeFillTint="33"/>
            <w:vAlign w:val="center"/>
          </w:tcPr>
          <w:p w14:paraId="0EEED19E" w14:textId="77777777" w:rsidR="00262896" w:rsidRPr="00AB3438" w:rsidRDefault="00262896" w:rsidP="0002297E">
            <w:pPr>
              <w:widowControl/>
              <w:spacing w:before="40" w:after="40" w:line="240" w:lineRule="auto"/>
              <w:jc w:val="center"/>
              <w:rPr>
                <w:rFonts w:ascii="Arial Nova Cond Light" w:hAnsi="Arial Nova Cond Light" w:cstheme="majorHAnsi"/>
                <w:sz w:val="16"/>
                <w:szCs w:val="16"/>
                <w:lang w:val="lv-LV"/>
              </w:rPr>
            </w:pPr>
            <w:r w:rsidRPr="00AB3438">
              <w:rPr>
                <w:rFonts w:ascii="Arial Nova Cond Light" w:eastAsia="Times New Roman" w:hAnsi="Arial Nova Cond Light" w:cstheme="minorHAnsi"/>
                <w:color w:val="000000"/>
                <w:sz w:val="16"/>
                <w:szCs w:val="16"/>
                <w:lang w:eastAsia="lv-LV"/>
              </w:rPr>
              <w:t>2</w:t>
            </w:r>
            <w:r>
              <w:rPr>
                <w:rFonts w:ascii="Arial Nova Cond Light" w:eastAsia="Times New Roman" w:hAnsi="Arial Nova Cond Light" w:cstheme="minorHAnsi"/>
                <w:color w:val="000000"/>
                <w:sz w:val="16"/>
                <w:szCs w:val="16"/>
                <w:lang w:eastAsia="lv-LV"/>
              </w:rPr>
              <w:t xml:space="preserve"> </w:t>
            </w:r>
            <w:r w:rsidRPr="00AB3438">
              <w:rPr>
                <w:rFonts w:ascii="Arial Nova Cond Light" w:eastAsia="Times New Roman" w:hAnsi="Arial Nova Cond Light" w:cstheme="minorHAnsi"/>
                <w:color w:val="000000"/>
                <w:sz w:val="16"/>
                <w:szCs w:val="16"/>
                <w:lang w:eastAsia="lv-LV"/>
              </w:rPr>
              <w:t>024,2</w:t>
            </w:r>
          </w:p>
        </w:tc>
        <w:tc>
          <w:tcPr>
            <w:tcW w:w="793" w:type="dxa"/>
            <w:shd w:val="clear" w:color="auto" w:fill="D9E2F3" w:themeFill="accent1" w:themeFillTint="33"/>
            <w:vAlign w:val="center"/>
          </w:tcPr>
          <w:p w14:paraId="7AEC5417" w14:textId="77777777" w:rsidR="00262896" w:rsidRPr="00AB3438" w:rsidRDefault="00262896" w:rsidP="0002297E">
            <w:pPr>
              <w:widowControl/>
              <w:spacing w:before="40" w:after="40" w:line="240" w:lineRule="auto"/>
              <w:jc w:val="center"/>
              <w:rPr>
                <w:rFonts w:ascii="Arial Nova Cond Light" w:hAnsi="Arial Nova Cond Light" w:cstheme="majorHAnsi"/>
                <w:sz w:val="16"/>
                <w:szCs w:val="16"/>
                <w:lang w:val="lv-LV"/>
              </w:rPr>
            </w:pPr>
            <w:r w:rsidRPr="00AB3438">
              <w:rPr>
                <w:rFonts w:ascii="Arial Nova Cond Light" w:eastAsia="Times New Roman" w:hAnsi="Arial Nova Cond Light" w:cstheme="minorHAnsi"/>
                <w:color w:val="000000"/>
                <w:sz w:val="16"/>
                <w:szCs w:val="16"/>
                <w:lang w:eastAsia="lv-LV"/>
              </w:rPr>
              <w:t>196,6</w:t>
            </w:r>
          </w:p>
        </w:tc>
        <w:tc>
          <w:tcPr>
            <w:tcW w:w="793" w:type="dxa"/>
            <w:shd w:val="clear" w:color="auto" w:fill="D9E2F3" w:themeFill="accent1" w:themeFillTint="33"/>
            <w:vAlign w:val="center"/>
          </w:tcPr>
          <w:p w14:paraId="5762F150" w14:textId="77777777" w:rsidR="00262896" w:rsidRPr="00AB3438" w:rsidRDefault="00262896" w:rsidP="0002297E">
            <w:pPr>
              <w:widowControl/>
              <w:spacing w:before="40" w:after="40" w:line="240" w:lineRule="auto"/>
              <w:jc w:val="center"/>
              <w:rPr>
                <w:rFonts w:ascii="Arial Nova Cond Light" w:eastAsia="Times New Roman" w:hAnsi="Arial Nova Cond Light" w:cstheme="majorHAnsi"/>
                <w:color w:val="000000"/>
                <w:sz w:val="16"/>
                <w:szCs w:val="16"/>
                <w:lang w:val="lv-LV" w:eastAsia="lv-LV"/>
              </w:rPr>
            </w:pPr>
            <w:r w:rsidRPr="00AB3438">
              <w:rPr>
                <w:rFonts w:ascii="Arial Nova Cond Light" w:eastAsia="Times New Roman" w:hAnsi="Arial Nova Cond Light" w:cstheme="minorHAnsi"/>
                <w:color w:val="000000"/>
                <w:sz w:val="16"/>
                <w:szCs w:val="16"/>
                <w:lang w:eastAsia="lv-LV"/>
              </w:rPr>
              <w:t>386,8</w:t>
            </w:r>
          </w:p>
        </w:tc>
        <w:tc>
          <w:tcPr>
            <w:tcW w:w="793" w:type="dxa"/>
            <w:shd w:val="clear" w:color="auto" w:fill="D9E2F3" w:themeFill="accent1" w:themeFillTint="33"/>
            <w:vAlign w:val="center"/>
          </w:tcPr>
          <w:p w14:paraId="09D066C1" w14:textId="77777777" w:rsidR="00262896" w:rsidRPr="00AB3438" w:rsidRDefault="00262896" w:rsidP="0002297E">
            <w:pPr>
              <w:widowControl/>
              <w:spacing w:before="40" w:after="40" w:line="240" w:lineRule="auto"/>
              <w:jc w:val="center"/>
              <w:rPr>
                <w:rFonts w:ascii="Arial Nova Cond Light" w:hAnsi="Arial Nova Cond Light" w:cstheme="majorHAnsi"/>
                <w:sz w:val="16"/>
                <w:szCs w:val="16"/>
                <w:lang w:val="lv-LV"/>
              </w:rPr>
            </w:pPr>
            <w:r w:rsidRPr="00AB3438">
              <w:rPr>
                <w:rFonts w:ascii="Arial Nova Cond Light" w:eastAsia="Times New Roman" w:hAnsi="Arial Nova Cond Light" w:cstheme="minorHAnsi"/>
                <w:color w:val="000000"/>
                <w:sz w:val="16"/>
                <w:szCs w:val="16"/>
                <w:lang w:eastAsia="lv-LV"/>
              </w:rPr>
              <w:t>60,1</w:t>
            </w:r>
          </w:p>
        </w:tc>
        <w:tc>
          <w:tcPr>
            <w:tcW w:w="790" w:type="dxa"/>
            <w:shd w:val="clear" w:color="auto" w:fill="D9E2F3" w:themeFill="accent1" w:themeFillTint="33"/>
            <w:vAlign w:val="center"/>
          </w:tcPr>
          <w:p w14:paraId="1B02A1AE" w14:textId="77777777" w:rsidR="00262896" w:rsidRPr="00AB3438" w:rsidRDefault="00262896" w:rsidP="0002297E">
            <w:pPr>
              <w:widowControl/>
              <w:spacing w:before="40" w:after="40" w:line="240" w:lineRule="auto"/>
              <w:jc w:val="center"/>
              <w:rPr>
                <w:rFonts w:ascii="Arial Nova Cond Light" w:hAnsi="Arial Nova Cond Light" w:cstheme="majorHAnsi"/>
                <w:sz w:val="16"/>
                <w:szCs w:val="16"/>
                <w:lang w:val="lv-LV"/>
              </w:rPr>
            </w:pPr>
            <w:r w:rsidRPr="00AB3438">
              <w:rPr>
                <w:rFonts w:ascii="Arial Nova Cond Light" w:eastAsia="Times New Roman" w:hAnsi="Arial Nova Cond Light" w:cstheme="minorHAnsi"/>
                <w:color w:val="000000"/>
                <w:sz w:val="16"/>
                <w:szCs w:val="16"/>
                <w:lang w:eastAsia="lv-LV"/>
              </w:rPr>
              <w:t>17,8</w:t>
            </w:r>
          </w:p>
        </w:tc>
        <w:tc>
          <w:tcPr>
            <w:tcW w:w="791" w:type="dxa"/>
            <w:shd w:val="clear" w:color="auto" w:fill="D9E2F3" w:themeFill="accent1" w:themeFillTint="33"/>
            <w:vAlign w:val="center"/>
          </w:tcPr>
          <w:p w14:paraId="4F014017" w14:textId="77777777" w:rsidR="00262896" w:rsidRPr="00AB3438" w:rsidRDefault="00262896" w:rsidP="0002297E">
            <w:pPr>
              <w:widowControl/>
              <w:spacing w:before="40" w:after="40" w:line="240" w:lineRule="auto"/>
              <w:jc w:val="center"/>
              <w:rPr>
                <w:rFonts w:ascii="Arial Nova Cond Light" w:hAnsi="Arial Nova Cond Light" w:cstheme="majorHAnsi"/>
                <w:sz w:val="16"/>
                <w:szCs w:val="16"/>
                <w:lang w:val="lv-LV"/>
              </w:rPr>
            </w:pPr>
            <w:r w:rsidRPr="00AB3438">
              <w:rPr>
                <w:rFonts w:ascii="Arial Nova Cond Light" w:eastAsia="Times New Roman" w:hAnsi="Arial Nova Cond Light" w:cstheme="minorHAnsi"/>
                <w:color w:val="000000"/>
                <w:sz w:val="16"/>
                <w:szCs w:val="16"/>
                <w:lang w:eastAsia="lv-LV"/>
              </w:rPr>
              <w:t>14,1</w:t>
            </w:r>
          </w:p>
        </w:tc>
        <w:tc>
          <w:tcPr>
            <w:tcW w:w="792" w:type="dxa"/>
            <w:shd w:val="clear" w:color="auto" w:fill="D9E2F3" w:themeFill="accent1" w:themeFillTint="33"/>
            <w:vAlign w:val="center"/>
          </w:tcPr>
          <w:p w14:paraId="7E048ED0" w14:textId="77777777" w:rsidR="00262896" w:rsidRPr="00AB3438" w:rsidRDefault="00262896" w:rsidP="0002297E">
            <w:pPr>
              <w:widowControl/>
              <w:spacing w:before="40" w:after="40" w:line="240" w:lineRule="auto"/>
              <w:jc w:val="center"/>
              <w:rPr>
                <w:rFonts w:ascii="Arial Nova Cond Light" w:hAnsi="Arial Nova Cond Light" w:cstheme="majorHAnsi"/>
                <w:sz w:val="16"/>
                <w:szCs w:val="16"/>
                <w:lang w:val="lv-LV"/>
              </w:rPr>
            </w:pPr>
            <w:r w:rsidRPr="00AB3438">
              <w:rPr>
                <w:rFonts w:ascii="Arial Nova Cond Light" w:eastAsia="Times New Roman" w:hAnsi="Arial Nova Cond Light" w:cstheme="minorHAnsi"/>
                <w:color w:val="000000"/>
                <w:sz w:val="16"/>
                <w:szCs w:val="16"/>
                <w:lang w:eastAsia="lv-LV"/>
              </w:rPr>
              <w:t>34,4</w:t>
            </w:r>
          </w:p>
        </w:tc>
        <w:tc>
          <w:tcPr>
            <w:tcW w:w="793" w:type="dxa"/>
            <w:shd w:val="clear" w:color="auto" w:fill="D9E2F3" w:themeFill="accent1" w:themeFillTint="33"/>
            <w:vAlign w:val="center"/>
          </w:tcPr>
          <w:p w14:paraId="0FE7C750" w14:textId="77777777" w:rsidR="00262896" w:rsidRPr="00AB3438" w:rsidRDefault="00262896" w:rsidP="0002297E">
            <w:pPr>
              <w:widowControl/>
              <w:spacing w:before="40" w:after="40" w:line="240" w:lineRule="auto"/>
              <w:jc w:val="center"/>
              <w:rPr>
                <w:rFonts w:ascii="Arial Nova Cond Light" w:hAnsi="Arial Nova Cond Light" w:cstheme="majorHAnsi"/>
                <w:sz w:val="16"/>
                <w:szCs w:val="16"/>
                <w:lang w:val="lv-LV"/>
              </w:rPr>
            </w:pPr>
            <w:r w:rsidRPr="00AB3438">
              <w:rPr>
                <w:rFonts w:ascii="Arial Nova Cond Light" w:eastAsia="Times New Roman" w:hAnsi="Arial Nova Cond Light" w:cstheme="minorHAnsi"/>
                <w:color w:val="000000"/>
                <w:sz w:val="16"/>
                <w:szCs w:val="16"/>
                <w:lang w:eastAsia="lv-LV"/>
              </w:rPr>
              <w:t>675,4</w:t>
            </w:r>
          </w:p>
        </w:tc>
        <w:tc>
          <w:tcPr>
            <w:tcW w:w="792" w:type="dxa"/>
            <w:shd w:val="clear" w:color="auto" w:fill="D9E2F3" w:themeFill="accent1" w:themeFillTint="33"/>
            <w:vAlign w:val="center"/>
          </w:tcPr>
          <w:p w14:paraId="49D60461" w14:textId="77777777" w:rsidR="00262896" w:rsidRPr="00AB3438" w:rsidRDefault="00262896" w:rsidP="0002297E">
            <w:pPr>
              <w:widowControl/>
              <w:spacing w:before="40" w:after="40" w:line="240" w:lineRule="auto"/>
              <w:jc w:val="center"/>
              <w:rPr>
                <w:rFonts w:ascii="Arial Nova Cond Light" w:hAnsi="Arial Nova Cond Light" w:cstheme="majorHAnsi"/>
                <w:sz w:val="16"/>
                <w:szCs w:val="16"/>
                <w:lang w:val="lv-LV"/>
              </w:rPr>
            </w:pPr>
            <w:r w:rsidRPr="00AB3438">
              <w:rPr>
                <w:rFonts w:ascii="Arial Nova Cond Light" w:eastAsia="Times New Roman" w:hAnsi="Arial Nova Cond Light" w:cstheme="minorHAnsi"/>
                <w:color w:val="000000"/>
                <w:sz w:val="16"/>
                <w:szCs w:val="16"/>
                <w:lang w:eastAsia="lv-LV"/>
              </w:rPr>
              <w:t>709,8</w:t>
            </w:r>
          </w:p>
        </w:tc>
      </w:tr>
      <w:tr w:rsidR="00262896" w:rsidRPr="00AB3438" w14:paraId="585465E4" w14:textId="77777777" w:rsidTr="0002297E">
        <w:trPr>
          <w:jc w:val="center"/>
        </w:trPr>
        <w:tc>
          <w:tcPr>
            <w:tcW w:w="2474" w:type="dxa"/>
            <w:shd w:val="clear" w:color="auto" w:fill="B4C6E7" w:themeFill="accent1" w:themeFillTint="66"/>
            <w:vAlign w:val="bottom"/>
          </w:tcPr>
          <w:p w14:paraId="7BF6BD52" w14:textId="77777777" w:rsidR="00262896" w:rsidRPr="00AB3438" w:rsidRDefault="00262896" w:rsidP="0002297E">
            <w:pPr>
              <w:widowControl/>
              <w:spacing w:before="40" w:after="40" w:line="240" w:lineRule="auto"/>
              <w:ind w:left="174"/>
              <w:rPr>
                <w:rFonts w:asciiTheme="majorHAnsi" w:hAnsiTheme="majorHAnsi" w:cstheme="majorHAnsi"/>
                <w:sz w:val="16"/>
                <w:szCs w:val="16"/>
                <w:lang w:val="lv-LV"/>
              </w:rPr>
            </w:pPr>
            <w:r w:rsidRPr="00AB3438">
              <w:rPr>
                <w:rFonts w:asciiTheme="majorHAnsi" w:eastAsia="Times New Roman" w:hAnsiTheme="majorHAnsi" w:cstheme="majorHAnsi"/>
                <w:sz w:val="16"/>
                <w:szCs w:val="16"/>
                <w:lang w:val="lv-LV" w:eastAsia="lv-LV"/>
              </w:rPr>
              <w:t>N11OG - Citas mašīnas un iekārtas (bez IKT un transportlīdzekļiem)</w:t>
            </w:r>
          </w:p>
        </w:tc>
        <w:tc>
          <w:tcPr>
            <w:tcW w:w="829" w:type="dxa"/>
            <w:shd w:val="clear" w:color="auto" w:fill="B4C6E7" w:themeFill="accent1" w:themeFillTint="66"/>
            <w:vAlign w:val="center"/>
          </w:tcPr>
          <w:p w14:paraId="43C9ED39" w14:textId="77777777" w:rsidR="00262896" w:rsidRPr="00AB3438" w:rsidRDefault="00262896" w:rsidP="0002297E">
            <w:pPr>
              <w:widowControl/>
              <w:spacing w:before="40" w:after="40" w:line="240" w:lineRule="auto"/>
              <w:jc w:val="center"/>
              <w:rPr>
                <w:rFonts w:ascii="Arial Nova Cond Light" w:hAnsi="Arial Nova Cond Light" w:cstheme="majorHAnsi"/>
                <w:sz w:val="16"/>
                <w:szCs w:val="16"/>
                <w:lang w:val="lv-LV"/>
              </w:rPr>
            </w:pPr>
            <w:r w:rsidRPr="00AB3438">
              <w:rPr>
                <w:rFonts w:ascii="Arial Nova Cond Light" w:eastAsia="Times New Roman" w:hAnsi="Arial Nova Cond Light" w:cstheme="minorHAnsi"/>
                <w:color w:val="000000"/>
                <w:sz w:val="16"/>
                <w:szCs w:val="16"/>
                <w:lang w:eastAsia="lv-LV"/>
              </w:rPr>
              <w:t>23</w:t>
            </w:r>
            <w:r>
              <w:rPr>
                <w:rFonts w:ascii="Arial Nova Cond Light" w:eastAsia="Times New Roman" w:hAnsi="Arial Nova Cond Light" w:cstheme="minorHAnsi"/>
                <w:color w:val="000000"/>
                <w:sz w:val="16"/>
                <w:szCs w:val="16"/>
                <w:lang w:eastAsia="lv-LV"/>
              </w:rPr>
              <w:t xml:space="preserve"> </w:t>
            </w:r>
            <w:r w:rsidRPr="00AB3438">
              <w:rPr>
                <w:rFonts w:ascii="Arial Nova Cond Light" w:eastAsia="Times New Roman" w:hAnsi="Arial Nova Cond Light" w:cstheme="minorHAnsi"/>
                <w:color w:val="000000"/>
                <w:sz w:val="16"/>
                <w:szCs w:val="16"/>
                <w:lang w:eastAsia="lv-LV"/>
              </w:rPr>
              <w:t>018,6</w:t>
            </w:r>
          </w:p>
        </w:tc>
        <w:tc>
          <w:tcPr>
            <w:tcW w:w="793" w:type="dxa"/>
            <w:shd w:val="clear" w:color="auto" w:fill="B4C6E7" w:themeFill="accent1" w:themeFillTint="66"/>
            <w:vAlign w:val="center"/>
          </w:tcPr>
          <w:p w14:paraId="349E760E" w14:textId="77777777" w:rsidR="00262896" w:rsidRPr="00AB3438" w:rsidRDefault="00262896" w:rsidP="0002297E">
            <w:pPr>
              <w:widowControl/>
              <w:spacing w:before="40" w:after="40" w:line="240" w:lineRule="auto"/>
              <w:jc w:val="center"/>
              <w:rPr>
                <w:rFonts w:ascii="Arial Nova Cond Light" w:hAnsi="Arial Nova Cond Light" w:cstheme="majorHAnsi"/>
                <w:sz w:val="16"/>
                <w:szCs w:val="16"/>
                <w:lang w:val="lv-LV"/>
              </w:rPr>
            </w:pPr>
            <w:r w:rsidRPr="00AB3438">
              <w:rPr>
                <w:rFonts w:ascii="Arial Nova Cond Light" w:eastAsia="Times New Roman" w:hAnsi="Arial Nova Cond Light" w:cstheme="minorHAnsi"/>
                <w:color w:val="000000"/>
                <w:sz w:val="16"/>
                <w:szCs w:val="16"/>
                <w:lang w:eastAsia="lv-LV"/>
              </w:rPr>
              <w:t>1</w:t>
            </w:r>
            <w:r>
              <w:rPr>
                <w:rFonts w:ascii="Arial Nova Cond Light" w:eastAsia="Times New Roman" w:hAnsi="Arial Nova Cond Light" w:cstheme="minorHAnsi"/>
                <w:color w:val="000000"/>
                <w:sz w:val="16"/>
                <w:szCs w:val="16"/>
                <w:lang w:eastAsia="lv-LV"/>
              </w:rPr>
              <w:t xml:space="preserve"> </w:t>
            </w:r>
            <w:r w:rsidRPr="00AB3438">
              <w:rPr>
                <w:rFonts w:ascii="Arial Nova Cond Light" w:eastAsia="Times New Roman" w:hAnsi="Arial Nova Cond Light" w:cstheme="minorHAnsi"/>
                <w:color w:val="000000"/>
                <w:sz w:val="16"/>
                <w:szCs w:val="16"/>
                <w:lang w:eastAsia="lv-LV"/>
              </w:rPr>
              <w:t>881,2</w:t>
            </w:r>
          </w:p>
        </w:tc>
        <w:tc>
          <w:tcPr>
            <w:tcW w:w="793" w:type="dxa"/>
            <w:shd w:val="clear" w:color="auto" w:fill="B4C6E7" w:themeFill="accent1" w:themeFillTint="66"/>
            <w:vAlign w:val="center"/>
          </w:tcPr>
          <w:p w14:paraId="3E23C277" w14:textId="77777777" w:rsidR="00262896" w:rsidRPr="00AB3438" w:rsidRDefault="00262896" w:rsidP="0002297E">
            <w:pPr>
              <w:widowControl/>
              <w:spacing w:before="40" w:after="40" w:line="240" w:lineRule="auto"/>
              <w:jc w:val="center"/>
              <w:rPr>
                <w:rFonts w:ascii="Arial Nova Cond Light" w:eastAsia="Times New Roman" w:hAnsi="Arial Nova Cond Light" w:cstheme="majorHAnsi"/>
                <w:color w:val="000000"/>
                <w:sz w:val="16"/>
                <w:szCs w:val="16"/>
                <w:lang w:val="lv-LV" w:eastAsia="lv-LV"/>
              </w:rPr>
            </w:pPr>
            <w:r w:rsidRPr="00AB3438">
              <w:rPr>
                <w:rFonts w:ascii="Arial Nova Cond Light" w:eastAsia="Times New Roman" w:hAnsi="Arial Nova Cond Light" w:cstheme="minorHAnsi"/>
                <w:color w:val="000000"/>
                <w:sz w:val="16"/>
                <w:szCs w:val="16"/>
                <w:lang w:eastAsia="lv-LV"/>
              </w:rPr>
              <w:t>1</w:t>
            </w:r>
            <w:r>
              <w:rPr>
                <w:rFonts w:ascii="Arial Nova Cond Light" w:eastAsia="Times New Roman" w:hAnsi="Arial Nova Cond Light" w:cstheme="minorHAnsi"/>
                <w:color w:val="000000"/>
                <w:sz w:val="16"/>
                <w:szCs w:val="16"/>
                <w:lang w:eastAsia="lv-LV"/>
              </w:rPr>
              <w:t xml:space="preserve"> </w:t>
            </w:r>
            <w:r w:rsidRPr="00AB3438">
              <w:rPr>
                <w:rFonts w:ascii="Arial Nova Cond Light" w:eastAsia="Times New Roman" w:hAnsi="Arial Nova Cond Light" w:cstheme="minorHAnsi"/>
                <w:color w:val="000000"/>
                <w:sz w:val="16"/>
                <w:szCs w:val="16"/>
                <w:lang w:eastAsia="lv-LV"/>
              </w:rPr>
              <w:t>476,2</w:t>
            </w:r>
          </w:p>
        </w:tc>
        <w:tc>
          <w:tcPr>
            <w:tcW w:w="793" w:type="dxa"/>
            <w:shd w:val="clear" w:color="auto" w:fill="B4C6E7" w:themeFill="accent1" w:themeFillTint="66"/>
            <w:vAlign w:val="center"/>
          </w:tcPr>
          <w:p w14:paraId="7CE81EBA" w14:textId="77777777" w:rsidR="00262896" w:rsidRPr="00AB3438" w:rsidRDefault="00262896" w:rsidP="0002297E">
            <w:pPr>
              <w:widowControl/>
              <w:spacing w:before="40" w:after="40" w:line="240" w:lineRule="auto"/>
              <w:jc w:val="center"/>
              <w:rPr>
                <w:rFonts w:ascii="Arial Nova Cond Light" w:hAnsi="Arial Nova Cond Light" w:cstheme="majorHAnsi"/>
                <w:sz w:val="16"/>
                <w:szCs w:val="16"/>
                <w:lang w:val="lv-LV"/>
              </w:rPr>
            </w:pPr>
            <w:r w:rsidRPr="00AB3438">
              <w:rPr>
                <w:rFonts w:ascii="Arial Nova Cond Light" w:eastAsia="Times New Roman" w:hAnsi="Arial Nova Cond Light" w:cstheme="minorHAnsi"/>
                <w:color w:val="000000"/>
                <w:sz w:val="16"/>
                <w:szCs w:val="16"/>
                <w:lang w:eastAsia="lv-LV"/>
              </w:rPr>
              <w:t>7</w:t>
            </w:r>
            <w:r>
              <w:rPr>
                <w:rFonts w:ascii="Arial Nova Cond Light" w:eastAsia="Times New Roman" w:hAnsi="Arial Nova Cond Light" w:cstheme="minorHAnsi"/>
                <w:color w:val="000000"/>
                <w:sz w:val="16"/>
                <w:szCs w:val="16"/>
                <w:lang w:eastAsia="lv-LV"/>
              </w:rPr>
              <w:t xml:space="preserve"> </w:t>
            </w:r>
            <w:r w:rsidRPr="00AB3438">
              <w:rPr>
                <w:rFonts w:ascii="Arial Nova Cond Light" w:eastAsia="Times New Roman" w:hAnsi="Arial Nova Cond Light" w:cstheme="minorHAnsi"/>
                <w:color w:val="000000"/>
                <w:sz w:val="16"/>
                <w:szCs w:val="16"/>
                <w:lang w:eastAsia="lv-LV"/>
              </w:rPr>
              <w:t>129</w:t>
            </w:r>
          </w:p>
        </w:tc>
        <w:tc>
          <w:tcPr>
            <w:tcW w:w="790" w:type="dxa"/>
            <w:shd w:val="clear" w:color="auto" w:fill="B4C6E7" w:themeFill="accent1" w:themeFillTint="66"/>
            <w:vAlign w:val="center"/>
          </w:tcPr>
          <w:p w14:paraId="6FEFBB0E" w14:textId="77777777" w:rsidR="00262896" w:rsidRPr="00AB3438" w:rsidRDefault="00262896" w:rsidP="0002297E">
            <w:pPr>
              <w:widowControl/>
              <w:spacing w:before="40" w:after="40" w:line="240" w:lineRule="auto"/>
              <w:jc w:val="center"/>
              <w:rPr>
                <w:rFonts w:ascii="Arial Nova Cond Light" w:hAnsi="Arial Nova Cond Light" w:cstheme="majorHAnsi"/>
                <w:sz w:val="16"/>
                <w:szCs w:val="16"/>
                <w:lang w:val="lv-LV"/>
              </w:rPr>
            </w:pPr>
            <w:r w:rsidRPr="00AB3438">
              <w:rPr>
                <w:rFonts w:ascii="Arial Nova Cond Light" w:eastAsia="Times New Roman" w:hAnsi="Arial Nova Cond Light" w:cstheme="minorHAnsi"/>
                <w:color w:val="000000"/>
                <w:sz w:val="16"/>
                <w:szCs w:val="16"/>
                <w:lang w:eastAsia="lv-LV"/>
              </w:rPr>
              <w:t>3</w:t>
            </w:r>
            <w:r>
              <w:rPr>
                <w:rFonts w:ascii="Arial Nova Cond Light" w:eastAsia="Times New Roman" w:hAnsi="Arial Nova Cond Light" w:cstheme="minorHAnsi"/>
                <w:color w:val="000000"/>
                <w:sz w:val="16"/>
                <w:szCs w:val="16"/>
                <w:lang w:eastAsia="lv-LV"/>
              </w:rPr>
              <w:t xml:space="preserve"> </w:t>
            </w:r>
            <w:r w:rsidRPr="00AB3438">
              <w:rPr>
                <w:rFonts w:ascii="Arial Nova Cond Light" w:eastAsia="Times New Roman" w:hAnsi="Arial Nova Cond Light" w:cstheme="minorHAnsi"/>
                <w:color w:val="000000"/>
                <w:sz w:val="16"/>
                <w:szCs w:val="16"/>
                <w:lang w:eastAsia="lv-LV"/>
              </w:rPr>
              <w:t>099,2</w:t>
            </w:r>
          </w:p>
        </w:tc>
        <w:tc>
          <w:tcPr>
            <w:tcW w:w="791" w:type="dxa"/>
            <w:shd w:val="clear" w:color="auto" w:fill="B4C6E7" w:themeFill="accent1" w:themeFillTint="66"/>
            <w:vAlign w:val="center"/>
          </w:tcPr>
          <w:p w14:paraId="5AE80118" w14:textId="77777777" w:rsidR="00262896" w:rsidRPr="00AB3438" w:rsidRDefault="00262896" w:rsidP="0002297E">
            <w:pPr>
              <w:widowControl/>
              <w:spacing w:before="40" w:after="40" w:line="240" w:lineRule="auto"/>
              <w:jc w:val="center"/>
              <w:rPr>
                <w:rFonts w:ascii="Arial Nova Cond Light" w:hAnsi="Arial Nova Cond Light" w:cstheme="majorHAnsi"/>
                <w:sz w:val="16"/>
                <w:szCs w:val="16"/>
                <w:lang w:val="lv-LV"/>
              </w:rPr>
            </w:pPr>
            <w:r w:rsidRPr="00AB3438">
              <w:rPr>
                <w:rFonts w:ascii="Arial Nova Cond Light" w:eastAsia="Times New Roman" w:hAnsi="Arial Nova Cond Light" w:cstheme="minorHAnsi"/>
                <w:color w:val="000000"/>
                <w:sz w:val="16"/>
                <w:szCs w:val="16"/>
                <w:lang w:eastAsia="lv-LV"/>
              </w:rPr>
              <w:t>325,6</w:t>
            </w:r>
          </w:p>
        </w:tc>
        <w:tc>
          <w:tcPr>
            <w:tcW w:w="792" w:type="dxa"/>
            <w:shd w:val="clear" w:color="auto" w:fill="B4C6E7" w:themeFill="accent1" w:themeFillTint="66"/>
            <w:vAlign w:val="center"/>
          </w:tcPr>
          <w:p w14:paraId="117EDD0C" w14:textId="77777777" w:rsidR="00262896" w:rsidRPr="00AB3438" w:rsidRDefault="00262896" w:rsidP="0002297E">
            <w:pPr>
              <w:widowControl/>
              <w:spacing w:before="40" w:after="40" w:line="240" w:lineRule="auto"/>
              <w:jc w:val="center"/>
              <w:rPr>
                <w:rFonts w:ascii="Arial Nova Cond Light" w:hAnsi="Arial Nova Cond Light" w:cstheme="majorHAnsi"/>
                <w:sz w:val="16"/>
                <w:szCs w:val="16"/>
                <w:lang w:val="lv-LV"/>
              </w:rPr>
            </w:pPr>
            <w:r w:rsidRPr="00AB3438">
              <w:rPr>
                <w:rFonts w:ascii="Arial Nova Cond Light" w:eastAsia="Times New Roman" w:hAnsi="Arial Nova Cond Light" w:cstheme="minorHAnsi"/>
                <w:color w:val="000000"/>
                <w:sz w:val="16"/>
                <w:szCs w:val="16"/>
                <w:lang w:eastAsia="lv-LV"/>
              </w:rPr>
              <w:t>783,2</w:t>
            </w:r>
          </w:p>
        </w:tc>
        <w:tc>
          <w:tcPr>
            <w:tcW w:w="793" w:type="dxa"/>
            <w:shd w:val="clear" w:color="auto" w:fill="B4C6E7" w:themeFill="accent1" w:themeFillTint="66"/>
            <w:vAlign w:val="center"/>
          </w:tcPr>
          <w:p w14:paraId="4AF2DB58" w14:textId="77777777" w:rsidR="00262896" w:rsidRPr="00AB3438" w:rsidRDefault="00262896" w:rsidP="0002297E">
            <w:pPr>
              <w:widowControl/>
              <w:spacing w:before="40" w:after="40" w:line="240" w:lineRule="auto"/>
              <w:jc w:val="center"/>
              <w:rPr>
                <w:rFonts w:ascii="Arial Nova Cond Light" w:hAnsi="Arial Nova Cond Light" w:cstheme="majorHAnsi"/>
                <w:sz w:val="16"/>
                <w:szCs w:val="16"/>
                <w:lang w:val="lv-LV"/>
              </w:rPr>
            </w:pPr>
            <w:r w:rsidRPr="00AB3438">
              <w:rPr>
                <w:rFonts w:ascii="Arial Nova Cond Light" w:eastAsia="Times New Roman" w:hAnsi="Arial Nova Cond Light" w:cstheme="minorHAnsi"/>
                <w:color w:val="000000"/>
                <w:sz w:val="16"/>
                <w:szCs w:val="16"/>
                <w:lang w:eastAsia="lv-LV"/>
              </w:rPr>
              <w:t>13</w:t>
            </w:r>
            <w:r>
              <w:rPr>
                <w:rFonts w:ascii="Arial Nova Cond Light" w:eastAsia="Times New Roman" w:hAnsi="Arial Nova Cond Light" w:cstheme="minorHAnsi"/>
                <w:color w:val="000000"/>
                <w:sz w:val="16"/>
                <w:szCs w:val="16"/>
                <w:lang w:eastAsia="lv-LV"/>
              </w:rPr>
              <w:t xml:space="preserve"> </w:t>
            </w:r>
            <w:r w:rsidRPr="00AB3438">
              <w:rPr>
                <w:rFonts w:ascii="Arial Nova Cond Light" w:eastAsia="Times New Roman" w:hAnsi="Arial Nova Cond Light" w:cstheme="minorHAnsi"/>
                <w:color w:val="000000"/>
                <w:sz w:val="16"/>
                <w:szCs w:val="16"/>
                <w:lang w:eastAsia="lv-LV"/>
              </w:rPr>
              <w:t>911,2</w:t>
            </w:r>
          </w:p>
        </w:tc>
        <w:tc>
          <w:tcPr>
            <w:tcW w:w="792" w:type="dxa"/>
            <w:shd w:val="clear" w:color="auto" w:fill="B4C6E7" w:themeFill="accent1" w:themeFillTint="66"/>
            <w:vAlign w:val="center"/>
          </w:tcPr>
          <w:p w14:paraId="61D58B78" w14:textId="77777777" w:rsidR="00262896" w:rsidRPr="00AB3438" w:rsidRDefault="00262896" w:rsidP="0002297E">
            <w:pPr>
              <w:widowControl/>
              <w:spacing w:before="40" w:after="40" w:line="240" w:lineRule="auto"/>
              <w:jc w:val="center"/>
              <w:rPr>
                <w:rFonts w:ascii="Arial Nova Cond Light" w:hAnsi="Arial Nova Cond Light" w:cstheme="majorHAnsi"/>
                <w:sz w:val="16"/>
                <w:szCs w:val="16"/>
                <w:lang w:val="lv-LV"/>
              </w:rPr>
            </w:pPr>
            <w:r w:rsidRPr="00AB3438">
              <w:rPr>
                <w:rFonts w:ascii="Arial Nova Cond Light" w:eastAsia="Times New Roman" w:hAnsi="Arial Nova Cond Light" w:cstheme="minorHAnsi"/>
                <w:color w:val="000000"/>
                <w:sz w:val="16"/>
                <w:szCs w:val="16"/>
                <w:lang w:eastAsia="lv-LV"/>
              </w:rPr>
              <w:t>14</w:t>
            </w:r>
            <w:r>
              <w:rPr>
                <w:rFonts w:ascii="Arial Nova Cond Light" w:eastAsia="Times New Roman" w:hAnsi="Arial Nova Cond Light" w:cstheme="minorHAnsi"/>
                <w:color w:val="000000"/>
                <w:sz w:val="16"/>
                <w:szCs w:val="16"/>
                <w:lang w:eastAsia="lv-LV"/>
              </w:rPr>
              <w:t xml:space="preserve"> </w:t>
            </w:r>
            <w:r w:rsidRPr="00AB3438">
              <w:rPr>
                <w:rFonts w:ascii="Arial Nova Cond Light" w:eastAsia="Times New Roman" w:hAnsi="Arial Nova Cond Light" w:cstheme="minorHAnsi"/>
                <w:color w:val="000000"/>
                <w:sz w:val="16"/>
                <w:szCs w:val="16"/>
                <w:lang w:eastAsia="lv-LV"/>
              </w:rPr>
              <w:t>694,4</w:t>
            </w:r>
          </w:p>
        </w:tc>
      </w:tr>
      <w:tr w:rsidR="00262896" w:rsidRPr="00AB3438" w14:paraId="6ED5AE21" w14:textId="77777777" w:rsidTr="0002297E">
        <w:trPr>
          <w:jc w:val="center"/>
        </w:trPr>
        <w:tc>
          <w:tcPr>
            <w:tcW w:w="2474" w:type="dxa"/>
            <w:shd w:val="clear" w:color="auto" w:fill="D9E2F3" w:themeFill="accent1" w:themeFillTint="33"/>
            <w:vAlign w:val="bottom"/>
          </w:tcPr>
          <w:p w14:paraId="38D5B9DD" w14:textId="77777777" w:rsidR="00262896" w:rsidRPr="00AB3438" w:rsidRDefault="00262896" w:rsidP="0002297E">
            <w:pPr>
              <w:widowControl/>
              <w:spacing w:before="40" w:after="40" w:line="240" w:lineRule="auto"/>
              <w:rPr>
                <w:rFonts w:asciiTheme="majorHAnsi" w:hAnsiTheme="majorHAnsi" w:cstheme="majorHAnsi"/>
                <w:sz w:val="16"/>
                <w:szCs w:val="16"/>
                <w:lang w:val="lv-LV"/>
              </w:rPr>
            </w:pPr>
            <w:r w:rsidRPr="00AB3438">
              <w:rPr>
                <w:rFonts w:asciiTheme="majorHAnsi" w:eastAsia="Times New Roman" w:hAnsiTheme="majorHAnsi" w:cstheme="majorHAnsi"/>
                <w:b/>
                <w:bCs/>
                <w:color w:val="333F4F"/>
                <w:sz w:val="16"/>
                <w:szCs w:val="16"/>
                <w:lang w:val="lv-LV" w:eastAsia="lv-LV"/>
              </w:rPr>
              <w:t>N115G - Kultivētie bioloģiskie resursi</w:t>
            </w:r>
          </w:p>
        </w:tc>
        <w:tc>
          <w:tcPr>
            <w:tcW w:w="829" w:type="dxa"/>
            <w:shd w:val="clear" w:color="auto" w:fill="D9E2F3" w:themeFill="accent1" w:themeFillTint="33"/>
            <w:vAlign w:val="center"/>
          </w:tcPr>
          <w:p w14:paraId="7A482B8C" w14:textId="77777777" w:rsidR="00262896" w:rsidRPr="00AB3438" w:rsidRDefault="00262896" w:rsidP="0002297E">
            <w:pPr>
              <w:widowControl/>
              <w:spacing w:before="40" w:after="40" w:line="240" w:lineRule="auto"/>
              <w:jc w:val="center"/>
              <w:rPr>
                <w:rFonts w:ascii="Arial Nova Cond Light" w:hAnsi="Arial Nova Cond Light" w:cstheme="majorHAnsi"/>
                <w:sz w:val="16"/>
                <w:szCs w:val="16"/>
                <w:lang w:val="lv-LV"/>
              </w:rPr>
            </w:pPr>
            <w:r w:rsidRPr="00AB3438">
              <w:rPr>
                <w:rFonts w:ascii="Arial Nova Cond Light" w:eastAsia="Times New Roman" w:hAnsi="Arial Nova Cond Light" w:cstheme="minorHAnsi"/>
                <w:color w:val="000000"/>
                <w:sz w:val="16"/>
                <w:szCs w:val="16"/>
                <w:lang w:eastAsia="lv-LV"/>
              </w:rPr>
              <w:t>265</w:t>
            </w:r>
          </w:p>
        </w:tc>
        <w:tc>
          <w:tcPr>
            <w:tcW w:w="793" w:type="dxa"/>
            <w:shd w:val="clear" w:color="auto" w:fill="D9E2F3" w:themeFill="accent1" w:themeFillTint="33"/>
            <w:vAlign w:val="center"/>
          </w:tcPr>
          <w:p w14:paraId="3DBB9903" w14:textId="77777777" w:rsidR="00262896" w:rsidRPr="00AB3438" w:rsidRDefault="00262896" w:rsidP="0002297E">
            <w:pPr>
              <w:widowControl/>
              <w:spacing w:before="40" w:after="40" w:line="240" w:lineRule="auto"/>
              <w:jc w:val="center"/>
              <w:rPr>
                <w:rFonts w:ascii="Arial Nova Cond Light" w:hAnsi="Arial Nova Cond Light" w:cstheme="majorHAnsi"/>
                <w:sz w:val="16"/>
                <w:szCs w:val="16"/>
                <w:lang w:val="lv-LV"/>
              </w:rPr>
            </w:pPr>
            <w:r w:rsidRPr="00AB3438">
              <w:rPr>
                <w:rFonts w:ascii="Arial Nova Cond Light" w:eastAsia="Times New Roman" w:hAnsi="Arial Nova Cond Light" w:cstheme="minorHAnsi"/>
                <w:color w:val="000000"/>
                <w:sz w:val="16"/>
                <w:szCs w:val="16"/>
                <w:lang w:eastAsia="lv-LV"/>
              </w:rPr>
              <w:t>1,3</w:t>
            </w:r>
          </w:p>
        </w:tc>
        <w:tc>
          <w:tcPr>
            <w:tcW w:w="793" w:type="dxa"/>
            <w:shd w:val="clear" w:color="auto" w:fill="D9E2F3" w:themeFill="accent1" w:themeFillTint="33"/>
            <w:vAlign w:val="center"/>
          </w:tcPr>
          <w:p w14:paraId="60E9EB5E" w14:textId="77777777" w:rsidR="00262896" w:rsidRPr="00AB3438" w:rsidRDefault="00262896" w:rsidP="0002297E">
            <w:pPr>
              <w:widowControl/>
              <w:spacing w:before="40" w:after="40" w:line="240" w:lineRule="auto"/>
              <w:jc w:val="center"/>
              <w:rPr>
                <w:rFonts w:ascii="Arial Nova Cond Light" w:eastAsia="Times New Roman" w:hAnsi="Arial Nova Cond Light" w:cstheme="majorHAnsi"/>
                <w:color w:val="000000"/>
                <w:sz w:val="16"/>
                <w:szCs w:val="16"/>
                <w:lang w:val="lv-LV" w:eastAsia="lv-LV"/>
              </w:rPr>
            </w:pPr>
            <w:r w:rsidRPr="00AB3438">
              <w:rPr>
                <w:rFonts w:ascii="Arial Nova Cond Light" w:eastAsia="Times New Roman" w:hAnsi="Arial Nova Cond Light" w:cstheme="minorHAnsi"/>
                <w:color w:val="000000"/>
                <w:sz w:val="16"/>
                <w:szCs w:val="16"/>
                <w:lang w:eastAsia="lv-LV"/>
              </w:rPr>
              <w:t>0,7</w:t>
            </w:r>
          </w:p>
        </w:tc>
        <w:tc>
          <w:tcPr>
            <w:tcW w:w="793" w:type="dxa"/>
            <w:shd w:val="clear" w:color="auto" w:fill="D9E2F3" w:themeFill="accent1" w:themeFillTint="33"/>
            <w:vAlign w:val="center"/>
          </w:tcPr>
          <w:p w14:paraId="08F768D7" w14:textId="77777777" w:rsidR="00262896" w:rsidRPr="00AB3438" w:rsidRDefault="00262896" w:rsidP="0002297E">
            <w:pPr>
              <w:widowControl/>
              <w:spacing w:before="40" w:after="40" w:line="240" w:lineRule="auto"/>
              <w:jc w:val="center"/>
              <w:rPr>
                <w:rFonts w:ascii="Arial Nova Cond Light" w:hAnsi="Arial Nova Cond Light" w:cstheme="majorHAnsi"/>
                <w:sz w:val="16"/>
                <w:szCs w:val="16"/>
                <w:lang w:val="lv-LV"/>
              </w:rPr>
            </w:pPr>
            <w:r w:rsidRPr="00AB3438">
              <w:rPr>
                <w:rFonts w:ascii="Arial Nova Cond Light" w:eastAsia="Times New Roman" w:hAnsi="Arial Nova Cond Light" w:cstheme="minorHAnsi"/>
                <w:color w:val="000000"/>
                <w:sz w:val="16"/>
                <w:szCs w:val="16"/>
                <w:lang w:eastAsia="lv-LV"/>
              </w:rPr>
              <w:t>8,8</w:t>
            </w:r>
          </w:p>
        </w:tc>
        <w:tc>
          <w:tcPr>
            <w:tcW w:w="790" w:type="dxa"/>
            <w:shd w:val="clear" w:color="auto" w:fill="D9E2F3" w:themeFill="accent1" w:themeFillTint="33"/>
            <w:vAlign w:val="center"/>
          </w:tcPr>
          <w:p w14:paraId="167DC4F8" w14:textId="77777777" w:rsidR="00262896" w:rsidRPr="00AB3438" w:rsidRDefault="00262896" w:rsidP="0002297E">
            <w:pPr>
              <w:widowControl/>
              <w:spacing w:before="40" w:after="40" w:line="240" w:lineRule="auto"/>
              <w:jc w:val="center"/>
              <w:rPr>
                <w:rFonts w:ascii="Arial Nova Cond Light" w:hAnsi="Arial Nova Cond Light" w:cstheme="majorHAnsi"/>
                <w:sz w:val="16"/>
                <w:szCs w:val="16"/>
                <w:lang w:val="lv-LV"/>
              </w:rPr>
            </w:pPr>
            <w:r w:rsidRPr="00AB3438">
              <w:rPr>
                <w:rFonts w:ascii="Arial Nova Cond Light" w:eastAsia="Times New Roman" w:hAnsi="Arial Nova Cond Light" w:cstheme="minorHAnsi"/>
                <w:color w:val="000000"/>
                <w:sz w:val="16"/>
                <w:szCs w:val="16"/>
                <w:lang w:eastAsia="lv-LV"/>
              </w:rPr>
              <w:t>225,5</w:t>
            </w:r>
          </w:p>
        </w:tc>
        <w:tc>
          <w:tcPr>
            <w:tcW w:w="791" w:type="dxa"/>
            <w:shd w:val="clear" w:color="auto" w:fill="D9E2F3" w:themeFill="accent1" w:themeFillTint="33"/>
            <w:vAlign w:val="center"/>
          </w:tcPr>
          <w:p w14:paraId="71FA0ECB" w14:textId="77777777" w:rsidR="00262896" w:rsidRPr="00AB3438" w:rsidRDefault="00262896" w:rsidP="0002297E">
            <w:pPr>
              <w:widowControl/>
              <w:spacing w:before="40" w:after="40" w:line="240" w:lineRule="auto"/>
              <w:jc w:val="center"/>
              <w:rPr>
                <w:rFonts w:ascii="Arial Nova Cond Light" w:hAnsi="Arial Nova Cond Light" w:cstheme="majorHAnsi"/>
                <w:sz w:val="16"/>
                <w:szCs w:val="16"/>
                <w:lang w:val="lv-LV"/>
              </w:rPr>
            </w:pPr>
            <w:r w:rsidRPr="00AB3438">
              <w:rPr>
                <w:rFonts w:ascii="Arial Nova Cond Light" w:eastAsia="Times New Roman" w:hAnsi="Arial Nova Cond Light" w:cstheme="minorHAnsi"/>
                <w:color w:val="000000"/>
                <w:sz w:val="16"/>
                <w:szCs w:val="16"/>
                <w:lang w:eastAsia="lv-LV"/>
              </w:rPr>
              <w:t>0,0</w:t>
            </w:r>
          </w:p>
        </w:tc>
        <w:tc>
          <w:tcPr>
            <w:tcW w:w="792" w:type="dxa"/>
            <w:shd w:val="clear" w:color="auto" w:fill="D9E2F3" w:themeFill="accent1" w:themeFillTint="33"/>
            <w:vAlign w:val="center"/>
          </w:tcPr>
          <w:p w14:paraId="21168480" w14:textId="77777777" w:rsidR="00262896" w:rsidRPr="00AB3438" w:rsidRDefault="00262896" w:rsidP="0002297E">
            <w:pPr>
              <w:widowControl/>
              <w:spacing w:before="40" w:after="40" w:line="240" w:lineRule="auto"/>
              <w:jc w:val="center"/>
              <w:rPr>
                <w:rFonts w:ascii="Arial Nova Cond Light" w:hAnsi="Arial Nova Cond Light" w:cstheme="majorHAnsi"/>
                <w:sz w:val="16"/>
                <w:szCs w:val="16"/>
                <w:lang w:val="lv-LV"/>
              </w:rPr>
            </w:pPr>
            <w:r w:rsidRPr="00AB3438">
              <w:rPr>
                <w:rFonts w:ascii="Arial Nova Cond Light" w:eastAsia="Times New Roman" w:hAnsi="Arial Nova Cond Light" w:cstheme="minorHAnsi"/>
                <w:color w:val="000000"/>
                <w:sz w:val="16"/>
                <w:szCs w:val="16"/>
                <w:lang w:eastAsia="lv-LV"/>
              </w:rPr>
              <w:t>20,1</w:t>
            </w:r>
          </w:p>
        </w:tc>
        <w:tc>
          <w:tcPr>
            <w:tcW w:w="793" w:type="dxa"/>
            <w:shd w:val="clear" w:color="auto" w:fill="D9E2F3" w:themeFill="accent1" w:themeFillTint="33"/>
            <w:vAlign w:val="center"/>
          </w:tcPr>
          <w:p w14:paraId="77E5D4A0" w14:textId="77777777" w:rsidR="00262896" w:rsidRPr="00AB3438" w:rsidRDefault="00262896" w:rsidP="0002297E">
            <w:pPr>
              <w:widowControl/>
              <w:spacing w:before="40" w:after="40" w:line="240" w:lineRule="auto"/>
              <w:jc w:val="center"/>
              <w:rPr>
                <w:rFonts w:ascii="Arial Nova Cond Light" w:hAnsi="Arial Nova Cond Light" w:cstheme="majorHAnsi"/>
                <w:sz w:val="16"/>
                <w:szCs w:val="16"/>
                <w:lang w:val="lv-LV"/>
              </w:rPr>
            </w:pPr>
            <w:r w:rsidRPr="00AB3438">
              <w:rPr>
                <w:rFonts w:ascii="Arial Nova Cond Light" w:eastAsia="Times New Roman" w:hAnsi="Arial Nova Cond Light" w:cstheme="minorHAnsi"/>
                <w:color w:val="000000"/>
                <w:sz w:val="16"/>
                <w:szCs w:val="16"/>
                <w:lang w:eastAsia="lv-LV"/>
              </w:rPr>
              <w:t>236,3</w:t>
            </w:r>
          </w:p>
        </w:tc>
        <w:tc>
          <w:tcPr>
            <w:tcW w:w="792" w:type="dxa"/>
            <w:shd w:val="clear" w:color="auto" w:fill="D9E2F3" w:themeFill="accent1" w:themeFillTint="33"/>
            <w:vAlign w:val="center"/>
          </w:tcPr>
          <w:p w14:paraId="471AEBD2" w14:textId="77777777" w:rsidR="00262896" w:rsidRPr="00AB3438" w:rsidRDefault="00262896" w:rsidP="0002297E">
            <w:pPr>
              <w:widowControl/>
              <w:spacing w:before="40" w:after="40" w:line="240" w:lineRule="auto"/>
              <w:jc w:val="center"/>
              <w:rPr>
                <w:rFonts w:ascii="Arial Nova Cond Light" w:hAnsi="Arial Nova Cond Light" w:cstheme="majorHAnsi"/>
                <w:sz w:val="16"/>
                <w:szCs w:val="16"/>
                <w:lang w:val="lv-LV"/>
              </w:rPr>
            </w:pPr>
            <w:r w:rsidRPr="00AB3438">
              <w:rPr>
                <w:rFonts w:ascii="Arial Nova Cond Light" w:eastAsia="Times New Roman" w:hAnsi="Arial Nova Cond Light" w:cstheme="minorHAnsi"/>
                <w:color w:val="000000"/>
                <w:sz w:val="16"/>
                <w:szCs w:val="16"/>
                <w:lang w:eastAsia="lv-LV"/>
              </w:rPr>
              <w:t>256,4</w:t>
            </w:r>
          </w:p>
        </w:tc>
      </w:tr>
      <w:tr w:rsidR="00262896" w:rsidRPr="00AB3438" w14:paraId="1649B0B9" w14:textId="77777777" w:rsidTr="0002297E">
        <w:trPr>
          <w:jc w:val="center"/>
        </w:trPr>
        <w:tc>
          <w:tcPr>
            <w:tcW w:w="2474" w:type="dxa"/>
            <w:shd w:val="clear" w:color="auto" w:fill="B4C6E7" w:themeFill="accent1" w:themeFillTint="66"/>
            <w:vAlign w:val="bottom"/>
          </w:tcPr>
          <w:p w14:paraId="168615D6" w14:textId="77777777" w:rsidR="00262896" w:rsidRPr="00AB3438" w:rsidRDefault="00262896" w:rsidP="0002297E">
            <w:pPr>
              <w:widowControl/>
              <w:spacing w:before="40" w:after="40" w:line="240" w:lineRule="auto"/>
              <w:rPr>
                <w:rFonts w:asciiTheme="majorHAnsi" w:hAnsiTheme="majorHAnsi" w:cstheme="majorHAnsi"/>
                <w:sz w:val="16"/>
                <w:szCs w:val="16"/>
                <w:lang w:val="lv-LV"/>
              </w:rPr>
            </w:pPr>
            <w:r w:rsidRPr="00AB3438">
              <w:rPr>
                <w:rFonts w:asciiTheme="majorHAnsi" w:eastAsia="Times New Roman" w:hAnsiTheme="majorHAnsi" w:cstheme="majorHAnsi"/>
                <w:b/>
                <w:bCs/>
                <w:color w:val="333F4F"/>
                <w:sz w:val="16"/>
                <w:szCs w:val="16"/>
                <w:lang w:val="lv-LV" w:eastAsia="lv-LV"/>
              </w:rPr>
              <w:t>N117G - Intelektuālā īpašuma produkti</w:t>
            </w:r>
          </w:p>
        </w:tc>
        <w:tc>
          <w:tcPr>
            <w:tcW w:w="829" w:type="dxa"/>
            <w:shd w:val="clear" w:color="auto" w:fill="B4C6E7" w:themeFill="accent1" w:themeFillTint="66"/>
            <w:vAlign w:val="center"/>
          </w:tcPr>
          <w:p w14:paraId="3100714F" w14:textId="77777777" w:rsidR="00262896" w:rsidRPr="00AB3438" w:rsidRDefault="00262896" w:rsidP="0002297E">
            <w:pPr>
              <w:widowControl/>
              <w:spacing w:before="40" w:after="40" w:line="240" w:lineRule="auto"/>
              <w:jc w:val="center"/>
              <w:rPr>
                <w:rFonts w:ascii="Arial Nova Cond Light" w:hAnsi="Arial Nova Cond Light" w:cstheme="majorHAnsi"/>
                <w:sz w:val="16"/>
                <w:szCs w:val="16"/>
                <w:lang w:val="lv-LV"/>
              </w:rPr>
            </w:pPr>
            <w:r w:rsidRPr="00AB3438">
              <w:rPr>
                <w:rFonts w:ascii="Arial Nova Cond Light" w:eastAsia="Times New Roman" w:hAnsi="Arial Nova Cond Light" w:cstheme="minorHAnsi"/>
                <w:color w:val="000000"/>
                <w:sz w:val="16"/>
                <w:szCs w:val="16"/>
                <w:lang w:eastAsia="lv-LV"/>
              </w:rPr>
              <w:t>3</w:t>
            </w:r>
            <w:r>
              <w:rPr>
                <w:rFonts w:ascii="Arial Nova Cond Light" w:eastAsia="Times New Roman" w:hAnsi="Arial Nova Cond Light" w:cstheme="minorHAnsi"/>
                <w:color w:val="000000"/>
                <w:sz w:val="16"/>
                <w:szCs w:val="16"/>
                <w:lang w:eastAsia="lv-LV"/>
              </w:rPr>
              <w:t xml:space="preserve"> </w:t>
            </w:r>
            <w:r w:rsidRPr="00AB3438">
              <w:rPr>
                <w:rFonts w:ascii="Arial Nova Cond Light" w:eastAsia="Times New Roman" w:hAnsi="Arial Nova Cond Light" w:cstheme="minorHAnsi"/>
                <w:color w:val="000000"/>
                <w:sz w:val="16"/>
                <w:szCs w:val="16"/>
                <w:lang w:eastAsia="lv-LV"/>
              </w:rPr>
              <w:t>202,6</w:t>
            </w:r>
          </w:p>
        </w:tc>
        <w:tc>
          <w:tcPr>
            <w:tcW w:w="793" w:type="dxa"/>
            <w:shd w:val="clear" w:color="auto" w:fill="B4C6E7" w:themeFill="accent1" w:themeFillTint="66"/>
            <w:vAlign w:val="center"/>
          </w:tcPr>
          <w:p w14:paraId="7907B0DF" w14:textId="77777777" w:rsidR="00262896" w:rsidRPr="00AB3438" w:rsidRDefault="00262896" w:rsidP="0002297E">
            <w:pPr>
              <w:widowControl/>
              <w:spacing w:before="40" w:after="40" w:line="240" w:lineRule="auto"/>
              <w:jc w:val="center"/>
              <w:rPr>
                <w:rFonts w:ascii="Arial Nova Cond Light" w:hAnsi="Arial Nova Cond Light" w:cstheme="majorHAnsi"/>
                <w:sz w:val="16"/>
                <w:szCs w:val="16"/>
                <w:lang w:val="lv-LV"/>
              </w:rPr>
            </w:pPr>
            <w:r w:rsidRPr="00AB3438">
              <w:rPr>
                <w:rFonts w:ascii="Arial Nova Cond Light" w:eastAsia="Times New Roman" w:hAnsi="Arial Nova Cond Light" w:cstheme="minorHAnsi"/>
                <w:color w:val="000000"/>
                <w:sz w:val="16"/>
                <w:szCs w:val="16"/>
                <w:lang w:eastAsia="lv-LV"/>
              </w:rPr>
              <w:t>59,6</w:t>
            </w:r>
          </w:p>
        </w:tc>
        <w:tc>
          <w:tcPr>
            <w:tcW w:w="793" w:type="dxa"/>
            <w:shd w:val="clear" w:color="auto" w:fill="B4C6E7" w:themeFill="accent1" w:themeFillTint="66"/>
            <w:vAlign w:val="center"/>
          </w:tcPr>
          <w:p w14:paraId="37195EA9" w14:textId="77777777" w:rsidR="00262896" w:rsidRPr="00AB3438" w:rsidRDefault="00262896" w:rsidP="0002297E">
            <w:pPr>
              <w:widowControl/>
              <w:spacing w:before="40" w:after="40" w:line="240" w:lineRule="auto"/>
              <w:jc w:val="center"/>
              <w:rPr>
                <w:rFonts w:ascii="Arial Nova Cond Light" w:eastAsia="Times New Roman" w:hAnsi="Arial Nova Cond Light" w:cstheme="majorHAnsi"/>
                <w:color w:val="000000"/>
                <w:sz w:val="16"/>
                <w:szCs w:val="16"/>
                <w:lang w:val="lv-LV" w:eastAsia="lv-LV"/>
              </w:rPr>
            </w:pPr>
            <w:r w:rsidRPr="00AB3438">
              <w:rPr>
                <w:rFonts w:ascii="Arial Nova Cond Light" w:eastAsia="Times New Roman" w:hAnsi="Arial Nova Cond Light" w:cstheme="minorHAnsi"/>
                <w:color w:val="000000"/>
                <w:sz w:val="16"/>
                <w:szCs w:val="16"/>
                <w:lang w:eastAsia="lv-LV"/>
              </w:rPr>
              <w:t>51,6</w:t>
            </w:r>
          </w:p>
        </w:tc>
        <w:tc>
          <w:tcPr>
            <w:tcW w:w="793" w:type="dxa"/>
            <w:shd w:val="clear" w:color="auto" w:fill="B4C6E7" w:themeFill="accent1" w:themeFillTint="66"/>
            <w:vAlign w:val="center"/>
          </w:tcPr>
          <w:p w14:paraId="635158C7" w14:textId="77777777" w:rsidR="00262896" w:rsidRPr="00AB3438" w:rsidRDefault="00262896" w:rsidP="0002297E">
            <w:pPr>
              <w:widowControl/>
              <w:spacing w:before="40" w:after="40" w:line="240" w:lineRule="auto"/>
              <w:jc w:val="center"/>
              <w:rPr>
                <w:rFonts w:ascii="Arial Nova Cond Light" w:hAnsi="Arial Nova Cond Light" w:cstheme="majorHAnsi"/>
                <w:sz w:val="16"/>
                <w:szCs w:val="16"/>
                <w:lang w:val="lv-LV"/>
              </w:rPr>
            </w:pPr>
            <w:r w:rsidRPr="00AB3438">
              <w:rPr>
                <w:rFonts w:ascii="Arial Nova Cond Light" w:eastAsia="Times New Roman" w:hAnsi="Arial Nova Cond Light" w:cstheme="minorHAnsi"/>
                <w:color w:val="000000"/>
                <w:sz w:val="16"/>
                <w:szCs w:val="16"/>
                <w:lang w:eastAsia="lv-LV"/>
              </w:rPr>
              <w:t>382,9</w:t>
            </w:r>
          </w:p>
        </w:tc>
        <w:tc>
          <w:tcPr>
            <w:tcW w:w="790" w:type="dxa"/>
            <w:shd w:val="clear" w:color="auto" w:fill="B4C6E7" w:themeFill="accent1" w:themeFillTint="66"/>
            <w:vAlign w:val="center"/>
          </w:tcPr>
          <w:p w14:paraId="42C7ACE6" w14:textId="77777777" w:rsidR="00262896" w:rsidRPr="00AB3438" w:rsidRDefault="00262896" w:rsidP="0002297E">
            <w:pPr>
              <w:widowControl/>
              <w:spacing w:before="40" w:after="40" w:line="240" w:lineRule="auto"/>
              <w:jc w:val="center"/>
              <w:rPr>
                <w:rFonts w:ascii="Arial Nova Cond Light" w:hAnsi="Arial Nova Cond Light" w:cstheme="majorHAnsi"/>
                <w:sz w:val="16"/>
                <w:szCs w:val="16"/>
                <w:lang w:val="lv-LV"/>
              </w:rPr>
            </w:pPr>
            <w:r w:rsidRPr="00AB3438">
              <w:rPr>
                <w:rFonts w:ascii="Arial Nova Cond Light" w:eastAsia="Times New Roman" w:hAnsi="Arial Nova Cond Light" w:cstheme="minorHAnsi"/>
                <w:color w:val="000000"/>
                <w:sz w:val="16"/>
                <w:szCs w:val="16"/>
                <w:lang w:eastAsia="lv-LV"/>
              </w:rPr>
              <w:t>29,1</w:t>
            </w:r>
          </w:p>
        </w:tc>
        <w:tc>
          <w:tcPr>
            <w:tcW w:w="791" w:type="dxa"/>
            <w:shd w:val="clear" w:color="auto" w:fill="B4C6E7" w:themeFill="accent1" w:themeFillTint="66"/>
            <w:vAlign w:val="center"/>
          </w:tcPr>
          <w:p w14:paraId="0140CEE5" w14:textId="77777777" w:rsidR="00262896" w:rsidRPr="00AB3438" w:rsidRDefault="00262896" w:rsidP="0002297E">
            <w:pPr>
              <w:widowControl/>
              <w:spacing w:before="40" w:after="40" w:line="240" w:lineRule="auto"/>
              <w:jc w:val="center"/>
              <w:rPr>
                <w:rFonts w:ascii="Arial Nova Cond Light" w:hAnsi="Arial Nova Cond Light" w:cstheme="majorHAnsi"/>
                <w:sz w:val="16"/>
                <w:szCs w:val="16"/>
                <w:lang w:val="lv-LV"/>
              </w:rPr>
            </w:pPr>
            <w:r w:rsidRPr="00AB3438">
              <w:rPr>
                <w:rFonts w:ascii="Arial Nova Cond Light" w:eastAsia="Times New Roman" w:hAnsi="Arial Nova Cond Light" w:cstheme="minorHAnsi"/>
                <w:color w:val="000000"/>
                <w:sz w:val="16"/>
                <w:szCs w:val="16"/>
                <w:lang w:eastAsia="lv-LV"/>
              </w:rPr>
              <w:t>7,6</w:t>
            </w:r>
          </w:p>
        </w:tc>
        <w:tc>
          <w:tcPr>
            <w:tcW w:w="792" w:type="dxa"/>
            <w:shd w:val="clear" w:color="auto" w:fill="B4C6E7" w:themeFill="accent1" w:themeFillTint="66"/>
            <w:vAlign w:val="center"/>
          </w:tcPr>
          <w:p w14:paraId="2E4DEAC7" w14:textId="77777777" w:rsidR="00262896" w:rsidRPr="00AB3438" w:rsidRDefault="00262896" w:rsidP="0002297E">
            <w:pPr>
              <w:widowControl/>
              <w:spacing w:before="40" w:after="40" w:line="240" w:lineRule="auto"/>
              <w:jc w:val="center"/>
              <w:rPr>
                <w:rFonts w:ascii="Arial Nova Cond Light" w:hAnsi="Arial Nova Cond Light" w:cstheme="majorHAnsi"/>
                <w:sz w:val="16"/>
                <w:szCs w:val="16"/>
                <w:lang w:val="lv-LV"/>
              </w:rPr>
            </w:pPr>
            <w:r w:rsidRPr="00AB3438">
              <w:rPr>
                <w:rFonts w:ascii="Arial Nova Cond Light" w:eastAsia="Times New Roman" w:hAnsi="Arial Nova Cond Light" w:cstheme="minorHAnsi"/>
                <w:color w:val="000000"/>
                <w:sz w:val="16"/>
                <w:szCs w:val="16"/>
                <w:lang w:eastAsia="lv-LV"/>
              </w:rPr>
              <w:t>25,8</w:t>
            </w:r>
          </w:p>
        </w:tc>
        <w:tc>
          <w:tcPr>
            <w:tcW w:w="793" w:type="dxa"/>
            <w:shd w:val="clear" w:color="auto" w:fill="B4C6E7" w:themeFill="accent1" w:themeFillTint="66"/>
            <w:vAlign w:val="center"/>
          </w:tcPr>
          <w:p w14:paraId="7E34A7FC" w14:textId="77777777" w:rsidR="00262896" w:rsidRPr="00AB3438" w:rsidRDefault="00262896" w:rsidP="0002297E">
            <w:pPr>
              <w:widowControl/>
              <w:spacing w:before="40" w:after="40" w:line="240" w:lineRule="auto"/>
              <w:jc w:val="center"/>
              <w:rPr>
                <w:rFonts w:ascii="Arial Nova Cond Light" w:hAnsi="Arial Nova Cond Light" w:cstheme="majorHAnsi"/>
                <w:sz w:val="16"/>
                <w:szCs w:val="16"/>
                <w:lang w:val="lv-LV"/>
              </w:rPr>
            </w:pPr>
            <w:r w:rsidRPr="00AB3438">
              <w:rPr>
                <w:rFonts w:ascii="Arial Nova Cond Light" w:eastAsia="Times New Roman" w:hAnsi="Arial Nova Cond Light" w:cstheme="minorHAnsi"/>
                <w:color w:val="000000"/>
                <w:sz w:val="16"/>
                <w:szCs w:val="16"/>
                <w:lang w:eastAsia="lv-LV"/>
              </w:rPr>
              <w:t>530,8</w:t>
            </w:r>
          </w:p>
        </w:tc>
        <w:tc>
          <w:tcPr>
            <w:tcW w:w="792" w:type="dxa"/>
            <w:shd w:val="clear" w:color="auto" w:fill="B4C6E7" w:themeFill="accent1" w:themeFillTint="66"/>
            <w:vAlign w:val="center"/>
          </w:tcPr>
          <w:p w14:paraId="451D7621" w14:textId="77777777" w:rsidR="00262896" w:rsidRPr="00AB3438" w:rsidRDefault="00262896" w:rsidP="0002297E">
            <w:pPr>
              <w:widowControl/>
              <w:spacing w:before="40" w:after="40" w:line="240" w:lineRule="auto"/>
              <w:jc w:val="center"/>
              <w:rPr>
                <w:rFonts w:ascii="Arial Nova Cond Light" w:hAnsi="Arial Nova Cond Light" w:cstheme="majorHAnsi"/>
                <w:sz w:val="16"/>
                <w:szCs w:val="16"/>
                <w:lang w:val="lv-LV"/>
              </w:rPr>
            </w:pPr>
            <w:r w:rsidRPr="00AB3438">
              <w:rPr>
                <w:rFonts w:ascii="Arial Nova Cond Light" w:eastAsia="Times New Roman" w:hAnsi="Arial Nova Cond Light" w:cstheme="minorHAnsi"/>
                <w:color w:val="000000"/>
                <w:sz w:val="16"/>
                <w:szCs w:val="16"/>
                <w:lang w:eastAsia="lv-LV"/>
              </w:rPr>
              <w:t>556,6</w:t>
            </w:r>
          </w:p>
        </w:tc>
      </w:tr>
    </w:tbl>
    <w:p w14:paraId="240D6FCB" w14:textId="77777777" w:rsidR="00262896" w:rsidRPr="00872002" w:rsidRDefault="00262896" w:rsidP="00262896">
      <w:pPr>
        <w:widowControl/>
        <w:spacing w:before="120" w:after="120" w:line="240" w:lineRule="auto"/>
        <w:jc w:val="both"/>
        <w:rPr>
          <w:rFonts w:ascii="Arial Nova Cond Light" w:hAnsi="Arial Nova Cond Light"/>
          <w:sz w:val="16"/>
          <w:szCs w:val="16"/>
          <w:lang w:val="lv-LV"/>
        </w:rPr>
      </w:pPr>
      <w:r w:rsidRPr="00872002">
        <w:rPr>
          <w:rFonts w:ascii="Arial Nova Cond Light" w:hAnsi="Arial Nova Cond Light"/>
          <w:sz w:val="16"/>
          <w:szCs w:val="16"/>
          <w:lang w:val="lv-LV"/>
        </w:rPr>
        <w:t>Avots: Eurostat</w:t>
      </w:r>
    </w:p>
    <w:p w14:paraId="32867645" w14:textId="77777777" w:rsidR="00262896" w:rsidRPr="00872002" w:rsidRDefault="00262896" w:rsidP="00262896">
      <w:pPr>
        <w:widowControl/>
        <w:spacing w:after="120" w:line="240" w:lineRule="auto"/>
        <w:jc w:val="both"/>
        <w:rPr>
          <w:rFonts w:ascii="Verdana Pro Cond Light" w:hAnsi="Verdana Pro Cond Light"/>
          <w:lang w:val="lv-LV"/>
        </w:rPr>
      </w:pPr>
    </w:p>
    <w:p w14:paraId="6B73FF65" w14:textId="77777777" w:rsidR="00262896" w:rsidRPr="00872002" w:rsidRDefault="00262896" w:rsidP="00262896">
      <w:pPr>
        <w:widowControl/>
        <w:spacing w:after="120" w:line="240" w:lineRule="auto"/>
        <w:rPr>
          <w:rFonts w:ascii="Verdana Pro Cond Light" w:hAnsi="Verdana Pro Cond Light"/>
          <w:lang w:val="lv-LV"/>
        </w:rPr>
      </w:pPr>
      <w:r w:rsidRPr="00872002">
        <w:rPr>
          <w:rFonts w:ascii="Verdana Pro Cond Light" w:hAnsi="Verdana Pro Cond Light"/>
          <w:lang w:val="lv-LV"/>
        </w:rPr>
        <w:t xml:space="preserve">Nozaru ar vislielāko SEG emisiju apjomu nefinanšu aktīvu kopējā vērtība (neieskaitot darījumus ar nekustamo īpašumu) 2021. gadā bija 75,3 milrd. eiro un veidoja 27,2 % no nefinanšu aktīvu kopējās vērtības Latvijas tautsaimniecībā. Lielākā daļa no tiem ir lauksaimniecības nozarē (30%). Enerģētikas nozares nefinanšu aktīvu bruto vērtība veido 16,5 % </w:t>
      </w:r>
      <w:bookmarkStart w:id="34" w:name="_Hlk177612459"/>
      <w:r w:rsidRPr="00872002">
        <w:rPr>
          <w:rFonts w:ascii="Verdana Pro Cond Light" w:hAnsi="Verdana Pro Cond Light"/>
          <w:lang w:val="lv-LV"/>
        </w:rPr>
        <w:t>no SEG intensīvo nozaru nefinanšu aktīviem</w:t>
      </w:r>
      <w:bookmarkEnd w:id="34"/>
      <w:r w:rsidRPr="00872002">
        <w:rPr>
          <w:rFonts w:ascii="Verdana Pro Cond Light" w:hAnsi="Verdana Pro Cond Light"/>
          <w:lang w:val="lv-LV"/>
        </w:rPr>
        <w:t>; transporta un apstrādes rūpniecības nozaru daļa ir attiecīgi 22,6 % un 22,5 %, bet komunālās saimniecības nozarei – 8,3 % no SEG intensīvo nozaru kopējiem nefinanšu aktīviem.</w:t>
      </w:r>
    </w:p>
    <w:p w14:paraId="5C19A6B9" w14:textId="77777777" w:rsidR="00262896" w:rsidRPr="00872002" w:rsidRDefault="00262896" w:rsidP="00262896">
      <w:pPr>
        <w:widowControl/>
        <w:spacing w:after="120" w:line="240" w:lineRule="auto"/>
        <w:rPr>
          <w:rFonts w:ascii="Verdana Pro Cond Light" w:hAnsi="Verdana Pro Cond Light"/>
          <w:lang w:val="lv-LV"/>
        </w:rPr>
      </w:pPr>
      <w:r w:rsidRPr="00872002">
        <w:rPr>
          <w:rFonts w:ascii="Verdana Pro Cond Light" w:hAnsi="Verdana Pro Cond Light"/>
          <w:lang w:val="lv-LV"/>
        </w:rPr>
        <w:t>Laika periodā no 2010. līdz 2021. gadam minētajās nozarēs investīciju apjoms nefinanšu aktīvos sasniedza 25,3 miljrd. eiro, t.i. 34% no SEG intensīvo nozaru nefinanšu aktīvu bruto vērtības 2021. gadā un veidoja vidēji 33 % no šo nozaru pievienotās vērtības, kas ir nedaudz augstāks līmenis nekā tautsaimniecībā kopumā. Tomēr tikai daļa no šiem ieguldījumiem ir uzskatāmi par “zaļajām investīcijām”.</w:t>
      </w:r>
    </w:p>
    <w:p w14:paraId="5F1DE9BC" w14:textId="77777777" w:rsidR="00262896" w:rsidRPr="00872002" w:rsidRDefault="00262896" w:rsidP="00262896">
      <w:pPr>
        <w:widowControl/>
        <w:spacing w:after="120" w:line="240" w:lineRule="auto"/>
        <w:rPr>
          <w:rFonts w:ascii="Verdana Pro Cond Light" w:hAnsi="Verdana Pro Cond Light"/>
          <w:lang w:val="lv-LV"/>
        </w:rPr>
      </w:pPr>
      <w:r w:rsidRPr="00872002">
        <w:rPr>
          <w:rFonts w:ascii="Verdana Pro Cond Light" w:hAnsi="Verdana Pro Cond Light"/>
          <w:lang w:val="lv-LV"/>
        </w:rPr>
        <w:t>Investīciju struktūra nefinanšu aktīvu griezumā ir atšķirīga un to lielā mērā nosaka uzkrāto nefinanšu aktīvu struktūra.</w:t>
      </w:r>
    </w:p>
    <w:p w14:paraId="199CCC08" w14:textId="77777777" w:rsidR="00262896" w:rsidRPr="00872002" w:rsidRDefault="00262896" w:rsidP="00262896">
      <w:pPr>
        <w:widowControl/>
        <w:spacing w:after="160" w:line="240" w:lineRule="auto"/>
        <w:rPr>
          <w:rFonts w:ascii="Verdana Pro Cond Light" w:hAnsi="Verdana Pro Cond Light"/>
          <w:lang w:val="lv-LV"/>
        </w:rPr>
      </w:pPr>
      <w:r w:rsidRPr="00872002">
        <w:rPr>
          <w:rFonts w:ascii="Verdana Pro Cond Light" w:hAnsi="Verdana Pro Cond Light"/>
          <w:lang w:val="lv-LV"/>
        </w:rPr>
        <w:lastRenderedPageBreak/>
        <w:br w:type="page"/>
      </w:r>
    </w:p>
    <w:p w14:paraId="2F4C169D" w14:textId="77777777" w:rsidR="00262896" w:rsidRPr="00872002" w:rsidRDefault="00262896" w:rsidP="00262896">
      <w:pPr>
        <w:widowControl/>
        <w:spacing w:before="120" w:after="120" w:line="240" w:lineRule="auto"/>
        <w:jc w:val="right"/>
        <w:rPr>
          <w:rFonts w:ascii="Verdana Pro Cond Light" w:hAnsi="Verdana Pro Cond Light"/>
          <w:lang w:val="lv-LV"/>
        </w:rPr>
      </w:pPr>
      <w:r w:rsidRPr="00872002">
        <w:rPr>
          <w:rFonts w:ascii="Verdana Pro Cond Light" w:hAnsi="Verdana Pro Cond Light"/>
          <w:lang w:val="lv-LV"/>
        </w:rPr>
        <w:lastRenderedPageBreak/>
        <w:t>5.8. attēls</w:t>
      </w:r>
    </w:p>
    <w:p w14:paraId="150C585C" w14:textId="77777777" w:rsidR="00262896" w:rsidRDefault="00262896" w:rsidP="00262896">
      <w:pPr>
        <w:widowControl/>
        <w:spacing w:after="0" w:line="240" w:lineRule="auto"/>
        <w:jc w:val="center"/>
        <w:rPr>
          <w:rFonts w:ascii="Verdana Pro Cond Light" w:hAnsi="Verdana Pro Cond Light"/>
          <w:b/>
          <w:bCs/>
          <w:lang w:val="lv-LV"/>
        </w:rPr>
      </w:pPr>
      <w:r w:rsidRPr="00872002">
        <w:rPr>
          <w:rFonts w:ascii="Verdana Pro Cond Light" w:hAnsi="Verdana Pro Cond Light"/>
          <w:b/>
          <w:bCs/>
          <w:lang w:val="lv-LV"/>
        </w:rPr>
        <w:t>Nefinanšu aktīvu un investīciju struktūra SEG intensīvajās nozarēs</w:t>
      </w:r>
    </w:p>
    <w:p w14:paraId="15A6744D" w14:textId="77777777" w:rsidR="00262896" w:rsidRDefault="00262896" w:rsidP="00262896">
      <w:pPr>
        <w:widowControl/>
        <w:tabs>
          <w:tab w:val="center" w:pos="2410"/>
          <w:tab w:val="center" w:pos="7230"/>
        </w:tabs>
        <w:spacing w:after="120" w:line="240" w:lineRule="auto"/>
        <w:rPr>
          <w:rFonts w:ascii="Verdana Pro Cond Light" w:hAnsi="Verdana Pro Cond Light"/>
          <w:sz w:val="18"/>
          <w:szCs w:val="18"/>
          <w:lang w:val="lv-LV"/>
        </w:rPr>
      </w:pPr>
      <w:r>
        <w:rPr>
          <w:rFonts w:ascii="Verdana Pro Cond Light" w:hAnsi="Verdana Pro Cond Light"/>
          <w:sz w:val="18"/>
          <w:szCs w:val="18"/>
          <w:lang w:val="lv-LV"/>
        </w:rPr>
        <w:tab/>
        <w:t>N</w:t>
      </w:r>
      <w:r w:rsidRPr="00872002">
        <w:rPr>
          <w:rFonts w:ascii="Verdana Pro Cond Light" w:hAnsi="Verdana Pro Cond Light"/>
          <w:sz w:val="18"/>
          <w:szCs w:val="18"/>
          <w:lang w:val="lv-LV"/>
        </w:rPr>
        <w:t>efinanšu aktīvu struktūra (%)</w:t>
      </w:r>
      <w:r w:rsidRPr="00872002">
        <w:rPr>
          <w:rFonts w:ascii="Verdana Pro Cond Light" w:hAnsi="Verdana Pro Cond Light"/>
          <w:sz w:val="18"/>
          <w:szCs w:val="18"/>
          <w:lang w:val="lv-LV"/>
        </w:rPr>
        <w:tab/>
      </w:r>
      <w:r>
        <w:rPr>
          <w:rFonts w:ascii="Verdana Pro Cond Light" w:hAnsi="Verdana Pro Cond Light"/>
          <w:sz w:val="18"/>
          <w:szCs w:val="18"/>
          <w:lang w:val="lv-LV"/>
        </w:rPr>
        <w:t>I</w:t>
      </w:r>
      <w:r w:rsidRPr="00872002">
        <w:rPr>
          <w:rFonts w:ascii="Verdana Pro Cond Light" w:hAnsi="Verdana Pro Cond Light"/>
          <w:sz w:val="18"/>
          <w:szCs w:val="18"/>
          <w:lang w:val="lv-LV"/>
        </w:rPr>
        <w:t>nvestīciju struktūra (%)</w:t>
      </w:r>
    </w:p>
    <w:p w14:paraId="2DC86E43" w14:textId="77777777" w:rsidR="00262896" w:rsidRPr="00872002" w:rsidRDefault="00262896" w:rsidP="00262896">
      <w:pPr>
        <w:widowControl/>
        <w:tabs>
          <w:tab w:val="center" w:pos="2410"/>
          <w:tab w:val="center" w:pos="7230"/>
        </w:tabs>
        <w:spacing w:after="120" w:line="240" w:lineRule="auto"/>
        <w:rPr>
          <w:rFonts w:ascii="Verdana Pro Cond Light" w:hAnsi="Verdana Pro Cond Light"/>
          <w:sz w:val="18"/>
          <w:szCs w:val="18"/>
          <w:lang w:val="lv-LV"/>
        </w:rPr>
      </w:pPr>
      <w:r>
        <w:rPr>
          <w:noProof/>
          <w:color w:val="FF0000"/>
        </w:rPr>
        <w:drawing>
          <wp:inline distT="0" distB="0" distL="0" distR="0" wp14:anchorId="46FCC420" wp14:editId="69FCDDCF">
            <wp:extent cx="3060000" cy="2160000"/>
            <wp:effectExtent l="0" t="0" r="0" b="0"/>
            <wp:docPr id="1331490138"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Pr>
          <w:noProof/>
          <w:color w:val="FF0000"/>
        </w:rPr>
        <w:drawing>
          <wp:inline distT="0" distB="0" distL="0" distR="0" wp14:anchorId="24D63467" wp14:editId="48A523F7">
            <wp:extent cx="3060000" cy="2160000"/>
            <wp:effectExtent l="0" t="0" r="0" b="0"/>
            <wp:docPr id="440927427"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7D3AD455" w14:textId="77777777" w:rsidR="00262896" w:rsidRPr="00872002" w:rsidRDefault="00262896" w:rsidP="00262896">
      <w:pPr>
        <w:widowControl/>
        <w:spacing w:before="120" w:after="120" w:line="240" w:lineRule="auto"/>
        <w:jc w:val="both"/>
        <w:rPr>
          <w:rFonts w:ascii="Arial Nova Cond Light" w:hAnsi="Arial Nova Cond Light"/>
          <w:sz w:val="16"/>
          <w:szCs w:val="16"/>
          <w:lang w:val="lv-LV"/>
        </w:rPr>
      </w:pPr>
      <w:r w:rsidRPr="00872002">
        <w:rPr>
          <w:rFonts w:ascii="Arial Nova Cond Light" w:hAnsi="Arial Nova Cond Light"/>
          <w:sz w:val="16"/>
          <w:szCs w:val="16"/>
          <w:lang w:val="lv-LV"/>
        </w:rPr>
        <w:t>Avots: Eurostat</w:t>
      </w:r>
    </w:p>
    <w:p w14:paraId="54F0B278" w14:textId="77777777" w:rsidR="00262896" w:rsidRPr="00D94ED0" w:rsidRDefault="00262896" w:rsidP="00262896">
      <w:pPr>
        <w:widowControl/>
        <w:spacing w:after="120" w:line="240" w:lineRule="auto"/>
        <w:jc w:val="both"/>
        <w:rPr>
          <w:rFonts w:ascii="Verdana Pro Cond Light" w:hAnsi="Verdana Pro Cond Light"/>
          <w:lang w:val="lv-LV"/>
        </w:rPr>
      </w:pPr>
    </w:p>
    <w:p w14:paraId="30FB8D85" w14:textId="77777777" w:rsidR="00262896" w:rsidRDefault="00262896" w:rsidP="00262896">
      <w:pPr>
        <w:widowControl/>
        <w:spacing w:before="120" w:after="120" w:line="240" w:lineRule="auto"/>
        <w:jc w:val="both"/>
        <w:rPr>
          <w:rFonts w:ascii="Verdana Pro Cond Light" w:hAnsi="Verdana Pro Cond Light"/>
          <w:lang w:val="lv-LV"/>
        </w:rPr>
      </w:pPr>
      <w:r w:rsidRPr="00D94ED0">
        <w:rPr>
          <w:rFonts w:ascii="Verdana Pro Cond Light" w:hAnsi="Verdana Pro Cond Light"/>
          <w:lang w:val="lv-LV"/>
        </w:rPr>
        <w:t>Kā redzams 5.8. attēlā visās nozarēs augsta investēšanas intensitāte bija ražošana aktīvos (citas mašīnas un iekārtās). Ieguldījumi šajos aktīvos kopumā SEG intensīvajās nozarēs veidoja 40,4 % (apstrādes rūpniecībā 61 %) no kopējām investīcijām. Transporta nozarē augstāka investīciju aktivitāte (investīciju attiecības pret uzkrāto aktīvu vērtību) bija transportlīdzekļos – 36 % no kopējām investīcijām. Protams, makro līmeņa dati par investīciju apjomu un to intensitāti neatklāj šo ieguldījumu mērķi un pienesumu nozares dekarbonizācijai. Vienlaikus ir jāatzīmē, ka piecas SEG intensīvās nozares nodrošināja 94% no visa SEG emisiju samazināja tautsaimniecības nozarēs kopā kopš 2010. gada.</w:t>
      </w:r>
    </w:p>
    <w:p w14:paraId="3D70FEAF" w14:textId="77777777" w:rsidR="00262896" w:rsidRDefault="00262896" w:rsidP="00262896">
      <w:pPr>
        <w:widowControl/>
        <w:spacing w:after="120" w:line="240" w:lineRule="auto"/>
        <w:jc w:val="both"/>
        <w:rPr>
          <w:rFonts w:ascii="Verdana Pro Cond Light" w:hAnsi="Verdana Pro Cond Light"/>
          <w:lang w:val="lv-LV"/>
        </w:rPr>
      </w:pPr>
      <w:r w:rsidRPr="00D94ED0">
        <w:rPr>
          <w:rFonts w:ascii="Verdana Pro Cond Light" w:hAnsi="Verdana Pro Cond Light"/>
          <w:lang w:val="lv-LV"/>
        </w:rPr>
        <w:t>Tāpēc arī nākamajos gados klimata neitralitātes mērķu sasniegšana būtiski būs atkarīga no investēšanas mērķiem un aktivitātēm enerģētikas, apstrādes rūpniecības, transporta, lauksaimniecības un atkritumu apsaimniekošanas nozarēs.</w:t>
      </w:r>
    </w:p>
    <w:p w14:paraId="32E75179" w14:textId="77777777" w:rsidR="00262896" w:rsidRPr="00D94ED0" w:rsidRDefault="00262896" w:rsidP="00262896">
      <w:pPr>
        <w:widowControl/>
        <w:spacing w:after="120" w:line="240" w:lineRule="auto"/>
        <w:rPr>
          <w:rFonts w:ascii="Verdana Pro Cond Light" w:hAnsi="Verdana Pro Cond Light"/>
          <w:b/>
          <w:bCs/>
          <w:lang w:val="lv-LV"/>
        </w:rPr>
      </w:pPr>
    </w:p>
    <w:p w14:paraId="6F2D56E3" w14:textId="77777777" w:rsidR="00262896" w:rsidRPr="00D94ED0" w:rsidRDefault="00262896" w:rsidP="00262896">
      <w:pPr>
        <w:widowControl/>
        <w:spacing w:after="120" w:line="240" w:lineRule="auto"/>
        <w:jc w:val="both"/>
        <w:rPr>
          <w:rFonts w:ascii="Verdana Pro Cond Light" w:hAnsi="Verdana Pro Cond Light"/>
          <w:b/>
          <w:bCs/>
          <w:lang w:val="lv-LV"/>
        </w:rPr>
      </w:pPr>
      <w:r w:rsidRPr="00D94ED0">
        <w:rPr>
          <w:rFonts w:ascii="Verdana Pro Cond Light" w:hAnsi="Verdana Pro Cond Light"/>
          <w:b/>
          <w:bCs/>
          <w:lang w:val="lv-LV"/>
        </w:rPr>
        <w:t>Mērķa scenārija teorētiski iespējamie investīciju apjomi</w:t>
      </w:r>
    </w:p>
    <w:p w14:paraId="396B2AB1" w14:textId="77777777" w:rsidR="00262896" w:rsidRPr="00D94ED0" w:rsidRDefault="00262896" w:rsidP="00262896">
      <w:pPr>
        <w:widowControl/>
        <w:spacing w:after="120" w:line="240" w:lineRule="auto"/>
        <w:jc w:val="both"/>
        <w:rPr>
          <w:rFonts w:ascii="Verdana Pro Cond Light" w:hAnsi="Verdana Pro Cond Light"/>
          <w:lang w:val="lv-LV"/>
        </w:rPr>
      </w:pPr>
      <w:r w:rsidRPr="00D94ED0">
        <w:rPr>
          <w:rFonts w:ascii="Verdana Pro Cond Light" w:hAnsi="Verdana Pro Cond Light"/>
          <w:lang w:val="lv-LV"/>
        </w:rPr>
        <w:t>No 2020. – 2023. gadam ik gadu ieguldījumi bruto pamatkapitāla veidošanā bija nedaudz vairāk kā 8 miljardi EUR faktiskajās cenās, jeb caurmērā 22,7 % no IKP. Tas ir nedaudz augstāks rādītājs nekā vidēji ES valstīs šajā pašā laika periodā (22 % no IKP) (skatīt 5.9. attēlu).</w:t>
      </w:r>
    </w:p>
    <w:p w14:paraId="0B87BBC1" w14:textId="4505367B" w:rsidR="009D1FC5" w:rsidRPr="00D94ED0" w:rsidRDefault="001D5EB4" w:rsidP="00BD73D7">
      <w:pPr>
        <w:widowControl/>
        <w:spacing w:before="120" w:after="120" w:line="240" w:lineRule="auto"/>
        <w:jc w:val="right"/>
        <w:rPr>
          <w:rFonts w:ascii="Verdana Pro Cond Light" w:hAnsi="Verdana Pro Cond Light"/>
          <w:lang w:val="lv-LV"/>
        </w:rPr>
      </w:pPr>
      <w:r w:rsidRPr="00D94ED0">
        <w:rPr>
          <w:rFonts w:ascii="Verdana Pro Cond Light" w:hAnsi="Verdana Pro Cond Light"/>
          <w:lang w:val="lv-LV"/>
        </w:rPr>
        <w:t>5</w:t>
      </w:r>
      <w:r w:rsidR="009D1FC5" w:rsidRPr="00D94ED0">
        <w:rPr>
          <w:rFonts w:ascii="Verdana Pro Cond Light" w:hAnsi="Verdana Pro Cond Light"/>
          <w:lang w:val="lv-LV"/>
        </w:rPr>
        <w:t>.9. attēls</w:t>
      </w:r>
    </w:p>
    <w:p w14:paraId="6CB6DCF5" w14:textId="1E53C3A8" w:rsidR="009D1FC5" w:rsidRDefault="009D1FC5" w:rsidP="00D94ED0">
      <w:pPr>
        <w:widowControl/>
        <w:spacing w:after="0" w:line="240" w:lineRule="auto"/>
        <w:jc w:val="center"/>
        <w:rPr>
          <w:rFonts w:ascii="Verdana Pro Cond Light" w:hAnsi="Verdana Pro Cond Light"/>
          <w:sz w:val="18"/>
          <w:szCs w:val="20"/>
          <w:lang w:val="lv-LV"/>
        </w:rPr>
      </w:pPr>
      <w:r w:rsidRPr="00D94ED0">
        <w:rPr>
          <w:rFonts w:ascii="Verdana Pro Cond Light" w:hAnsi="Verdana Pro Cond Light"/>
          <w:b/>
          <w:bCs/>
          <w:szCs w:val="24"/>
          <w:lang w:val="lv-LV"/>
        </w:rPr>
        <w:t>Izdevumi bruto pamatkapitāla veidošanai ES dalībvalstīs</w:t>
      </w:r>
      <w:r w:rsidR="00D94ED0">
        <w:rPr>
          <w:rFonts w:ascii="Verdana Pro Cond Light" w:hAnsi="Verdana Pro Cond Light"/>
          <w:b/>
          <w:bCs/>
          <w:szCs w:val="24"/>
          <w:lang w:val="lv-LV"/>
        </w:rPr>
        <w:br/>
      </w:r>
      <w:r w:rsidRPr="00D94ED0">
        <w:rPr>
          <w:rFonts w:ascii="Verdana Pro Cond Light" w:hAnsi="Verdana Pro Cond Light"/>
          <w:sz w:val="18"/>
          <w:szCs w:val="20"/>
          <w:lang w:val="lv-LV"/>
        </w:rPr>
        <w:t xml:space="preserve">No 1995. līdz 2023.gadam % no IKP </w:t>
      </w:r>
    </w:p>
    <w:p w14:paraId="3FE2AE17" w14:textId="1A801390" w:rsidR="00D94ED0" w:rsidRDefault="00D94ED0" w:rsidP="00D94ED0">
      <w:pPr>
        <w:widowControl/>
        <w:tabs>
          <w:tab w:val="center" w:pos="2410"/>
          <w:tab w:val="center" w:pos="7230"/>
        </w:tabs>
        <w:spacing w:after="120" w:line="240" w:lineRule="auto"/>
        <w:rPr>
          <w:rFonts w:ascii="Verdana Pro Cond Light" w:hAnsi="Verdana Pro Cond Light"/>
          <w:sz w:val="18"/>
          <w:szCs w:val="20"/>
          <w:lang w:val="lv-LV"/>
        </w:rPr>
      </w:pPr>
      <w:r>
        <w:rPr>
          <w:rFonts w:ascii="Verdana Pro Cond Light" w:hAnsi="Verdana Pro Cond Light"/>
          <w:sz w:val="18"/>
          <w:szCs w:val="20"/>
          <w:lang w:val="lv-LV"/>
        </w:rPr>
        <w:tab/>
        <w:t>Visas dalībvalstis</w:t>
      </w:r>
      <w:r>
        <w:rPr>
          <w:rFonts w:ascii="Verdana Pro Cond Light" w:hAnsi="Verdana Pro Cond Light"/>
          <w:sz w:val="18"/>
          <w:szCs w:val="20"/>
          <w:lang w:val="lv-LV"/>
        </w:rPr>
        <w:tab/>
        <w:t>V</w:t>
      </w:r>
      <w:r w:rsidRPr="00D94ED0">
        <w:rPr>
          <w:rFonts w:ascii="Verdana Pro Cond Light" w:hAnsi="Verdana Pro Cond Light"/>
          <w:sz w:val="18"/>
          <w:szCs w:val="20"/>
          <w:lang w:val="lv-LV"/>
        </w:rPr>
        <w:t>isas es dalībvalstis, izņemot īriju un grieķiju</w:t>
      </w:r>
    </w:p>
    <w:p w14:paraId="1B3F7933" w14:textId="24779ED8" w:rsidR="00D94ED0" w:rsidRPr="00D94ED0" w:rsidRDefault="00D94ED0" w:rsidP="00CE4FA7">
      <w:pPr>
        <w:widowControl/>
        <w:tabs>
          <w:tab w:val="center" w:pos="2410"/>
          <w:tab w:val="center" w:pos="7230"/>
        </w:tabs>
        <w:spacing w:after="120" w:line="240" w:lineRule="auto"/>
        <w:ind w:right="-143"/>
        <w:rPr>
          <w:rFonts w:ascii="Verdana Pro Cond Light" w:hAnsi="Verdana Pro Cond Light"/>
          <w:sz w:val="18"/>
          <w:szCs w:val="20"/>
          <w:lang w:val="lv-LV"/>
        </w:rPr>
      </w:pPr>
      <w:r w:rsidRPr="00D94ED0">
        <w:rPr>
          <w:rFonts w:ascii="Verdana Pro Cond Light" w:hAnsi="Verdana Pro Cond Light"/>
          <w:b/>
          <w:bCs/>
          <w:noProof/>
          <w:sz w:val="24"/>
          <w:szCs w:val="24"/>
          <w14:ligatures w14:val="standardContextual"/>
        </w:rPr>
        <w:drawing>
          <wp:inline distT="0" distB="0" distL="0" distR="0" wp14:anchorId="30634557" wp14:editId="1B7771EA">
            <wp:extent cx="3060000" cy="2160000"/>
            <wp:effectExtent l="0" t="0" r="0" b="0"/>
            <wp:docPr id="200852510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00CE4FA7" w:rsidRPr="00D94ED0">
        <w:rPr>
          <w:rFonts w:ascii="Verdana Pro Cond Light" w:hAnsi="Verdana Pro Cond Light"/>
          <w:b/>
          <w:bCs/>
          <w:noProof/>
          <w:sz w:val="24"/>
          <w:szCs w:val="24"/>
          <w14:ligatures w14:val="standardContextual"/>
        </w:rPr>
        <w:drawing>
          <wp:inline distT="0" distB="0" distL="0" distR="0" wp14:anchorId="1C1599D1" wp14:editId="7CEBFB37">
            <wp:extent cx="3060000" cy="2160000"/>
            <wp:effectExtent l="0" t="0" r="0" b="0"/>
            <wp:docPr id="109965044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bookmarkEnd w:id="5"/>
    <w:p w14:paraId="1CE181DE" w14:textId="6FA4A305" w:rsidR="00262896" w:rsidRPr="00CE4FA7" w:rsidRDefault="00262896" w:rsidP="00262896">
      <w:pPr>
        <w:widowControl/>
        <w:spacing w:before="120" w:after="120" w:line="240" w:lineRule="auto"/>
        <w:rPr>
          <w:rFonts w:ascii="Verdana Pro Cond Light" w:hAnsi="Verdana Pro Cond Light"/>
          <w:lang w:val="lv-LV"/>
        </w:rPr>
      </w:pPr>
      <w:r w:rsidRPr="00CE4FA7">
        <w:rPr>
          <w:rFonts w:ascii="Verdana Pro Cond Light" w:hAnsi="Verdana Pro Cond Light"/>
          <w:lang w:val="lv-LV"/>
        </w:rPr>
        <w:lastRenderedPageBreak/>
        <w:t>Vērtējot ES valstu ekonomikās veikto investīciju apjomu iepriekšējos gados īpaši izceļas Īrija, kur, piemēram, bruto pamatkapitāla veidošanai ieguldījumi 2019. un 2020. gadā pārsniedza attiecīgi 50% un 40% no IKP, bet kas vairāk bija saistīts ar multinacionālu, starptautisku uzņēmumu globālā mēroga darbības iegrāmatošanu Īrijas nacionālajos kontos. Otra galējība ir Grieķija, kas turpina izjust globālās finanšu krīzes sekas, jo atsevišķos gados ieguldījumi bruto pamatkapitāla veidošanā bija vien nedaudz vairāk nekā 10% no IKP. Izslēdzot abus šos robežgadījumus, var secināt, ka caurmērā kopš 2000.gada vidēji ES valstīs ieguldījumi bruto pamatkapitāla veidošanai jeb investīcijas veidoja no 17 līdz 30% no IKP (skatīt 5.9. attēlu).</w:t>
      </w:r>
    </w:p>
    <w:p w14:paraId="123FDCEB" w14:textId="77777777" w:rsidR="00262896" w:rsidRPr="00CE4FA7" w:rsidRDefault="00262896" w:rsidP="00262896">
      <w:pPr>
        <w:widowControl/>
        <w:spacing w:after="160" w:line="240" w:lineRule="auto"/>
        <w:rPr>
          <w:rFonts w:ascii="Verdana Pro Cond Light" w:hAnsi="Verdana Pro Cond Light"/>
          <w:lang w:val="lv-LV"/>
        </w:rPr>
      </w:pPr>
      <w:r w:rsidRPr="00CE4FA7">
        <w:rPr>
          <w:rFonts w:ascii="Verdana Pro Cond Light" w:hAnsi="Verdana Pro Cond Light"/>
          <w:lang w:val="lv-LV"/>
        </w:rPr>
        <w:t>Savukārt Latvijas ekonomikā investīcijas tuvu 30 % no IKP bija vienīgi straujās izaugsmes periodā no 2005. līdz 2007. gadam (vidēji periodā 33,7 % no IKP). Tomēr jāņem vērā, ka būtiskais investīciju pieaugums tika panākts lielā mērā uz nekustamo īpašumu pirkšanas un pārdošanas rēķina un ievērojami mazākā mērā uz ieguldījumiem tehnoloģijās un iekārtās. Papildus tam straujo investīciju kāpumu uzturēja ļoti straujais kreditēšanas apjomu kāpums, kas gala rezultātā radīja ekonomikas nesabalansētību, pārkaršanu un tam sekojošo krīzi.</w:t>
      </w:r>
    </w:p>
    <w:p w14:paraId="370AF0D9" w14:textId="77777777" w:rsidR="00262896" w:rsidRPr="00CE4FA7" w:rsidRDefault="00262896" w:rsidP="00262896">
      <w:pPr>
        <w:widowControl/>
        <w:spacing w:after="160" w:line="240" w:lineRule="auto"/>
        <w:rPr>
          <w:rFonts w:ascii="Verdana Pro Cond Light" w:hAnsi="Verdana Pro Cond Light"/>
          <w:lang w:val="lv-LV"/>
        </w:rPr>
      </w:pPr>
      <w:r w:rsidRPr="00CE4FA7">
        <w:rPr>
          <w:rFonts w:ascii="Verdana Pro Cond Light" w:hAnsi="Verdana Pro Cond Light"/>
          <w:lang w:val="lv-LV"/>
        </w:rPr>
        <w:t>Ņemot vērā vēsturiskos datus par ES valstīm un Latvijas pieredzi, var secināt, ka Ekonomikas izaugsmes mērķa scenārijā noteiktais investīciju apjoms – 25 % no IKP ir optimāls. Atbilstoši šim pieņēmumam ir aprēķināti iespējamie investīciju apjomi ekonomikas mērķa izaugsmes scenārijam  (skat. 5.4. tabulu).</w:t>
      </w:r>
    </w:p>
    <w:p w14:paraId="39C687A1" w14:textId="48D16776" w:rsidR="00262896" w:rsidRPr="00CE4FA7" w:rsidRDefault="00262896" w:rsidP="00262896">
      <w:pPr>
        <w:widowControl/>
        <w:spacing w:after="160" w:line="240" w:lineRule="auto"/>
        <w:jc w:val="right"/>
        <w:rPr>
          <w:rFonts w:ascii="Verdana Pro Cond Light" w:hAnsi="Verdana Pro Cond Light"/>
          <w:lang w:val="lv-LV"/>
        </w:rPr>
      </w:pPr>
      <w:r w:rsidRPr="00CE4FA7">
        <w:rPr>
          <w:rFonts w:ascii="Verdana Pro Cond Light" w:hAnsi="Verdana Pro Cond Light"/>
          <w:lang w:val="lv-LV"/>
        </w:rPr>
        <w:t>5.4. tabula</w:t>
      </w:r>
    </w:p>
    <w:p w14:paraId="104DFA51" w14:textId="77777777" w:rsidR="00262896" w:rsidRDefault="00262896" w:rsidP="00262896">
      <w:pPr>
        <w:widowControl/>
        <w:spacing w:before="120" w:after="120" w:line="240" w:lineRule="auto"/>
        <w:jc w:val="center"/>
        <w:rPr>
          <w:rFonts w:ascii="Verdana Pro Cond Light" w:hAnsi="Verdana Pro Cond Light"/>
          <w:sz w:val="18"/>
          <w:szCs w:val="18"/>
          <w:lang w:val="lv-LV"/>
        </w:rPr>
      </w:pPr>
      <w:r w:rsidRPr="00CE4FA7">
        <w:rPr>
          <w:rFonts w:ascii="Verdana Pro Cond Light" w:hAnsi="Verdana Pro Cond Light"/>
          <w:b/>
          <w:bCs/>
          <w:lang w:val="lv-LV"/>
        </w:rPr>
        <w:t>Potenciālais investīciju apjoms ekonomikas izaugsmes mērķa scenārijā</w:t>
      </w:r>
      <w:r>
        <w:rPr>
          <w:rFonts w:ascii="Verdana Pro Cond Light" w:hAnsi="Verdana Pro Cond Light"/>
          <w:b/>
          <w:bCs/>
          <w:lang w:val="lv-LV"/>
        </w:rPr>
        <w:br/>
      </w:r>
      <w:r w:rsidRPr="00CE4FA7">
        <w:rPr>
          <w:rFonts w:ascii="Verdana Pro Cond Light" w:hAnsi="Verdana Pro Cond Light"/>
          <w:sz w:val="18"/>
          <w:szCs w:val="18"/>
          <w:lang w:val="lv-LV"/>
        </w:rPr>
        <w:t>miljardos EUR</w:t>
      </w:r>
    </w:p>
    <w:tbl>
      <w:tblPr>
        <w:tblStyle w:val="TableGrid"/>
        <w:tblW w:w="963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568"/>
        <w:gridCol w:w="567"/>
        <w:gridCol w:w="566"/>
        <w:gridCol w:w="566"/>
        <w:gridCol w:w="566"/>
        <w:gridCol w:w="566"/>
        <w:gridCol w:w="566"/>
        <w:gridCol w:w="566"/>
        <w:gridCol w:w="566"/>
        <w:gridCol w:w="580"/>
        <w:gridCol w:w="580"/>
        <w:gridCol w:w="580"/>
      </w:tblGrid>
      <w:tr w:rsidR="00262896" w:rsidRPr="00CE4FA7" w14:paraId="71883776" w14:textId="77777777" w:rsidTr="0002297E">
        <w:trPr>
          <w:cantSplit/>
          <w:trHeight w:val="20"/>
          <w:jc w:val="center"/>
        </w:trPr>
        <w:tc>
          <w:tcPr>
            <w:tcW w:w="2835" w:type="dxa"/>
            <w:shd w:val="clear" w:color="auto" w:fill="4472C4" w:themeFill="accent1"/>
            <w:vAlign w:val="center"/>
          </w:tcPr>
          <w:p w14:paraId="1A88AC33" w14:textId="77777777" w:rsidR="00262896" w:rsidRPr="00CE4FA7" w:rsidRDefault="00262896" w:rsidP="0002297E">
            <w:pPr>
              <w:widowControl/>
              <w:spacing w:before="40" w:after="40" w:line="240" w:lineRule="auto"/>
              <w:jc w:val="center"/>
              <w:rPr>
                <w:rFonts w:asciiTheme="majorHAnsi" w:hAnsiTheme="majorHAnsi" w:cstheme="majorHAnsi"/>
                <w:b/>
                <w:bCs/>
                <w:color w:val="FFFFFF" w:themeColor="background1"/>
                <w:sz w:val="16"/>
                <w:szCs w:val="16"/>
                <w:lang w:val="lv-LV"/>
              </w:rPr>
            </w:pPr>
          </w:p>
        </w:tc>
        <w:tc>
          <w:tcPr>
            <w:tcW w:w="567" w:type="dxa"/>
            <w:shd w:val="clear" w:color="auto" w:fill="4472C4" w:themeFill="accent1"/>
            <w:vAlign w:val="center"/>
          </w:tcPr>
          <w:p w14:paraId="0842F1E7" w14:textId="77777777" w:rsidR="00262896" w:rsidRPr="00CE4FA7" w:rsidRDefault="00262896" w:rsidP="0002297E">
            <w:pPr>
              <w:widowControl/>
              <w:spacing w:before="40" w:after="40" w:line="240" w:lineRule="auto"/>
              <w:jc w:val="center"/>
              <w:rPr>
                <w:rFonts w:asciiTheme="majorHAnsi" w:hAnsiTheme="majorHAnsi" w:cstheme="majorHAnsi"/>
                <w:b/>
                <w:bCs/>
                <w:color w:val="FFFFFF" w:themeColor="background1"/>
                <w:sz w:val="16"/>
                <w:szCs w:val="16"/>
                <w:lang w:val="lv-LV"/>
              </w:rPr>
            </w:pPr>
            <w:r w:rsidRPr="00CE4FA7">
              <w:rPr>
                <w:rFonts w:asciiTheme="majorHAnsi" w:hAnsiTheme="majorHAnsi" w:cstheme="majorHAnsi"/>
                <w:b/>
                <w:bCs/>
                <w:color w:val="FFFFFF" w:themeColor="background1"/>
                <w:sz w:val="16"/>
                <w:szCs w:val="16"/>
                <w:lang w:val="lv-LV"/>
              </w:rPr>
              <w:t>2000</w:t>
            </w:r>
          </w:p>
        </w:tc>
        <w:tc>
          <w:tcPr>
            <w:tcW w:w="567" w:type="dxa"/>
            <w:shd w:val="clear" w:color="auto" w:fill="4472C4" w:themeFill="accent1"/>
            <w:vAlign w:val="center"/>
          </w:tcPr>
          <w:p w14:paraId="0B46E870" w14:textId="77777777" w:rsidR="00262896" w:rsidRPr="00CE4FA7" w:rsidRDefault="00262896" w:rsidP="0002297E">
            <w:pPr>
              <w:widowControl/>
              <w:spacing w:before="40" w:after="40" w:line="240" w:lineRule="auto"/>
              <w:jc w:val="center"/>
              <w:rPr>
                <w:rFonts w:asciiTheme="majorHAnsi" w:hAnsiTheme="majorHAnsi" w:cstheme="majorHAnsi"/>
                <w:b/>
                <w:bCs/>
                <w:color w:val="FFFFFF" w:themeColor="background1"/>
                <w:sz w:val="16"/>
                <w:szCs w:val="16"/>
                <w:lang w:val="lv-LV"/>
              </w:rPr>
            </w:pPr>
            <w:r w:rsidRPr="00CE4FA7">
              <w:rPr>
                <w:rFonts w:asciiTheme="majorHAnsi" w:hAnsiTheme="majorHAnsi" w:cstheme="majorHAnsi"/>
                <w:b/>
                <w:bCs/>
                <w:color w:val="FFFFFF" w:themeColor="background1"/>
                <w:sz w:val="16"/>
                <w:szCs w:val="16"/>
                <w:lang w:val="lv-LV"/>
              </w:rPr>
              <w:t>2005</w:t>
            </w:r>
          </w:p>
        </w:tc>
        <w:tc>
          <w:tcPr>
            <w:tcW w:w="567" w:type="dxa"/>
            <w:shd w:val="clear" w:color="auto" w:fill="4472C4" w:themeFill="accent1"/>
            <w:vAlign w:val="center"/>
          </w:tcPr>
          <w:p w14:paraId="3A4FC909" w14:textId="77777777" w:rsidR="00262896" w:rsidRPr="00CE4FA7" w:rsidRDefault="00262896" w:rsidP="0002297E">
            <w:pPr>
              <w:widowControl/>
              <w:spacing w:before="40" w:after="40" w:line="240" w:lineRule="auto"/>
              <w:jc w:val="center"/>
              <w:rPr>
                <w:rFonts w:asciiTheme="majorHAnsi" w:hAnsiTheme="majorHAnsi" w:cstheme="majorHAnsi"/>
                <w:b/>
                <w:bCs/>
                <w:color w:val="FFFFFF" w:themeColor="background1"/>
                <w:sz w:val="16"/>
                <w:szCs w:val="16"/>
                <w:lang w:val="lv-LV"/>
              </w:rPr>
            </w:pPr>
            <w:r w:rsidRPr="00CE4FA7">
              <w:rPr>
                <w:rFonts w:asciiTheme="majorHAnsi" w:hAnsiTheme="majorHAnsi" w:cstheme="majorHAnsi"/>
                <w:b/>
                <w:bCs/>
                <w:color w:val="FFFFFF" w:themeColor="background1"/>
                <w:sz w:val="16"/>
                <w:szCs w:val="16"/>
                <w:lang w:val="lv-LV"/>
              </w:rPr>
              <w:t>2010</w:t>
            </w:r>
          </w:p>
        </w:tc>
        <w:tc>
          <w:tcPr>
            <w:tcW w:w="567" w:type="dxa"/>
            <w:shd w:val="clear" w:color="auto" w:fill="4472C4" w:themeFill="accent1"/>
            <w:vAlign w:val="center"/>
          </w:tcPr>
          <w:p w14:paraId="21E02887" w14:textId="77777777" w:rsidR="00262896" w:rsidRPr="00CE4FA7" w:rsidRDefault="00262896" w:rsidP="0002297E">
            <w:pPr>
              <w:widowControl/>
              <w:spacing w:before="40" w:after="40" w:line="240" w:lineRule="auto"/>
              <w:jc w:val="center"/>
              <w:rPr>
                <w:rFonts w:asciiTheme="majorHAnsi" w:hAnsiTheme="majorHAnsi" w:cstheme="majorHAnsi"/>
                <w:b/>
                <w:bCs/>
                <w:color w:val="FFFFFF" w:themeColor="background1"/>
                <w:sz w:val="16"/>
                <w:szCs w:val="16"/>
                <w:lang w:val="lv-LV"/>
              </w:rPr>
            </w:pPr>
            <w:r w:rsidRPr="00CE4FA7">
              <w:rPr>
                <w:rFonts w:asciiTheme="majorHAnsi" w:hAnsiTheme="majorHAnsi" w:cstheme="majorHAnsi"/>
                <w:b/>
                <w:bCs/>
                <w:color w:val="FFFFFF" w:themeColor="background1"/>
                <w:sz w:val="16"/>
                <w:szCs w:val="16"/>
                <w:lang w:val="lv-LV"/>
              </w:rPr>
              <w:t>2015</w:t>
            </w:r>
          </w:p>
        </w:tc>
        <w:tc>
          <w:tcPr>
            <w:tcW w:w="567" w:type="dxa"/>
            <w:shd w:val="clear" w:color="auto" w:fill="4472C4" w:themeFill="accent1"/>
            <w:vAlign w:val="center"/>
          </w:tcPr>
          <w:p w14:paraId="2F7F76BF" w14:textId="77777777" w:rsidR="00262896" w:rsidRPr="00CE4FA7" w:rsidRDefault="00262896" w:rsidP="0002297E">
            <w:pPr>
              <w:widowControl/>
              <w:spacing w:before="40" w:after="40" w:line="240" w:lineRule="auto"/>
              <w:jc w:val="center"/>
              <w:rPr>
                <w:rFonts w:asciiTheme="majorHAnsi" w:hAnsiTheme="majorHAnsi" w:cstheme="majorHAnsi"/>
                <w:b/>
                <w:bCs/>
                <w:color w:val="FFFFFF" w:themeColor="background1"/>
                <w:sz w:val="16"/>
                <w:szCs w:val="16"/>
                <w:lang w:val="lv-LV"/>
              </w:rPr>
            </w:pPr>
            <w:r w:rsidRPr="00CE4FA7">
              <w:rPr>
                <w:rFonts w:asciiTheme="majorHAnsi" w:hAnsiTheme="majorHAnsi" w:cstheme="majorHAnsi"/>
                <w:b/>
                <w:bCs/>
                <w:color w:val="FFFFFF" w:themeColor="background1"/>
                <w:sz w:val="16"/>
                <w:szCs w:val="16"/>
                <w:lang w:val="lv-LV"/>
              </w:rPr>
              <w:t>2020</w:t>
            </w:r>
          </w:p>
        </w:tc>
        <w:tc>
          <w:tcPr>
            <w:tcW w:w="567" w:type="dxa"/>
            <w:shd w:val="clear" w:color="auto" w:fill="4472C4" w:themeFill="accent1"/>
            <w:vAlign w:val="center"/>
          </w:tcPr>
          <w:p w14:paraId="47FB3D9A" w14:textId="77777777" w:rsidR="00262896" w:rsidRPr="00CE4FA7" w:rsidRDefault="00262896" w:rsidP="0002297E">
            <w:pPr>
              <w:widowControl/>
              <w:spacing w:before="40" w:after="40" w:line="240" w:lineRule="auto"/>
              <w:jc w:val="center"/>
              <w:rPr>
                <w:rFonts w:asciiTheme="majorHAnsi" w:hAnsiTheme="majorHAnsi" w:cstheme="majorHAnsi"/>
                <w:b/>
                <w:bCs/>
                <w:color w:val="FFFFFF" w:themeColor="background1"/>
                <w:sz w:val="16"/>
                <w:szCs w:val="16"/>
                <w:lang w:val="lv-LV"/>
              </w:rPr>
            </w:pPr>
            <w:r w:rsidRPr="00CE4FA7">
              <w:rPr>
                <w:rFonts w:asciiTheme="majorHAnsi" w:hAnsiTheme="majorHAnsi" w:cstheme="majorHAnsi"/>
                <w:b/>
                <w:bCs/>
                <w:color w:val="FFFFFF" w:themeColor="background1"/>
                <w:sz w:val="16"/>
                <w:szCs w:val="16"/>
                <w:lang w:val="lv-LV"/>
              </w:rPr>
              <w:t>2023</w:t>
            </w:r>
          </w:p>
        </w:tc>
        <w:tc>
          <w:tcPr>
            <w:tcW w:w="567" w:type="dxa"/>
            <w:shd w:val="clear" w:color="auto" w:fill="4472C4" w:themeFill="accent1"/>
            <w:vAlign w:val="center"/>
          </w:tcPr>
          <w:p w14:paraId="0C7709FA" w14:textId="77777777" w:rsidR="00262896" w:rsidRPr="00CE4FA7" w:rsidRDefault="00262896" w:rsidP="0002297E">
            <w:pPr>
              <w:widowControl/>
              <w:spacing w:before="40" w:after="40" w:line="240" w:lineRule="auto"/>
              <w:jc w:val="center"/>
              <w:rPr>
                <w:rFonts w:asciiTheme="majorHAnsi" w:hAnsiTheme="majorHAnsi" w:cstheme="majorHAnsi"/>
                <w:b/>
                <w:bCs/>
                <w:color w:val="FFFFFF" w:themeColor="background1"/>
                <w:sz w:val="16"/>
                <w:szCs w:val="16"/>
                <w:lang w:val="lv-LV"/>
              </w:rPr>
            </w:pPr>
            <w:r w:rsidRPr="00CE4FA7">
              <w:rPr>
                <w:rFonts w:asciiTheme="majorHAnsi" w:hAnsiTheme="majorHAnsi" w:cstheme="majorHAnsi"/>
                <w:b/>
                <w:bCs/>
                <w:color w:val="FFFFFF" w:themeColor="background1"/>
                <w:sz w:val="16"/>
                <w:szCs w:val="16"/>
                <w:lang w:val="lv-LV"/>
              </w:rPr>
              <w:t>2025</w:t>
            </w:r>
          </w:p>
        </w:tc>
        <w:tc>
          <w:tcPr>
            <w:tcW w:w="567" w:type="dxa"/>
            <w:shd w:val="clear" w:color="auto" w:fill="4472C4" w:themeFill="accent1"/>
            <w:vAlign w:val="center"/>
          </w:tcPr>
          <w:p w14:paraId="4DC664CE" w14:textId="77777777" w:rsidR="00262896" w:rsidRPr="00CE4FA7" w:rsidRDefault="00262896" w:rsidP="0002297E">
            <w:pPr>
              <w:widowControl/>
              <w:spacing w:before="40" w:after="40" w:line="240" w:lineRule="auto"/>
              <w:jc w:val="center"/>
              <w:rPr>
                <w:rFonts w:asciiTheme="majorHAnsi" w:hAnsiTheme="majorHAnsi" w:cstheme="majorHAnsi"/>
                <w:b/>
                <w:bCs/>
                <w:color w:val="FFFFFF" w:themeColor="background1"/>
                <w:sz w:val="16"/>
                <w:szCs w:val="16"/>
                <w:lang w:val="lv-LV"/>
              </w:rPr>
            </w:pPr>
            <w:r w:rsidRPr="00CE4FA7">
              <w:rPr>
                <w:rFonts w:asciiTheme="majorHAnsi" w:hAnsiTheme="majorHAnsi" w:cstheme="majorHAnsi"/>
                <w:b/>
                <w:bCs/>
                <w:color w:val="FFFFFF" w:themeColor="background1"/>
                <w:sz w:val="16"/>
                <w:szCs w:val="16"/>
                <w:lang w:val="lv-LV"/>
              </w:rPr>
              <w:t>2030</w:t>
            </w:r>
          </w:p>
        </w:tc>
        <w:tc>
          <w:tcPr>
            <w:tcW w:w="567" w:type="dxa"/>
            <w:shd w:val="clear" w:color="auto" w:fill="4472C4" w:themeFill="accent1"/>
          </w:tcPr>
          <w:p w14:paraId="4F161A63" w14:textId="77777777" w:rsidR="00262896" w:rsidRPr="00CE4FA7" w:rsidRDefault="00262896" w:rsidP="0002297E">
            <w:pPr>
              <w:widowControl/>
              <w:spacing w:before="40" w:after="40" w:line="240" w:lineRule="auto"/>
              <w:jc w:val="center"/>
              <w:rPr>
                <w:rFonts w:asciiTheme="majorHAnsi" w:hAnsiTheme="majorHAnsi" w:cstheme="majorHAnsi"/>
                <w:b/>
                <w:bCs/>
                <w:color w:val="FFFFFF" w:themeColor="background1"/>
                <w:sz w:val="16"/>
                <w:szCs w:val="16"/>
                <w:lang w:val="lv-LV"/>
              </w:rPr>
            </w:pPr>
            <w:r w:rsidRPr="00CE4FA7">
              <w:rPr>
                <w:rFonts w:asciiTheme="majorHAnsi" w:hAnsiTheme="majorHAnsi" w:cstheme="majorHAnsi"/>
                <w:b/>
                <w:bCs/>
                <w:color w:val="FFFFFF" w:themeColor="background1"/>
                <w:sz w:val="16"/>
                <w:szCs w:val="16"/>
                <w:lang w:val="lv-LV"/>
              </w:rPr>
              <w:t>2035</w:t>
            </w:r>
          </w:p>
        </w:tc>
        <w:tc>
          <w:tcPr>
            <w:tcW w:w="567" w:type="dxa"/>
            <w:shd w:val="clear" w:color="auto" w:fill="4472C4" w:themeFill="accent1"/>
          </w:tcPr>
          <w:p w14:paraId="1DFF22DB" w14:textId="77777777" w:rsidR="00262896" w:rsidRPr="00CE4FA7" w:rsidRDefault="00262896" w:rsidP="0002297E">
            <w:pPr>
              <w:widowControl/>
              <w:spacing w:before="40" w:after="40" w:line="240" w:lineRule="auto"/>
              <w:jc w:val="center"/>
              <w:rPr>
                <w:rFonts w:asciiTheme="majorHAnsi" w:hAnsiTheme="majorHAnsi" w:cstheme="majorHAnsi"/>
                <w:b/>
                <w:bCs/>
                <w:color w:val="FFFFFF" w:themeColor="background1"/>
                <w:sz w:val="16"/>
                <w:szCs w:val="16"/>
                <w:lang w:val="lv-LV"/>
              </w:rPr>
            </w:pPr>
            <w:r w:rsidRPr="00CE4FA7">
              <w:rPr>
                <w:rFonts w:asciiTheme="majorHAnsi" w:hAnsiTheme="majorHAnsi" w:cstheme="majorHAnsi"/>
                <w:b/>
                <w:bCs/>
                <w:color w:val="FFFFFF" w:themeColor="background1"/>
                <w:sz w:val="16"/>
                <w:szCs w:val="16"/>
                <w:lang w:val="lv-LV"/>
              </w:rPr>
              <w:t>2040</w:t>
            </w:r>
          </w:p>
        </w:tc>
        <w:tc>
          <w:tcPr>
            <w:tcW w:w="567" w:type="dxa"/>
            <w:shd w:val="clear" w:color="auto" w:fill="4472C4" w:themeFill="accent1"/>
          </w:tcPr>
          <w:p w14:paraId="5FE8EBB2" w14:textId="77777777" w:rsidR="00262896" w:rsidRPr="00CE4FA7" w:rsidRDefault="00262896" w:rsidP="0002297E">
            <w:pPr>
              <w:widowControl/>
              <w:spacing w:before="40" w:after="40" w:line="240" w:lineRule="auto"/>
              <w:jc w:val="center"/>
              <w:rPr>
                <w:rFonts w:asciiTheme="majorHAnsi" w:hAnsiTheme="majorHAnsi" w:cstheme="majorHAnsi"/>
                <w:b/>
                <w:bCs/>
                <w:color w:val="FFFFFF" w:themeColor="background1"/>
                <w:sz w:val="16"/>
                <w:szCs w:val="16"/>
                <w:lang w:val="lv-LV"/>
              </w:rPr>
            </w:pPr>
            <w:r w:rsidRPr="00CE4FA7">
              <w:rPr>
                <w:rFonts w:asciiTheme="majorHAnsi" w:hAnsiTheme="majorHAnsi" w:cstheme="majorHAnsi"/>
                <w:b/>
                <w:bCs/>
                <w:color w:val="FFFFFF" w:themeColor="background1"/>
                <w:sz w:val="16"/>
                <w:szCs w:val="16"/>
                <w:lang w:val="lv-LV"/>
              </w:rPr>
              <w:t>2045</w:t>
            </w:r>
          </w:p>
        </w:tc>
        <w:tc>
          <w:tcPr>
            <w:tcW w:w="567" w:type="dxa"/>
            <w:shd w:val="clear" w:color="auto" w:fill="4472C4" w:themeFill="accent1"/>
            <w:vAlign w:val="center"/>
          </w:tcPr>
          <w:p w14:paraId="05A6F817" w14:textId="77777777" w:rsidR="00262896" w:rsidRPr="00CE4FA7" w:rsidRDefault="00262896" w:rsidP="0002297E">
            <w:pPr>
              <w:widowControl/>
              <w:spacing w:before="40" w:after="40" w:line="240" w:lineRule="auto"/>
              <w:jc w:val="center"/>
              <w:rPr>
                <w:rFonts w:asciiTheme="majorHAnsi" w:hAnsiTheme="majorHAnsi" w:cstheme="majorHAnsi"/>
                <w:b/>
                <w:bCs/>
                <w:color w:val="FFFFFF" w:themeColor="background1"/>
                <w:sz w:val="16"/>
                <w:szCs w:val="16"/>
                <w:lang w:val="lv-LV"/>
              </w:rPr>
            </w:pPr>
            <w:r w:rsidRPr="00CE4FA7">
              <w:rPr>
                <w:rFonts w:asciiTheme="majorHAnsi" w:hAnsiTheme="majorHAnsi" w:cstheme="majorHAnsi"/>
                <w:b/>
                <w:bCs/>
                <w:color w:val="FFFFFF" w:themeColor="background1"/>
                <w:sz w:val="16"/>
                <w:szCs w:val="16"/>
                <w:lang w:val="lv-LV"/>
              </w:rPr>
              <w:t>2050</w:t>
            </w:r>
          </w:p>
        </w:tc>
      </w:tr>
      <w:tr w:rsidR="00262896" w:rsidRPr="00CE4FA7" w14:paraId="60F52657" w14:textId="77777777" w:rsidTr="0002297E">
        <w:trPr>
          <w:jc w:val="center"/>
        </w:trPr>
        <w:tc>
          <w:tcPr>
            <w:tcW w:w="2835" w:type="dxa"/>
            <w:shd w:val="clear" w:color="auto" w:fill="4472C4" w:themeFill="accent1"/>
            <w:vAlign w:val="bottom"/>
          </w:tcPr>
          <w:p w14:paraId="11C4910C" w14:textId="77777777" w:rsidR="00262896" w:rsidRPr="00CE4FA7" w:rsidRDefault="00262896" w:rsidP="0002297E">
            <w:pPr>
              <w:widowControl/>
              <w:spacing w:before="40" w:after="40" w:line="240" w:lineRule="auto"/>
              <w:rPr>
                <w:rFonts w:asciiTheme="majorHAnsi" w:hAnsiTheme="majorHAnsi" w:cstheme="majorHAnsi"/>
                <w:color w:val="FFFFFF" w:themeColor="background1"/>
                <w:sz w:val="16"/>
                <w:szCs w:val="16"/>
                <w:lang w:val="lv-LV"/>
              </w:rPr>
            </w:pPr>
          </w:p>
        </w:tc>
        <w:tc>
          <w:tcPr>
            <w:tcW w:w="567" w:type="dxa"/>
            <w:shd w:val="clear" w:color="auto" w:fill="4472C4" w:themeFill="accent1"/>
            <w:vAlign w:val="center"/>
          </w:tcPr>
          <w:p w14:paraId="3CFD317B" w14:textId="77777777" w:rsidR="00262896" w:rsidRPr="00CE4FA7" w:rsidRDefault="00262896" w:rsidP="0002297E">
            <w:pPr>
              <w:widowControl/>
              <w:spacing w:before="40" w:after="40" w:line="240" w:lineRule="auto"/>
              <w:jc w:val="center"/>
              <w:rPr>
                <w:rFonts w:asciiTheme="majorHAnsi" w:hAnsiTheme="majorHAnsi" w:cstheme="majorHAnsi"/>
                <w:color w:val="FFFFFF" w:themeColor="background1"/>
                <w:sz w:val="16"/>
                <w:szCs w:val="16"/>
                <w:lang w:val="lv-LV"/>
              </w:rPr>
            </w:pPr>
            <w:r w:rsidRPr="00CE4FA7">
              <w:rPr>
                <w:rFonts w:asciiTheme="majorHAnsi" w:hAnsiTheme="majorHAnsi" w:cstheme="majorHAnsi"/>
                <w:color w:val="FFFFFF" w:themeColor="background1"/>
                <w:sz w:val="16"/>
                <w:szCs w:val="16"/>
                <w:lang w:val="lv-LV"/>
              </w:rPr>
              <w:t>Fakts</w:t>
            </w:r>
          </w:p>
        </w:tc>
        <w:tc>
          <w:tcPr>
            <w:tcW w:w="567" w:type="dxa"/>
            <w:shd w:val="clear" w:color="auto" w:fill="4472C4" w:themeFill="accent1"/>
            <w:vAlign w:val="center"/>
          </w:tcPr>
          <w:p w14:paraId="58601765" w14:textId="77777777" w:rsidR="00262896" w:rsidRPr="00CE4FA7" w:rsidRDefault="00262896" w:rsidP="0002297E">
            <w:pPr>
              <w:widowControl/>
              <w:spacing w:before="40" w:after="40" w:line="240" w:lineRule="auto"/>
              <w:jc w:val="center"/>
              <w:rPr>
                <w:rFonts w:asciiTheme="majorHAnsi" w:hAnsiTheme="majorHAnsi" w:cstheme="majorHAnsi"/>
                <w:color w:val="FFFFFF" w:themeColor="background1"/>
                <w:sz w:val="16"/>
                <w:szCs w:val="16"/>
                <w:lang w:val="lv-LV"/>
              </w:rPr>
            </w:pPr>
          </w:p>
        </w:tc>
        <w:tc>
          <w:tcPr>
            <w:tcW w:w="567" w:type="dxa"/>
            <w:shd w:val="clear" w:color="auto" w:fill="4472C4" w:themeFill="accent1"/>
            <w:vAlign w:val="center"/>
          </w:tcPr>
          <w:p w14:paraId="796E641D" w14:textId="77777777" w:rsidR="00262896" w:rsidRPr="00CE4FA7" w:rsidRDefault="00262896" w:rsidP="0002297E">
            <w:pPr>
              <w:widowControl/>
              <w:spacing w:before="40" w:after="40" w:line="240" w:lineRule="auto"/>
              <w:jc w:val="center"/>
              <w:rPr>
                <w:rFonts w:asciiTheme="majorHAnsi" w:eastAsia="Times New Roman" w:hAnsiTheme="majorHAnsi" w:cstheme="majorHAnsi"/>
                <w:color w:val="FFFFFF" w:themeColor="background1"/>
                <w:sz w:val="16"/>
                <w:szCs w:val="16"/>
                <w:lang w:val="lv-LV" w:eastAsia="lv-LV"/>
              </w:rPr>
            </w:pPr>
          </w:p>
        </w:tc>
        <w:tc>
          <w:tcPr>
            <w:tcW w:w="567" w:type="dxa"/>
            <w:shd w:val="clear" w:color="auto" w:fill="4472C4" w:themeFill="accent1"/>
            <w:vAlign w:val="center"/>
          </w:tcPr>
          <w:p w14:paraId="1B03B85B" w14:textId="77777777" w:rsidR="00262896" w:rsidRPr="00CE4FA7" w:rsidRDefault="00262896" w:rsidP="0002297E">
            <w:pPr>
              <w:widowControl/>
              <w:spacing w:before="40" w:after="40" w:line="240" w:lineRule="auto"/>
              <w:jc w:val="center"/>
              <w:rPr>
                <w:rFonts w:asciiTheme="majorHAnsi" w:hAnsiTheme="majorHAnsi" w:cstheme="majorHAnsi"/>
                <w:color w:val="FFFFFF" w:themeColor="background1"/>
                <w:sz w:val="16"/>
                <w:szCs w:val="16"/>
                <w:lang w:val="lv-LV"/>
              </w:rPr>
            </w:pPr>
          </w:p>
        </w:tc>
        <w:tc>
          <w:tcPr>
            <w:tcW w:w="567" w:type="dxa"/>
            <w:shd w:val="clear" w:color="auto" w:fill="4472C4" w:themeFill="accent1"/>
            <w:vAlign w:val="center"/>
          </w:tcPr>
          <w:p w14:paraId="78C42C6F" w14:textId="77777777" w:rsidR="00262896" w:rsidRPr="00CE4FA7" w:rsidRDefault="00262896" w:rsidP="0002297E">
            <w:pPr>
              <w:widowControl/>
              <w:spacing w:before="40" w:after="40" w:line="240" w:lineRule="auto"/>
              <w:jc w:val="center"/>
              <w:rPr>
                <w:rFonts w:asciiTheme="majorHAnsi" w:hAnsiTheme="majorHAnsi" w:cstheme="majorHAnsi"/>
                <w:color w:val="FFFFFF" w:themeColor="background1"/>
                <w:sz w:val="16"/>
                <w:szCs w:val="16"/>
                <w:lang w:val="lv-LV"/>
              </w:rPr>
            </w:pPr>
          </w:p>
        </w:tc>
        <w:tc>
          <w:tcPr>
            <w:tcW w:w="567" w:type="dxa"/>
            <w:shd w:val="clear" w:color="auto" w:fill="4472C4" w:themeFill="accent1"/>
            <w:vAlign w:val="center"/>
          </w:tcPr>
          <w:p w14:paraId="18E99311" w14:textId="77777777" w:rsidR="00262896" w:rsidRPr="00CE4FA7" w:rsidRDefault="00262896" w:rsidP="0002297E">
            <w:pPr>
              <w:widowControl/>
              <w:spacing w:before="40" w:after="40" w:line="240" w:lineRule="auto"/>
              <w:jc w:val="center"/>
              <w:rPr>
                <w:rFonts w:asciiTheme="majorHAnsi" w:hAnsiTheme="majorHAnsi" w:cstheme="majorHAnsi"/>
                <w:color w:val="FFFFFF" w:themeColor="background1"/>
                <w:sz w:val="16"/>
                <w:szCs w:val="16"/>
                <w:lang w:val="lv-LV"/>
              </w:rPr>
            </w:pPr>
          </w:p>
        </w:tc>
        <w:tc>
          <w:tcPr>
            <w:tcW w:w="3402" w:type="dxa"/>
            <w:gridSpan w:val="6"/>
            <w:shd w:val="clear" w:color="auto" w:fill="4472C4" w:themeFill="accent1"/>
            <w:vAlign w:val="bottom"/>
          </w:tcPr>
          <w:p w14:paraId="53BBA6A7" w14:textId="77777777" w:rsidR="00262896" w:rsidRPr="00CE4FA7" w:rsidRDefault="00262896" w:rsidP="0002297E">
            <w:pPr>
              <w:widowControl/>
              <w:spacing w:before="40" w:after="40" w:line="240" w:lineRule="auto"/>
              <w:rPr>
                <w:rFonts w:asciiTheme="majorHAnsi" w:hAnsiTheme="majorHAnsi" w:cstheme="majorHAnsi"/>
                <w:color w:val="FFFFFF" w:themeColor="background1"/>
                <w:sz w:val="16"/>
                <w:szCs w:val="16"/>
                <w:lang w:val="lv-LV"/>
              </w:rPr>
            </w:pPr>
            <w:r w:rsidRPr="00CE4FA7">
              <w:rPr>
                <w:rFonts w:asciiTheme="majorHAnsi" w:eastAsia="Times New Roman" w:hAnsiTheme="majorHAnsi" w:cstheme="majorHAnsi"/>
                <w:color w:val="FFFFFF" w:themeColor="background1"/>
                <w:sz w:val="16"/>
                <w:szCs w:val="16"/>
                <w:lang w:val="lv-LV" w:eastAsia="lv-LV"/>
              </w:rPr>
              <w:t>Ekonomikas izaugsmes mērķa scenārijs*</w:t>
            </w:r>
          </w:p>
        </w:tc>
      </w:tr>
      <w:tr w:rsidR="00262896" w:rsidRPr="00AB3438" w14:paraId="1838CC13" w14:textId="77777777" w:rsidTr="0002297E">
        <w:trPr>
          <w:jc w:val="center"/>
        </w:trPr>
        <w:tc>
          <w:tcPr>
            <w:tcW w:w="2835" w:type="dxa"/>
            <w:shd w:val="clear" w:color="auto" w:fill="D9E2F3" w:themeFill="accent1" w:themeFillTint="33"/>
            <w:vAlign w:val="bottom"/>
          </w:tcPr>
          <w:p w14:paraId="37CCB0FF" w14:textId="77777777" w:rsidR="00262896" w:rsidRPr="00AB3438" w:rsidRDefault="00262896" w:rsidP="0002297E">
            <w:pPr>
              <w:widowControl/>
              <w:spacing w:before="40" w:after="40" w:line="240" w:lineRule="auto"/>
              <w:rPr>
                <w:rFonts w:asciiTheme="majorHAnsi" w:hAnsiTheme="majorHAnsi" w:cstheme="majorHAnsi"/>
                <w:b/>
                <w:bCs/>
                <w:sz w:val="16"/>
                <w:szCs w:val="16"/>
                <w:lang w:val="lv-LV"/>
              </w:rPr>
            </w:pPr>
            <w:r w:rsidRPr="00CE4FA7">
              <w:rPr>
                <w:rFonts w:asciiTheme="majorHAnsi" w:hAnsiTheme="majorHAnsi" w:cstheme="majorHAnsi"/>
                <w:sz w:val="16"/>
                <w:szCs w:val="16"/>
                <w:lang w:val="lv-LV"/>
              </w:rPr>
              <w:t>IKP faktiskajās cenās, miljrd. EUR</w:t>
            </w:r>
          </w:p>
        </w:tc>
        <w:tc>
          <w:tcPr>
            <w:tcW w:w="567" w:type="dxa"/>
            <w:shd w:val="clear" w:color="auto" w:fill="D9E2F3" w:themeFill="accent1" w:themeFillTint="33"/>
            <w:vAlign w:val="bottom"/>
          </w:tcPr>
          <w:p w14:paraId="42AEF4DD" w14:textId="77777777" w:rsidR="00262896" w:rsidRPr="00CE4FA7" w:rsidRDefault="00262896" w:rsidP="0002297E">
            <w:pPr>
              <w:widowControl/>
              <w:spacing w:before="40" w:after="40" w:line="240" w:lineRule="auto"/>
              <w:jc w:val="center"/>
              <w:rPr>
                <w:rFonts w:asciiTheme="majorHAnsi" w:hAnsiTheme="majorHAnsi" w:cstheme="majorHAnsi"/>
                <w:b/>
                <w:bCs/>
                <w:sz w:val="16"/>
                <w:szCs w:val="16"/>
                <w:lang w:val="lv-LV"/>
              </w:rPr>
            </w:pPr>
            <w:r w:rsidRPr="00CE4FA7">
              <w:rPr>
                <w:rFonts w:asciiTheme="majorHAnsi" w:eastAsia="Times New Roman" w:hAnsiTheme="majorHAnsi" w:cstheme="majorHAnsi"/>
                <w:color w:val="000000" w:themeColor="text1"/>
                <w:sz w:val="16"/>
                <w:szCs w:val="16"/>
                <w:lang w:val="lv-LV" w:eastAsia="lv-LV"/>
              </w:rPr>
              <w:t>6,9</w:t>
            </w:r>
          </w:p>
        </w:tc>
        <w:tc>
          <w:tcPr>
            <w:tcW w:w="567" w:type="dxa"/>
            <w:shd w:val="clear" w:color="auto" w:fill="D9E2F3" w:themeFill="accent1" w:themeFillTint="33"/>
            <w:vAlign w:val="bottom"/>
          </w:tcPr>
          <w:p w14:paraId="4CF48E0A" w14:textId="77777777" w:rsidR="00262896" w:rsidRPr="00CE4FA7" w:rsidRDefault="00262896" w:rsidP="0002297E">
            <w:pPr>
              <w:widowControl/>
              <w:spacing w:before="40" w:after="40" w:line="240" w:lineRule="auto"/>
              <w:jc w:val="center"/>
              <w:rPr>
                <w:rFonts w:asciiTheme="majorHAnsi" w:hAnsiTheme="majorHAnsi" w:cstheme="majorHAnsi"/>
                <w:b/>
                <w:bCs/>
                <w:sz w:val="16"/>
                <w:szCs w:val="16"/>
                <w:lang w:val="lv-LV"/>
              </w:rPr>
            </w:pPr>
            <w:r w:rsidRPr="00CE4FA7">
              <w:rPr>
                <w:rFonts w:asciiTheme="majorHAnsi" w:eastAsia="Times New Roman" w:hAnsiTheme="majorHAnsi" w:cstheme="majorHAnsi"/>
                <w:color w:val="000000" w:themeColor="text1"/>
                <w:sz w:val="16"/>
                <w:szCs w:val="16"/>
                <w:lang w:val="lv-LV" w:eastAsia="lv-LV"/>
              </w:rPr>
              <w:t>13,7</w:t>
            </w:r>
          </w:p>
        </w:tc>
        <w:tc>
          <w:tcPr>
            <w:tcW w:w="567" w:type="dxa"/>
            <w:shd w:val="clear" w:color="auto" w:fill="D9E2F3" w:themeFill="accent1" w:themeFillTint="33"/>
            <w:vAlign w:val="bottom"/>
          </w:tcPr>
          <w:p w14:paraId="5CF9E19C" w14:textId="77777777" w:rsidR="00262896" w:rsidRPr="00CE4FA7" w:rsidRDefault="00262896" w:rsidP="0002297E">
            <w:pPr>
              <w:widowControl/>
              <w:spacing w:before="40" w:after="40" w:line="240" w:lineRule="auto"/>
              <w:jc w:val="center"/>
              <w:rPr>
                <w:rFonts w:asciiTheme="majorHAnsi" w:eastAsia="Times New Roman" w:hAnsiTheme="majorHAnsi" w:cstheme="majorHAnsi"/>
                <w:b/>
                <w:bCs/>
                <w:color w:val="000000"/>
                <w:sz w:val="16"/>
                <w:szCs w:val="16"/>
                <w:lang w:val="lv-LV" w:eastAsia="lv-LV"/>
              </w:rPr>
            </w:pPr>
            <w:r w:rsidRPr="00CE4FA7">
              <w:rPr>
                <w:rFonts w:asciiTheme="majorHAnsi" w:eastAsia="Times New Roman" w:hAnsiTheme="majorHAnsi" w:cstheme="majorHAnsi"/>
                <w:color w:val="000000" w:themeColor="text1"/>
                <w:sz w:val="16"/>
                <w:szCs w:val="16"/>
                <w:lang w:val="lv-LV" w:eastAsia="lv-LV"/>
              </w:rPr>
              <w:t>18,1</w:t>
            </w:r>
          </w:p>
        </w:tc>
        <w:tc>
          <w:tcPr>
            <w:tcW w:w="567" w:type="dxa"/>
            <w:shd w:val="clear" w:color="auto" w:fill="D9E2F3" w:themeFill="accent1" w:themeFillTint="33"/>
            <w:vAlign w:val="bottom"/>
          </w:tcPr>
          <w:p w14:paraId="7950FE8D" w14:textId="77777777" w:rsidR="00262896" w:rsidRPr="00CE4FA7" w:rsidRDefault="00262896" w:rsidP="0002297E">
            <w:pPr>
              <w:widowControl/>
              <w:spacing w:before="40" w:after="40" w:line="240" w:lineRule="auto"/>
              <w:jc w:val="center"/>
              <w:rPr>
                <w:rFonts w:asciiTheme="majorHAnsi" w:hAnsiTheme="majorHAnsi" w:cstheme="majorHAnsi"/>
                <w:b/>
                <w:bCs/>
                <w:sz w:val="16"/>
                <w:szCs w:val="16"/>
                <w:lang w:val="lv-LV"/>
              </w:rPr>
            </w:pPr>
            <w:r w:rsidRPr="00CE4FA7">
              <w:rPr>
                <w:rFonts w:asciiTheme="majorHAnsi" w:eastAsia="Times New Roman" w:hAnsiTheme="majorHAnsi" w:cstheme="majorHAnsi"/>
                <w:color w:val="000000" w:themeColor="text1"/>
                <w:sz w:val="16"/>
                <w:szCs w:val="16"/>
                <w:lang w:val="lv-LV" w:eastAsia="lv-LV"/>
              </w:rPr>
              <w:t>24,6</w:t>
            </w:r>
          </w:p>
        </w:tc>
        <w:tc>
          <w:tcPr>
            <w:tcW w:w="567" w:type="dxa"/>
            <w:shd w:val="clear" w:color="auto" w:fill="D9E2F3" w:themeFill="accent1" w:themeFillTint="33"/>
            <w:vAlign w:val="bottom"/>
          </w:tcPr>
          <w:p w14:paraId="3342621B" w14:textId="77777777" w:rsidR="00262896" w:rsidRPr="00CE4FA7" w:rsidRDefault="00262896" w:rsidP="0002297E">
            <w:pPr>
              <w:widowControl/>
              <w:spacing w:before="40" w:after="40" w:line="240" w:lineRule="auto"/>
              <w:jc w:val="center"/>
              <w:rPr>
                <w:rFonts w:asciiTheme="majorHAnsi" w:hAnsiTheme="majorHAnsi" w:cstheme="majorHAnsi"/>
                <w:b/>
                <w:bCs/>
                <w:sz w:val="16"/>
                <w:szCs w:val="16"/>
                <w:lang w:val="lv-LV"/>
              </w:rPr>
            </w:pPr>
            <w:r w:rsidRPr="00CE4FA7">
              <w:rPr>
                <w:rFonts w:asciiTheme="majorHAnsi" w:eastAsia="Times New Roman" w:hAnsiTheme="majorHAnsi" w:cstheme="majorHAnsi"/>
                <w:color w:val="000000" w:themeColor="text1"/>
                <w:sz w:val="16"/>
                <w:szCs w:val="16"/>
                <w:lang w:val="lv-LV" w:eastAsia="lv-LV"/>
              </w:rPr>
              <w:t>30,1</w:t>
            </w:r>
          </w:p>
        </w:tc>
        <w:tc>
          <w:tcPr>
            <w:tcW w:w="567" w:type="dxa"/>
            <w:shd w:val="clear" w:color="auto" w:fill="D9E2F3" w:themeFill="accent1" w:themeFillTint="33"/>
            <w:vAlign w:val="bottom"/>
          </w:tcPr>
          <w:p w14:paraId="14BA7B74" w14:textId="77777777" w:rsidR="00262896" w:rsidRPr="00CE4FA7" w:rsidRDefault="00262896" w:rsidP="0002297E">
            <w:pPr>
              <w:widowControl/>
              <w:spacing w:before="40" w:after="40" w:line="240" w:lineRule="auto"/>
              <w:jc w:val="center"/>
              <w:rPr>
                <w:rFonts w:asciiTheme="majorHAnsi" w:hAnsiTheme="majorHAnsi" w:cstheme="majorHAnsi"/>
                <w:b/>
                <w:bCs/>
                <w:sz w:val="16"/>
                <w:szCs w:val="16"/>
                <w:lang w:val="lv-LV"/>
              </w:rPr>
            </w:pPr>
            <w:r w:rsidRPr="00CE4FA7">
              <w:rPr>
                <w:rFonts w:asciiTheme="majorHAnsi" w:eastAsia="Times New Roman" w:hAnsiTheme="majorHAnsi" w:cstheme="majorHAnsi"/>
                <w:color w:val="000000" w:themeColor="text1"/>
                <w:sz w:val="16"/>
                <w:szCs w:val="16"/>
                <w:lang w:val="lv-LV" w:eastAsia="lv-LV"/>
              </w:rPr>
              <w:t>40,3</w:t>
            </w:r>
          </w:p>
        </w:tc>
        <w:tc>
          <w:tcPr>
            <w:tcW w:w="567" w:type="dxa"/>
            <w:shd w:val="clear" w:color="auto" w:fill="D9E2F3" w:themeFill="accent1" w:themeFillTint="33"/>
            <w:vAlign w:val="bottom"/>
          </w:tcPr>
          <w:p w14:paraId="511EDC38" w14:textId="77777777" w:rsidR="00262896" w:rsidRPr="00CE4FA7" w:rsidRDefault="00262896" w:rsidP="0002297E">
            <w:pPr>
              <w:widowControl/>
              <w:spacing w:before="40" w:after="40" w:line="240" w:lineRule="auto"/>
              <w:jc w:val="center"/>
              <w:rPr>
                <w:rFonts w:asciiTheme="majorHAnsi" w:hAnsiTheme="majorHAnsi" w:cstheme="majorHAnsi"/>
                <w:b/>
                <w:bCs/>
                <w:sz w:val="16"/>
                <w:szCs w:val="16"/>
                <w:lang w:val="lv-LV"/>
              </w:rPr>
            </w:pPr>
            <w:r w:rsidRPr="00CE4FA7">
              <w:rPr>
                <w:rFonts w:asciiTheme="majorHAnsi" w:eastAsia="Times New Roman" w:hAnsiTheme="majorHAnsi" w:cstheme="majorHAnsi"/>
                <w:color w:val="000000" w:themeColor="text1"/>
                <w:sz w:val="16"/>
                <w:szCs w:val="16"/>
                <w:lang w:val="lv-LV" w:eastAsia="lv-LV"/>
              </w:rPr>
              <w:t>44,2</w:t>
            </w:r>
          </w:p>
        </w:tc>
        <w:tc>
          <w:tcPr>
            <w:tcW w:w="567" w:type="dxa"/>
            <w:shd w:val="clear" w:color="auto" w:fill="D9E2F3" w:themeFill="accent1" w:themeFillTint="33"/>
            <w:vAlign w:val="bottom"/>
          </w:tcPr>
          <w:p w14:paraId="27F32A56" w14:textId="77777777" w:rsidR="00262896" w:rsidRPr="00CE4FA7" w:rsidRDefault="00262896" w:rsidP="0002297E">
            <w:pPr>
              <w:widowControl/>
              <w:spacing w:before="40" w:after="40" w:line="240" w:lineRule="auto"/>
              <w:jc w:val="center"/>
              <w:rPr>
                <w:rFonts w:asciiTheme="majorHAnsi" w:hAnsiTheme="majorHAnsi" w:cstheme="majorHAnsi"/>
                <w:b/>
                <w:bCs/>
                <w:sz w:val="16"/>
                <w:szCs w:val="16"/>
                <w:lang w:val="lv-LV"/>
              </w:rPr>
            </w:pPr>
            <w:r w:rsidRPr="00CE4FA7">
              <w:rPr>
                <w:rFonts w:asciiTheme="majorHAnsi" w:eastAsia="Times New Roman" w:hAnsiTheme="majorHAnsi" w:cstheme="majorHAnsi"/>
                <w:color w:val="000000" w:themeColor="text1"/>
                <w:sz w:val="16"/>
                <w:szCs w:val="16"/>
                <w:lang w:val="lv-LV" w:eastAsia="lv-LV"/>
              </w:rPr>
              <w:t>62,0</w:t>
            </w:r>
          </w:p>
        </w:tc>
        <w:tc>
          <w:tcPr>
            <w:tcW w:w="567" w:type="dxa"/>
            <w:shd w:val="clear" w:color="auto" w:fill="D9E2F3" w:themeFill="accent1" w:themeFillTint="33"/>
            <w:vAlign w:val="bottom"/>
          </w:tcPr>
          <w:p w14:paraId="36ABDE7D" w14:textId="77777777" w:rsidR="00262896" w:rsidRPr="00CE4FA7" w:rsidRDefault="00262896" w:rsidP="0002297E">
            <w:pPr>
              <w:widowControl/>
              <w:spacing w:before="40" w:after="40" w:line="240" w:lineRule="auto"/>
              <w:jc w:val="center"/>
              <w:rPr>
                <w:rFonts w:asciiTheme="majorHAnsi" w:hAnsiTheme="majorHAnsi" w:cstheme="majorHAnsi"/>
                <w:b/>
                <w:bCs/>
                <w:sz w:val="16"/>
                <w:szCs w:val="16"/>
                <w:lang w:val="lv-LV"/>
              </w:rPr>
            </w:pPr>
            <w:r w:rsidRPr="00CE4FA7">
              <w:rPr>
                <w:rFonts w:asciiTheme="majorHAnsi" w:eastAsia="Times New Roman" w:hAnsiTheme="majorHAnsi" w:cstheme="majorHAnsi"/>
                <w:color w:val="000000" w:themeColor="text1"/>
                <w:sz w:val="16"/>
                <w:szCs w:val="16"/>
                <w:lang w:val="lv-LV" w:eastAsia="lv-LV"/>
              </w:rPr>
              <w:t>83,3</w:t>
            </w:r>
          </w:p>
        </w:tc>
        <w:tc>
          <w:tcPr>
            <w:tcW w:w="567" w:type="dxa"/>
            <w:shd w:val="clear" w:color="auto" w:fill="D9E2F3" w:themeFill="accent1" w:themeFillTint="33"/>
            <w:vAlign w:val="bottom"/>
          </w:tcPr>
          <w:p w14:paraId="7A83328E" w14:textId="77777777" w:rsidR="00262896" w:rsidRPr="00CE4FA7" w:rsidRDefault="00262896" w:rsidP="0002297E">
            <w:pPr>
              <w:widowControl/>
              <w:spacing w:before="40" w:after="40" w:line="240" w:lineRule="auto"/>
              <w:jc w:val="center"/>
              <w:rPr>
                <w:rFonts w:asciiTheme="majorHAnsi" w:hAnsiTheme="majorHAnsi" w:cstheme="majorHAnsi"/>
                <w:b/>
                <w:bCs/>
                <w:sz w:val="16"/>
                <w:szCs w:val="16"/>
                <w:lang w:val="lv-LV"/>
              </w:rPr>
            </w:pPr>
            <w:r w:rsidRPr="00CE4FA7">
              <w:rPr>
                <w:rFonts w:asciiTheme="majorHAnsi" w:eastAsia="Times New Roman" w:hAnsiTheme="majorHAnsi" w:cstheme="majorHAnsi"/>
                <w:color w:val="000000" w:themeColor="text1"/>
                <w:sz w:val="16"/>
                <w:szCs w:val="16"/>
                <w:lang w:val="lv-LV" w:eastAsia="lv-LV"/>
              </w:rPr>
              <w:t>106,4</w:t>
            </w:r>
          </w:p>
        </w:tc>
        <w:tc>
          <w:tcPr>
            <w:tcW w:w="567" w:type="dxa"/>
            <w:shd w:val="clear" w:color="auto" w:fill="D9E2F3" w:themeFill="accent1" w:themeFillTint="33"/>
            <w:vAlign w:val="bottom"/>
          </w:tcPr>
          <w:p w14:paraId="163766ED" w14:textId="77777777" w:rsidR="00262896" w:rsidRPr="00CE4FA7" w:rsidRDefault="00262896" w:rsidP="0002297E">
            <w:pPr>
              <w:widowControl/>
              <w:spacing w:before="40" w:after="40" w:line="240" w:lineRule="auto"/>
              <w:jc w:val="center"/>
              <w:rPr>
                <w:rFonts w:asciiTheme="majorHAnsi" w:hAnsiTheme="majorHAnsi" w:cstheme="majorHAnsi"/>
                <w:b/>
                <w:bCs/>
                <w:sz w:val="16"/>
                <w:szCs w:val="16"/>
                <w:lang w:val="lv-LV"/>
              </w:rPr>
            </w:pPr>
            <w:r w:rsidRPr="00CE4FA7">
              <w:rPr>
                <w:rFonts w:asciiTheme="majorHAnsi" w:eastAsia="Times New Roman" w:hAnsiTheme="majorHAnsi" w:cstheme="majorHAnsi"/>
                <w:color w:val="000000" w:themeColor="text1"/>
                <w:sz w:val="16"/>
                <w:szCs w:val="16"/>
                <w:lang w:val="lv-LV" w:eastAsia="lv-LV"/>
              </w:rPr>
              <w:t>130,0</w:t>
            </w:r>
          </w:p>
        </w:tc>
        <w:tc>
          <w:tcPr>
            <w:tcW w:w="567" w:type="dxa"/>
            <w:shd w:val="clear" w:color="auto" w:fill="D9E2F3" w:themeFill="accent1" w:themeFillTint="33"/>
            <w:vAlign w:val="bottom"/>
          </w:tcPr>
          <w:p w14:paraId="667456F4" w14:textId="77777777" w:rsidR="00262896" w:rsidRPr="00CE4FA7" w:rsidRDefault="00262896" w:rsidP="0002297E">
            <w:pPr>
              <w:widowControl/>
              <w:spacing w:before="40" w:after="40" w:line="240" w:lineRule="auto"/>
              <w:jc w:val="center"/>
              <w:rPr>
                <w:rFonts w:asciiTheme="majorHAnsi" w:hAnsiTheme="majorHAnsi" w:cstheme="majorHAnsi"/>
                <w:b/>
                <w:bCs/>
                <w:sz w:val="16"/>
                <w:szCs w:val="16"/>
                <w:lang w:val="lv-LV"/>
              </w:rPr>
            </w:pPr>
            <w:r>
              <w:rPr>
                <w:rFonts w:asciiTheme="majorHAnsi" w:hAnsiTheme="majorHAnsi" w:cstheme="majorHAnsi"/>
                <w:b/>
                <w:bCs/>
                <w:sz w:val="16"/>
                <w:szCs w:val="16"/>
                <w:lang w:val="lv-LV"/>
              </w:rPr>
              <w:t>152,7</w:t>
            </w:r>
          </w:p>
        </w:tc>
      </w:tr>
      <w:tr w:rsidR="00262896" w:rsidRPr="00AB77A8" w14:paraId="13C59520" w14:textId="77777777" w:rsidTr="0002297E">
        <w:trPr>
          <w:jc w:val="center"/>
        </w:trPr>
        <w:tc>
          <w:tcPr>
            <w:tcW w:w="2835" w:type="dxa"/>
            <w:shd w:val="clear" w:color="auto" w:fill="B4C6E7" w:themeFill="accent1" w:themeFillTint="66"/>
            <w:vAlign w:val="bottom"/>
          </w:tcPr>
          <w:p w14:paraId="55F9AAED" w14:textId="77777777" w:rsidR="00262896" w:rsidRPr="00AB77A8" w:rsidRDefault="00262896" w:rsidP="0002297E">
            <w:pPr>
              <w:widowControl/>
              <w:spacing w:before="40" w:after="40" w:line="240" w:lineRule="auto"/>
              <w:rPr>
                <w:rFonts w:asciiTheme="majorHAnsi" w:hAnsiTheme="majorHAnsi" w:cstheme="majorHAnsi"/>
                <w:color w:val="000000" w:themeColor="text1"/>
                <w:sz w:val="16"/>
                <w:szCs w:val="16"/>
                <w:lang w:val="lv-LV"/>
              </w:rPr>
            </w:pPr>
            <w:r w:rsidRPr="00AB77A8">
              <w:rPr>
                <w:rFonts w:asciiTheme="majorHAnsi" w:hAnsiTheme="majorHAnsi" w:cstheme="majorHAnsi"/>
                <w:color w:val="000000" w:themeColor="text1"/>
                <w:sz w:val="16"/>
                <w:szCs w:val="16"/>
                <w:lang w:val="lv-LV"/>
              </w:rPr>
              <w:t>Bruto pamatkapitāla veidošana, miljrd. EUR</w:t>
            </w:r>
          </w:p>
        </w:tc>
        <w:tc>
          <w:tcPr>
            <w:tcW w:w="567" w:type="dxa"/>
            <w:shd w:val="clear" w:color="auto" w:fill="B4C6E7" w:themeFill="accent1" w:themeFillTint="66"/>
            <w:vAlign w:val="bottom"/>
          </w:tcPr>
          <w:p w14:paraId="661F1E83" w14:textId="77777777" w:rsidR="00262896" w:rsidRPr="00AB77A8" w:rsidRDefault="00262896" w:rsidP="0002297E">
            <w:pPr>
              <w:widowControl/>
              <w:spacing w:before="40" w:after="40" w:line="240" w:lineRule="auto"/>
              <w:jc w:val="center"/>
              <w:rPr>
                <w:rFonts w:asciiTheme="majorHAnsi" w:hAnsiTheme="majorHAnsi" w:cstheme="majorHAnsi"/>
                <w:color w:val="000000" w:themeColor="text1"/>
                <w:sz w:val="16"/>
                <w:szCs w:val="16"/>
                <w:lang w:val="lv-LV"/>
              </w:rPr>
            </w:pPr>
            <w:r w:rsidRPr="00AB77A8">
              <w:rPr>
                <w:rFonts w:asciiTheme="majorHAnsi" w:eastAsia="Times New Roman" w:hAnsiTheme="majorHAnsi" w:cstheme="majorHAnsi"/>
                <w:color w:val="000000" w:themeColor="text1"/>
                <w:sz w:val="16"/>
                <w:szCs w:val="16"/>
                <w:lang w:val="lv-LV" w:eastAsia="lv-LV"/>
              </w:rPr>
              <w:t>1,7</w:t>
            </w:r>
          </w:p>
        </w:tc>
        <w:tc>
          <w:tcPr>
            <w:tcW w:w="567" w:type="dxa"/>
            <w:shd w:val="clear" w:color="auto" w:fill="B4C6E7" w:themeFill="accent1" w:themeFillTint="66"/>
            <w:vAlign w:val="bottom"/>
          </w:tcPr>
          <w:p w14:paraId="52E26E51" w14:textId="77777777" w:rsidR="00262896" w:rsidRPr="00AB77A8" w:rsidRDefault="00262896" w:rsidP="0002297E">
            <w:pPr>
              <w:widowControl/>
              <w:spacing w:before="40" w:after="40" w:line="240" w:lineRule="auto"/>
              <w:jc w:val="center"/>
              <w:rPr>
                <w:rFonts w:asciiTheme="majorHAnsi" w:hAnsiTheme="majorHAnsi" w:cstheme="majorHAnsi"/>
                <w:color w:val="000000" w:themeColor="text1"/>
                <w:sz w:val="16"/>
                <w:szCs w:val="16"/>
                <w:lang w:val="lv-LV"/>
              </w:rPr>
            </w:pPr>
            <w:r w:rsidRPr="00AB77A8">
              <w:rPr>
                <w:rFonts w:asciiTheme="majorHAnsi" w:eastAsia="Times New Roman" w:hAnsiTheme="majorHAnsi" w:cstheme="majorHAnsi"/>
                <w:color w:val="000000" w:themeColor="text1"/>
                <w:sz w:val="16"/>
                <w:szCs w:val="16"/>
                <w:lang w:val="lv-LV" w:eastAsia="lv-LV"/>
              </w:rPr>
              <w:t>4,2</w:t>
            </w:r>
          </w:p>
        </w:tc>
        <w:tc>
          <w:tcPr>
            <w:tcW w:w="567" w:type="dxa"/>
            <w:shd w:val="clear" w:color="auto" w:fill="B4C6E7" w:themeFill="accent1" w:themeFillTint="66"/>
            <w:vAlign w:val="bottom"/>
          </w:tcPr>
          <w:p w14:paraId="53AEF463" w14:textId="77777777" w:rsidR="00262896" w:rsidRPr="00AB77A8" w:rsidRDefault="00262896" w:rsidP="0002297E">
            <w:pPr>
              <w:widowControl/>
              <w:spacing w:before="40" w:after="40" w:line="240" w:lineRule="auto"/>
              <w:jc w:val="center"/>
              <w:rPr>
                <w:rFonts w:asciiTheme="majorHAnsi" w:eastAsia="Times New Roman" w:hAnsiTheme="majorHAnsi" w:cstheme="majorHAnsi"/>
                <w:color w:val="000000" w:themeColor="text1"/>
                <w:sz w:val="16"/>
                <w:szCs w:val="16"/>
                <w:lang w:val="lv-LV" w:eastAsia="lv-LV"/>
              </w:rPr>
            </w:pPr>
            <w:r w:rsidRPr="00AB77A8">
              <w:rPr>
                <w:rFonts w:asciiTheme="majorHAnsi" w:eastAsia="Times New Roman" w:hAnsiTheme="majorHAnsi" w:cstheme="majorHAnsi"/>
                <w:color w:val="000000" w:themeColor="text1"/>
                <w:sz w:val="16"/>
                <w:szCs w:val="16"/>
                <w:lang w:val="lv-LV" w:eastAsia="lv-LV"/>
              </w:rPr>
              <w:t>3,4</w:t>
            </w:r>
          </w:p>
        </w:tc>
        <w:tc>
          <w:tcPr>
            <w:tcW w:w="567" w:type="dxa"/>
            <w:shd w:val="clear" w:color="auto" w:fill="B4C6E7" w:themeFill="accent1" w:themeFillTint="66"/>
            <w:vAlign w:val="bottom"/>
          </w:tcPr>
          <w:p w14:paraId="79E2676F" w14:textId="77777777" w:rsidR="00262896" w:rsidRPr="00AB77A8" w:rsidRDefault="00262896" w:rsidP="0002297E">
            <w:pPr>
              <w:widowControl/>
              <w:spacing w:before="40" w:after="40" w:line="240" w:lineRule="auto"/>
              <w:jc w:val="center"/>
              <w:rPr>
                <w:rFonts w:asciiTheme="majorHAnsi" w:hAnsiTheme="majorHAnsi" w:cstheme="majorHAnsi"/>
                <w:color w:val="000000" w:themeColor="text1"/>
                <w:sz w:val="16"/>
                <w:szCs w:val="16"/>
                <w:lang w:val="lv-LV"/>
              </w:rPr>
            </w:pPr>
            <w:r w:rsidRPr="00AB77A8">
              <w:rPr>
                <w:rFonts w:asciiTheme="majorHAnsi" w:eastAsia="Times New Roman" w:hAnsiTheme="majorHAnsi" w:cstheme="majorHAnsi"/>
                <w:color w:val="000000" w:themeColor="text1"/>
                <w:sz w:val="16"/>
                <w:szCs w:val="16"/>
                <w:lang w:val="lv-LV" w:eastAsia="lv-LV"/>
              </w:rPr>
              <w:t>5,4</w:t>
            </w:r>
          </w:p>
        </w:tc>
        <w:tc>
          <w:tcPr>
            <w:tcW w:w="567" w:type="dxa"/>
            <w:shd w:val="clear" w:color="auto" w:fill="B4C6E7" w:themeFill="accent1" w:themeFillTint="66"/>
            <w:vAlign w:val="bottom"/>
          </w:tcPr>
          <w:p w14:paraId="7DA6F59F" w14:textId="77777777" w:rsidR="00262896" w:rsidRPr="00AB77A8" w:rsidRDefault="00262896" w:rsidP="0002297E">
            <w:pPr>
              <w:widowControl/>
              <w:spacing w:before="40" w:after="40" w:line="240" w:lineRule="auto"/>
              <w:jc w:val="center"/>
              <w:rPr>
                <w:rFonts w:asciiTheme="majorHAnsi" w:hAnsiTheme="majorHAnsi" w:cstheme="majorHAnsi"/>
                <w:color w:val="000000" w:themeColor="text1"/>
                <w:sz w:val="16"/>
                <w:szCs w:val="16"/>
                <w:lang w:val="lv-LV"/>
              </w:rPr>
            </w:pPr>
            <w:r w:rsidRPr="00AB77A8">
              <w:rPr>
                <w:rFonts w:asciiTheme="majorHAnsi" w:eastAsia="Times New Roman" w:hAnsiTheme="majorHAnsi" w:cstheme="majorHAnsi"/>
                <w:color w:val="000000" w:themeColor="text1"/>
                <w:sz w:val="16"/>
                <w:szCs w:val="16"/>
                <w:lang w:val="lv-LV" w:eastAsia="lv-LV"/>
              </w:rPr>
              <w:t>6,8</w:t>
            </w:r>
          </w:p>
        </w:tc>
        <w:tc>
          <w:tcPr>
            <w:tcW w:w="567" w:type="dxa"/>
            <w:shd w:val="clear" w:color="auto" w:fill="B4C6E7" w:themeFill="accent1" w:themeFillTint="66"/>
            <w:vAlign w:val="bottom"/>
          </w:tcPr>
          <w:p w14:paraId="0929CEF9" w14:textId="77777777" w:rsidR="00262896" w:rsidRPr="00AB77A8" w:rsidRDefault="00262896" w:rsidP="0002297E">
            <w:pPr>
              <w:widowControl/>
              <w:spacing w:before="40" w:after="40" w:line="240" w:lineRule="auto"/>
              <w:jc w:val="center"/>
              <w:rPr>
                <w:rFonts w:asciiTheme="majorHAnsi" w:hAnsiTheme="majorHAnsi" w:cstheme="majorHAnsi"/>
                <w:color w:val="000000" w:themeColor="text1"/>
                <w:sz w:val="16"/>
                <w:szCs w:val="16"/>
                <w:lang w:val="lv-LV"/>
              </w:rPr>
            </w:pPr>
            <w:r w:rsidRPr="00AB77A8">
              <w:rPr>
                <w:rFonts w:asciiTheme="majorHAnsi" w:eastAsia="Times New Roman" w:hAnsiTheme="majorHAnsi" w:cstheme="majorHAnsi"/>
                <w:color w:val="000000" w:themeColor="text1"/>
                <w:sz w:val="16"/>
                <w:szCs w:val="16"/>
                <w:lang w:val="lv-LV" w:eastAsia="lv-LV"/>
              </w:rPr>
              <w:t>10,0</w:t>
            </w:r>
          </w:p>
        </w:tc>
        <w:tc>
          <w:tcPr>
            <w:tcW w:w="567" w:type="dxa"/>
            <w:shd w:val="clear" w:color="auto" w:fill="B4C6E7" w:themeFill="accent1" w:themeFillTint="66"/>
            <w:vAlign w:val="bottom"/>
          </w:tcPr>
          <w:p w14:paraId="23F5E3D3" w14:textId="77777777" w:rsidR="00262896" w:rsidRPr="00AB77A8" w:rsidRDefault="00262896" w:rsidP="0002297E">
            <w:pPr>
              <w:widowControl/>
              <w:spacing w:before="40" w:after="40" w:line="240" w:lineRule="auto"/>
              <w:jc w:val="center"/>
              <w:rPr>
                <w:rFonts w:asciiTheme="majorHAnsi" w:hAnsiTheme="majorHAnsi" w:cstheme="majorHAnsi"/>
                <w:color w:val="000000" w:themeColor="text1"/>
                <w:sz w:val="16"/>
                <w:szCs w:val="16"/>
                <w:lang w:val="lv-LV"/>
              </w:rPr>
            </w:pPr>
          </w:p>
        </w:tc>
        <w:tc>
          <w:tcPr>
            <w:tcW w:w="567" w:type="dxa"/>
            <w:shd w:val="clear" w:color="auto" w:fill="B4C6E7" w:themeFill="accent1" w:themeFillTint="66"/>
            <w:vAlign w:val="bottom"/>
          </w:tcPr>
          <w:p w14:paraId="2B31E66D" w14:textId="77777777" w:rsidR="00262896" w:rsidRPr="00AB77A8" w:rsidRDefault="00262896" w:rsidP="0002297E">
            <w:pPr>
              <w:widowControl/>
              <w:spacing w:before="40" w:after="40" w:line="240" w:lineRule="auto"/>
              <w:jc w:val="center"/>
              <w:rPr>
                <w:rFonts w:asciiTheme="majorHAnsi" w:hAnsiTheme="majorHAnsi" w:cstheme="majorHAnsi"/>
                <w:color w:val="000000" w:themeColor="text1"/>
                <w:sz w:val="16"/>
                <w:szCs w:val="16"/>
                <w:lang w:val="lv-LV"/>
              </w:rPr>
            </w:pPr>
          </w:p>
        </w:tc>
        <w:tc>
          <w:tcPr>
            <w:tcW w:w="567" w:type="dxa"/>
            <w:shd w:val="clear" w:color="auto" w:fill="B4C6E7" w:themeFill="accent1" w:themeFillTint="66"/>
            <w:vAlign w:val="bottom"/>
          </w:tcPr>
          <w:p w14:paraId="3461B618" w14:textId="77777777" w:rsidR="00262896" w:rsidRPr="00AB77A8" w:rsidRDefault="00262896" w:rsidP="0002297E">
            <w:pPr>
              <w:widowControl/>
              <w:spacing w:before="40" w:after="40" w:line="240" w:lineRule="auto"/>
              <w:jc w:val="center"/>
              <w:rPr>
                <w:rFonts w:asciiTheme="majorHAnsi" w:hAnsiTheme="majorHAnsi" w:cstheme="majorHAnsi"/>
                <w:color w:val="000000" w:themeColor="text1"/>
                <w:sz w:val="16"/>
                <w:szCs w:val="16"/>
                <w:lang w:val="lv-LV"/>
              </w:rPr>
            </w:pPr>
          </w:p>
        </w:tc>
        <w:tc>
          <w:tcPr>
            <w:tcW w:w="567" w:type="dxa"/>
            <w:shd w:val="clear" w:color="auto" w:fill="B4C6E7" w:themeFill="accent1" w:themeFillTint="66"/>
            <w:vAlign w:val="bottom"/>
          </w:tcPr>
          <w:p w14:paraId="23939009" w14:textId="77777777" w:rsidR="00262896" w:rsidRPr="00AB77A8" w:rsidRDefault="00262896" w:rsidP="0002297E">
            <w:pPr>
              <w:widowControl/>
              <w:spacing w:before="40" w:after="40" w:line="240" w:lineRule="auto"/>
              <w:jc w:val="center"/>
              <w:rPr>
                <w:rFonts w:asciiTheme="majorHAnsi" w:hAnsiTheme="majorHAnsi" w:cstheme="majorHAnsi"/>
                <w:color w:val="000000" w:themeColor="text1"/>
                <w:sz w:val="16"/>
                <w:szCs w:val="16"/>
                <w:lang w:val="lv-LV"/>
              </w:rPr>
            </w:pPr>
          </w:p>
        </w:tc>
        <w:tc>
          <w:tcPr>
            <w:tcW w:w="567" w:type="dxa"/>
            <w:shd w:val="clear" w:color="auto" w:fill="B4C6E7" w:themeFill="accent1" w:themeFillTint="66"/>
            <w:vAlign w:val="bottom"/>
          </w:tcPr>
          <w:p w14:paraId="6F097086" w14:textId="77777777" w:rsidR="00262896" w:rsidRPr="00AB77A8" w:rsidRDefault="00262896" w:rsidP="0002297E">
            <w:pPr>
              <w:widowControl/>
              <w:spacing w:before="40" w:after="40" w:line="240" w:lineRule="auto"/>
              <w:jc w:val="center"/>
              <w:rPr>
                <w:rFonts w:asciiTheme="majorHAnsi" w:hAnsiTheme="majorHAnsi" w:cstheme="majorHAnsi"/>
                <w:color w:val="000000" w:themeColor="text1"/>
                <w:sz w:val="16"/>
                <w:szCs w:val="16"/>
                <w:lang w:val="lv-LV"/>
              </w:rPr>
            </w:pPr>
          </w:p>
        </w:tc>
        <w:tc>
          <w:tcPr>
            <w:tcW w:w="567" w:type="dxa"/>
            <w:shd w:val="clear" w:color="auto" w:fill="B4C6E7" w:themeFill="accent1" w:themeFillTint="66"/>
            <w:vAlign w:val="bottom"/>
          </w:tcPr>
          <w:p w14:paraId="582EBAEA" w14:textId="77777777" w:rsidR="00262896" w:rsidRPr="00AB77A8" w:rsidRDefault="00262896" w:rsidP="0002297E">
            <w:pPr>
              <w:widowControl/>
              <w:spacing w:before="40" w:after="40" w:line="240" w:lineRule="auto"/>
              <w:jc w:val="center"/>
              <w:rPr>
                <w:rFonts w:asciiTheme="majorHAnsi" w:hAnsiTheme="majorHAnsi" w:cstheme="majorHAnsi"/>
                <w:color w:val="000000" w:themeColor="text1"/>
                <w:sz w:val="16"/>
                <w:szCs w:val="16"/>
                <w:lang w:val="lv-LV"/>
              </w:rPr>
            </w:pPr>
          </w:p>
        </w:tc>
      </w:tr>
      <w:tr w:rsidR="00262896" w:rsidRPr="00AB3438" w14:paraId="2F9CE413" w14:textId="77777777" w:rsidTr="0002297E">
        <w:trPr>
          <w:jc w:val="center"/>
        </w:trPr>
        <w:tc>
          <w:tcPr>
            <w:tcW w:w="2835" w:type="dxa"/>
            <w:shd w:val="clear" w:color="auto" w:fill="D9E2F3" w:themeFill="accent1" w:themeFillTint="33"/>
            <w:vAlign w:val="bottom"/>
          </w:tcPr>
          <w:p w14:paraId="1DF6B89B" w14:textId="77777777" w:rsidR="00262896" w:rsidRPr="00AB3438" w:rsidRDefault="00262896" w:rsidP="0002297E">
            <w:pPr>
              <w:widowControl/>
              <w:spacing w:before="40" w:after="40" w:line="240" w:lineRule="auto"/>
              <w:rPr>
                <w:rFonts w:asciiTheme="majorHAnsi" w:hAnsiTheme="majorHAnsi" w:cstheme="majorHAnsi"/>
                <w:sz w:val="16"/>
                <w:szCs w:val="16"/>
                <w:lang w:val="lv-LV"/>
              </w:rPr>
            </w:pPr>
            <w:r w:rsidRPr="00CE4FA7">
              <w:rPr>
                <w:rFonts w:asciiTheme="majorHAnsi" w:hAnsiTheme="majorHAnsi" w:cstheme="majorHAnsi"/>
                <w:sz w:val="16"/>
                <w:szCs w:val="16"/>
                <w:lang w:val="lv-LV"/>
              </w:rPr>
              <w:t>Bruto pamatkapitāla veidošana, % no IKP</w:t>
            </w:r>
          </w:p>
        </w:tc>
        <w:tc>
          <w:tcPr>
            <w:tcW w:w="567" w:type="dxa"/>
            <w:shd w:val="clear" w:color="auto" w:fill="D9E2F3" w:themeFill="accent1" w:themeFillTint="33"/>
            <w:vAlign w:val="bottom"/>
          </w:tcPr>
          <w:p w14:paraId="1D14CCD4" w14:textId="77777777" w:rsidR="00262896" w:rsidRPr="00CE4FA7" w:rsidRDefault="00262896" w:rsidP="0002297E">
            <w:pPr>
              <w:widowControl/>
              <w:spacing w:before="40" w:after="40" w:line="240" w:lineRule="auto"/>
              <w:jc w:val="center"/>
              <w:rPr>
                <w:rFonts w:asciiTheme="majorHAnsi" w:hAnsiTheme="majorHAnsi" w:cstheme="majorHAnsi"/>
                <w:sz w:val="16"/>
                <w:szCs w:val="16"/>
                <w:lang w:val="lv-LV"/>
              </w:rPr>
            </w:pPr>
            <w:r w:rsidRPr="00CE4FA7">
              <w:rPr>
                <w:rFonts w:asciiTheme="majorHAnsi" w:eastAsia="Times New Roman" w:hAnsiTheme="majorHAnsi" w:cstheme="majorHAnsi"/>
                <w:color w:val="000000" w:themeColor="text1"/>
                <w:sz w:val="16"/>
                <w:szCs w:val="16"/>
                <w:lang w:val="lv-LV" w:eastAsia="lv-LV"/>
              </w:rPr>
              <w:t>25,0</w:t>
            </w:r>
          </w:p>
        </w:tc>
        <w:tc>
          <w:tcPr>
            <w:tcW w:w="567" w:type="dxa"/>
            <w:shd w:val="clear" w:color="auto" w:fill="D9E2F3" w:themeFill="accent1" w:themeFillTint="33"/>
            <w:vAlign w:val="bottom"/>
          </w:tcPr>
          <w:p w14:paraId="4202B589" w14:textId="77777777" w:rsidR="00262896" w:rsidRPr="00CE4FA7" w:rsidRDefault="00262896" w:rsidP="0002297E">
            <w:pPr>
              <w:widowControl/>
              <w:spacing w:before="40" w:after="40" w:line="240" w:lineRule="auto"/>
              <w:jc w:val="center"/>
              <w:rPr>
                <w:rFonts w:asciiTheme="majorHAnsi" w:hAnsiTheme="majorHAnsi" w:cstheme="majorHAnsi"/>
                <w:sz w:val="16"/>
                <w:szCs w:val="16"/>
                <w:lang w:val="lv-LV"/>
              </w:rPr>
            </w:pPr>
            <w:r w:rsidRPr="00CE4FA7">
              <w:rPr>
                <w:rFonts w:asciiTheme="majorHAnsi" w:eastAsia="Times New Roman" w:hAnsiTheme="majorHAnsi" w:cstheme="majorHAnsi"/>
                <w:color w:val="000000" w:themeColor="text1"/>
                <w:sz w:val="16"/>
                <w:szCs w:val="16"/>
                <w:lang w:val="lv-LV" w:eastAsia="lv-LV"/>
              </w:rPr>
              <w:t>31,0</w:t>
            </w:r>
          </w:p>
        </w:tc>
        <w:tc>
          <w:tcPr>
            <w:tcW w:w="567" w:type="dxa"/>
            <w:shd w:val="clear" w:color="auto" w:fill="D9E2F3" w:themeFill="accent1" w:themeFillTint="33"/>
            <w:vAlign w:val="bottom"/>
          </w:tcPr>
          <w:p w14:paraId="7CFB1E69" w14:textId="77777777" w:rsidR="00262896" w:rsidRPr="00CE4FA7" w:rsidRDefault="00262896" w:rsidP="0002297E">
            <w:pPr>
              <w:widowControl/>
              <w:spacing w:before="40" w:after="40" w:line="240" w:lineRule="auto"/>
              <w:jc w:val="center"/>
              <w:rPr>
                <w:rFonts w:asciiTheme="majorHAnsi" w:eastAsia="Times New Roman" w:hAnsiTheme="majorHAnsi" w:cstheme="majorHAnsi"/>
                <w:color w:val="000000"/>
                <w:sz w:val="16"/>
                <w:szCs w:val="16"/>
                <w:lang w:val="lv-LV" w:eastAsia="lv-LV"/>
              </w:rPr>
            </w:pPr>
            <w:r w:rsidRPr="00CE4FA7">
              <w:rPr>
                <w:rFonts w:asciiTheme="majorHAnsi" w:eastAsia="Times New Roman" w:hAnsiTheme="majorHAnsi" w:cstheme="majorHAnsi"/>
                <w:color w:val="000000" w:themeColor="text1"/>
                <w:sz w:val="16"/>
                <w:szCs w:val="16"/>
                <w:lang w:val="lv-LV" w:eastAsia="lv-LV"/>
              </w:rPr>
              <w:t>19,1</w:t>
            </w:r>
          </w:p>
        </w:tc>
        <w:tc>
          <w:tcPr>
            <w:tcW w:w="567" w:type="dxa"/>
            <w:shd w:val="clear" w:color="auto" w:fill="D9E2F3" w:themeFill="accent1" w:themeFillTint="33"/>
            <w:vAlign w:val="bottom"/>
          </w:tcPr>
          <w:p w14:paraId="48CA9396" w14:textId="77777777" w:rsidR="00262896" w:rsidRPr="00CE4FA7" w:rsidRDefault="00262896" w:rsidP="0002297E">
            <w:pPr>
              <w:widowControl/>
              <w:spacing w:before="40" w:after="40" w:line="240" w:lineRule="auto"/>
              <w:jc w:val="center"/>
              <w:rPr>
                <w:rFonts w:asciiTheme="majorHAnsi" w:hAnsiTheme="majorHAnsi" w:cstheme="majorHAnsi"/>
                <w:sz w:val="16"/>
                <w:szCs w:val="16"/>
                <w:lang w:val="lv-LV"/>
              </w:rPr>
            </w:pPr>
            <w:r w:rsidRPr="00CE4FA7">
              <w:rPr>
                <w:rFonts w:asciiTheme="majorHAnsi" w:eastAsia="Times New Roman" w:hAnsiTheme="majorHAnsi" w:cstheme="majorHAnsi"/>
                <w:color w:val="000000" w:themeColor="text1"/>
                <w:sz w:val="16"/>
                <w:szCs w:val="16"/>
                <w:lang w:val="lv-LV" w:eastAsia="lv-LV"/>
              </w:rPr>
              <w:t>21,9</w:t>
            </w:r>
          </w:p>
        </w:tc>
        <w:tc>
          <w:tcPr>
            <w:tcW w:w="567" w:type="dxa"/>
            <w:shd w:val="clear" w:color="auto" w:fill="D9E2F3" w:themeFill="accent1" w:themeFillTint="33"/>
            <w:vAlign w:val="bottom"/>
          </w:tcPr>
          <w:p w14:paraId="1E8CBBA2" w14:textId="77777777" w:rsidR="00262896" w:rsidRPr="00CE4FA7" w:rsidRDefault="00262896" w:rsidP="0002297E">
            <w:pPr>
              <w:widowControl/>
              <w:spacing w:before="40" w:after="40" w:line="240" w:lineRule="auto"/>
              <w:jc w:val="center"/>
              <w:rPr>
                <w:rFonts w:asciiTheme="majorHAnsi" w:hAnsiTheme="majorHAnsi" w:cstheme="majorHAnsi"/>
                <w:sz w:val="16"/>
                <w:szCs w:val="16"/>
                <w:lang w:val="lv-LV"/>
              </w:rPr>
            </w:pPr>
            <w:r w:rsidRPr="00CE4FA7">
              <w:rPr>
                <w:rFonts w:asciiTheme="majorHAnsi" w:eastAsia="Times New Roman" w:hAnsiTheme="majorHAnsi" w:cstheme="majorHAnsi"/>
                <w:color w:val="000000" w:themeColor="text1"/>
                <w:sz w:val="16"/>
                <w:szCs w:val="16"/>
                <w:lang w:val="lv-LV" w:eastAsia="lv-LV"/>
              </w:rPr>
              <w:t>22,4</w:t>
            </w:r>
          </w:p>
        </w:tc>
        <w:tc>
          <w:tcPr>
            <w:tcW w:w="567" w:type="dxa"/>
            <w:shd w:val="clear" w:color="auto" w:fill="D9E2F3" w:themeFill="accent1" w:themeFillTint="33"/>
            <w:vAlign w:val="bottom"/>
          </w:tcPr>
          <w:p w14:paraId="1806FD09" w14:textId="77777777" w:rsidR="00262896" w:rsidRPr="00CE4FA7" w:rsidRDefault="00262896" w:rsidP="0002297E">
            <w:pPr>
              <w:widowControl/>
              <w:spacing w:before="40" w:after="40" w:line="240" w:lineRule="auto"/>
              <w:jc w:val="center"/>
              <w:rPr>
                <w:rFonts w:asciiTheme="majorHAnsi" w:hAnsiTheme="majorHAnsi" w:cstheme="majorHAnsi"/>
                <w:sz w:val="16"/>
                <w:szCs w:val="16"/>
                <w:lang w:val="lv-LV"/>
              </w:rPr>
            </w:pPr>
            <w:r w:rsidRPr="00CE4FA7">
              <w:rPr>
                <w:rFonts w:asciiTheme="majorHAnsi" w:eastAsia="Times New Roman" w:hAnsiTheme="majorHAnsi" w:cstheme="majorHAnsi"/>
                <w:color w:val="000000" w:themeColor="text1"/>
                <w:sz w:val="16"/>
                <w:szCs w:val="16"/>
                <w:lang w:val="lv-LV" w:eastAsia="lv-LV"/>
              </w:rPr>
              <w:t>24,1</w:t>
            </w:r>
          </w:p>
        </w:tc>
        <w:tc>
          <w:tcPr>
            <w:tcW w:w="567" w:type="dxa"/>
            <w:shd w:val="clear" w:color="auto" w:fill="D9E2F3" w:themeFill="accent1" w:themeFillTint="33"/>
            <w:vAlign w:val="bottom"/>
          </w:tcPr>
          <w:p w14:paraId="5F260B2C" w14:textId="77777777" w:rsidR="00262896" w:rsidRPr="00CE4FA7" w:rsidRDefault="00262896" w:rsidP="0002297E">
            <w:pPr>
              <w:widowControl/>
              <w:spacing w:before="40" w:after="40" w:line="240" w:lineRule="auto"/>
              <w:jc w:val="center"/>
              <w:rPr>
                <w:rFonts w:asciiTheme="majorHAnsi" w:hAnsiTheme="majorHAnsi" w:cstheme="majorHAnsi"/>
                <w:sz w:val="16"/>
                <w:szCs w:val="16"/>
                <w:lang w:val="lv-LV"/>
              </w:rPr>
            </w:pPr>
          </w:p>
        </w:tc>
        <w:tc>
          <w:tcPr>
            <w:tcW w:w="567" w:type="dxa"/>
            <w:shd w:val="clear" w:color="auto" w:fill="D9E2F3" w:themeFill="accent1" w:themeFillTint="33"/>
            <w:vAlign w:val="bottom"/>
          </w:tcPr>
          <w:p w14:paraId="51878D12" w14:textId="77777777" w:rsidR="00262896" w:rsidRPr="00CE4FA7" w:rsidRDefault="00262896" w:rsidP="0002297E">
            <w:pPr>
              <w:widowControl/>
              <w:spacing w:before="40" w:after="40" w:line="240" w:lineRule="auto"/>
              <w:jc w:val="center"/>
              <w:rPr>
                <w:rFonts w:asciiTheme="majorHAnsi" w:hAnsiTheme="majorHAnsi" w:cstheme="majorHAnsi"/>
                <w:sz w:val="16"/>
                <w:szCs w:val="16"/>
                <w:lang w:val="lv-LV"/>
              </w:rPr>
            </w:pPr>
          </w:p>
        </w:tc>
        <w:tc>
          <w:tcPr>
            <w:tcW w:w="567" w:type="dxa"/>
            <w:shd w:val="clear" w:color="auto" w:fill="D9E2F3" w:themeFill="accent1" w:themeFillTint="33"/>
            <w:vAlign w:val="bottom"/>
          </w:tcPr>
          <w:p w14:paraId="583BCF91" w14:textId="77777777" w:rsidR="00262896" w:rsidRPr="00CE4FA7" w:rsidRDefault="00262896" w:rsidP="0002297E">
            <w:pPr>
              <w:widowControl/>
              <w:spacing w:before="40" w:after="40" w:line="240" w:lineRule="auto"/>
              <w:jc w:val="center"/>
              <w:rPr>
                <w:rFonts w:asciiTheme="majorHAnsi" w:hAnsiTheme="majorHAnsi" w:cstheme="majorHAnsi"/>
                <w:sz w:val="16"/>
                <w:szCs w:val="16"/>
                <w:lang w:val="lv-LV"/>
              </w:rPr>
            </w:pPr>
          </w:p>
        </w:tc>
        <w:tc>
          <w:tcPr>
            <w:tcW w:w="567" w:type="dxa"/>
            <w:shd w:val="clear" w:color="auto" w:fill="D9E2F3" w:themeFill="accent1" w:themeFillTint="33"/>
            <w:vAlign w:val="bottom"/>
          </w:tcPr>
          <w:p w14:paraId="0996DA53" w14:textId="77777777" w:rsidR="00262896" w:rsidRPr="00CE4FA7" w:rsidRDefault="00262896" w:rsidP="0002297E">
            <w:pPr>
              <w:widowControl/>
              <w:spacing w:before="40" w:after="40" w:line="240" w:lineRule="auto"/>
              <w:jc w:val="center"/>
              <w:rPr>
                <w:rFonts w:asciiTheme="majorHAnsi" w:hAnsiTheme="majorHAnsi" w:cstheme="majorHAnsi"/>
                <w:sz w:val="16"/>
                <w:szCs w:val="16"/>
                <w:lang w:val="lv-LV"/>
              </w:rPr>
            </w:pPr>
          </w:p>
        </w:tc>
        <w:tc>
          <w:tcPr>
            <w:tcW w:w="567" w:type="dxa"/>
            <w:shd w:val="clear" w:color="auto" w:fill="D9E2F3" w:themeFill="accent1" w:themeFillTint="33"/>
            <w:vAlign w:val="bottom"/>
          </w:tcPr>
          <w:p w14:paraId="7B426429" w14:textId="77777777" w:rsidR="00262896" w:rsidRPr="00CE4FA7" w:rsidRDefault="00262896" w:rsidP="0002297E">
            <w:pPr>
              <w:widowControl/>
              <w:spacing w:before="40" w:after="40" w:line="240" w:lineRule="auto"/>
              <w:jc w:val="center"/>
              <w:rPr>
                <w:rFonts w:asciiTheme="majorHAnsi" w:hAnsiTheme="majorHAnsi" w:cstheme="majorHAnsi"/>
                <w:sz w:val="16"/>
                <w:szCs w:val="16"/>
                <w:lang w:val="lv-LV"/>
              </w:rPr>
            </w:pPr>
          </w:p>
        </w:tc>
        <w:tc>
          <w:tcPr>
            <w:tcW w:w="567" w:type="dxa"/>
            <w:shd w:val="clear" w:color="auto" w:fill="D9E2F3" w:themeFill="accent1" w:themeFillTint="33"/>
            <w:vAlign w:val="bottom"/>
          </w:tcPr>
          <w:p w14:paraId="3D097A12" w14:textId="77777777" w:rsidR="00262896" w:rsidRPr="00CE4FA7" w:rsidRDefault="00262896" w:rsidP="0002297E">
            <w:pPr>
              <w:widowControl/>
              <w:spacing w:before="40" w:after="40" w:line="240" w:lineRule="auto"/>
              <w:jc w:val="center"/>
              <w:rPr>
                <w:rFonts w:asciiTheme="majorHAnsi" w:hAnsiTheme="majorHAnsi" w:cstheme="majorHAnsi"/>
                <w:sz w:val="16"/>
                <w:szCs w:val="16"/>
                <w:lang w:val="lv-LV"/>
              </w:rPr>
            </w:pPr>
          </w:p>
        </w:tc>
      </w:tr>
      <w:tr w:rsidR="00262896" w:rsidRPr="00AB3438" w14:paraId="3E457379" w14:textId="77777777" w:rsidTr="0002297E">
        <w:trPr>
          <w:jc w:val="center"/>
        </w:trPr>
        <w:tc>
          <w:tcPr>
            <w:tcW w:w="2835" w:type="dxa"/>
            <w:shd w:val="clear" w:color="auto" w:fill="B4C6E7" w:themeFill="accent1" w:themeFillTint="66"/>
            <w:vAlign w:val="bottom"/>
          </w:tcPr>
          <w:p w14:paraId="30E67715" w14:textId="77777777" w:rsidR="00262896" w:rsidRPr="00AB3438" w:rsidRDefault="00262896" w:rsidP="0002297E">
            <w:pPr>
              <w:widowControl/>
              <w:spacing w:before="40" w:after="40" w:line="240" w:lineRule="auto"/>
              <w:rPr>
                <w:rFonts w:asciiTheme="majorHAnsi" w:hAnsiTheme="majorHAnsi" w:cstheme="majorHAnsi"/>
                <w:sz w:val="16"/>
                <w:szCs w:val="16"/>
                <w:lang w:val="lv-LV"/>
              </w:rPr>
            </w:pPr>
            <w:r w:rsidRPr="00CE4FA7">
              <w:rPr>
                <w:rFonts w:asciiTheme="majorHAnsi" w:hAnsiTheme="majorHAnsi" w:cstheme="majorHAnsi"/>
                <w:sz w:val="16"/>
                <w:szCs w:val="16"/>
                <w:lang w:val="lv-LV"/>
              </w:rPr>
              <w:t>Bruto pamatkapitāla veidošana, miljrd. EUR, īpatsvars 25% no IKP</w:t>
            </w:r>
          </w:p>
        </w:tc>
        <w:tc>
          <w:tcPr>
            <w:tcW w:w="567" w:type="dxa"/>
            <w:shd w:val="clear" w:color="auto" w:fill="B4C6E7" w:themeFill="accent1" w:themeFillTint="66"/>
            <w:vAlign w:val="bottom"/>
          </w:tcPr>
          <w:p w14:paraId="147333BA" w14:textId="77777777" w:rsidR="00262896" w:rsidRPr="00CE4FA7" w:rsidRDefault="00262896" w:rsidP="0002297E">
            <w:pPr>
              <w:widowControl/>
              <w:spacing w:before="40" w:after="40" w:line="240" w:lineRule="auto"/>
              <w:jc w:val="center"/>
              <w:rPr>
                <w:rFonts w:asciiTheme="majorHAnsi" w:hAnsiTheme="majorHAnsi" w:cstheme="majorHAnsi"/>
                <w:sz w:val="16"/>
                <w:szCs w:val="16"/>
                <w:lang w:val="lv-LV"/>
              </w:rPr>
            </w:pPr>
          </w:p>
        </w:tc>
        <w:tc>
          <w:tcPr>
            <w:tcW w:w="567" w:type="dxa"/>
            <w:shd w:val="clear" w:color="auto" w:fill="B4C6E7" w:themeFill="accent1" w:themeFillTint="66"/>
            <w:vAlign w:val="bottom"/>
          </w:tcPr>
          <w:p w14:paraId="22942AE8" w14:textId="77777777" w:rsidR="00262896" w:rsidRPr="00CE4FA7" w:rsidRDefault="00262896" w:rsidP="0002297E">
            <w:pPr>
              <w:widowControl/>
              <w:spacing w:before="40" w:after="40" w:line="240" w:lineRule="auto"/>
              <w:jc w:val="center"/>
              <w:rPr>
                <w:rFonts w:asciiTheme="majorHAnsi" w:hAnsiTheme="majorHAnsi" w:cstheme="majorHAnsi"/>
                <w:sz w:val="16"/>
                <w:szCs w:val="16"/>
                <w:lang w:val="lv-LV"/>
              </w:rPr>
            </w:pPr>
          </w:p>
        </w:tc>
        <w:tc>
          <w:tcPr>
            <w:tcW w:w="567" w:type="dxa"/>
            <w:shd w:val="clear" w:color="auto" w:fill="B4C6E7" w:themeFill="accent1" w:themeFillTint="66"/>
            <w:vAlign w:val="bottom"/>
          </w:tcPr>
          <w:p w14:paraId="293ED2EF" w14:textId="77777777" w:rsidR="00262896" w:rsidRPr="00CE4FA7" w:rsidRDefault="00262896" w:rsidP="0002297E">
            <w:pPr>
              <w:widowControl/>
              <w:spacing w:before="40" w:after="40" w:line="240" w:lineRule="auto"/>
              <w:jc w:val="center"/>
              <w:rPr>
                <w:rFonts w:asciiTheme="majorHAnsi" w:eastAsia="Times New Roman" w:hAnsiTheme="majorHAnsi" w:cstheme="majorHAnsi"/>
                <w:color w:val="000000"/>
                <w:sz w:val="16"/>
                <w:szCs w:val="16"/>
                <w:lang w:val="lv-LV" w:eastAsia="lv-LV"/>
              </w:rPr>
            </w:pPr>
          </w:p>
        </w:tc>
        <w:tc>
          <w:tcPr>
            <w:tcW w:w="567" w:type="dxa"/>
            <w:shd w:val="clear" w:color="auto" w:fill="B4C6E7" w:themeFill="accent1" w:themeFillTint="66"/>
            <w:vAlign w:val="bottom"/>
          </w:tcPr>
          <w:p w14:paraId="6A2EEDB1" w14:textId="77777777" w:rsidR="00262896" w:rsidRPr="00CE4FA7" w:rsidRDefault="00262896" w:rsidP="0002297E">
            <w:pPr>
              <w:widowControl/>
              <w:spacing w:before="40" w:after="40" w:line="240" w:lineRule="auto"/>
              <w:jc w:val="center"/>
              <w:rPr>
                <w:rFonts w:asciiTheme="majorHAnsi" w:hAnsiTheme="majorHAnsi" w:cstheme="majorHAnsi"/>
                <w:sz w:val="16"/>
                <w:szCs w:val="16"/>
                <w:lang w:val="lv-LV"/>
              </w:rPr>
            </w:pPr>
          </w:p>
        </w:tc>
        <w:tc>
          <w:tcPr>
            <w:tcW w:w="567" w:type="dxa"/>
            <w:shd w:val="clear" w:color="auto" w:fill="B4C6E7" w:themeFill="accent1" w:themeFillTint="66"/>
            <w:vAlign w:val="bottom"/>
          </w:tcPr>
          <w:p w14:paraId="25619B75" w14:textId="77777777" w:rsidR="00262896" w:rsidRPr="00CE4FA7" w:rsidRDefault="00262896" w:rsidP="0002297E">
            <w:pPr>
              <w:widowControl/>
              <w:spacing w:before="40" w:after="40" w:line="240" w:lineRule="auto"/>
              <w:jc w:val="center"/>
              <w:rPr>
                <w:rFonts w:asciiTheme="majorHAnsi" w:hAnsiTheme="majorHAnsi" w:cstheme="majorHAnsi"/>
                <w:sz w:val="16"/>
                <w:szCs w:val="16"/>
                <w:lang w:val="lv-LV"/>
              </w:rPr>
            </w:pPr>
          </w:p>
        </w:tc>
        <w:tc>
          <w:tcPr>
            <w:tcW w:w="567" w:type="dxa"/>
            <w:shd w:val="clear" w:color="auto" w:fill="B4C6E7" w:themeFill="accent1" w:themeFillTint="66"/>
            <w:vAlign w:val="bottom"/>
          </w:tcPr>
          <w:p w14:paraId="2C95B085" w14:textId="77777777" w:rsidR="00262896" w:rsidRPr="00CE4FA7" w:rsidRDefault="00262896" w:rsidP="0002297E">
            <w:pPr>
              <w:widowControl/>
              <w:spacing w:before="40" w:after="40" w:line="240" w:lineRule="auto"/>
              <w:jc w:val="center"/>
              <w:rPr>
                <w:rFonts w:asciiTheme="majorHAnsi" w:hAnsiTheme="majorHAnsi" w:cstheme="majorHAnsi"/>
                <w:sz w:val="16"/>
                <w:szCs w:val="16"/>
                <w:lang w:val="lv-LV"/>
              </w:rPr>
            </w:pPr>
          </w:p>
        </w:tc>
        <w:tc>
          <w:tcPr>
            <w:tcW w:w="567" w:type="dxa"/>
            <w:shd w:val="clear" w:color="auto" w:fill="B4C6E7" w:themeFill="accent1" w:themeFillTint="66"/>
            <w:vAlign w:val="bottom"/>
          </w:tcPr>
          <w:p w14:paraId="05A1B011" w14:textId="77777777" w:rsidR="00262896" w:rsidRPr="00CE4FA7" w:rsidRDefault="00262896" w:rsidP="0002297E">
            <w:pPr>
              <w:widowControl/>
              <w:spacing w:before="40" w:after="40" w:line="240" w:lineRule="auto"/>
              <w:jc w:val="center"/>
              <w:rPr>
                <w:rFonts w:asciiTheme="majorHAnsi" w:hAnsiTheme="majorHAnsi" w:cstheme="majorHAnsi"/>
                <w:sz w:val="16"/>
                <w:szCs w:val="16"/>
                <w:lang w:val="lv-LV"/>
              </w:rPr>
            </w:pPr>
            <w:r w:rsidRPr="00CE4FA7">
              <w:rPr>
                <w:rFonts w:asciiTheme="majorHAnsi" w:eastAsia="Times New Roman" w:hAnsiTheme="majorHAnsi" w:cstheme="majorHAnsi"/>
                <w:color w:val="000000" w:themeColor="text1"/>
                <w:sz w:val="16"/>
                <w:szCs w:val="16"/>
                <w:lang w:val="lv-LV" w:eastAsia="lv-LV"/>
              </w:rPr>
              <w:t>11,1</w:t>
            </w:r>
          </w:p>
        </w:tc>
        <w:tc>
          <w:tcPr>
            <w:tcW w:w="567" w:type="dxa"/>
            <w:shd w:val="clear" w:color="auto" w:fill="B4C6E7" w:themeFill="accent1" w:themeFillTint="66"/>
            <w:vAlign w:val="bottom"/>
          </w:tcPr>
          <w:p w14:paraId="26EC362C" w14:textId="77777777" w:rsidR="00262896" w:rsidRPr="00CE4FA7" w:rsidRDefault="00262896" w:rsidP="0002297E">
            <w:pPr>
              <w:widowControl/>
              <w:spacing w:before="40" w:after="40" w:line="240" w:lineRule="auto"/>
              <w:jc w:val="center"/>
              <w:rPr>
                <w:rFonts w:asciiTheme="majorHAnsi" w:hAnsiTheme="majorHAnsi" w:cstheme="majorHAnsi"/>
                <w:sz w:val="16"/>
                <w:szCs w:val="16"/>
                <w:lang w:val="lv-LV"/>
              </w:rPr>
            </w:pPr>
            <w:r w:rsidRPr="00CE4FA7">
              <w:rPr>
                <w:rFonts w:asciiTheme="majorHAnsi" w:eastAsia="Times New Roman" w:hAnsiTheme="majorHAnsi" w:cstheme="majorHAnsi"/>
                <w:color w:val="000000" w:themeColor="text1"/>
                <w:sz w:val="16"/>
                <w:szCs w:val="16"/>
                <w:lang w:val="lv-LV" w:eastAsia="lv-LV"/>
              </w:rPr>
              <w:t>15,5</w:t>
            </w:r>
          </w:p>
        </w:tc>
        <w:tc>
          <w:tcPr>
            <w:tcW w:w="567" w:type="dxa"/>
            <w:shd w:val="clear" w:color="auto" w:fill="B4C6E7" w:themeFill="accent1" w:themeFillTint="66"/>
            <w:vAlign w:val="bottom"/>
          </w:tcPr>
          <w:p w14:paraId="4EE70016" w14:textId="77777777" w:rsidR="00262896" w:rsidRPr="00CE4FA7" w:rsidRDefault="00262896" w:rsidP="0002297E">
            <w:pPr>
              <w:widowControl/>
              <w:spacing w:before="40" w:after="40" w:line="240" w:lineRule="auto"/>
              <w:jc w:val="center"/>
              <w:rPr>
                <w:rFonts w:asciiTheme="majorHAnsi" w:hAnsiTheme="majorHAnsi" w:cstheme="majorHAnsi"/>
                <w:sz w:val="16"/>
                <w:szCs w:val="16"/>
                <w:lang w:val="lv-LV"/>
              </w:rPr>
            </w:pPr>
            <w:r w:rsidRPr="00CE4FA7">
              <w:rPr>
                <w:rFonts w:asciiTheme="majorHAnsi" w:eastAsia="Times New Roman" w:hAnsiTheme="majorHAnsi" w:cstheme="majorHAnsi"/>
                <w:color w:val="000000" w:themeColor="text1"/>
                <w:sz w:val="16"/>
                <w:szCs w:val="16"/>
                <w:lang w:val="lv-LV" w:eastAsia="lv-LV"/>
              </w:rPr>
              <w:t>20,8</w:t>
            </w:r>
          </w:p>
        </w:tc>
        <w:tc>
          <w:tcPr>
            <w:tcW w:w="567" w:type="dxa"/>
            <w:shd w:val="clear" w:color="auto" w:fill="B4C6E7" w:themeFill="accent1" w:themeFillTint="66"/>
            <w:vAlign w:val="bottom"/>
          </w:tcPr>
          <w:p w14:paraId="0EFB3E7C" w14:textId="77777777" w:rsidR="00262896" w:rsidRPr="00CE4FA7" w:rsidRDefault="00262896" w:rsidP="0002297E">
            <w:pPr>
              <w:widowControl/>
              <w:spacing w:before="40" w:after="40" w:line="240" w:lineRule="auto"/>
              <w:jc w:val="center"/>
              <w:rPr>
                <w:rFonts w:asciiTheme="majorHAnsi" w:hAnsiTheme="majorHAnsi" w:cstheme="majorHAnsi"/>
                <w:sz w:val="16"/>
                <w:szCs w:val="16"/>
                <w:lang w:val="lv-LV"/>
              </w:rPr>
            </w:pPr>
            <w:r w:rsidRPr="00CE4FA7">
              <w:rPr>
                <w:rFonts w:asciiTheme="majorHAnsi" w:eastAsia="Times New Roman" w:hAnsiTheme="majorHAnsi" w:cstheme="majorHAnsi"/>
                <w:color w:val="000000" w:themeColor="text1"/>
                <w:sz w:val="16"/>
                <w:szCs w:val="16"/>
                <w:lang w:val="lv-LV" w:eastAsia="lv-LV"/>
              </w:rPr>
              <w:t>26,6</w:t>
            </w:r>
          </w:p>
        </w:tc>
        <w:tc>
          <w:tcPr>
            <w:tcW w:w="567" w:type="dxa"/>
            <w:shd w:val="clear" w:color="auto" w:fill="B4C6E7" w:themeFill="accent1" w:themeFillTint="66"/>
            <w:vAlign w:val="bottom"/>
          </w:tcPr>
          <w:p w14:paraId="5798E380" w14:textId="77777777" w:rsidR="00262896" w:rsidRPr="00CE4FA7" w:rsidRDefault="00262896" w:rsidP="0002297E">
            <w:pPr>
              <w:widowControl/>
              <w:spacing w:before="40" w:after="40" w:line="240" w:lineRule="auto"/>
              <w:jc w:val="center"/>
              <w:rPr>
                <w:rFonts w:asciiTheme="majorHAnsi" w:hAnsiTheme="majorHAnsi" w:cstheme="majorHAnsi"/>
                <w:sz w:val="16"/>
                <w:szCs w:val="16"/>
                <w:lang w:val="lv-LV"/>
              </w:rPr>
            </w:pPr>
            <w:r w:rsidRPr="00CE4FA7">
              <w:rPr>
                <w:rFonts w:asciiTheme="majorHAnsi" w:eastAsia="Times New Roman" w:hAnsiTheme="majorHAnsi" w:cstheme="majorHAnsi"/>
                <w:color w:val="000000" w:themeColor="text1"/>
                <w:sz w:val="16"/>
                <w:szCs w:val="16"/>
                <w:lang w:val="lv-LV" w:eastAsia="lv-LV"/>
              </w:rPr>
              <w:t>32,5</w:t>
            </w:r>
          </w:p>
        </w:tc>
        <w:tc>
          <w:tcPr>
            <w:tcW w:w="567" w:type="dxa"/>
            <w:shd w:val="clear" w:color="auto" w:fill="B4C6E7" w:themeFill="accent1" w:themeFillTint="66"/>
            <w:vAlign w:val="bottom"/>
          </w:tcPr>
          <w:p w14:paraId="1F5C9825" w14:textId="77777777" w:rsidR="00262896" w:rsidRPr="00CE4FA7" w:rsidRDefault="00262896" w:rsidP="0002297E">
            <w:pPr>
              <w:widowControl/>
              <w:spacing w:before="40" w:after="4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38,2</w:t>
            </w:r>
          </w:p>
        </w:tc>
      </w:tr>
      <w:tr w:rsidR="00262896" w:rsidRPr="00AB3438" w14:paraId="1BFCB7DE" w14:textId="77777777" w:rsidTr="0002297E">
        <w:trPr>
          <w:jc w:val="center"/>
        </w:trPr>
        <w:tc>
          <w:tcPr>
            <w:tcW w:w="2835" w:type="dxa"/>
            <w:shd w:val="clear" w:color="auto" w:fill="D9E2F3" w:themeFill="accent1" w:themeFillTint="33"/>
            <w:vAlign w:val="bottom"/>
          </w:tcPr>
          <w:p w14:paraId="096BACFF" w14:textId="77777777" w:rsidR="00262896" w:rsidRPr="00AB3438" w:rsidRDefault="00262896" w:rsidP="0002297E">
            <w:pPr>
              <w:widowControl/>
              <w:spacing w:before="40" w:after="40" w:line="240" w:lineRule="auto"/>
              <w:rPr>
                <w:rFonts w:asciiTheme="majorHAnsi" w:hAnsiTheme="majorHAnsi" w:cstheme="majorHAnsi"/>
                <w:sz w:val="16"/>
                <w:szCs w:val="16"/>
                <w:lang w:val="lv-LV"/>
              </w:rPr>
            </w:pPr>
            <w:r w:rsidRPr="00CE4FA7">
              <w:rPr>
                <w:rFonts w:asciiTheme="majorHAnsi" w:hAnsiTheme="majorHAnsi" w:cstheme="majorHAnsi"/>
                <w:sz w:val="16"/>
                <w:szCs w:val="16"/>
                <w:lang w:val="lv-LV"/>
              </w:rPr>
              <w:t>Bruto pamatkapitāla veidošana, miljrd. EUR, īpatsvars 30% no IKP</w:t>
            </w:r>
          </w:p>
        </w:tc>
        <w:tc>
          <w:tcPr>
            <w:tcW w:w="567" w:type="dxa"/>
            <w:shd w:val="clear" w:color="auto" w:fill="D9E2F3" w:themeFill="accent1" w:themeFillTint="33"/>
            <w:vAlign w:val="bottom"/>
          </w:tcPr>
          <w:p w14:paraId="02D8636B" w14:textId="77777777" w:rsidR="00262896" w:rsidRPr="00CE4FA7" w:rsidRDefault="00262896" w:rsidP="0002297E">
            <w:pPr>
              <w:widowControl/>
              <w:spacing w:before="40" w:after="40" w:line="240" w:lineRule="auto"/>
              <w:jc w:val="center"/>
              <w:rPr>
                <w:rFonts w:asciiTheme="majorHAnsi" w:hAnsiTheme="majorHAnsi" w:cstheme="majorHAnsi"/>
                <w:sz w:val="16"/>
                <w:szCs w:val="16"/>
                <w:lang w:val="lv-LV"/>
              </w:rPr>
            </w:pPr>
          </w:p>
        </w:tc>
        <w:tc>
          <w:tcPr>
            <w:tcW w:w="567" w:type="dxa"/>
            <w:shd w:val="clear" w:color="auto" w:fill="D9E2F3" w:themeFill="accent1" w:themeFillTint="33"/>
            <w:vAlign w:val="bottom"/>
          </w:tcPr>
          <w:p w14:paraId="426ABCDD" w14:textId="77777777" w:rsidR="00262896" w:rsidRPr="00CE4FA7" w:rsidRDefault="00262896" w:rsidP="0002297E">
            <w:pPr>
              <w:widowControl/>
              <w:spacing w:before="40" w:after="40" w:line="240" w:lineRule="auto"/>
              <w:jc w:val="center"/>
              <w:rPr>
                <w:rFonts w:asciiTheme="majorHAnsi" w:hAnsiTheme="majorHAnsi" w:cstheme="majorHAnsi"/>
                <w:sz w:val="16"/>
                <w:szCs w:val="16"/>
                <w:lang w:val="lv-LV"/>
              </w:rPr>
            </w:pPr>
          </w:p>
        </w:tc>
        <w:tc>
          <w:tcPr>
            <w:tcW w:w="567" w:type="dxa"/>
            <w:shd w:val="clear" w:color="auto" w:fill="D9E2F3" w:themeFill="accent1" w:themeFillTint="33"/>
            <w:vAlign w:val="bottom"/>
          </w:tcPr>
          <w:p w14:paraId="13DC3E96" w14:textId="77777777" w:rsidR="00262896" w:rsidRPr="00CE4FA7" w:rsidRDefault="00262896" w:rsidP="0002297E">
            <w:pPr>
              <w:widowControl/>
              <w:spacing w:before="40" w:after="40" w:line="240" w:lineRule="auto"/>
              <w:jc w:val="center"/>
              <w:rPr>
                <w:rFonts w:asciiTheme="majorHAnsi" w:eastAsia="Times New Roman" w:hAnsiTheme="majorHAnsi" w:cstheme="majorHAnsi"/>
                <w:color w:val="000000"/>
                <w:sz w:val="16"/>
                <w:szCs w:val="16"/>
                <w:lang w:val="lv-LV" w:eastAsia="lv-LV"/>
              </w:rPr>
            </w:pPr>
          </w:p>
        </w:tc>
        <w:tc>
          <w:tcPr>
            <w:tcW w:w="567" w:type="dxa"/>
            <w:shd w:val="clear" w:color="auto" w:fill="D9E2F3" w:themeFill="accent1" w:themeFillTint="33"/>
            <w:vAlign w:val="bottom"/>
          </w:tcPr>
          <w:p w14:paraId="0359B1E0" w14:textId="77777777" w:rsidR="00262896" w:rsidRPr="00CE4FA7" w:rsidRDefault="00262896" w:rsidP="0002297E">
            <w:pPr>
              <w:widowControl/>
              <w:spacing w:before="40" w:after="40" w:line="240" w:lineRule="auto"/>
              <w:jc w:val="center"/>
              <w:rPr>
                <w:rFonts w:asciiTheme="majorHAnsi" w:hAnsiTheme="majorHAnsi" w:cstheme="majorHAnsi"/>
                <w:sz w:val="16"/>
                <w:szCs w:val="16"/>
                <w:lang w:val="lv-LV"/>
              </w:rPr>
            </w:pPr>
          </w:p>
        </w:tc>
        <w:tc>
          <w:tcPr>
            <w:tcW w:w="567" w:type="dxa"/>
            <w:shd w:val="clear" w:color="auto" w:fill="D9E2F3" w:themeFill="accent1" w:themeFillTint="33"/>
            <w:vAlign w:val="bottom"/>
          </w:tcPr>
          <w:p w14:paraId="23098664" w14:textId="77777777" w:rsidR="00262896" w:rsidRPr="00CE4FA7" w:rsidRDefault="00262896" w:rsidP="0002297E">
            <w:pPr>
              <w:widowControl/>
              <w:spacing w:before="40" w:after="40" w:line="240" w:lineRule="auto"/>
              <w:jc w:val="center"/>
              <w:rPr>
                <w:rFonts w:asciiTheme="majorHAnsi" w:hAnsiTheme="majorHAnsi" w:cstheme="majorHAnsi"/>
                <w:sz w:val="16"/>
                <w:szCs w:val="16"/>
                <w:lang w:val="lv-LV"/>
              </w:rPr>
            </w:pPr>
          </w:p>
        </w:tc>
        <w:tc>
          <w:tcPr>
            <w:tcW w:w="567" w:type="dxa"/>
            <w:shd w:val="clear" w:color="auto" w:fill="D9E2F3" w:themeFill="accent1" w:themeFillTint="33"/>
            <w:vAlign w:val="bottom"/>
          </w:tcPr>
          <w:p w14:paraId="3F755DA8" w14:textId="77777777" w:rsidR="00262896" w:rsidRPr="00CE4FA7" w:rsidRDefault="00262896" w:rsidP="0002297E">
            <w:pPr>
              <w:widowControl/>
              <w:spacing w:before="40" w:after="40" w:line="240" w:lineRule="auto"/>
              <w:jc w:val="center"/>
              <w:rPr>
                <w:rFonts w:asciiTheme="majorHAnsi" w:hAnsiTheme="majorHAnsi" w:cstheme="majorHAnsi"/>
                <w:sz w:val="16"/>
                <w:szCs w:val="16"/>
                <w:lang w:val="lv-LV"/>
              </w:rPr>
            </w:pPr>
          </w:p>
        </w:tc>
        <w:tc>
          <w:tcPr>
            <w:tcW w:w="567" w:type="dxa"/>
            <w:shd w:val="clear" w:color="auto" w:fill="D9E2F3" w:themeFill="accent1" w:themeFillTint="33"/>
            <w:vAlign w:val="bottom"/>
          </w:tcPr>
          <w:p w14:paraId="1496B9C5" w14:textId="77777777" w:rsidR="00262896" w:rsidRPr="00CE4FA7" w:rsidRDefault="00262896" w:rsidP="0002297E">
            <w:pPr>
              <w:widowControl/>
              <w:spacing w:before="40" w:after="40" w:line="240" w:lineRule="auto"/>
              <w:jc w:val="center"/>
              <w:rPr>
                <w:rFonts w:asciiTheme="majorHAnsi" w:hAnsiTheme="majorHAnsi" w:cstheme="majorHAnsi"/>
                <w:sz w:val="16"/>
                <w:szCs w:val="16"/>
                <w:lang w:val="lv-LV"/>
              </w:rPr>
            </w:pPr>
            <w:r w:rsidRPr="00CE4FA7">
              <w:rPr>
                <w:rFonts w:asciiTheme="majorHAnsi" w:eastAsia="Times New Roman" w:hAnsiTheme="majorHAnsi" w:cstheme="majorHAnsi"/>
                <w:color w:val="000000" w:themeColor="text1"/>
                <w:sz w:val="16"/>
                <w:szCs w:val="16"/>
                <w:lang w:val="lv-LV" w:eastAsia="lv-LV"/>
              </w:rPr>
              <w:t>13,3</w:t>
            </w:r>
          </w:p>
        </w:tc>
        <w:tc>
          <w:tcPr>
            <w:tcW w:w="567" w:type="dxa"/>
            <w:shd w:val="clear" w:color="auto" w:fill="D9E2F3" w:themeFill="accent1" w:themeFillTint="33"/>
            <w:vAlign w:val="bottom"/>
          </w:tcPr>
          <w:p w14:paraId="756175D5" w14:textId="77777777" w:rsidR="00262896" w:rsidRPr="00CE4FA7" w:rsidRDefault="00262896" w:rsidP="0002297E">
            <w:pPr>
              <w:widowControl/>
              <w:spacing w:before="40" w:after="40" w:line="240" w:lineRule="auto"/>
              <w:jc w:val="center"/>
              <w:rPr>
                <w:rFonts w:asciiTheme="majorHAnsi" w:hAnsiTheme="majorHAnsi" w:cstheme="majorHAnsi"/>
                <w:sz w:val="16"/>
                <w:szCs w:val="16"/>
                <w:lang w:val="lv-LV"/>
              </w:rPr>
            </w:pPr>
            <w:r w:rsidRPr="00CE4FA7">
              <w:rPr>
                <w:rFonts w:asciiTheme="majorHAnsi" w:eastAsia="Times New Roman" w:hAnsiTheme="majorHAnsi" w:cstheme="majorHAnsi"/>
                <w:color w:val="000000" w:themeColor="text1"/>
                <w:sz w:val="16"/>
                <w:szCs w:val="16"/>
                <w:lang w:val="lv-LV" w:eastAsia="lv-LV"/>
              </w:rPr>
              <w:t>18,6</w:t>
            </w:r>
          </w:p>
        </w:tc>
        <w:tc>
          <w:tcPr>
            <w:tcW w:w="567" w:type="dxa"/>
            <w:shd w:val="clear" w:color="auto" w:fill="D9E2F3" w:themeFill="accent1" w:themeFillTint="33"/>
            <w:vAlign w:val="bottom"/>
          </w:tcPr>
          <w:p w14:paraId="36F26038" w14:textId="77777777" w:rsidR="00262896" w:rsidRPr="00CE4FA7" w:rsidRDefault="00262896" w:rsidP="0002297E">
            <w:pPr>
              <w:widowControl/>
              <w:spacing w:before="40" w:after="40" w:line="240" w:lineRule="auto"/>
              <w:jc w:val="center"/>
              <w:rPr>
                <w:rFonts w:asciiTheme="majorHAnsi" w:hAnsiTheme="majorHAnsi" w:cstheme="majorHAnsi"/>
                <w:sz w:val="16"/>
                <w:szCs w:val="16"/>
                <w:lang w:val="lv-LV"/>
              </w:rPr>
            </w:pPr>
            <w:r w:rsidRPr="00CE4FA7">
              <w:rPr>
                <w:rFonts w:asciiTheme="majorHAnsi" w:eastAsia="Times New Roman" w:hAnsiTheme="majorHAnsi" w:cstheme="majorHAnsi"/>
                <w:color w:val="000000" w:themeColor="text1"/>
                <w:sz w:val="16"/>
                <w:szCs w:val="16"/>
                <w:lang w:val="lv-LV" w:eastAsia="lv-LV"/>
              </w:rPr>
              <w:t>25,0</w:t>
            </w:r>
          </w:p>
        </w:tc>
        <w:tc>
          <w:tcPr>
            <w:tcW w:w="567" w:type="dxa"/>
            <w:shd w:val="clear" w:color="auto" w:fill="D9E2F3" w:themeFill="accent1" w:themeFillTint="33"/>
            <w:vAlign w:val="bottom"/>
          </w:tcPr>
          <w:p w14:paraId="0B62174B" w14:textId="77777777" w:rsidR="00262896" w:rsidRPr="00CE4FA7" w:rsidRDefault="00262896" w:rsidP="0002297E">
            <w:pPr>
              <w:widowControl/>
              <w:spacing w:before="40" w:after="40" w:line="240" w:lineRule="auto"/>
              <w:jc w:val="center"/>
              <w:rPr>
                <w:rFonts w:asciiTheme="majorHAnsi" w:hAnsiTheme="majorHAnsi" w:cstheme="majorHAnsi"/>
                <w:sz w:val="16"/>
                <w:szCs w:val="16"/>
                <w:lang w:val="lv-LV"/>
              </w:rPr>
            </w:pPr>
            <w:r w:rsidRPr="00CE4FA7">
              <w:rPr>
                <w:rFonts w:asciiTheme="majorHAnsi" w:eastAsia="Times New Roman" w:hAnsiTheme="majorHAnsi" w:cstheme="majorHAnsi"/>
                <w:color w:val="000000" w:themeColor="text1"/>
                <w:sz w:val="16"/>
                <w:szCs w:val="16"/>
                <w:lang w:val="lv-LV" w:eastAsia="lv-LV"/>
              </w:rPr>
              <w:t>31,9</w:t>
            </w:r>
          </w:p>
        </w:tc>
        <w:tc>
          <w:tcPr>
            <w:tcW w:w="567" w:type="dxa"/>
            <w:shd w:val="clear" w:color="auto" w:fill="D9E2F3" w:themeFill="accent1" w:themeFillTint="33"/>
            <w:vAlign w:val="bottom"/>
          </w:tcPr>
          <w:p w14:paraId="4D244EA5" w14:textId="77777777" w:rsidR="00262896" w:rsidRPr="00CE4FA7" w:rsidRDefault="00262896" w:rsidP="0002297E">
            <w:pPr>
              <w:widowControl/>
              <w:spacing w:before="40" w:after="40" w:line="240" w:lineRule="auto"/>
              <w:jc w:val="center"/>
              <w:rPr>
                <w:rFonts w:asciiTheme="majorHAnsi" w:hAnsiTheme="majorHAnsi" w:cstheme="majorHAnsi"/>
                <w:sz w:val="16"/>
                <w:szCs w:val="16"/>
                <w:lang w:val="lv-LV"/>
              </w:rPr>
            </w:pPr>
            <w:r w:rsidRPr="00CE4FA7">
              <w:rPr>
                <w:rFonts w:asciiTheme="majorHAnsi" w:eastAsia="Times New Roman" w:hAnsiTheme="majorHAnsi" w:cstheme="majorHAnsi"/>
                <w:color w:val="000000" w:themeColor="text1"/>
                <w:sz w:val="16"/>
                <w:szCs w:val="16"/>
                <w:lang w:val="lv-LV" w:eastAsia="lv-LV"/>
              </w:rPr>
              <w:t>39,0</w:t>
            </w:r>
          </w:p>
        </w:tc>
        <w:tc>
          <w:tcPr>
            <w:tcW w:w="567" w:type="dxa"/>
            <w:shd w:val="clear" w:color="auto" w:fill="D9E2F3" w:themeFill="accent1" w:themeFillTint="33"/>
            <w:vAlign w:val="bottom"/>
          </w:tcPr>
          <w:p w14:paraId="04E9E4D7" w14:textId="77777777" w:rsidR="00262896" w:rsidRPr="00CE4FA7" w:rsidRDefault="00262896" w:rsidP="0002297E">
            <w:pPr>
              <w:widowControl/>
              <w:spacing w:before="40" w:after="4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45,8</w:t>
            </w:r>
          </w:p>
        </w:tc>
      </w:tr>
    </w:tbl>
    <w:p w14:paraId="4926761F" w14:textId="77777777" w:rsidR="00262896" w:rsidRPr="003A00E6" w:rsidRDefault="00262896" w:rsidP="00262896">
      <w:pPr>
        <w:widowControl/>
        <w:spacing w:before="120" w:after="120" w:line="240" w:lineRule="auto"/>
        <w:rPr>
          <w:rFonts w:ascii="Verdana Pro Cond Light" w:hAnsi="Verdana Pro Cond Light"/>
          <w:lang w:val="lv-LV"/>
        </w:rPr>
      </w:pPr>
      <w:r w:rsidRPr="00CE4FA7">
        <w:rPr>
          <w:rFonts w:ascii="Arial Nova Cond Light" w:hAnsi="Arial Nova Cond Light"/>
          <w:sz w:val="16"/>
          <w:szCs w:val="16"/>
          <w:lang w:val="lv-LV"/>
        </w:rPr>
        <w:t>* </w:t>
      </w:r>
      <w:r>
        <w:rPr>
          <w:rFonts w:ascii="Arial Nova Cond Light" w:hAnsi="Arial Nova Cond Light"/>
          <w:sz w:val="16"/>
          <w:szCs w:val="16"/>
          <w:lang w:val="lv-LV"/>
        </w:rPr>
        <w:t xml:space="preserve">– </w:t>
      </w:r>
      <w:r w:rsidRPr="00CE4FA7">
        <w:rPr>
          <w:rFonts w:ascii="Arial Nova Cond Light" w:hAnsi="Arial Nova Cond Light"/>
          <w:sz w:val="16"/>
          <w:szCs w:val="16"/>
          <w:lang w:val="lv-LV"/>
        </w:rPr>
        <w:t>Ekonomikas ministrijas informatīvais ziņojums “Par Latvijas ekonomisko attīstību”</w:t>
      </w:r>
      <w:r w:rsidRPr="00CE4FA7">
        <w:rPr>
          <w:rFonts w:ascii="Arial Nova Cond Light" w:hAnsi="Arial Nova Cond Light"/>
          <w:sz w:val="16"/>
          <w:szCs w:val="16"/>
          <w:vertAlign w:val="superscript"/>
          <w:lang w:val="lv-LV"/>
        </w:rPr>
        <w:footnoteReference w:id="42"/>
      </w:r>
      <w:r w:rsidRPr="00CE4FA7">
        <w:rPr>
          <w:rFonts w:ascii="Arial Nova Cond Light" w:hAnsi="Arial Nova Cond Light"/>
          <w:sz w:val="16"/>
          <w:szCs w:val="16"/>
          <w:vertAlign w:val="superscript"/>
          <w:lang w:val="lv-LV"/>
        </w:rPr>
        <w:t>,</w:t>
      </w:r>
      <w:r>
        <w:rPr>
          <w:rFonts w:ascii="Arial Nova Cond Light" w:hAnsi="Arial Nova Cond Light"/>
          <w:sz w:val="16"/>
          <w:szCs w:val="16"/>
          <w:lang w:val="lv-LV"/>
        </w:rPr>
        <w:br/>
      </w:r>
    </w:p>
    <w:p w14:paraId="638E5F1F" w14:textId="77777777" w:rsidR="00262896" w:rsidRPr="003A00E6" w:rsidRDefault="00262896" w:rsidP="00262896">
      <w:pPr>
        <w:widowControl/>
        <w:spacing w:before="120" w:after="120" w:line="240" w:lineRule="auto"/>
        <w:rPr>
          <w:rFonts w:ascii="Verdana Pro Cond Light" w:hAnsi="Verdana Pro Cond Light"/>
          <w:lang w:val="lv-LV"/>
        </w:rPr>
      </w:pPr>
      <w:r w:rsidRPr="003A00E6">
        <w:rPr>
          <w:rFonts w:ascii="Verdana Pro Cond Light" w:hAnsi="Verdana Pro Cond Light"/>
          <w:lang w:val="lv-LV"/>
        </w:rPr>
        <w:t>Papildus tam autori ir analizējuši arī potenciālos investīciju apjomus pie nosacījuma, ka kopējie izdevumi bruto pamatkapitāla veidošanai nākamajos gados var sastādīt 30 % no IKP. Tomēr šis līmenis ir vērtējams, kā Latvijas ekonomikai maksimāli iespējamais, jo var radīt riskus, ka ekonomika nespēj absorbēt papildus ienākošos finanšu līdzekļus, kas, savukārt radīs būtisku papildus spiedienu uz inflāciju.</w:t>
      </w:r>
    </w:p>
    <w:p w14:paraId="67E41CA0" w14:textId="77777777" w:rsidR="00262896" w:rsidRPr="003A00E6" w:rsidRDefault="00262896" w:rsidP="00262896">
      <w:pPr>
        <w:widowControl/>
        <w:spacing w:before="120" w:after="120" w:line="240" w:lineRule="auto"/>
        <w:jc w:val="both"/>
        <w:rPr>
          <w:rFonts w:ascii="Verdana Pro Cond Light" w:hAnsi="Verdana Pro Cond Light"/>
          <w:lang w:val="lv-LV"/>
        </w:rPr>
      </w:pPr>
      <w:r w:rsidRPr="003A00E6">
        <w:rPr>
          <w:rFonts w:ascii="Verdana Pro Cond Light" w:hAnsi="Verdana Pro Cond Light"/>
          <w:lang w:val="lv-LV"/>
        </w:rPr>
        <w:t>NEKP laika tvēruma kontekstā līdz 2030. gadam izdevumi bruto pamatkapitāla veidošanai tekošā gada faktiskajās cenās kumulatīvi no 2025. līdz 2030. gadam var sasniegt 79,8 miljrd. eiro EUR pie nosacījuma, ka investīcijas veido 25 % no IKP vai 94,4 miljardus EUR pie nosacījuma, ka investīcijas veido 30% no IKP.</w:t>
      </w:r>
    </w:p>
    <w:p w14:paraId="352B0356" w14:textId="77777777" w:rsidR="00262896" w:rsidRPr="003A00E6" w:rsidRDefault="00262896" w:rsidP="00262896">
      <w:pPr>
        <w:widowControl/>
        <w:spacing w:before="120" w:after="120" w:line="240" w:lineRule="auto"/>
        <w:jc w:val="both"/>
        <w:rPr>
          <w:rFonts w:ascii="Verdana Pro Cond Light" w:hAnsi="Verdana Pro Cond Light"/>
          <w:lang w:val="lv-LV"/>
        </w:rPr>
      </w:pPr>
      <w:r w:rsidRPr="003A00E6">
        <w:rPr>
          <w:rFonts w:ascii="Verdana Pro Cond Light" w:hAnsi="Verdana Pro Cond Light"/>
          <w:lang w:val="lv-LV"/>
        </w:rPr>
        <w:t>Lai arī kumulatīvi investīciju pieaugums (plūsmas) mērķa scenārijā ir relatīvi liels, tomēr jāņem vērā arī esošo aktīvu vērtība un amortizācija (skatīt. 5.10. attēlu)</w:t>
      </w:r>
      <w:r>
        <w:rPr>
          <w:rFonts w:ascii="Verdana Pro Cond Light" w:hAnsi="Verdana Pro Cond Light"/>
          <w:lang w:val="lv-LV"/>
        </w:rPr>
        <w:t>.</w:t>
      </w:r>
    </w:p>
    <w:p w14:paraId="4E2BD295" w14:textId="77777777" w:rsidR="00262896" w:rsidRPr="003A00E6" w:rsidRDefault="00262896" w:rsidP="00262896">
      <w:pPr>
        <w:widowControl/>
        <w:spacing w:after="160" w:line="240" w:lineRule="auto"/>
        <w:rPr>
          <w:rFonts w:ascii="Verdana Pro Cond Light" w:hAnsi="Verdana Pro Cond Light"/>
          <w:lang w:val="lv-LV"/>
        </w:rPr>
      </w:pPr>
      <w:r w:rsidRPr="003A00E6">
        <w:rPr>
          <w:rFonts w:ascii="Verdana Pro Cond Light" w:hAnsi="Verdana Pro Cond Light"/>
          <w:lang w:val="lv-LV"/>
        </w:rPr>
        <w:br w:type="page"/>
      </w:r>
    </w:p>
    <w:p w14:paraId="023A7DE4" w14:textId="77777777" w:rsidR="00262896" w:rsidRPr="003A00E6" w:rsidRDefault="00262896" w:rsidP="00262896">
      <w:pPr>
        <w:widowControl/>
        <w:spacing w:before="120" w:after="120" w:line="240" w:lineRule="auto"/>
        <w:jc w:val="right"/>
        <w:rPr>
          <w:rFonts w:ascii="Verdana Pro Cond Light" w:hAnsi="Verdana Pro Cond Light"/>
          <w:lang w:val="lv-LV"/>
        </w:rPr>
      </w:pPr>
      <w:r w:rsidRPr="003A00E6">
        <w:rPr>
          <w:rFonts w:ascii="Verdana Pro Cond Light" w:hAnsi="Verdana Pro Cond Light"/>
          <w:lang w:val="lv-LV"/>
        </w:rPr>
        <w:lastRenderedPageBreak/>
        <w:t>5.10. attēls</w:t>
      </w:r>
    </w:p>
    <w:p w14:paraId="18FC4C8D" w14:textId="77777777" w:rsidR="00262896" w:rsidRDefault="00262896" w:rsidP="00262896">
      <w:pPr>
        <w:widowControl/>
        <w:spacing w:before="120" w:after="120" w:line="240" w:lineRule="auto"/>
        <w:jc w:val="center"/>
        <w:rPr>
          <w:rFonts w:ascii="Verdana Pro Cond Light" w:hAnsi="Verdana Pro Cond Light"/>
          <w:sz w:val="18"/>
          <w:szCs w:val="18"/>
          <w:lang w:val="lv-LV"/>
        </w:rPr>
      </w:pPr>
      <w:r w:rsidRPr="003A00E6">
        <w:rPr>
          <w:rFonts w:ascii="Verdana Pro Cond Light" w:hAnsi="Verdana Pro Cond Light"/>
          <w:b/>
          <w:bCs/>
          <w:lang w:val="lv-LV"/>
        </w:rPr>
        <w:t xml:space="preserve">Kopējo nefinanšu aktīvu vērtību potenciālās pārmaiņas, ņemot vērā </w:t>
      </w:r>
      <w:r>
        <w:rPr>
          <w:rFonts w:ascii="Verdana Pro Cond Light" w:hAnsi="Verdana Pro Cond Light"/>
          <w:b/>
          <w:bCs/>
          <w:lang w:val="lv-LV"/>
        </w:rPr>
        <w:br/>
      </w:r>
      <w:r w:rsidRPr="003A00E6">
        <w:rPr>
          <w:rFonts w:ascii="Verdana Pro Cond Light" w:hAnsi="Verdana Pro Cond Light"/>
          <w:b/>
          <w:bCs/>
          <w:lang w:val="lv-LV"/>
        </w:rPr>
        <w:t>amortizāciju un mērķa scenārijā sagaidāmo investīciju pieaugumu</w:t>
      </w:r>
      <w:r>
        <w:rPr>
          <w:rFonts w:ascii="Verdana Pro Cond Light" w:hAnsi="Verdana Pro Cond Light"/>
          <w:b/>
          <w:bCs/>
          <w:lang w:val="lv-LV"/>
        </w:rPr>
        <w:br/>
      </w:r>
      <w:r w:rsidRPr="003A00E6">
        <w:rPr>
          <w:rFonts w:ascii="Verdana Pro Cond Light" w:hAnsi="Verdana Pro Cond Light"/>
          <w:sz w:val="18"/>
          <w:szCs w:val="18"/>
          <w:lang w:val="lv-LV"/>
        </w:rPr>
        <w:t>miljardos EUR, 2021.gada cenās, ikgadējās izmaiņas periodā kopā</w:t>
      </w:r>
    </w:p>
    <w:p w14:paraId="221183F6" w14:textId="77777777" w:rsidR="00262896" w:rsidRPr="003A00E6" w:rsidRDefault="00262896" w:rsidP="00262896">
      <w:pPr>
        <w:widowControl/>
        <w:spacing w:before="120" w:after="120" w:line="240" w:lineRule="auto"/>
        <w:jc w:val="center"/>
        <w:rPr>
          <w:rFonts w:ascii="Verdana Pro Cond Light" w:hAnsi="Verdana Pro Cond Light"/>
          <w:sz w:val="18"/>
          <w:szCs w:val="18"/>
          <w:lang w:val="lv-LV"/>
        </w:rPr>
      </w:pPr>
    </w:p>
    <w:p w14:paraId="15002A78" w14:textId="77777777" w:rsidR="00262896" w:rsidRDefault="00262896" w:rsidP="00262896">
      <w:pPr>
        <w:widowControl/>
        <w:spacing w:before="120" w:after="120" w:line="240" w:lineRule="auto"/>
        <w:jc w:val="center"/>
        <w:rPr>
          <w:rFonts w:ascii="Verdana Pro Cond Light" w:hAnsi="Verdana Pro Cond Light"/>
          <w:b/>
          <w:bCs/>
          <w:sz w:val="18"/>
          <w:szCs w:val="18"/>
          <w:lang w:val="lv-LV"/>
        </w:rPr>
      </w:pPr>
      <w:r w:rsidRPr="003A00E6">
        <w:rPr>
          <w:rFonts w:ascii="Verdana Pro Cond Light" w:hAnsi="Verdana Pro Cond Light"/>
          <w:b/>
          <w:bCs/>
          <w:sz w:val="18"/>
          <w:szCs w:val="18"/>
          <w:lang w:val="lv-LV"/>
        </w:rPr>
        <w:t xml:space="preserve">Bruto pamatkapitāla veidošanas īpatsvars 25% no mērķa scenārija </w:t>
      </w:r>
      <w:r>
        <w:rPr>
          <w:rFonts w:ascii="Verdana Pro Cond Light" w:hAnsi="Verdana Pro Cond Light"/>
          <w:b/>
          <w:bCs/>
          <w:sz w:val="18"/>
          <w:szCs w:val="18"/>
          <w:lang w:val="lv-LV"/>
        </w:rPr>
        <w:t>IKP</w:t>
      </w:r>
    </w:p>
    <w:p w14:paraId="4269F69D" w14:textId="77777777" w:rsidR="00262896" w:rsidRDefault="00262896" w:rsidP="00262896">
      <w:pPr>
        <w:widowControl/>
        <w:spacing w:before="120" w:after="120" w:line="240" w:lineRule="auto"/>
        <w:jc w:val="center"/>
        <w:rPr>
          <w:rFonts w:ascii="Verdana Pro Cond Light" w:hAnsi="Verdana Pro Cond Light"/>
          <w:b/>
          <w:bCs/>
          <w:sz w:val="18"/>
          <w:szCs w:val="18"/>
          <w:lang w:val="lv-LV"/>
        </w:rPr>
      </w:pPr>
      <w:r>
        <w:rPr>
          <w:rFonts w:ascii="Minion Pro" w:hAnsi="Minion Pro"/>
          <w:b/>
          <w:bCs/>
          <w:noProof/>
          <w:sz w:val="24"/>
          <w:szCs w:val="24"/>
          <w14:ligatures w14:val="standardContextual"/>
        </w:rPr>
        <w:drawing>
          <wp:inline distT="0" distB="0" distL="0" distR="0" wp14:anchorId="1490BEC8" wp14:editId="0FF3C7B7">
            <wp:extent cx="6120000" cy="2160000"/>
            <wp:effectExtent l="0" t="0" r="0" b="0"/>
            <wp:docPr id="175917159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7626C7A3" w14:textId="77777777" w:rsidR="00262896" w:rsidRDefault="00262896" w:rsidP="00262896">
      <w:pPr>
        <w:widowControl/>
        <w:spacing w:before="120" w:after="120" w:line="240" w:lineRule="auto"/>
        <w:jc w:val="center"/>
        <w:rPr>
          <w:rFonts w:ascii="Verdana Pro Cond Light" w:hAnsi="Verdana Pro Cond Light"/>
          <w:b/>
          <w:bCs/>
          <w:sz w:val="18"/>
          <w:szCs w:val="18"/>
          <w:lang w:val="lv-LV"/>
        </w:rPr>
      </w:pPr>
    </w:p>
    <w:p w14:paraId="48C5B9EA" w14:textId="77777777" w:rsidR="00262896" w:rsidRDefault="00262896" w:rsidP="00262896">
      <w:pPr>
        <w:widowControl/>
        <w:spacing w:before="120" w:after="120" w:line="240" w:lineRule="auto"/>
        <w:jc w:val="center"/>
        <w:rPr>
          <w:rFonts w:ascii="Verdana Pro Cond Light" w:hAnsi="Verdana Pro Cond Light"/>
          <w:b/>
          <w:bCs/>
          <w:sz w:val="18"/>
          <w:szCs w:val="18"/>
          <w:lang w:val="lv-LV"/>
        </w:rPr>
      </w:pPr>
      <w:r w:rsidRPr="003A00E6">
        <w:rPr>
          <w:rFonts w:ascii="Verdana Pro Cond Light" w:hAnsi="Verdana Pro Cond Light"/>
          <w:b/>
          <w:bCs/>
          <w:sz w:val="18"/>
          <w:szCs w:val="18"/>
          <w:lang w:val="lv-LV"/>
        </w:rPr>
        <w:t xml:space="preserve">Bruto pamatkapitāla veidošanas īpatsvars </w:t>
      </w:r>
      <w:r>
        <w:rPr>
          <w:rFonts w:ascii="Verdana Pro Cond Light" w:hAnsi="Verdana Pro Cond Light"/>
          <w:b/>
          <w:bCs/>
          <w:sz w:val="18"/>
          <w:szCs w:val="18"/>
          <w:lang w:val="lv-LV"/>
        </w:rPr>
        <w:t>30</w:t>
      </w:r>
      <w:r w:rsidRPr="003A00E6">
        <w:rPr>
          <w:rFonts w:ascii="Verdana Pro Cond Light" w:hAnsi="Verdana Pro Cond Light"/>
          <w:b/>
          <w:bCs/>
          <w:sz w:val="18"/>
          <w:szCs w:val="18"/>
          <w:lang w:val="lv-LV"/>
        </w:rPr>
        <w:t xml:space="preserve">% no mērķa scenārija </w:t>
      </w:r>
      <w:r>
        <w:rPr>
          <w:rFonts w:ascii="Verdana Pro Cond Light" w:hAnsi="Verdana Pro Cond Light"/>
          <w:b/>
          <w:bCs/>
          <w:sz w:val="18"/>
          <w:szCs w:val="18"/>
          <w:lang w:val="lv-LV"/>
        </w:rPr>
        <w:t>IKP</w:t>
      </w:r>
    </w:p>
    <w:p w14:paraId="647A3008" w14:textId="77777777" w:rsidR="00262896" w:rsidRDefault="00262896" w:rsidP="00262896">
      <w:pPr>
        <w:widowControl/>
        <w:spacing w:before="120" w:after="120" w:line="240" w:lineRule="auto"/>
        <w:jc w:val="center"/>
        <w:rPr>
          <w:rFonts w:ascii="Verdana Pro Cond Light" w:hAnsi="Verdana Pro Cond Light"/>
          <w:b/>
          <w:bCs/>
          <w:sz w:val="18"/>
          <w:szCs w:val="18"/>
          <w:lang w:val="lv-LV"/>
        </w:rPr>
      </w:pPr>
      <w:r>
        <w:rPr>
          <w:rFonts w:ascii="Minion Pro" w:hAnsi="Minion Pro"/>
          <w:b/>
          <w:bCs/>
          <w:noProof/>
          <w:sz w:val="24"/>
          <w:szCs w:val="24"/>
          <w14:ligatures w14:val="standardContextual"/>
        </w:rPr>
        <w:drawing>
          <wp:inline distT="0" distB="0" distL="0" distR="0" wp14:anchorId="16416EC8" wp14:editId="6743A414">
            <wp:extent cx="6120000" cy="2160000"/>
            <wp:effectExtent l="0" t="0" r="0" b="0"/>
            <wp:docPr id="749057908"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3E917D92" w14:textId="77777777" w:rsidR="00262896" w:rsidRPr="003A00E6" w:rsidRDefault="00262896" w:rsidP="00262896">
      <w:pPr>
        <w:widowControl/>
        <w:spacing w:after="120" w:line="240" w:lineRule="auto"/>
        <w:rPr>
          <w:rFonts w:ascii="Verdana Pro Cond Light" w:hAnsi="Verdana Pro Cond Light"/>
          <w:lang w:val="lv-LV"/>
        </w:rPr>
      </w:pPr>
    </w:p>
    <w:p w14:paraId="6E8B1BA2" w14:textId="77777777" w:rsidR="00262896" w:rsidRPr="003A00E6" w:rsidRDefault="00262896" w:rsidP="00262896">
      <w:pPr>
        <w:widowControl/>
        <w:spacing w:after="120" w:line="240" w:lineRule="auto"/>
        <w:rPr>
          <w:rFonts w:ascii="Verdana Pro Cond Light" w:hAnsi="Verdana Pro Cond Light"/>
          <w:lang w:val="lv-LV"/>
        </w:rPr>
      </w:pPr>
      <w:r w:rsidRPr="003A00E6">
        <w:rPr>
          <w:rFonts w:ascii="Verdana Pro Cond Light" w:hAnsi="Verdana Pro Cond Light"/>
          <w:lang w:val="lv-LV"/>
        </w:rPr>
        <w:t>2022. un 2023 .gadā kopā investīcijas tika veiktas gandrīz 15 miljardu EUR apmērā (2021. gada cenās), bet, pieņemot, ka aktīvu amortizācija veido 3% gadā, kopējā nefinanšu aktīvu vērtība 2023. gadā pat ir nedaudz sarukusi (2021.gada cenās). Kopumā vērtējot investīciju potenciālu ekonomikā, jāsecina, ka mērķa izaugsmes scenārijā līdz 2030. gadam (NEKP plāns) kopējās investīciju plūsmas (ikgadējie izdevumi bruto pamatkapitāla veidošanai) var sasniegt 67 miljardus EUR (2021. gada cenās), kas kopējo aktīvu vērtību var palielināt par 9 miljardiem EUR. Savukārt, no 2030. līdz 2035. gadam (Ekonomikas izaugsmes plāna laika tvērums) kopējās investīciju plūsmas var sasniegt vēl 57 miljardus EUR, kopējai nefinanšu aktīvu vērtībai pieaugot līdz 298 miljardiem EUR. Investīciju scenārijā ar 30% īpatsvaru no IKP aktīvu vērtības pieaugums var būt straujāks, tomēr kā atzīmēts iepriekš, tad tiks būtisks investīciju pieaugums palielina ekonomikas nesabalansētības riskus.</w:t>
      </w:r>
    </w:p>
    <w:p w14:paraId="69B00EA2" w14:textId="77777777" w:rsidR="00262896" w:rsidRPr="003A00E6" w:rsidRDefault="00262896" w:rsidP="00262896">
      <w:pPr>
        <w:widowControl/>
        <w:spacing w:after="120" w:line="240" w:lineRule="auto"/>
        <w:rPr>
          <w:rFonts w:ascii="Verdana Pro Cond Light" w:hAnsi="Verdana Pro Cond Light"/>
          <w:lang w:val="lv-LV"/>
        </w:rPr>
      </w:pPr>
      <w:r w:rsidRPr="003A00E6">
        <w:rPr>
          <w:rFonts w:ascii="Verdana Pro Cond Light" w:hAnsi="Verdana Pro Cond Light"/>
          <w:lang w:val="lv-LV"/>
        </w:rPr>
        <w:t xml:space="preserve">Jāņem vērā, ka visi ieguldījumi tautsaimniecībā nav saistīti ar pielāgošanos klimata pārmaiņām un klimata mērķu sasniegšanu. Nozīmīgu daļu veido ieguldījumi publiskajā infrastruktūrā (ceļi, dzelzceļš), valsts drošībā (militārie izdevumi) utt. Pēdējos gados no kopējā investīciju apjoma tikai 55% investīciju ir saistāmas ar SEG emisiju intensīvajām nozarēm (enerģētika, rūpniecība, lauksaimniecība, transports, atkritumu apsaimniekošana) un tajā skaitā tikai 25% no šīm </w:t>
      </w:r>
      <w:r w:rsidRPr="003A00E6">
        <w:rPr>
          <w:rFonts w:ascii="Verdana Pro Cond Light" w:hAnsi="Verdana Pro Cond Light"/>
          <w:lang w:val="lv-LV"/>
        </w:rPr>
        <w:lastRenderedPageBreak/>
        <w:t>investīcijām ir esošo aktīvu aizvietošana</w:t>
      </w:r>
      <w:r>
        <w:rPr>
          <w:rFonts w:ascii="Verdana Pro Cond Light" w:hAnsi="Verdana Pro Cond Light"/>
          <w:lang w:val="lv-LV"/>
        </w:rPr>
        <w:t xml:space="preserve">. Savukārt no esošo aktīvu aizvietošanas tikai daļa ir zaļajās </w:t>
      </w:r>
      <w:r w:rsidRPr="003A00E6">
        <w:rPr>
          <w:rFonts w:ascii="Verdana Pro Cond Light" w:hAnsi="Verdana Pro Cond Light"/>
          <w:lang w:val="lv-LV"/>
        </w:rPr>
        <w:t>investīcijā</w:t>
      </w:r>
      <w:r>
        <w:rPr>
          <w:rFonts w:ascii="Verdana Pro Cond Light" w:hAnsi="Verdana Pro Cond Light"/>
          <w:lang w:val="lv-LV"/>
        </w:rPr>
        <w:t>s</w:t>
      </w:r>
      <w:r w:rsidRPr="003A00E6">
        <w:rPr>
          <w:rFonts w:ascii="Verdana Pro Cond Light" w:hAnsi="Verdana Pro Cond Light"/>
          <w:lang w:val="lv-LV"/>
        </w:rPr>
        <w:t>.</w:t>
      </w:r>
    </w:p>
    <w:p w14:paraId="222E5590" w14:textId="77777777" w:rsidR="00262896" w:rsidRPr="003A00E6" w:rsidRDefault="00262896" w:rsidP="00262896">
      <w:pPr>
        <w:widowControl/>
        <w:spacing w:after="120" w:line="240" w:lineRule="auto"/>
        <w:rPr>
          <w:rFonts w:ascii="Verdana Pro Cond Light" w:hAnsi="Verdana Pro Cond Light"/>
          <w:lang w:val="lv-LV"/>
        </w:rPr>
      </w:pPr>
      <w:r w:rsidRPr="003A00E6">
        <w:rPr>
          <w:rFonts w:ascii="Verdana Pro Cond Light" w:hAnsi="Verdana Pro Cond Light"/>
          <w:lang w:val="lv-LV"/>
        </w:rPr>
        <w:t>Mērķa izaugsmes scenārijā iespējamie investīciju pieauguma apmēri ir pietiekami, lai nodrošinātu pakāpenisku nefinanšu aktīvu vērtības kāpumu ražošanas kapacitātes palielināšanai. Tomēr ir jāņem vērā, ka ekonomikas dekarbonizācija prasīs papildus ieguldījumus zaļajās tehnoloģijās, kam būs jāaizvieto esošie SEG emisiju radošie aktīvi.</w:t>
      </w:r>
    </w:p>
    <w:p w14:paraId="669540B0" w14:textId="77777777" w:rsidR="00262896" w:rsidRPr="003A00E6" w:rsidRDefault="00262896" w:rsidP="00262896">
      <w:pPr>
        <w:widowControl/>
        <w:spacing w:after="120" w:line="240" w:lineRule="auto"/>
        <w:rPr>
          <w:rFonts w:ascii="Verdana Pro Cond Light" w:hAnsi="Verdana Pro Cond Light"/>
          <w:lang w:val="lv-LV"/>
        </w:rPr>
      </w:pPr>
    </w:p>
    <w:p w14:paraId="06DF95CE" w14:textId="77777777" w:rsidR="00262896" w:rsidRPr="003A00E6" w:rsidRDefault="00262896" w:rsidP="00262896">
      <w:pPr>
        <w:widowControl/>
        <w:spacing w:after="120" w:line="240" w:lineRule="auto"/>
        <w:rPr>
          <w:rFonts w:ascii="Verdana Pro Cond Light" w:hAnsi="Verdana Pro Cond Light"/>
          <w:lang w:val="lv-LV"/>
        </w:rPr>
      </w:pPr>
      <w:r w:rsidRPr="003A00E6">
        <w:rPr>
          <w:rFonts w:ascii="Verdana Pro Cond Light" w:hAnsi="Verdana Pro Cond Light"/>
          <w:b/>
          <w:bCs/>
          <w:lang w:val="lv-LV"/>
        </w:rPr>
        <w:t>Nepieciešamais investīciju apjoms esošo SEG ietilpīgo aktīvu aizvietošanai ar zaļajām tehnoloģijām</w:t>
      </w:r>
    </w:p>
    <w:p w14:paraId="4A82A899" w14:textId="77777777" w:rsidR="00262896" w:rsidRPr="003A00E6" w:rsidRDefault="00262896" w:rsidP="00262896">
      <w:pPr>
        <w:widowControl/>
        <w:spacing w:after="120" w:line="240" w:lineRule="auto"/>
        <w:rPr>
          <w:rFonts w:ascii="Verdana Pro Cond Light" w:hAnsi="Verdana Pro Cond Light"/>
          <w:b/>
          <w:bCs/>
          <w:lang w:val="lv-LV"/>
        </w:rPr>
      </w:pPr>
      <w:r w:rsidRPr="003A00E6">
        <w:rPr>
          <w:rFonts w:ascii="Verdana Pro Cond Light" w:hAnsi="Verdana Pro Cond Light"/>
          <w:lang w:val="lv-LV"/>
        </w:rPr>
        <w:t>Klimatneitralitātes sasniegšana prasīs lielus ieguldījumus esošo nefinanšu aktīvu energoefektivitātes palielināšanai un to aizvietošanai ar zaļajām tehnoloģijām.</w:t>
      </w:r>
    </w:p>
    <w:p w14:paraId="118AC83B" w14:textId="77777777" w:rsidR="00262896" w:rsidRPr="003A00E6" w:rsidRDefault="00262896" w:rsidP="00262896">
      <w:pPr>
        <w:widowControl/>
        <w:spacing w:after="120" w:line="240" w:lineRule="auto"/>
        <w:rPr>
          <w:rFonts w:ascii="Verdana Pro Cond Light" w:hAnsi="Verdana Pro Cond Light"/>
          <w:lang w:val="lv-LV"/>
        </w:rPr>
      </w:pPr>
      <w:r w:rsidRPr="003A00E6">
        <w:rPr>
          <w:rFonts w:ascii="Verdana Pro Cond Light" w:hAnsi="Verdana Pro Cond Light"/>
          <w:lang w:val="lv-LV"/>
        </w:rPr>
        <w:t>Pēc autoru novērtējuma, lai esošos aktīvus aizvietotu ar zaļajām tehnoloģijām un straujāk virzītos uz nozaru dekarbonizāciju:</w:t>
      </w:r>
    </w:p>
    <w:p w14:paraId="14304053" w14:textId="77777777" w:rsidR="00262896" w:rsidRPr="003A00E6" w:rsidRDefault="00262896" w:rsidP="00262896">
      <w:pPr>
        <w:pStyle w:val="ListParagraph"/>
        <w:widowControl/>
        <w:numPr>
          <w:ilvl w:val="0"/>
          <w:numId w:val="15"/>
        </w:numPr>
        <w:spacing w:after="120" w:line="240" w:lineRule="auto"/>
        <w:ind w:left="568" w:hanging="284"/>
        <w:contextualSpacing w:val="0"/>
        <w:rPr>
          <w:rFonts w:ascii="Verdana Pro Cond Light" w:hAnsi="Verdana Pro Cond Light"/>
          <w:lang w:val="lv-LV"/>
        </w:rPr>
      </w:pPr>
      <w:r w:rsidRPr="003A00E6">
        <w:rPr>
          <w:rFonts w:ascii="Verdana Pro Cond Light" w:hAnsi="Verdana Pro Cond Light"/>
          <w:lang w:val="lv-LV"/>
        </w:rPr>
        <w:t>lieli ieguldījumi ir nepieciešami transporta nozarē, kur būtu jāaizvieto vismaz 1/5 daļa no esošiem nefinanšu aktīviem (galvenokārt tie ir ieguldījumi autotransportā);</w:t>
      </w:r>
    </w:p>
    <w:p w14:paraId="1A206F2B" w14:textId="77777777" w:rsidR="00262896" w:rsidRPr="003A00E6" w:rsidRDefault="00262896" w:rsidP="00262896">
      <w:pPr>
        <w:pStyle w:val="ListParagraph"/>
        <w:widowControl/>
        <w:numPr>
          <w:ilvl w:val="0"/>
          <w:numId w:val="15"/>
        </w:numPr>
        <w:spacing w:after="120" w:line="240" w:lineRule="auto"/>
        <w:ind w:left="568" w:hanging="284"/>
        <w:contextualSpacing w:val="0"/>
        <w:rPr>
          <w:rFonts w:ascii="Verdana Pro Cond Light" w:hAnsi="Verdana Pro Cond Light"/>
          <w:lang w:val="lv-LV"/>
        </w:rPr>
      </w:pPr>
      <w:r w:rsidRPr="003A00E6">
        <w:rPr>
          <w:rFonts w:ascii="Verdana Pro Cond Light" w:hAnsi="Verdana Pro Cond Light"/>
          <w:lang w:val="lv-LV"/>
        </w:rPr>
        <w:t>apstrādes rūpniecības nozarēs pēdējos gados novērota SEG emisijas apjomu samazināšanās, ko lielā mērā noteica Liepājas metalurga slēgšana. Tomēr rūpnieciskajiem procesiem joprojām ir liela negatīvā ietekme uz vidi - apstrādes rūpniecībā būs jāaizvieto vismaz 50% no esošajiem ražošanas aktīviem (mašīnas un iekārtas);</w:t>
      </w:r>
    </w:p>
    <w:p w14:paraId="6955953E" w14:textId="77777777" w:rsidR="00262896" w:rsidRPr="003A00E6" w:rsidRDefault="00262896" w:rsidP="00262896">
      <w:pPr>
        <w:pStyle w:val="ListParagraph"/>
        <w:widowControl/>
        <w:numPr>
          <w:ilvl w:val="0"/>
          <w:numId w:val="15"/>
        </w:numPr>
        <w:spacing w:after="120" w:line="240" w:lineRule="auto"/>
        <w:ind w:left="568" w:hanging="284"/>
        <w:contextualSpacing w:val="0"/>
        <w:rPr>
          <w:rFonts w:ascii="Verdana Pro Cond Light" w:hAnsi="Verdana Pro Cond Light"/>
          <w:lang w:val="lv-LV"/>
        </w:rPr>
      </w:pPr>
      <w:r w:rsidRPr="003A00E6">
        <w:rPr>
          <w:rFonts w:ascii="Verdana Pro Cond Light" w:hAnsi="Verdana Pro Cond Light"/>
          <w:lang w:val="lv-LV"/>
        </w:rPr>
        <w:t>enerģētikas nozarē SEG emisiju apjomi ir samazinājušies, tomēr, autori uzskata, ka, lai uzturētu šos tempus būtu nepieciešams veikt investīcijas nefinanšu aktīvu aizvietošanai vismaz 10% no aktīvu kopējās bruto vērtības nozarē, t.sk. 40% no mašīnām un iekārtām enerģētikas nozarē;</w:t>
      </w:r>
    </w:p>
    <w:p w14:paraId="134B5673" w14:textId="60A4F06D" w:rsidR="00262896" w:rsidRPr="00D24F07" w:rsidRDefault="00262896" w:rsidP="00262896">
      <w:pPr>
        <w:pStyle w:val="ListParagraph"/>
        <w:widowControl/>
        <w:numPr>
          <w:ilvl w:val="0"/>
          <w:numId w:val="15"/>
        </w:numPr>
        <w:spacing w:after="120" w:line="240" w:lineRule="auto"/>
        <w:ind w:left="568" w:hanging="284"/>
        <w:contextualSpacing w:val="0"/>
        <w:rPr>
          <w:rFonts w:ascii="Verdana Pro Cond Light" w:hAnsi="Verdana Pro Cond Light"/>
          <w:lang w:val="lv-LV"/>
        </w:rPr>
      </w:pPr>
      <w:r w:rsidRPr="003A00E6">
        <w:rPr>
          <w:rFonts w:ascii="Verdana Pro Cond Light" w:hAnsi="Verdana Pro Cond Light"/>
          <w:lang w:val="lv-LV"/>
        </w:rPr>
        <w:t>lauksaimniecības nozarē būtu jāaizstāj vismaz 1/5 daļa no transportlīdzekļiem un 10% kultivētie bioloģiskie aktīvi</w:t>
      </w:r>
      <w:r w:rsidR="00D24F07">
        <w:rPr>
          <w:rFonts w:ascii="Verdana Pro Cond Light" w:hAnsi="Verdana Pro Cond Light"/>
          <w:lang w:val="lv-LV"/>
        </w:rPr>
        <w:t xml:space="preserve">. Vienlaikus jāatzīmē, </w:t>
      </w:r>
      <w:r w:rsidR="00D24F07" w:rsidRPr="00D24F07">
        <w:rPr>
          <w:rFonts w:ascii="Verdana Pro Cond Light" w:hAnsi="Verdana Pro Cond Light"/>
          <w:lang w:val="lv-LV"/>
        </w:rPr>
        <w:t>ka lauksaimniecība un tās piegades ķēdes ir svarīgs ekonomisks resurss</w:t>
      </w:r>
      <w:r w:rsidR="00D24F07">
        <w:rPr>
          <w:rFonts w:ascii="Verdana Pro Cond Light" w:hAnsi="Verdana Pro Cond Light"/>
          <w:lang w:val="lv-LV"/>
        </w:rPr>
        <w:t xml:space="preserve">. Līdz ar to ir ļoti pārdomāti jāveic </w:t>
      </w:r>
      <w:r w:rsidR="00D24F07" w:rsidRPr="003A00E6">
        <w:rPr>
          <w:rFonts w:ascii="Verdana Pro Cond Light" w:hAnsi="Verdana Pro Cond Light"/>
          <w:lang w:val="lv-LV"/>
        </w:rPr>
        <w:t>esošo aktīvu aizvieto</w:t>
      </w:r>
      <w:r w:rsidR="00D24F07">
        <w:rPr>
          <w:rFonts w:ascii="Verdana Pro Cond Light" w:hAnsi="Verdana Pro Cond Light"/>
          <w:lang w:val="lv-LV"/>
        </w:rPr>
        <w:t>šana</w:t>
      </w:r>
      <w:r w:rsidR="00D24F07" w:rsidRPr="003A00E6">
        <w:rPr>
          <w:rFonts w:ascii="Verdana Pro Cond Light" w:hAnsi="Verdana Pro Cond Light"/>
          <w:lang w:val="lv-LV"/>
        </w:rPr>
        <w:t xml:space="preserve"> ar zaļajām tehnoloģijām</w:t>
      </w:r>
      <w:r w:rsidR="00D24F07">
        <w:rPr>
          <w:rFonts w:ascii="Verdana Pro Cond Light" w:hAnsi="Verdana Pro Cond Light"/>
          <w:lang w:val="lv-LV"/>
        </w:rPr>
        <w:t>;</w:t>
      </w:r>
    </w:p>
    <w:p w14:paraId="4C4034F8" w14:textId="77777777" w:rsidR="00262896" w:rsidRPr="003A00E6" w:rsidRDefault="00262896" w:rsidP="00262896">
      <w:pPr>
        <w:pStyle w:val="ListParagraph"/>
        <w:widowControl/>
        <w:numPr>
          <w:ilvl w:val="0"/>
          <w:numId w:val="15"/>
        </w:numPr>
        <w:spacing w:after="120" w:line="240" w:lineRule="auto"/>
        <w:ind w:left="568" w:hanging="284"/>
        <w:contextualSpacing w:val="0"/>
        <w:rPr>
          <w:rFonts w:ascii="Verdana Pro Cond Light" w:hAnsi="Verdana Pro Cond Light"/>
          <w:lang w:val="lv-LV"/>
        </w:rPr>
      </w:pPr>
      <w:r w:rsidRPr="003A00E6">
        <w:rPr>
          <w:rFonts w:ascii="Verdana Pro Cond Light" w:hAnsi="Verdana Pro Cond Light"/>
          <w:lang w:val="lv-LV"/>
        </w:rPr>
        <w:t>atkritumu apsaimniekošanas nozarē jāaizvieto 40% no mašīnām un iekārtām nozarē un 10% no transportlīdzekļiem.</w:t>
      </w:r>
    </w:p>
    <w:p w14:paraId="563CFAF7" w14:textId="77777777" w:rsidR="00262896" w:rsidRDefault="00262896" w:rsidP="00262896">
      <w:pPr>
        <w:widowControl/>
        <w:spacing w:after="120" w:line="240" w:lineRule="auto"/>
        <w:rPr>
          <w:rFonts w:ascii="Verdana Pro Cond Light" w:hAnsi="Verdana Pro Cond Light"/>
          <w:lang w:val="lv-LV"/>
        </w:rPr>
      </w:pPr>
    </w:p>
    <w:p w14:paraId="7C74ACA5" w14:textId="77777777" w:rsidR="00262896" w:rsidRDefault="00262896" w:rsidP="00262896">
      <w:pPr>
        <w:widowControl/>
        <w:spacing w:after="120" w:line="240" w:lineRule="auto"/>
        <w:rPr>
          <w:rFonts w:ascii="Verdana Pro Cond Light" w:hAnsi="Verdana Pro Cond Light"/>
          <w:lang w:val="lv-LV"/>
        </w:rPr>
      </w:pPr>
      <w:r w:rsidRPr="003A00E6">
        <w:rPr>
          <w:rFonts w:ascii="Verdana Pro Cond Light" w:hAnsi="Verdana Pro Cond Light"/>
          <w:lang w:val="lv-LV"/>
        </w:rPr>
        <w:t xml:space="preserve">Kopumā, ņemot vērā autoru pieņēmumus attiecībā uz nefinanšu aktīvu daļu tautsaimniecības nozarēs, kurām ir vislielākā ietekme uz SEG emisijām Latvijā, un kas būtu jāaizvieto investējot jaunajās zaļajās tehnoloģijās un ražošanas procesu energoefektivitātes palielināšanai, </w:t>
      </w:r>
      <w:r w:rsidRPr="003A00E6">
        <w:rPr>
          <w:rFonts w:ascii="Verdana Pro Cond Light" w:hAnsi="Verdana Pro Cond Light"/>
          <w:b/>
          <w:bCs/>
          <w:lang w:val="lv-LV"/>
        </w:rPr>
        <w:t xml:space="preserve">būtu jāaizvieto nefinanšu (ražošanas) aktīvi vismaz 10,7 miljrd. eiro vērtībā </w:t>
      </w:r>
      <w:r w:rsidRPr="003A00E6">
        <w:rPr>
          <w:rFonts w:ascii="Verdana Pro Cond Light" w:hAnsi="Verdana Pro Cond Light"/>
          <w:lang w:val="lv-LV"/>
        </w:rPr>
        <w:t>(rēķinot 2021.gada atjaunošanas cenās), kas ir  aptuveni 32% no IKP 2021. gadā (pēdējais gads par kuru ir pieejami dati par nefinanšu aktīvu kopējo bruto vērtību).</w:t>
      </w:r>
    </w:p>
    <w:p w14:paraId="23102AC2" w14:textId="77777777" w:rsidR="00262896" w:rsidRDefault="00262896" w:rsidP="00262896">
      <w:pPr>
        <w:widowControl/>
        <w:spacing w:after="120" w:line="240" w:lineRule="auto"/>
        <w:rPr>
          <w:rFonts w:ascii="Verdana Pro Cond Light" w:hAnsi="Verdana Pro Cond Light"/>
          <w:lang w:val="lv-LV"/>
        </w:rPr>
      </w:pPr>
      <w:r w:rsidRPr="003A00E6">
        <w:rPr>
          <w:rFonts w:ascii="Verdana Pro Cond Light" w:hAnsi="Verdana Pro Cond Light"/>
          <w:lang w:val="lv-LV"/>
        </w:rPr>
        <w:t xml:space="preserve">Jaunu tehnoloģiju iegāde vienā nozarē var prasīt papildus ieguldījumus citā nozarē. Īpaši tas attiecās un </w:t>
      </w:r>
      <w:r w:rsidRPr="003A00E6">
        <w:rPr>
          <w:rFonts w:ascii="Verdana Pro Cond Light" w:hAnsi="Verdana Pro Cond Light"/>
          <w:b/>
          <w:bCs/>
          <w:lang w:val="lv-LV"/>
        </w:rPr>
        <w:t>investīcijām infrastruktūras pilnveidošanai, nodrošinot tās atbilstību jaunajām tehnoloģijām</w:t>
      </w:r>
      <w:r w:rsidRPr="003A00E6">
        <w:rPr>
          <w:rFonts w:ascii="Verdana Pro Cond Light" w:hAnsi="Verdana Pro Cond Light"/>
          <w:lang w:val="lv-LV"/>
        </w:rPr>
        <w:t xml:space="preserve"> (piemēram, elektroauto un uzlādes staciju tīkls). Tāpat jaunas tehnoloģijas prasīs ieguldījumus cilvēkkapitālā jaunu prasmju apguvei. Tas </w:t>
      </w:r>
      <w:r w:rsidRPr="003A00E6">
        <w:rPr>
          <w:rFonts w:ascii="Verdana Pro Cond Light" w:hAnsi="Verdana Pro Cond Light"/>
          <w:b/>
          <w:bCs/>
          <w:lang w:val="lv-LV"/>
        </w:rPr>
        <w:t>kopējo tautsaimniecībā nepieciešamo investīciju apjomu palielinās vēl vismaz divas reizes jeb papildus vismaz par 11 miljrd. eiro.</w:t>
      </w:r>
      <w:r w:rsidRPr="003A00E6">
        <w:rPr>
          <w:rFonts w:ascii="Verdana Pro Cond Light" w:hAnsi="Verdana Pro Cond Light"/>
          <w:lang w:val="lv-LV"/>
        </w:rPr>
        <w:t xml:space="preserve"> Kopā ar aktīvu aizvietošanu SEG intensīvajās nozarēs tas jau veido 64% no IKP 2021. gadā.</w:t>
      </w:r>
    </w:p>
    <w:p w14:paraId="3E450ED9" w14:textId="77777777" w:rsidR="00262896" w:rsidRPr="003A00E6" w:rsidRDefault="00262896" w:rsidP="00262896">
      <w:pPr>
        <w:widowControl/>
        <w:spacing w:after="120" w:line="240" w:lineRule="auto"/>
        <w:rPr>
          <w:rFonts w:ascii="Verdana Pro Cond Light" w:hAnsi="Verdana Pro Cond Light"/>
          <w:lang w:val="lv-LV"/>
        </w:rPr>
      </w:pPr>
      <w:r w:rsidRPr="003A00E6">
        <w:rPr>
          <w:rFonts w:ascii="Verdana Pro Cond Light" w:hAnsi="Verdana Pro Cond Light"/>
          <w:lang w:val="lv-LV"/>
        </w:rPr>
        <w:t xml:space="preserve">Papildus </w:t>
      </w:r>
      <w:r w:rsidRPr="003A00E6">
        <w:rPr>
          <w:rFonts w:ascii="Verdana Pro Cond Light" w:hAnsi="Verdana Pro Cond Light"/>
          <w:b/>
          <w:bCs/>
          <w:lang w:val="lv-LV"/>
        </w:rPr>
        <w:t>investīcijas mājokļu renovācijai un energoefektivitātei</w:t>
      </w:r>
      <w:r w:rsidRPr="003A00E6">
        <w:rPr>
          <w:rFonts w:ascii="Verdana Pro Cond Light" w:hAnsi="Verdana Pro Cond Light"/>
          <w:lang w:val="lv-LV"/>
        </w:rPr>
        <w:t xml:space="preserve"> var prasīt papildus ieguldījumus. </w:t>
      </w:r>
      <w:r w:rsidRPr="003A00E6">
        <w:rPr>
          <w:rFonts w:ascii="Verdana Pro Cond Light" w:hAnsi="Verdana Pro Cond Light"/>
          <w:b/>
          <w:bCs/>
          <w:lang w:val="lv-LV"/>
        </w:rPr>
        <w:t>Aizstājot tikai 10% no esošajiem uzkrātajiem aktīviem</w:t>
      </w:r>
      <w:r w:rsidRPr="003A00E6">
        <w:rPr>
          <w:rFonts w:ascii="Verdana Pro Cond Light" w:hAnsi="Verdana Pro Cond Light"/>
          <w:lang w:val="lv-LV"/>
        </w:rPr>
        <w:t xml:space="preserve">, ir </w:t>
      </w:r>
      <w:r w:rsidRPr="003A00E6">
        <w:rPr>
          <w:rFonts w:ascii="Verdana Pro Cond Light" w:hAnsi="Verdana Pro Cond Light"/>
          <w:b/>
          <w:bCs/>
          <w:lang w:val="lv-LV"/>
        </w:rPr>
        <w:t>nepieciešami gandrīz 10 miljrd. eiro ieguldījumi</w:t>
      </w:r>
      <w:r w:rsidRPr="003A00E6">
        <w:rPr>
          <w:rFonts w:ascii="Verdana Pro Cond Light" w:hAnsi="Verdana Pro Cond Light"/>
          <w:lang w:val="lv-LV"/>
        </w:rPr>
        <w:t xml:space="preserve"> jeb 30% no IKP 2021.gadā.</w:t>
      </w:r>
    </w:p>
    <w:p w14:paraId="7A576169" w14:textId="77777777" w:rsidR="00262896" w:rsidRDefault="00262896" w:rsidP="00262896">
      <w:pPr>
        <w:widowControl/>
        <w:spacing w:after="120" w:line="240" w:lineRule="auto"/>
        <w:rPr>
          <w:rFonts w:ascii="Verdana Pro Cond Light" w:hAnsi="Verdana Pro Cond Light"/>
          <w:lang w:val="lv-LV"/>
        </w:rPr>
      </w:pPr>
      <w:r w:rsidRPr="003A00E6">
        <w:rPr>
          <w:rFonts w:ascii="Verdana Pro Cond Light" w:hAnsi="Verdana Pro Cond Light"/>
          <w:b/>
          <w:bCs/>
          <w:lang w:val="lv-LV"/>
        </w:rPr>
        <w:t>Līdz ar to kopējās investīcijas straujākai virzībai uz klimatneitralitāti, zaļajām tehnoloģijām un ekonomikas dekarbonizāciju var sasniegt 31,7 miljrd. eiro jeb 95% no IKP</w:t>
      </w:r>
      <w:r w:rsidRPr="003A00E6">
        <w:rPr>
          <w:rFonts w:ascii="Verdana Pro Cond Light" w:hAnsi="Verdana Pro Cond Light"/>
          <w:lang w:val="lv-LV"/>
        </w:rPr>
        <w:t xml:space="preserve"> 2021.gadā. Vienlaikus jāņem vērā, ka investīciju projektu īstenošanas atlikšana uz vēlāku laiku var būtiski ietekmēt to sadārdzināšanos.</w:t>
      </w:r>
    </w:p>
    <w:p w14:paraId="0540FD66" w14:textId="77777777" w:rsidR="00262896" w:rsidRPr="003A00E6" w:rsidRDefault="00262896" w:rsidP="00262896">
      <w:pPr>
        <w:widowControl/>
        <w:spacing w:after="120" w:line="240" w:lineRule="auto"/>
        <w:rPr>
          <w:rFonts w:ascii="Verdana Pro Cond Light" w:hAnsi="Verdana Pro Cond Light"/>
          <w:lang w:val="lv-LV"/>
        </w:rPr>
      </w:pPr>
      <w:r w:rsidRPr="003A00E6">
        <w:rPr>
          <w:rFonts w:ascii="Verdana Pro Cond Light" w:hAnsi="Verdana Pro Cond Light"/>
          <w:b/>
          <w:bCs/>
          <w:lang w:val="lv-LV"/>
        </w:rPr>
        <w:lastRenderedPageBreak/>
        <w:t>Ja nepieciešamo aktīvu aizvietošanu veiktu līdz 2050.gadam, būtu nepieciešamas papildus ekonomikas izaugsmes mērķa scenārijā noteiktajam investīciju apjomam  veikt papildus ieguldījumus ik gadu 1 – 1,5 % apmērā no IKP faktiskajās cenās.</w:t>
      </w:r>
    </w:p>
    <w:p w14:paraId="2945D619" w14:textId="77777777" w:rsidR="00262896" w:rsidRDefault="00262896" w:rsidP="00262896">
      <w:pPr>
        <w:widowControl/>
        <w:spacing w:after="120" w:line="240" w:lineRule="auto"/>
        <w:rPr>
          <w:rFonts w:ascii="Verdana Pro Cond Light" w:hAnsi="Verdana Pro Cond Light"/>
          <w:lang w:val="lv-LV"/>
        </w:rPr>
      </w:pPr>
      <w:r w:rsidRPr="003A00E6">
        <w:rPr>
          <w:rFonts w:ascii="Verdana Pro Cond Light" w:hAnsi="Verdana Pro Cond Light"/>
          <w:lang w:val="lv-LV"/>
        </w:rPr>
        <w:t>Papildus tam jānorāda, ka pēdējos gados privātā sektora uzņēmumi tikai 25% no kopējām investīcijām novirzīja iekārtu, tehnoloģiju vai transportlīdzekļu aizvietošanai</w:t>
      </w:r>
      <w:r w:rsidRPr="003A00E6">
        <w:rPr>
          <w:rStyle w:val="FootnoteReference"/>
          <w:rFonts w:ascii="Verdana Pro Cond Light" w:hAnsi="Verdana Pro Cond Light"/>
          <w:lang w:val="lv-LV"/>
        </w:rPr>
        <w:footnoteReference w:id="43"/>
      </w:r>
      <w:r w:rsidRPr="003A00E6">
        <w:rPr>
          <w:rFonts w:ascii="Verdana Pro Cond Light" w:hAnsi="Verdana Pro Cond Light"/>
          <w:lang w:val="lv-LV"/>
        </w:rPr>
        <w:t xml:space="preserve"> un ne visi no šiem ieguldījumiem ir saistīti ar zaļajām tehnoloģijām un </w:t>
      </w:r>
      <w:r>
        <w:rPr>
          <w:rFonts w:ascii="Verdana Pro Cond Light" w:hAnsi="Verdana Pro Cond Light"/>
          <w:lang w:val="lv-LV"/>
        </w:rPr>
        <w:t>Z</w:t>
      </w:r>
      <w:r w:rsidRPr="003A00E6">
        <w:rPr>
          <w:rFonts w:ascii="Verdana Pro Cond Light" w:hAnsi="Verdana Pro Cond Light"/>
          <w:lang w:val="lv-LV"/>
        </w:rPr>
        <w:t>aļā kursa iniciatīvām. Ekonomikas dekarbonizācijai būs nepieciešami īpaši stimuli.</w:t>
      </w:r>
    </w:p>
    <w:p w14:paraId="77333EB7" w14:textId="77777777" w:rsidR="00262896" w:rsidRPr="003A00E6" w:rsidRDefault="00262896" w:rsidP="00262896">
      <w:pPr>
        <w:widowControl/>
        <w:spacing w:after="120" w:line="240" w:lineRule="auto"/>
        <w:rPr>
          <w:rFonts w:ascii="Verdana Pro Cond Light" w:hAnsi="Verdana Pro Cond Light"/>
          <w:lang w:val="lv-LV"/>
        </w:rPr>
      </w:pPr>
    </w:p>
    <w:p w14:paraId="03F9F72F" w14:textId="77777777" w:rsidR="00262896" w:rsidRPr="003A00E6" w:rsidRDefault="00262896" w:rsidP="00262896">
      <w:pPr>
        <w:widowControl/>
        <w:spacing w:after="120" w:line="240" w:lineRule="auto"/>
        <w:jc w:val="both"/>
        <w:rPr>
          <w:rFonts w:ascii="Verdana Pro Cond Light" w:hAnsi="Verdana Pro Cond Light"/>
          <w:b/>
          <w:bCs/>
          <w:lang w:val="lv-LV"/>
        </w:rPr>
      </w:pPr>
      <w:r w:rsidRPr="003A00E6">
        <w:rPr>
          <w:rFonts w:ascii="Verdana Pro Cond Light" w:hAnsi="Verdana Pro Cond Light"/>
          <w:b/>
          <w:bCs/>
          <w:lang w:val="lv-LV"/>
        </w:rPr>
        <w:t>Secinājumi</w:t>
      </w:r>
    </w:p>
    <w:p w14:paraId="278C6D90" w14:textId="77777777" w:rsidR="00262896" w:rsidRPr="003A00E6" w:rsidRDefault="00262896" w:rsidP="00262896">
      <w:pPr>
        <w:pStyle w:val="ListParagraph"/>
        <w:widowControl/>
        <w:numPr>
          <w:ilvl w:val="0"/>
          <w:numId w:val="16"/>
        </w:numPr>
        <w:spacing w:after="120" w:line="240" w:lineRule="auto"/>
        <w:ind w:left="567" w:hanging="283"/>
        <w:contextualSpacing w:val="0"/>
        <w:rPr>
          <w:rFonts w:ascii="Verdana Pro Cond Light" w:hAnsi="Verdana Pro Cond Light"/>
          <w:color w:val="000000" w:themeColor="text1"/>
          <w:lang w:val="lv-LV"/>
        </w:rPr>
      </w:pPr>
      <w:r w:rsidRPr="003A00E6">
        <w:rPr>
          <w:rFonts w:ascii="Verdana Pro Cond Light" w:hAnsi="Verdana Pro Cond Light"/>
          <w:color w:val="000000"/>
          <w:lang w:val="lv-LV"/>
        </w:rPr>
        <w:t xml:space="preserve">Latvijas enerģētikas un klimata mērķu sasniegšanai </w:t>
      </w:r>
      <w:r w:rsidRPr="003A00E6">
        <w:rPr>
          <w:rFonts w:ascii="Verdana Pro Cond Light" w:hAnsi="Verdana Pro Cond Light"/>
          <w:i/>
          <w:color w:val="000000"/>
          <w:lang w:val="lv-LV"/>
        </w:rPr>
        <w:t xml:space="preserve">indikatīvās izmaksas jeb papildus nepieciešamais </w:t>
      </w:r>
      <w:r w:rsidRPr="003A00E6">
        <w:rPr>
          <w:rFonts w:ascii="Verdana Pro Cond Light" w:hAnsi="Verdana Pro Cond Light"/>
          <w:color w:val="000000"/>
          <w:lang w:val="lv-LV"/>
        </w:rPr>
        <w:t xml:space="preserve">finansējums ir novērtēts, balstoties uz autoru izstrādāto metodoloģisko </w:t>
      </w:r>
      <w:r w:rsidRPr="003A00E6">
        <w:rPr>
          <w:rFonts w:ascii="Verdana Pro Cond Light" w:hAnsi="Verdana Pro Cond Light"/>
          <w:lang w:val="lv-LV"/>
        </w:rPr>
        <w:t>pieeju, kuras pamatā ir konceptuālais pieņēmums, ka klimata neitrālas ekonomikas mērķa sasniegšanai ir nepieciešams aizvietot SEG emisiju ietilpīgus aktīvus ar zaļajās tehnoloģijām, kā arī palielināt esošo aktīvu energoefektivitāti.</w:t>
      </w:r>
    </w:p>
    <w:p w14:paraId="5153FC96" w14:textId="77777777" w:rsidR="00262896" w:rsidRPr="003A00E6" w:rsidRDefault="00262896" w:rsidP="00262896">
      <w:pPr>
        <w:pStyle w:val="ListParagraph"/>
        <w:widowControl/>
        <w:numPr>
          <w:ilvl w:val="0"/>
          <w:numId w:val="16"/>
        </w:numPr>
        <w:spacing w:after="120" w:line="240" w:lineRule="auto"/>
        <w:ind w:left="567" w:hanging="283"/>
        <w:contextualSpacing w:val="0"/>
        <w:rPr>
          <w:rFonts w:ascii="Verdana Pro Cond Light" w:hAnsi="Verdana Pro Cond Light"/>
          <w:color w:val="000000" w:themeColor="text1"/>
          <w:lang w:val="lv-LV"/>
        </w:rPr>
      </w:pPr>
      <w:r w:rsidRPr="003A00E6">
        <w:rPr>
          <w:rFonts w:ascii="Verdana Pro Cond Light" w:hAnsi="Verdana Pro Cond Light"/>
          <w:lang w:val="lv-LV"/>
        </w:rPr>
        <w:t>Nozaru ar vislielāko SEG emisiju apjomu nefinanšu aktīvu kopējā vērtība (neieskaitot darījumus ar nekustāmo īpašumu) 2021. gadā bija 75,3 milrd. eiro un veidoja 27,2 % no nefinanšu aktīvu kopējās vērtības Latvijas tautsaimniecībā. Lielākā daļa no SEG emisiju apjoma 2021. gadā bija lauksaimniecības nozarē (30% no SEG emisiju intensīvo nozaru kopējiem nefinanšu aktīviem), enerģētikas nozarē (16,5 %), transporta (22,6 %), apstrādes rūpniecības nozarēs (22,5 %) un komunālās saimniecības nozarē (8,3 %).</w:t>
      </w:r>
    </w:p>
    <w:p w14:paraId="1E0DE714" w14:textId="77777777" w:rsidR="00262896" w:rsidRPr="003A00E6" w:rsidRDefault="00262896" w:rsidP="00262896">
      <w:pPr>
        <w:pStyle w:val="ListParagraph"/>
        <w:widowControl/>
        <w:numPr>
          <w:ilvl w:val="0"/>
          <w:numId w:val="16"/>
        </w:numPr>
        <w:spacing w:after="120" w:line="240" w:lineRule="auto"/>
        <w:ind w:left="567" w:hanging="283"/>
        <w:contextualSpacing w:val="0"/>
        <w:rPr>
          <w:rFonts w:ascii="Verdana Pro Cond Light" w:hAnsi="Verdana Pro Cond Light"/>
          <w:color w:val="000000" w:themeColor="text1"/>
          <w:lang w:val="lv-LV"/>
        </w:rPr>
      </w:pPr>
      <w:r w:rsidRPr="003A00E6">
        <w:rPr>
          <w:rFonts w:ascii="Verdana Pro Cond Light" w:hAnsi="Verdana Pro Cond Light"/>
          <w:lang w:val="lv-LV"/>
        </w:rPr>
        <w:t>Vērtējot investīciju potenciālu ekonomikā, jāsecina, ka Ekonomikas ministrijas mērķa izaugsmes scenārijā līdz 2030. gadam (NEKP plāns) kopējās investīciju plūsmas (ikgadējie izdevumi bruto pamatkapitāla veidošanai) var sasniegt 67 miljardus EUR (2021. gada cenās), kas kopējo aktīvu vērtību var palielināt par 9 miljardiem EUR. Savukārt, no 2030. līdz 2035. gadam (Ekonomikas izaugsmes plāna laika tvērums) kopējās investīciju plūsmas var sasniegt vēl 57 miljardus EUR, kopējai nefinanšu aktīvu vērtībai pieaugot līdz 298 miljardiem EUR.</w:t>
      </w:r>
    </w:p>
    <w:p w14:paraId="1666A2EA" w14:textId="77777777" w:rsidR="00262896" w:rsidRPr="003A00E6" w:rsidRDefault="00262896" w:rsidP="00262896">
      <w:pPr>
        <w:pStyle w:val="ListParagraph"/>
        <w:widowControl/>
        <w:numPr>
          <w:ilvl w:val="0"/>
          <w:numId w:val="16"/>
        </w:numPr>
        <w:spacing w:after="120" w:line="240" w:lineRule="auto"/>
        <w:ind w:left="567" w:hanging="283"/>
        <w:contextualSpacing w:val="0"/>
        <w:rPr>
          <w:rFonts w:ascii="Verdana Pro Cond Light" w:hAnsi="Verdana Pro Cond Light"/>
          <w:color w:val="000000" w:themeColor="text1"/>
          <w:lang w:val="lv-LV"/>
        </w:rPr>
      </w:pPr>
      <w:r w:rsidRPr="003A00E6">
        <w:rPr>
          <w:rFonts w:ascii="Verdana Pro Cond Light" w:hAnsi="Verdana Pro Cond Light"/>
          <w:lang w:val="lv-LV"/>
        </w:rPr>
        <w:t>Jāņem vērā, ka visi ieguldījumi tautsaimniecībā nav saistīti ar pielāgošanos klimata pārmaiņām un klimata mērķu sasniegšanu. Nozīmīgu daļu veido ieguldījumi publiskajā infrastruktūrā (ceļi, dzelzceļš), valsts drošībā (militārie izdevumi) utt. Pēdējos gados no kopējā investīciju apjoma tikai 55% investīciju ir saistāmas ar SEG emisiju intensīvajām nozarēm (enerģētika, rūpniecība, lauksaimniecība, transports, atkritumu apsaimniekošana) un tajā skaitā tikai 25% no šīm investīcijām ir esošo aktīvu aizvietošana</w:t>
      </w:r>
      <w:r>
        <w:rPr>
          <w:rFonts w:ascii="Verdana Pro Cond Light" w:hAnsi="Verdana Pro Cond Light"/>
          <w:lang w:val="lv-LV"/>
        </w:rPr>
        <w:t xml:space="preserve">. Savukārt no esošo aktīvu aizvietošanas tikai daļa ir zaļajās </w:t>
      </w:r>
      <w:r w:rsidRPr="003A00E6">
        <w:rPr>
          <w:rFonts w:ascii="Verdana Pro Cond Light" w:hAnsi="Verdana Pro Cond Light"/>
          <w:lang w:val="lv-LV"/>
        </w:rPr>
        <w:t>investīcijā</w:t>
      </w:r>
      <w:r>
        <w:rPr>
          <w:rFonts w:ascii="Verdana Pro Cond Light" w:hAnsi="Verdana Pro Cond Light"/>
          <w:lang w:val="lv-LV"/>
        </w:rPr>
        <w:t>s</w:t>
      </w:r>
      <w:r w:rsidRPr="003A00E6">
        <w:rPr>
          <w:rFonts w:ascii="Verdana Pro Cond Light" w:hAnsi="Verdana Pro Cond Light"/>
          <w:lang w:val="lv-LV"/>
        </w:rPr>
        <w:t>.</w:t>
      </w:r>
    </w:p>
    <w:p w14:paraId="7A84AAC5" w14:textId="77777777" w:rsidR="00262896" w:rsidRPr="003A00E6" w:rsidRDefault="00262896" w:rsidP="00262896">
      <w:pPr>
        <w:pStyle w:val="ListParagraph"/>
        <w:widowControl/>
        <w:numPr>
          <w:ilvl w:val="0"/>
          <w:numId w:val="16"/>
        </w:numPr>
        <w:spacing w:after="120" w:line="240" w:lineRule="auto"/>
        <w:ind w:left="567" w:hanging="283"/>
        <w:contextualSpacing w:val="0"/>
        <w:rPr>
          <w:rFonts w:ascii="Verdana Pro Cond Light" w:hAnsi="Verdana Pro Cond Light"/>
          <w:color w:val="000000" w:themeColor="text1"/>
          <w:lang w:val="lv-LV"/>
        </w:rPr>
      </w:pPr>
      <w:r w:rsidRPr="003A00E6">
        <w:rPr>
          <w:rFonts w:ascii="Verdana Pro Cond Light" w:hAnsi="Verdana Pro Cond Light"/>
          <w:lang w:val="lv-LV"/>
        </w:rPr>
        <w:t>Ekonomikas ministrijas mērķa izaugsmes scenārijā iespējamie investīciju pieauguma apmēri ir pietiekami, lai nodrošinātu pakāpenisku nefinanšu aktīvu vērtības kāpumu ražošanas kapacitātes palielināšanai. Tomēr ir jāņem vērā, ka ekonomikas dekarbonizācija prasīs papildus ieguldījumus zaļajās tehnoloģijās, kam būs jāaizvieto esošie SEG emisiju radošie aktīvi.</w:t>
      </w:r>
    </w:p>
    <w:p w14:paraId="4E983782" w14:textId="77777777" w:rsidR="00262896" w:rsidRPr="00AB77A8" w:rsidRDefault="00262896" w:rsidP="00262896">
      <w:pPr>
        <w:pStyle w:val="ListParagraph"/>
        <w:widowControl/>
        <w:numPr>
          <w:ilvl w:val="0"/>
          <w:numId w:val="16"/>
        </w:numPr>
        <w:spacing w:after="120" w:line="240" w:lineRule="auto"/>
        <w:ind w:left="567" w:hanging="283"/>
        <w:contextualSpacing w:val="0"/>
        <w:rPr>
          <w:rFonts w:ascii="Verdana Pro Cond Light" w:hAnsi="Verdana Pro Cond Light"/>
          <w:color w:val="000000" w:themeColor="text1"/>
          <w:lang w:val="lv-LV"/>
        </w:rPr>
      </w:pPr>
      <w:r w:rsidRPr="00AB77A8">
        <w:rPr>
          <w:rFonts w:ascii="Verdana Pro Cond Light" w:hAnsi="Verdana Pro Cond Light"/>
          <w:color w:val="000000" w:themeColor="text1"/>
          <w:lang w:val="lv-LV"/>
        </w:rPr>
        <w:t>Pēc autoru novērtējuma, lai esošos aktīvus aizvietotu ar zaļajām tehnoloģijām un straujāk virzītos uz nozaru dekarbonizāciju – lieli ieguldījumi ir nepieciešami transporta nozarē, kur būtu jāaizvieto vismaz 1/5 daļa no esošiem nefinanšu aktīviem (galvenokārt tie ir ieguldījumi autotransportā), apstrādes rūpniecībā būs jāaizvieto vismaz 50</w:t>
      </w:r>
      <w:r>
        <w:rPr>
          <w:rFonts w:ascii="Verdana Pro Cond Light" w:hAnsi="Verdana Pro Cond Light"/>
          <w:color w:val="000000" w:themeColor="text1"/>
          <w:lang w:val="lv-LV"/>
        </w:rPr>
        <w:t> </w:t>
      </w:r>
      <w:r w:rsidRPr="00AB77A8">
        <w:rPr>
          <w:rFonts w:ascii="Verdana Pro Cond Light" w:hAnsi="Verdana Pro Cond Light"/>
          <w:color w:val="000000" w:themeColor="text1"/>
          <w:lang w:val="lv-LV"/>
        </w:rPr>
        <w:t>% no esošajiem ražošanas aktīviem (mašīnas un iekārtas), enerģētikas nozarē nepieciešams veikt investīcijas nefinanšu aktīvu aizvietošanai vismaz 10</w:t>
      </w:r>
      <w:r>
        <w:rPr>
          <w:rFonts w:ascii="Verdana Pro Cond Light" w:hAnsi="Verdana Pro Cond Light"/>
          <w:color w:val="000000" w:themeColor="text1"/>
          <w:lang w:val="lv-LV"/>
        </w:rPr>
        <w:t> </w:t>
      </w:r>
      <w:r w:rsidRPr="00AB77A8">
        <w:rPr>
          <w:rFonts w:ascii="Verdana Pro Cond Light" w:hAnsi="Verdana Pro Cond Light"/>
          <w:color w:val="000000" w:themeColor="text1"/>
          <w:lang w:val="lv-LV"/>
        </w:rPr>
        <w:t>% no aktīvu kopējās bruto vērtības nozarē, t.sk. 40</w:t>
      </w:r>
      <w:r>
        <w:rPr>
          <w:rFonts w:ascii="Verdana Pro Cond Light" w:hAnsi="Verdana Pro Cond Light"/>
          <w:color w:val="000000" w:themeColor="text1"/>
          <w:lang w:val="lv-LV"/>
        </w:rPr>
        <w:t> </w:t>
      </w:r>
      <w:r w:rsidRPr="00AB77A8">
        <w:rPr>
          <w:rFonts w:ascii="Verdana Pro Cond Light" w:hAnsi="Verdana Pro Cond Light"/>
          <w:color w:val="000000" w:themeColor="text1"/>
          <w:lang w:val="lv-LV"/>
        </w:rPr>
        <w:t>% no mašīnām un iekārtām enerģētikas nozarē, lauksaimniecības nozarē būtu jāaizstāj vismaz 1/5 daļa no transportlīdzekļiem un 10</w:t>
      </w:r>
      <w:r>
        <w:rPr>
          <w:rFonts w:ascii="Verdana Pro Cond Light" w:hAnsi="Verdana Pro Cond Light"/>
          <w:color w:val="000000" w:themeColor="text1"/>
          <w:lang w:val="lv-LV"/>
        </w:rPr>
        <w:t> </w:t>
      </w:r>
      <w:r w:rsidRPr="00AB77A8">
        <w:rPr>
          <w:rFonts w:ascii="Verdana Pro Cond Light" w:hAnsi="Verdana Pro Cond Light"/>
          <w:color w:val="000000" w:themeColor="text1"/>
          <w:lang w:val="lv-LV"/>
        </w:rPr>
        <w:t>% kultivētie bioloģiskie aktīvi, atkritumu apsaimniekošanas nozarē jāaizvieto 40</w:t>
      </w:r>
      <w:r>
        <w:rPr>
          <w:rFonts w:ascii="Verdana Pro Cond Light" w:hAnsi="Verdana Pro Cond Light"/>
          <w:color w:val="000000" w:themeColor="text1"/>
          <w:lang w:val="lv-LV"/>
        </w:rPr>
        <w:t> </w:t>
      </w:r>
      <w:r w:rsidRPr="00AB77A8">
        <w:rPr>
          <w:rFonts w:ascii="Verdana Pro Cond Light" w:hAnsi="Verdana Pro Cond Light"/>
          <w:color w:val="000000" w:themeColor="text1"/>
          <w:lang w:val="lv-LV"/>
        </w:rPr>
        <w:t>% no mašīnām un iekārtām nozarē un 10% no transportlīdzekļiem.</w:t>
      </w:r>
    </w:p>
    <w:p w14:paraId="40965E74" w14:textId="77777777" w:rsidR="00262896" w:rsidRPr="003A00E6" w:rsidRDefault="00262896" w:rsidP="00262896">
      <w:pPr>
        <w:pStyle w:val="ListParagraph"/>
        <w:widowControl/>
        <w:numPr>
          <w:ilvl w:val="0"/>
          <w:numId w:val="16"/>
        </w:numPr>
        <w:spacing w:after="120" w:line="240" w:lineRule="auto"/>
        <w:ind w:left="567" w:hanging="283"/>
        <w:contextualSpacing w:val="0"/>
        <w:rPr>
          <w:rFonts w:ascii="Verdana Pro Cond Light" w:hAnsi="Verdana Pro Cond Light"/>
          <w:color w:val="000000" w:themeColor="text1"/>
          <w:lang w:val="lv-LV"/>
        </w:rPr>
      </w:pPr>
      <w:r w:rsidRPr="003A00E6">
        <w:rPr>
          <w:rFonts w:ascii="Verdana Pro Cond Light" w:hAnsi="Verdana Pro Cond Light"/>
          <w:color w:val="000000" w:themeColor="text1"/>
          <w:lang w:val="lv-LV"/>
        </w:rPr>
        <w:lastRenderedPageBreak/>
        <w:t>Kopumā investējot jaunajās zaļajās tehnoloģijās un ražošanas procesu energoefektivitātes palielināšanai, būtu jāaizvieto nefinanšu (ražošanas) aktīvi vismaz 10,7 miljrd. eiro vērtībā (rēķinot 2021.</w:t>
      </w:r>
      <w:r>
        <w:rPr>
          <w:rFonts w:ascii="Verdana Pro Cond Light" w:hAnsi="Verdana Pro Cond Light"/>
          <w:color w:val="000000" w:themeColor="text1"/>
          <w:lang w:val="lv-LV"/>
        </w:rPr>
        <w:t> </w:t>
      </w:r>
      <w:r w:rsidRPr="003A00E6">
        <w:rPr>
          <w:rFonts w:ascii="Verdana Pro Cond Light" w:hAnsi="Verdana Pro Cond Light"/>
          <w:color w:val="000000" w:themeColor="text1"/>
          <w:lang w:val="lv-LV"/>
        </w:rPr>
        <w:t>gada atjaunošanas cenās), kas ir aptuveni 32</w:t>
      </w:r>
      <w:r>
        <w:rPr>
          <w:rFonts w:ascii="Verdana Pro Cond Light" w:hAnsi="Verdana Pro Cond Light"/>
          <w:color w:val="000000" w:themeColor="text1"/>
          <w:lang w:val="lv-LV"/>
        </w:rPr>
        <w:t> </w:t>
      </w:r>
      <w:r w:rsidRPr="003A00E6">
        <w:rPr>
          <w:rFonts w:ascii="Verdana Pro Cond Light" w:hAnsi="Verdana Pro Cond Light"/>
          <w:color w:val="000000" w:themeColor="text1"/>
          <w:lang w:val="lv-LV"/>
        </w:rPr>
        <w:t>% no IKP 2021.</w:t>
      </w:r>
      <w:r>
        <w:rPr>
          <w:rFonts w:ascii="Verdana Pro Cond Light" w:hAnsi="Verdana Pro Cond Light"/>
          <w:color w:val="000000" w:themeColor="text1"/>
          <w:lang w:val="lv-LV"/>
        </w:rPr>
        <w:t> </w:t>
      </w:r>
      <w:r w:rsidRPr="003A00E6">
        <w:rPr>
          <w:rFonts w:ascii="Verdana Pro Cond Light" w:hAnsi="Verdana Pro Cond Light"/>
          <w:color w:val="000000" w:themeColor="text1"/>
          <w:lang w:val="lv-LV"/>
        </w:rPr>
        <w:t>gadā.</w:t>
      </w:r>
    </w:p>
    <w:p w14:paraId="63B25504" w14:textId="77777777" w:rsidR="00262896" w:rsidRPr="003A00E6" w:rsidRDefault="00262896" w:rsidP="00262896">
      <w:pPr>
        <w:pStyle w:val="ListParagraph"/>
        <w:widowControl/>
        <w:numPr>
          <w:ilvl w:val="0"/>
          <w:numId w:val="16"/>
        </w:numPr>
        <w:spacing w:after="120" w:line="240" w:lineRule="auto"/>
        <w:ind w:left="567" w:hanging="283"/>
        <w:contextualSpacing w:val="0"/>
        <w:rPr>
          <w:rFonts w:ascii="Verdana Pro Cond Light" w:hAnsi="Verdana Pro Cond Light"/>
          <w:color w:val="000000" w:themeColor="text1"/>
          <w:lang w:val="lv-LV"/>
        </w:rPr>
      </w:pPr>
      <w:r w:rsidRPr="003A00E6">
        <w:rPr>
          <w:rFonts w:ascii="Verdana Pro Cond Light" w:hAnsi="Verdana Pro Cond Light"/>
          <w:color w:val="000000" w:themeColor="text1"/>
          <w:lang w:val="lv-LV"/>
        </w:rPr>
        <w:t>Jaunu tehnoloģiju iegāde vienā nozarē var prasīt papildus ieguldījumus citā nozarē. Īpaši tas attiecās un investīcijām infrastruktūras pilnveidošanai, nodrošinot tās atbilstību jaunajām tehnoloģijām. Jaunas tehnoloģijas prasīs ieguldījumus cilvēkkapitālā jaunu prasmju apguvei. Tas kopējo tautsaimniecībā nepieciešamo investīciju apjomu palielinās vēl vismaz divas reizes jeb papildus vismaz par 11 miljrd. eiro.</w:t>
      </w:r>
    </w:p>
    <w:p w14:paraId="4B74623A" w14:textId="77777777" w:rsidR="00262896" w:rsidRPr="003A00E6" w:rsidRDefault="00262896" w:rsidP="00262896">
      <w:pPr>
        <w:pStyle w:val="ListParagraph"/>
        <w:widowControl/>
        <w:numPr>
          <w:ilvl w:val="0"/>
          <w:numId w:val="16"/>
        </w:numPr>
        <w:spacing w:after="120" w:line="240" w:lineRule="auto"/>
        <w:ind w:left="567" w:hanging="283"/>
        <w:contextualSpacing w:val="0"/>
        <w:rPr>
          <w:rFonts w:ascii="Verdana Pro Cond Light" w:hAnsi="Verdana Pro Cond Light"/>
          <w:color w:val="000000" w:themeColor="text1"/>
          <w:lang w:val="lv-LV"/>
        </w:rPr>
      </w:pPr>
      <w:r w:rsidRPr="003A00E6">
        <w:rPr>
          <w:rFonts w:ascii="Verdana Pro Cond Light" w:hAnsi="Verdana Pro Cond Light"/>
          <w:color w:val="000000" w:themeColor="text1"/>
          <w:lang w:val="lv-LV"/>
        </w:rPr>
        <w:t>Papildus investīcijas mājokļu renovācijai un energoefektivitātei var prasīt papildus ieguldījumus. Aizstājot tikai 10</w:t>
      </w:r>
      <w:r>
        <w:rPr>
          <w:rFonts w:ascii="Verdana Pro Cond Light" w:hAnsi="Verdana Pro Cond Light"/>
          <w:color w:val="000000" w:themeColor="text1"/>
          <w:lang w:val="lv-LV"/>
        </w:rPr>
        <w:t> </w:t>
      </w:r>
      <w:r w:rsidRPr="003A00E6">
        <w:rPr>
          <w:rFonts w:ascii="Verdana Pro Cond Light" w:hAnsi="Verdana Pro Cond Light"/>
          <w:color w:val="000000" w:themeColor="text1"/>
          <w:lang w:val="lv-LV"/>
        </w:rPr>
        <w:t>% no esošajiem uzkrātajiem aktīviem, ir nepieciešami gandrīz 10 miljrd. eiro ieguldījumi jeb 30</w:t>
      </w:r>
      <w:r>
        <w:rPr>
          <w:rFonts w:ascii="Verdana Pro Cond Light" w:hAnsi="Verdana Pro Cond Light"/>
          <w:color w:val="000000" w:themeColor="text1"/>
          <w:lang w:val="lv-LV"/>
        </w:rPr>
        <w:t> </w:t>
      </w:r>
      <w:r w:rsidRPr="003A00E6">
        <w:rPr>
          <w:rFonts w:ascii="Verdana Pro Cond Light" w:hAnsi="Verdana Pro Cond Light"/>
          <w:color w:val="000000" w:themeColor="text1"/>
          <w:lang w:val="lv-LV"/>
        </w:rPr>
        <w:t>% no IKP 2021.gadā.</w:t>
      </w:r>
    </w:p>
    <w:p w14:paraId="4AE93ADD" w14:textId="77777777" w:rsidR="00262896" w:rsidRPr="003A00E6" w:rsidRDefault="00262896" w:rsidP="00262896">
      <w:pPr>
        <w:pStyle w:val="ListParagraph"/>
        <w:widowControl/>
        <w:numPr>
          <w:ilvl w:val="0"/>
          <w:numId w:val="16"/>
        </w:numPr>
        <w:spacing w:after="120" w:line="240" w:lineRule="auto"/>
        <w:ind w:left="567" w:hanging="283"/>
        <w:contextualSpacing w:val="0"/>
        <w:rPr>
          <w:rFonts w:ascii="Verdana Pro Cond Light" w:hAnsi="Verdana Pro Cond Light"/>
          <w:color w:val="000000" w:themeColor="text1"/>
          <w:lang w:val="lv-LV"/>
        </w:rPr>
      </w:pPr>
      <w:r w:rsidRPr="003A00E6">
        <w:rPr>
          <w:rFonts w:ascii="Verdana Pro Cond Light" w:hAnsi="Verdana Pro Cond Light"/>
          <w:color w:val="000000" w:themeColor="text1"/>
          <w:lang w:val="lv-LV"/>
        </w:rPr>
        <w:t>Līdz ar to kopējās papildus investīcijas straujākai virzībai uz klimatneitralitāti, zaļajām tehnoloģijām un ekonomikas dekarbonizāciju var sasniegt 31,7 miljrd. eiro jeb 95</w:t>
      </w:r>
      <w:r>
        <w:rPr>
          <w:rFonts w:ascii="Verdana Pro Cond Light" w:hAnsi="Verdana Pro Cond Light"/>
          <w:color w:val="000000" w:themeColor="text1"/>
          <w:lang w:val="lv-LV"/>
        </w:rPr>
        <w:t> </w:t>
      </w:r>
      <w:r w:rsidRPr="003A00E6">
        <w:rPr>
          <w:rFonts w:ascii="Verdana Pro Cond Light" w:hAnsi="Verdana Pro Cond Light"/>
          <w:color w:val="000000" w:themeColor="text1"/>
          <w:lang w:val="lv-LV"/>
        </w:rPr>
        <w:t>% no IKP 2021.</w:t>
      </w:r>
      <w:r>
        <w:rPr>
          <w:rFonts w:ascii="Verdana Pro Cond Light" w:hAnsi="Verdana Pro Cond Light"/>
          <w:color w:val="000000" w:themeColor="text1"/>
          <w:lang w:val="lv-LV"/>
        </w:rPr>
        <w:t> </w:t>
      </w:r>
      <w:r w:rsidRPr="003A00E6">
        <w:rPr>
          <w:rFonts w:ascii="Verdana Pro Cond Light" w:hAnsi="Verdana Pro Cond Light"/>
          <w:color w:val="000000" w:themeColor="text1"/>
          <w:lang w:val="lv-LV"/>
        </w:rPr>
        <w:t>gada cenās. Investīciju projektu īstenošanas atlikšana uz vēlāku laiku var būtiski ietekmēt to sadārdzināšanos.</w:t>
      </w:r>
    </w:p>
    <w:p w14:paraId="70840A6C" w14:textId="77777777" w:rsidR="00262896" w:rsidRPr="003A00E6" w:rsidRDefault="00262896" w:rsidP="00262896">
      <w:pPr>
        <w:pStyle w:val="ListParagraph"/>
        <w:widowControl/>
        <w:numPr>
          <w:ilvl w:val="0"/>
          <w:numId w:val="16"/>
        </w:numPr>
        <w:spacing w:after="120" w:line="240" w:lineRule="auto"/>
        <w:ind w:left="567" w:hanging="283"/>
        <w:contextualSpacing w:val="0"/>
        <w:rPr>
          <w:rFonts w:ascii="Verdana Pro Cond Light" w:hAnsi="Verdana Pro Cond Light"/>
          <w:color w:val="000000" w:themeColor="text1"/>
          <w:lang w:val="lv-LV"/>
        </w:rPr>
      </w:pPr>
      <w:r w:rsidRPr="003A00E6">
        <w:rPr>
          <w:rFonts w:ascii="Verdana Pro Cond Light" w:hAnsi="Verdana Pro Cond Light"/>
          <w:color w:val="000000" w:themeColor="text1"/>
          <w:lang w:val="lv-LV"/>
        </w:rPr>
        <w:t>Ja nepieciešamo aktīvu aizvietošanu straujākai virzībai uz klimatneitralitāti, zaļajām tehnoloģijām un ekonomikas dekarbonizāciju, veiktu līdz 2050.</w:t>
      </w:r>
      <w:r>
        <w:rPr>
          <w:rFonts w:ascii="Verdana Pro Cond Light" w:hAnsi="Verdana Pro Cond Light"/>
          <w:color w:val="000000" w:themeColor="text1"/>
          <w:lang w:val="lv-LV"/>
        </w:rPr>
        <w:t> </w:t>
      </w:r>
      <w:r w:rsidRPr="003A00E6">
        <w:rPr>
          <w:rFonts w:ascii="Verdana Pro Cond Light" w:hAnsi="Verdana Pro Cond Light"/>
          <w:color w:val="000000" w:themeColor="text1"/>
          <w:lang w:val="lv-LV"/>
        </w:rPr>
        <w:t>gadam, būtu nepieciešamas papildus ekonomikas izaugsmes mērķa scenārijā noteiktajam investīciju apjomam veikt ieguldījumus ik gadu 1</w:t>
      </w:r>
      <w:r>
        <w:rPr>
          <w:rFonts w:ascii="Verdana Pro Cond Light" w:hAnsi="Verdana Pro Cond Light"/>
          <w:color w:val="000000" w:themeColor="text1"/>
          <w:lang w:val="lv-LV"/>
        </w:rPr>
        <w:t> </w:t>
      </w:r>
      <w:r w:rsidRPr="003A00E6">
        <w:rPr>
          <w:rFonts w:ascii="Verdana Pro Cond Light" w:hAnsi="Verdana Pro Cond Light"/>
          <w:color w:val="000000" w:themeColor="text1"/>
          <w:lang w:val="lv-LV"/>
        </w:rPr>
        <w:t>– 1,5</w:t>
      </w:r>
      <w:r>
        <w:rPr>
          <w:rFonts w:ascii="Verdana Pro Cond Light" w:hAnsi="Verdana Pro Cond Light"/>
          <w:color w:val="000000" w:themeColor="text1"/>
          <w:lang w:val="lv-LV"/>
        </w:rPr>
        <w:t> </w:t>
      </w:r>
      <w:r w:rsidRPr="003A00E6">
        <w:rPr>
          <w:rFonts w:ascii="Verdana Pro Cond Light" w:hAnsi="Verdana Pro Cond Light"/>
          <w:color w:val="000000" w:themeColor="text1"/>
          <w:lang w:val="lv-LV"/>
        </w:rPr>
        <w:t>% apmērā no IKP faktiskajās cenās.</w:t>
      </w:r>
    </w:p>
    <w:p w14:paraId="64C50FE5" w14:textId="71CAB853" w:rsidR="00301C5B" w:rsidRPr="003A00E6" w:rsidRDefault="00301C5B" w:rsidP="003A00E6">
      <w:pPr>
        <w:widowControl/>
        <w:spacing w:after="120" w:line="240" w:lineRule="auto"/>
        <w:jc w:val="both"/>
        <w:rPr>
          <w:rFonts w:ascii="Verdana Pro Cond Light" w:hAnsi="Verdana Pro Cond Light"/>
          <w:lang w:val="lv-LV"/>
        </w:rPr>
      </w:pPr>
      <w:r w:rsidRPr="003A00E6">
        <w:rPr>
          <w:rFonts w:ascii="Verdana Pro Cond Light" w:hAnsi="Verdana Pro Cond Light"/>
          <w:lang w:val="lv-LV"/>
        </w:rPr>
        <w:br w:type="page"/>
      </w:r>
    </w:p>
    <w:p w14:paraId="1FD6A906" w14:textId="388F0FC7" w:rsidR="003A00E6" w:rsidRPr="005E2E02" w:rsidRDefault="005E2E02" w:rsidP="005E2E02">
      <w:pPr>
        <w:widowControl/>
        <w:spacing w:after="120" w:line="240" w:lineRule="auto"/>
        <w:jc w:val="both"/>
        <w:rPr>
          <w:rFonts w:ascii="Verdana Pro Cond Light" w:hAnsi="Verdana Pro Cond Light"/>
          <w:lang w:val="lv-LV"/>
        </w:rPr>
      </w:pPr>
      <w:bookmarkStart w:id="35" w:name="_Toc176185142"/>
      <w:r w:rsidRPr="005E2E02">
        <w:rPr>
          <w:rFonts w:ascii="Verdana Pro Cond Light" w:hAnsi="Verdana Pro Cond Light"/>
          <w:noProof/>
        </w:rPr>
        <w:lastRenderedPageBreak/>
        <w:drawing>
          <wp:anchor distT="0" distB="0" distL="114300" distR="114300" simplePos="0" relativeHeight="251658337" behindDoc="1" locked="0" layoutInCell="1" allowOverlap="1" wp14:anchorId="0B74300C" wp14:editId="3698B24E">
            <wp:simplePos x="0" y="0"/>
            <wp:positionH relativeFrom="page">
              <wp:posOffset>0</wp:posOffset>
            </wp:positionH>
            <wp:positionV relativeFrom="page">
              <wp:posOffset>0</wp:posOffset>
            </wp:positionV>
            <wp:extent cx="7560000" cy="3600000"/>
            <wp:effectExtent l="0" t="0" r="3175" b="635"/>
            <wp:wrapNone/>
            <wp:docPr id="901322425" name="Picture 6" descr="Formulas on a backgroun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1322425" name="Picture 901322425" descr="Formulas on a background"/>
                    <pic:cNvPicPr/>
                  </pic:nvPicPr>
                  <pic:blipFill rotWithShape="1">
                    <a:blip r:embed="rId54" cstate="print">
                      <a:duotone>
                        <a:schemeClr val="accent1">
                          <a:shade val="45000"/>
                          <a:satMod val="135000"/>
                        </a:schemeClr>
                        <a:prstClr val="white"/>
                      </a:duotone>
                      <a:alphaModFix amt="50000"/>
                      <a:extLst>
                        <a:ext uri="{28A0092B-C50C-407E-A947-70E740481C1C}">
                          <a14:useLocalDpi xmlns:a14="http://schemas.microsoft.com/office/drawing/2010/main" val="0"/>
                        </a:ext>
                      </a:extLst>
                    </a:blip>
                    <a:srcRect t="28525"/>
                    <a:stretch/>
                  </pic:blipFill>
                  <pic:spPr bwMode="auto">
                    <a:xfrm>
                      <a:off x="0" y="0"/>
                      <a:ext cx="7560000" cy="3600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9831203" w14:textId="77777777" w:rsidR="003A00E6" w:rsidRDefault="003A00E6" w:rsidP="005E2E02">
      <w:pPr>
        <w:widowControl/>
        <w:spacing w:after="120" w:line="240" w:lineRule="auto"/>
        <w:jc w:val="both"/>
        <w:rPr>
          <w:rFonts w:ascii="Verdana Pro Cond Light" w:hAnsi="Verdana Pro Cond Light"/>
          <w:lang w:val="lv-LV"/>
        </w:rPr>
      </w:pPr>
    </w:p>
    <w:p w14:paraId="6C795101" w14:textId="77777777" w:rsidR="005E2E02" w:rsidRDefault="005E2E02" w:rsidP="005E2E02">
      <w:pPr>
        <w:widowControl/>
        <w:spacing w:after="120" w:line="240" w:lineRule="auto"/>
        <w:jc w:val="both"/>
        <w:rPr>
          <w:rFonts w:ascii="Verdana Pro Cond Light" w:hAnsi="Verdana Pro Cond Light"/>
          <w:lang w:val="lv-LV"/>
        </w:rPr>
      </w:pPr>
    </w:p>
    <w:p w14:paraId="29E8576F" w14:textId="77777777" w:rsidR="005E2E02" w:rsidRDefault="005E2E02" w:rsidP="005E2E02">
      <w:pPr>
        <w:widowControl/>
        <w:spacing w:after="120" w:line="240" w:lineRule="auto"/>
        <w:jc w:val="both"/>
        <w:rPr>
          <w:rFonts w:ascii="Verdana Pro Cond Light" w:hAnsi="Verdana Pro Cond Light"/>
          <w:lang w:val="lv-LV"/>
        </w:rPr>
      </w:pPr>
    </w:p>
    <w:p w14:paraId="2DAD59DF" w14:textId="77777777" w:rsidR="005E2E02" w:rsidRPr="005E2E02" w:rsidRDefault="005E2E02" w:rsidP="005E2E02">
      <w:pPr>
        <w:widowControl/>
        <w:spacing w:after="120" w:line="240" w:lineRule="auto"/>
        <w:jc w:val="both"/>
        <w:rPr>
          <w:rFonts w:ascii="Verdana Pro Cond Light" w:hAnsi="Verdana Pro Cond Light"/>
          <w:lang w:val="lv-LV"/>
        </w:rPr>
      </w:pPr>
    </w:p>
    <w:p w14:paraId="0C0E445F" w14:textId="5610B0DE" w:rsidR="003A00E6" w:rsidRPr="005E2E02" w:rsidRDefault="003A00E6" w:rsidP="005E2E02">
      <w:pPr>
        <w:widowControl/>
        <w:spacing w:after="120" w:line="240" w:lineRule="auto"/>
        <w:jc w:val="both"/>
        <w:rPr>
          <w:rFonts w:ascii="Verdana Pro Cond Light" w:hAnsi="Verdana Pro Cond Light"/>
          <w:lang w:val="lv-LV"/>
        </w:rPr>
      </w:pPr>
    </w:p>
    <w:p w14:paraId="26F42CF6" w14:textId="53B9908E" w:rsidR="0029543D" w:rsidRPr="00097491" w:rsidRDefault="003A00E6" w:rsidP="003A00E6">
      <w:pPr>
        <w:pStyle w:val="Heading1"/>
        <w:rPr>
          <w:lang w:val="sv-SE"/>
        </w:rPr>
      </w:pPr>
      <w:bookmarkStart w:id="36" w:name="_Toc183697487"/>
      <w:r w:rsidRPr="00097491">
        <w:rPr>
          <w:lang w:val="sv-SE"/>
        </w:rPr>
        <w:t xml:space="preserve">6. </w:t>
      </w:r>
      <w:r w:rsidR="001577C0" w:rsidRPr="00097491">
        <w:rPr>
          <w:lang w:val="sv-SE"/>
        </w:rPr>
        <w:t>Nacionālā Enerģētikas un klimata plāna 2021.-2023. gadam sociālekonomiskās ietekmes modelēšanas rezultāti</w:t>
      </w:r>
      <w:bookmarkEnd w:id="35"/>
      <w:bookmarkEnd w:id="36"/>
      <w:r w:rsidR="001577C0" w:rsidRPr="00097491">
        <w:rPr>
          <w:lang w:val="sv-SE"/>
        </w:rPr>
        <w:t xml:space="preserve"> </w:t>
      </w:r>
    </w:p>
    <w:p w14:paraId="0885FF32" w14:textId="77777777" w:rsidR="00411677" w:rsidRPr="00411677" w:rsidRDefault="00411677" w:rsidP="00411677">
      <w:pPr>
        <w:widowControl/>
        <w:spacing w:after="120" w:line="240" w:lineRule="auto"/>
        <w:jc w:val="both"/>
        <w:rPr>
          <w:rFonts w:ascii="Verdana Pro Cond Light" w:hAnsi="Verdana Pro Cond Light"/>
          <w:lang w:val="lv-LV"/>
        </w:rPr>
      </w:pPr>
    </w:p>
    <w:p w14:paraId="5241B1D7" w14:textId="3F4AEDBC" w:rsidR="00411677" w:rsidRPr="00411677" w:rsidRDefault="00411677" w:rsidP="00411677">
      <w:pPr>
        <w:widowControl/>
        <w:spacing w:after="120" w:line="240" w:lineRule="auto"/>
        <w:jc w:val="both"/>
        <w:rPr>
          <w:rFonts w:ascii="Verdana Pro Cond Light" w:hAnsi="Verdana Pro Cond Light"/>
          <w:lang w:val="lv-LV"/>
        </w:rPr>
      </w:pPr>
    </w:p>
    <w:p w14:paraId="3A9641EB" w14:textId="79FD19D3" w:rsidR="00812A72" w:rsidRPr="00537DE7" w:rsidRDefault="00812A72" w:rsidP="00ED3083">
      <w:pPr>
        <w:spacing w:before="40" w:after="160" w:line="240" w:lineRule="auto"/>
        <w:rPr>
          <w:rFonts w:ascii="Verdana Pro Cond Light" w:hAnsi="Verdana Pro Cond Light"/>
          <w:lang w:val="lv-LV"/>
        </w:rPr>
      </w:pPr>
      <w:bookmarkStart w:id="37" w:name="_Hlk183680857"/>
      <w:r w:rsidRPr="00537DE7">
        <w:rPr>
          <w:rFonts w:ascii="Verdana Pro Cond Light" w:hAnsi="Verdana Pro Cond Light"/>
          <w:lang w:val="lv-LV"/>
        </w:rPr>
        <w:t xml:space="preserve">Šajā nodaļā pielietots LU rīcībā esošais vispārējā līdzsvara (VLA; </w:t>
      </w:r>
      <w:r w:rsidRPr="00537DE7">
        <w:rPr>
          <w:rFonts w:ascii="Verdana Pro Cond Light" w:hAnsi="Verdana Pro Cond Light"/>
          <w:i/>
          <w:iCs/>
          <w:lang w:val="lv-LV"/>
        </w:rPr>
        <w:t>Computable General Equilibirum</w:t>
      </w:r>
      <w:r w:rsidRPr="00537DE7">
        <w:rPr>
          <w:rFonts w:ascii="Verdana Pro Cond Light" w:hAnsi="Verdana Pro Cond Light"/>
          <w:lang w:val="lv-LV"/>
        </w:rPr>
        <w:t>) rekursīvi dinamiskais modelis, lai veiktu NEKP pasākumu sociālekonomisk</w:t>
      </w:r>
      <w:r w:rsidR="00BB161B">
        <w:rPr>
          <w:rFonts w:ascii="Verdana Pro Cond Light" w:hAnsi="Verdana Pro Cond Light"/>
          <w:lang w:val="lv-LV"/>
        </w:rPr>
        <w:t xml:space="preserve">ās </w:t>
      </w:r>
      <w:r w:rsidRPr="00537DE7">
        <w:rPr>
          <w:rFonts w:ascii="Verdana Pro Cond Light" w:hAnsi="Verdana Pro Cond Light"/>
          <w:lang w:val="lv-LV"/>
        </w:rPr>
        <w:t>ietekm</w:t>
      </w:r>
      <w:r w:rsidR="00BB161B">
        <w:rPr>
          <w:rFonts w:ascii="Verdana Pro Cond Light" w:hAnsi="Verdana Pro Cond Light"/>
          <w:lang w:val="lv-LV"/>
        </w:rPr>
        <w:t>es izvērtējumu</w:t>
      </w:r>
      <w:r w:rsidRPr="00537DE7">
        <w:rPr>
          <w:rFonts w:ascii="Verdana Pro Cond Light" w:hAnsi="Verdana Pro Cond Light"/>
          <w:lang w:val="lv-LV"/>
        </w:rPr>
        <w:t xml:space="preserve">. </w:t>
      </w:r>
      <w:bookmarkEnd w:id="37"/>
      <w:r w:rsidRPr="00537DE7">
        <w:rPr>
          <w:rFonts w:ascii="Verdana Pro Cond Light" w:hAnsi="Verdana Pro Cond Light"/>
          <w:lang w:val="lv-LV"/>
        </w:rPr>
        <w:t>VLA modeli, kas ļautu vērtēt enerģētikas un klimata politikas iniciatīvu ietekmi uz Latvijas tautsaimniecību, izveidoja Grieķijas kompānijas E3Modelling eksperti Eiropas Komisijas tehniskās palīdzības programmas ietvaros (2021. – 2022. gadā), ar LU pētnieku un Ekonomikas ministrijas ekspertu līdzdalību. Ar VLA modeļa palīdzību ir iespējams novērtēt enerģētikas un klimata politikas ietekmi pat uz nozarēm un makroekonomiskiem rādītājiem, kas nav tieši saistītas ar enerģētiku un klimatu.</w:t>
      </w:r>
    </w:p>
    <w:p w14:paraId="316BA452" w14:textId="77777777" w:rsidR="00812A72" w:rsidRPr="00537DE7" w:rsidRDefault="00812A72" w:rsidP="00ED3083">
      <w:pPr>
        <w:spacing w:before="40" w:after="160" w:line="240" w:lineRule="auto"/>
        <w:rPr>
          <w:rFonts w:ascii="Verdana Pro Cond Light" w:hAnsi="Verdana Pro Cond Light"/>
          <w:lang w:val="lv-LV"/>
        </w:rPr>
      </w:pPr>
      <w:r w:rsidRPr="00537DE7">
        <w:rPr>
          <w:rFonts w:ascii="Verdana Pro Cond Light" w:hAnsi="Verdana Pro Cond Light"/>
          <w:lang w:val="lv-LV"/>
        </w:rPr>
        <w:t>VLA modelis ir datorsimulācija GAMS (</w:t>
      </w:r>
      <w:r w:rsidRPr="00537DE7">
        <w:rPr>
          <w:rFonts w:ascii="Verdana Pro Cond Light" w:hAnsi="Verdana Pro Cond Light"/>
          <w:i/>
          <w:iCs/>
          <w:lang w:val="lv-LV"/>
        </w:rPr>
        <w:t>General Algebraic Modeling System</w:t>
      </w:r>
      <w:r w:rsidRPr="00537DE7">
        <w:rPr>
          <w:rFonts w:ascii="Verdana Pro Cond Light" w:hAnsi="Verdana Pro Cond Light"/>
          <w:lang w:val="lv-LV"/>
        </w:rPr>
        <w:t>) vidē, kas sastāv no divām daļām. Pirmā daļa ir VLA modeļa struktūra,</w:t>
      </w:r>
      <w:r>
        <w:rPr>
          <w:rFonts w:ascii="Verdana Pro Cond Light" w:hAnsi="Verdana Pro Cond Light"/>
          <w:lang w:val="lv-LV"/>
        </w:rPr>
        <w:t xml:space="preserve"> </w:t>
      </w:r>
      <w:r w:rsidRPr="00537DE7">
        <w:rPr>
          <w:rFonts w:ascii="Verdana Pro Cond Light" w:hAnsi="Verdana Pro Cond Light"/>
          <w:lang w:val="lv-LV"/>
        </w:rPr>
        <w:t>kas ar vienādojumu sistēmu raksturo visu tautsaimniecības nozaru mijiedarbību; turklāt visas nozares ir saistītas ar preču un pakalpojumu pieprasījumu un piedāvājumu (6.1. attēls). Otrā daļa ir datu bāzes, kas ietver ienākumu un izdevumu plūsmas ekonomikā (ievades-izlaides tabulas), Ekonomikas ministrijas izstrādātās makroekonomiskās un darba tirgus prognozes līdz 2050. gadam, kā arī parametru vērtības.</w:t>
      </w:r>
    </w:p>
    <w:p w14:paraId="098BB05D" w14:textId="77777777" w:rsidR="00812A72" w:rsidRPr="00537DE7" w:rsidRDefault="00812A72" w:rsidP="00812A72">
      <w:pPr>
        <w:spacing w:before="120" w:after="120" w:line="240" w:lineRule="auto"/>
        <w:jc w:val="right"/>
        <w:rPr>
          <w:rFonts w:ascii="Verdana Pro Cond Light" w:hAnsi="Verdana Pro Cond Light"/>
          <w:lang w:val="lv-LV"/>
        </w:rPr>
      </w:pPr>
      <w:r w:rsidRPr="00537DE7">
        <w:rPr>
          <w:rFonts w:ascii="Verdana Pro Cond Light" w:hAnsi="Verdana Pro Cond Light"/>
          <w:lang w:val="lv-LV"/>
        </w:rPr>
        <w:t>6.1. attēls</w:t>
      </w:r>
    </w:p>
    <w:p w14:paraId="4EF999B4" w14:textId="77777777" w:rsidR="00812A72" w:rsidRDefault="00812A72" w:rsidP="00812A72">
      <w:pPr>
        <w:spacing w:before="120" w:after="120" w:line="240" w:lineRule="auto"/>
        <w:jc w:val="center"/>
        <w:rPr>
          <w:rFonts w:ascii="Verdana Pro Cond Light" w:hAnsi="Verdana Pro Cond Light"/>
          <w:b/>
          <w:bCs/>
          <w:sz w:val="20"/>
          <w:lang w:val="lv-LV"/>
        </w:rPr>
      </w:pPr>
      <w:r w:rsidRPr="00537DE7">
        <w:rPr>
          <w:rFonts w:ascii="Verdana Pro Cond Light" w:hAnsi="Verdana Pro Cond Light"/>
          <w:b/>
          <w:bCs/>
          <w:sz w:val="20"/>
          <w:lang w:val="lv-LV"/>
        </w:rPr>
        <w:t>Vispārējā līdzsvara modeļa struktūra</w:t>
      </w:r>
    </w:p>
    <w:p w14:paraId="588A77E3" w14:textId="77777777" w:rsidR="00812A72" w:rsidRPr="00537DE7" w:rsidRDefault="00812A72" w:rsidP="00812A72">
      <w:pPr>
        <w:spacing w:after="120" w:line="240" w:lineRule="auto"/>
        <w:jc w:val="both"/>
        <w:rPr>
          <w:rFonts w:ascii="Verdana Pro Cond Light" w:hAnsi="Verdana Pro Cond Light"/>
          <w:highlight w:val="yellow"/>
          <w:lang w:val="lv-LV"/>
        </w:rPr>
      </w:pPr>
      <w:r w:rsidRPr="00537DE7">
        <w:rPr>
          <w:rFonts w:ascii="Verdana Pro Cond Light" w:hAnsi="Verdana Pro Cond Light"/>
          <w:noProof/>
          <w:sz w:val="20"/>
          <w:szCs w:val="20"/>
          <w:highlight w:val="yellow"/>
          <w14:ligatures w14:val="standardContextual"/>
        </w:rPr>
        <w:drawing>
          <wp:inline distT="0" distB="0" distL="0" distR="0" wp14:anchorId="5F54394B" wp14:editId="3D26E470">
            <wp:extent cx="6120130" cy="2025015"/>
            <wp:effectExtent l="0" t="0" r="0" b="0"/>
            <wp:docPr id="378682494" name="Picture 1" descr="A diagram of a flow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682494" name="Picture 1" descr="A diagram of a flowchart&#10;&#10;Description automatically generated"/>
                    <pic:cNvPicPr/>
                  </pic:nvPicPr>
                  <pic:blipFill>
                    <a:blip r:embed="rId55"/>
                    <a:stretch>
                      <a:fillRect/>
                    </a:stretch>
                  </pic:blipFill>
                  <pic:spPr>
                    <a:xfrm>
                      <a:off x="0" y="0"/>
                      <a:ext cx="6120130" cy="2025015"/>
                    </a:xfrm>
                    <a:prstGeom prst="rect">
                      <a:avLst/>
                    </a:prstGeom>
                  </pic:spPr>
                </pic:pic>
              </a:graphicData>
            </a:graphic>
          </wp:inline>
        </w:drawing>
      </w:r>
    </w:p>
    <w:p w14:paraId="53263613" w14:textId="77777777" w:rsidR="00812A72" w:rsidRDefault="00812A72" w:rsidP="00812A72">
      <w:pPr>
        <w:spacing w:after="120" w:line="240" w:lineRule="auto"/>
        <w:jc w:val="both"/>
        <w:rPr>
          <w:rFonts w:ascii="Verdana Pro Cond Light" w:hAnsi="Verdana Pro Cond Light"/>
          <w:sz w:val="14"/>
          <w:szCs w:val="14"/>
          <w:lang w:val="lv-LV"/>
        </w:rPr>
      </w:pPr>
      <w:r w:rsidRPr="00537DE7">
        <w:rPr>
          <w:rFonts w:ascii="Verdana Pro Cond Light" w:hAnsi="Verdana Pro Cond Light"/>
          <w:sz w:val="14"/>
          <w:szCs w:val="14"/>
          <w:lang w:val="lv-LV"/>
        </w:rPr>
        <w:t>Avots: autoru veidots attēls pēc Babatunde et.al. (2017)</w:t>
      </w:r>
      <w:r w:rsidRPr="00537DE7">
        <w:rPr>
          <w:rStyle w:val="FootnoteReference"/>
          <w:rFonts w:ascii="Verdana Pro Cond Light" w:hAnsi="Verdana Pro Cond Light"/>
          <w:sz w:val="14"/>
          <w:szCs w:val="14"/>
          <w:lang w:val="lv-LV"/>
        </w:rPr>
        <w:footnoteReference w:id="44"/>
      </w:r>
      <w:r w:rsidRPr="00537DE7">
        <w:rPr>
          <w:rFonts w:ascii="Verdana Pro Cond Light" w:hAnsi="Verdana Pro Cond Light"/>
          <w:sz w:val="14"/>
          <w:szCs w:val="14"/>
          <w:lang w:val="lv-LV"/>
        </w:rPr>
        <w:t>.</w:t>
      </w:r>
    </w:p>
    <w:p w14:paraId="38643A20" w14:textId="77777777" w:rsidR="00ED3083" w:rsidRDefault="00ED3083" w:rsidP="00812A72">
      <w:pPr>
        <w:spacing w:before="40" w:after="160" w:line="240" w:lineRule="auto"/>
        <w:jc w:val="both"/>
        <w:rPr>
          <w:rFonts w:ascii="Verdana Pro Cond Light" w:hAnsi="Verdana Pro Cond Light"/>
          <w:lang w:val="lv-LV"/>
        </w:rPr>
      </w:pPr>
    </w:p>
    <w:p w14:paraId="5375D87C" w14:textId="6F1C9E3A" w:rsidR="00B06983" w:rsidRPr="003F3C9B" w:rsidRDefault="00812A72" w:rsidP="003F3C9B">
      <w:pPr>
        <w:widowControl/>
        <w:spacing w:after="120" w:line="240" w:lineRule="auto"/>
        <w:rPr>
          <w:rFonts w:ascii="Verdana Pro Cond Light" w:hAnsi="Verdana Pro Cond Light"/>
          <w:lang w:val="lv-LV"/>
        </w:rPr>
      </w:pPr>
      <w:r w:rsidRPr="00537DE7">
        <w:rPr>
          <w:rFonts w:ascii="Verdana Pro Cond Light" w:hAnsi="Verdana Pro Cond Light"/>
          <w:lang w:val="lv-LV"/>
        </w:rPr>
        <w:t>Praksē pētnieki un starptautiskās institūcijas (piemēram, Eiropas Komisija, Pasaules Banka, GTAP) parasti izmanto tieši VLA modeļus ilgtermiņa simulācijām (Herbst et al., 2012</w:t>
      </w:r>
      <w:r w:rsidRPr="00537DE7">
        <w:rPr>
          <w:rStyle w:val="FootnoteReference"/>
          <w:rFonts w:ascii="Verdana Pro Cond Light" w:hAnsi="Verdana Pro Cond Light"/>
          <w:lang w:val="lv-LV"/>
        </w:rPr>
        <w:footnoteReference w:id="45"/>
      </w:r>
      <w:r w:rsidRPr="00537DE7">
        <w:rPr>
          <w:rFonts w:ascii="Verdana Pro Cond Light" w:hAnsi="Verdana Pro Cond Light"/>
          <w:lang w:val="lv-LV"/>
        </w:rPr>
        <w:t xml:space="preserve">). Zinātniskajā literatūrā ir skaidri minēts, ka VLA modeļiem labi padodas politikas iniciatīvu (eksogēno šoku) ietekmes izvērtējums uz makroekonomiskiem rādītājiem. Tādējādi VLA modelis ļauj novērtēt NEKP pasākumu ietekmi tostarp uz iekšzemes kopproduktu (un pievienoto vērtību nozaru dalījumā), darba vietu skaitu, investīcijām, produktivitāti, vidējo algu, inflāciju, ārējās tirdzniecības plūsmām, valsts budžeta ieņēmumiem. Taču kā jebkuram citam modelim, VLA ir savi ierobežojumi. Piemēram, VLA modelis nav piemērots makroekonomisko rādītāju prognozēšanai, ekonometriskiem novērtējumiem vai nelabvēlīgo klimata pārmaiņu ietekmi uz ekonomiku. Neizmantojot citu modeļu ievaddatus tas nevar atbildēt kādi klimata politikas pasākumi ir vajadzīgi, lai sasniegtu klimata neitralitātes mērķus. Tas arī nevar sniegt atbildes uz konceptuāliem jautājumiem </w:t>
      </w:r>
      <w:r>
        <w:rPr>
          <w:rFonts w:ascii="Verdana Pro Cond Light" w:hAnsi="Verdana Pro Cond Light"/>
          <w:lang w:val="lv-LV"/>
        </w:rPr>
        <w:t xml:space="preserve">– </w:t>
      </w:r>
      <w:r w:rsidRPr="00537DE7">
        <w:rPr>
          <w:rFonts w:ascii="Verdana Pro Cond Light" w:hAnsi="Verdana Pro Cond Light"/>
          <w:lang w:val="lv-LV"/>
        </w:rPr>
        <w:t>piemēram, kurus NEKP pasākumus prioritāri jāīsteno, vai noteikts NEKP pasākums vispār jāīsteno, kāda ir vēlama enerģijas ieguves struktūra (</w:t>
      </w:r>
      <w:r w:rsidRPr="00537DE7">
        <w:rPr>
          <w:rFonts w:ascii="Verdana Pro Cond Light" w:hAnsi="Verdana Pro Cond Light"/>
          <w:i/>
          <w:iCs/>
          <w:lang w:val="lv-LV"/>
        </w:rPr>
        <w:t>energy mix</w:t>
      </w:r>
      <w:r w:rsidRPr="00537DE7">
        <w:rPr>
          <w:rFonts w:ascii="Verdana Pro Cond Light" w:hAnsi="Verdana Pro Cond Light"/>
          <w:lang w:val="lv-LV"/>
        </w:rPr>
        <w:t xml:space="preserve">) vai transporta sektora ilgtermiņa vīzija </w:t>
      </w:r>
      <w:r>
        <w:rPr>
          <w:rFonts w:ascii="Verdana Pro Cond Light" w:hAnsi="Verdana Pro Cond Light"/>
          <w:lang w:val="lv-LV"/>
        </w:rPr>
        <w:t xml:space="preserve">– </w:t>
      </w:r>
      <w:r w:rsidRPr="00537DE7">
        <w:rPr>
          <w:rFonts w:ascii="Verdana Pro Cond Light" w:hAnsi="Verdana Pro Cond Light"/>
          <w:lang w:val="lv-LV"/>
        </w:rPr>
        <w:t>tie visi ir politiskie lēmumi, kas var tikt pieņemti arī izmantojot VLA modeļa sniegtus ietekmes novērtējumus.</w:t>
      </w:r>
    </w:p>
    <w:p w14:paraId="103DD722" w14:textId="77777777" w:rsidR="00812A72" w:rsidRPr="00537DE7" w:rsidRDefault="00812A72" w:rsidP="00ED3083">
      <w:pPr>
        <w:spacing w:after="120" w:line="240" w:lineRule="auto"/>
        <w:rPr>
          <w:rFonts w:ascii="Verdana Pro Cond Light" w:hAnsi="Verdana Pro Cond Light"/>
          <w:lang w:val="lv-LV"/>
        </w:rPr>
      </w:pPr>
      <w:r w:rsidRPr="00537DE7">
        <w:rPr>
          <w:rFonts w:ascii="Verdana Pro Cond Light" w:hAnsi="Verdana Pro Cond Light"/>
          <w:lang w:val="lv-LV"/>
        </w:rPr>
        <w:t>Lai veiktu NEKP pasākumu sociālekonomiskās ietekmes izvērtējumu, tika izveidoti sekojošie scenāriji:</w:t>
      </w:r>
    </w:p>
    <w:p w14:paraId="2F72F810" w14:textId="77777777" w:rsidR="00812A72" w:rsidRDefault="00812A72" w:rsidP="00ED3083">
      <w:pPr>
        <w:pStyle w:val="ListParagraph"/>
        <w:widowControl/>
        <w:numPr>
          <w:ilvl w:val="0"/>
          <w:numId w:val="1"/>
        </w:numPr>
        <w:spacing w:after="120" w:line="240" w:lineRule="auto"/>
        <w:ind w:left="714" w:hanging="357"/>
        <w:contextualSpacing w:val="0"/>
        <w:rPr>
          <w:rFonts w:ascii="Verdana Pro Cond Light" w:hAnsi="Verdana Pro Cond Light"/>
          <w:lang w:val="lv-LV"/>
        </w:rPr>
      </w:pPr>
      <w:r w:rsidRPr="00537DE7">
        <w:rPr>
          <w:rFonts w:ascii="Verdana Pro Cond Light" w:hAnsi="Verdana Pro Cond Light"/>
          <w:lang w:val="lv-LV"/>
        </w:rPr>
        <w:t>ZIZIMM sektora pasākumi.</w:t>
      </w:r>
    </w:p>
    <w:p w14:paraId="68A346F1" w14:textId="77777777" w:rsidR="00812A72" w:rsidRDefault="00812A72" w:rsidP="00ED3083">
      <w:pPr>
        <w:pStyle w:val="ListParagraph"/>
        <w:widowControl/>
        <w:numPr>
          <w:ilvl w:val="0"/>
          <w:numId w:val="1"/>
        </w:numPr>
        <w:spacing w:after="120" w:line="240" w:lineRule="auto"/>
        <w:ind w:left="714" w:hanging="357"/>
        <w:contextualSpacing w:val="0"/>
        <w:rPr>
          <w:rFonts w:ascii="Verdana Pro Cond Light" w:hAnsi="Verdana Pro Cond Light"/>
          <w:lang w:val="lv-LV"/>
        </w:rPr>
      </w:pPr>
      <w:r w:rsidRPr="00537DE7">
        <w:rPr>
          <w:rFonts w:ascii="Verdana Pro Cond Light" w:hAnsi="Verdana Pro Cond Light"/>
          <w:lang w:val="lv-LV"/>
        </w:rPr>
        <w:t>Transporta pasākumi.</w:t>
      </w:r>
    </w:p>
    <w:p w14:paraId="5AE5702E" w14:textId="77777777" w:rsidR="00812A72" w:rsidRDefault="00812A72" w:rsidP="00ED3083">
      <w:pPr>
        <w:pStyle w:val="ListParagraph"/>
        <w:widowControl/>
        <w:numPr>
          <w:ilvl w:val="0"/>
          <w:numId w:val="1"/>
        </w:numPr>
        <w:spacing w:after="120" w:line="240" w:lineRule="auto"/>
        <w:ind w:left="714" w:hanging="357"/>
        <w:contextualSpacing w:val="0"/>
        <w:rPr>
          <w:rFonts w:ascii="Verdana Pro Cond Light" w:hAnsi="Verdana Pro Cond Light"/>
          <w:lang w:val="lv-LV"/>
        </w:rPr>
      </w:pPr>
      <w:r w:rsidRPr="00537DE7">
        <w:rPr>
          <w:rFonts w:ascii="Verdana Pro Cond Light" w:hAnsi="Verdana Pro Cond Light"/>
          <w:lang w:val="lv-LV"/>
        </w:rPr>
        <w:t>RPPI sektora pasākumi.</w:t>
      </w:r>
    </w:p>
    <w:p w14:paraId="2F0D6C61" w14:textId="77777777" w:rsidR="00812A72" w:rsidRDefault="00812A72" w:rsidP="00ED3083">
      <w:pPr>
        <w:pStyle w:val="ListParagraph"/>
        <w:widowControl/>
        <w:numPr>
          <w:ilvl w:val="0"/>
          <w:numId w:val="1"/>
        </w:numPr>
        <w:spacing w:after="120" w:line="240" w:lineRule="auto"/>
        <w:ind w:left="714" w:hanging="357"/>
        <w:contextualSpacing w:val="0"/>
        <w:rPr>
          <w:rFonts w:ascii="Verdana Pro Cond Light" w:hAnsi="Verdana Pro Cond Light"/>
          <w:lang w:val="lv-LV"/>
        </w:rPr>
      </w:pPr>
      <w:r w:rsidRPr="00537DE7">
        <w:rPr>
          <w:rFonts w:ascii="Verdana Pro Cond Light" w:hAnsi="Verdana Pro Cond Light"/>
          <w:lang w:val="lv-LV"/>
        </w:rPr>
        <w:t>Elektroenerģijas un siltumenerģijas ražošanas pasākumi.</w:t>
      </w:r>
    </w:p>
    <w:p w14:paraId="31038CA5" w14:textId="77777777" w:rsidR="00812A72" w:rsidRDefault="00812A72" w:rsidP="00ED3083">
      <w:pPr>
        <w:pStyle w:val="ListParagraph"/>
        <w:widowControl/>
        <w:numPr>
          <w:ilvl w:val="0"/>
          <w:numId w:val="1"/>
        </w:numPr>
        <w:spacing w:after="120" w:line="240" w:lineRule="auto"/>
        <w:ind w:left="714" w:hanging="357"/>
        <w:contextualSpacing w:val="0"/>
        <w:rPr>
          <w:rFonts w:ascii="Verdana Pro Cond Light" w:hAnsi="Verdana Pro Cond Light"/>
          <w:lang w:val="lv-LV"/>
        </w:rPr>
      </w:pPr>
      <w:r w:rsidRPr="00537DE7">
        <w:rPr>
          <w:rFonts w:ascii="Verdana Pro Cond Light" w:hAnsi="Verdana Pro Cond Light"/>
          <w:lang w:val="lv-LV"/>
        </w:rPr>
        <w:t>Enerģiskās drošības un iekšējā elektrības tirgus pasākumi.</w:t>
      </w:r>
    </w:p>
    <w:p w14:paraId="1A60767A" w14:textId="66C0006E" w:rsidR="00812A72" w:rsidRPr="00C91735" w:rsidRDefault="00812A72" w:rsidP="00C91735">
      <w:pPr>
        <w:pStyle w:val="ListParagraph"/>
        <w:widowControl/>
        <w:numPr>
          <w:ilvl w:val="0"/>
          <w:numId w:val="1"/>
        </w:numPr>
        <w:spacing w:after="120" w:line="240" w:lineRule="auto"/>
        <w:ind w:left="714" w:hanging="357"/>
        <w:contextualSpacing w:val="0"/>
        <w:rPr>
          <w:rFonts w:ascii="Verdana Pro Cond Light" w:hAnsi="Verdana Pro Cond Light"/>
          <w:lang w:val="lv-LV"/>
        </w:rPr>
      </w:pPr>
      <w:r w:rsidRPr="00537DE7">
        <w:rPr>
          <w:rFonts w:ascii="Verdana Pro Cond Light" w:hAnsi="Verdana Pro Cond Light"/>
          <w:lang w:val="lv-LV"/>
        </w:rPr>
        <w:t>Energoefektivitātes pasākumi.</w:t>
      </w:r>
      <w:r w:rsidR="00C91735">
        <w:rPr>
          <w:rFonts w:ascii="Verdana Pro Cond Light" w:hAnsi="Verdana Pro Cond Light"/>
          <w:lang w:val="lv-LV"/>
        </w:rPr>
        <w:t xml:space="preserve"> </w:t>
      </w:r>
    </w:p>
    <w:p w14:paraId="01ADE530" w14:textId="3CB5A532" w:rsidR="00812A72" w:rsidRPr="00537DE7" w:rsidRDefault="00812A72" w:rsidP="00ED3083">
      <w:pPr>
        <w:pStyle w:val="ListParagraph"/>
        <w:widowControl/>
        <w:numPr>
          <w:ilvl w:val="0"/>
          <w:numId w:val="1"/>
        </w:numPr>
        <w:spacing w:after="120" w:line="240" w:lineRule="auto"/>
        <w:ind w:left="714" w:hanging="357"/>
        <w:contextualSpacing w:val="0"/>
        <w:rPr>
          <w:rFonts w:ascii="Verdana Pro Cond Light" w:hAnsi="Verdana Pro Cond Light"/>
          <w:lang w:val="lv-LV"/>
        </w:rPr>
      </w:pPr>
      <w:r w:rsidRPr="00537DE7">
        <w:rPr>
          <w:rFonts w:ascii="Verdana Pro Cond Light" w:hAnsi="Verdana Pro Cond Light"/>
          <w:lang w:val="lv-LV"/>
        </w:rPr>
        <w:t>Kopējais scenārijs, kas ietver 1.-</w:t>
      </w:r>
      <w:r w:rsidR="00C91735">
        <w:rPr>
          <w:rFonts w:ascii="Verdana Pro Cond Light" w:hAnsi="Verdana Pro Cond Light"/>
          <w:lang w:val="lv-LV"/>
        </w:rPr>
        <w:t>6</w:t>
      </w:r>
      <w:r w:rsidRPr="00537DE7">
        <w:rPr>
          <w:rFonts w:ascii="Verdana Pro Cond Light" w:hAnsi="Verdana Pro Cond Light"/>
          <w:lang w:val="lv-LV"/>
        </w:rPr>
        <w:t>. scenāriju vienlaicīgu īstenošanu.</w:t>
      </w:r>
    </w:p>
    <w:p w14:paraId="073E2521" w14:textId="6262805E" w:rsidR="00812A72" w:rsidRDefault="00812A72" w:rsidP="00ED3083">
      <w:pPr>
        <w:pStyle w:val="ListParagraph"/>
        <w:numPr>
          <w:ilvl w:val="0"/>
          <w:numId w:val="1"/>
        </w:numPr>
        <w:spacing w:after="120" w:line="240" w:lineRule="auto"/>
        <w:contextualSpacing w:val="0"/>
        <w:rPr>
          <w:rFonts w:ascii="Verdana Pro Cond Light" w:hAnsi="Verdana Pro Cond Light"/>
          <w:lang w:val="lv-LV"/>
        </w:rPr>
      </w:pPr>
      <w:r w:rsidRPr="00537DE7">
        <w:rPr>
          <w:rFonts w:ascii="Verdana Pro Cond Light" w:hAnsi="Verdana Pro Cond Light"/>
          <w:lang w:val="lv-LV"/>
        </w:rPr>
        <w:t>Kopējais scenārijs, kas ietver 1.-</w:t>
      </w:r>
      <w:r w:rsidR="00C91735">
        <w:rPr>
          <w:rFonts w:ascii="Verdana Pro Cond Light" w:hAnsi="Verdana Pro Cond Light"/>
          <w:lang w:val="lv-LV"/>
        </w:rPr>
        <w:t>6</w:t>
      </w:r>
      <w:r w:rsidRPr="00537DE7">
        <w:rPr>
          <w:rFonts w:ascii="Verdana Pro Cond Light" w:hAnsi="Verdana Pro Cond Light"/>
          <w:lang w:val="lv-LV"/>
        </w:rPr>
        <w:t>. scenāriju vienlaicīgu īstenošanu – iezīmētā finansējuma apjomā.</w:t>
      </w:r>
      <w:r w:rsidR="00C91735">
        <w:rPr>
          <w:rFonts w:ascii="Verdana Pro Cond Light" w:hAnsi="Verdana Pro Cond Light"/>
          <w:lang w:val="lv-LV"/>
        </w:rPr>
        <w:t xml:space="preserve"> </w:t>
      </w:r>
    </w:p>
    <w:p w14:paraId="39FE8BB6" w14:textId="77777777" w:rsidR="00ED3083" w:rsidRDefault="00ED3083" w:rsidP="00ED3083">
      <w:pPr>
        <w:spacing w:after="120" w:line="240" w:lineRule="auto"/>
        <w:rPr>
          <w:rFonts w:ascii="Verdana Pro Cond Light" w:hAnsi="Verdana Pro Cond Light"/>
          <w:lang w:val="lv-LV"/>
        </w:rPr>
      </w:pPr>
    </w:p>
    <w:p w14:paraId="7623096D" w14:textId="243AB661" w:rsidR="00812A72" w:rsidRDefault="00812A72" w:rsidP="00ED3083">
      <w:pPr>
        <w:spacing w:after="120" w:line="240" w:lineRule="auto"/>
        <w:rPr>
          <w:rFonts w:ascii="Verdana Pro Cond Light" w:hAnsi="Verdana Pro Cond Light"/>
          <w:lang w:val="lv-LV"/>
        </w:rPr>
      </w:pPr>
      <w:r w:rsidRPr="00537DE7">
        <w:rPr>
          <w:rFonts w:ascii="Verdana Pro Cond Light" w:hAnsi="Verdana Pro Cond Light"/>
          <w:lang w:val="lv-LV"/>
        </w:rPr>
        <w:t>Visu darbu ar VLA modeli, NEKP pasākumu ekonomiskās ietekmes izvērtējumu un šo scenāriju aprakstu veica LU pētnieki – Oļegs Krasnopjorovs, Dāniels Jukna un Konstantīns Kovaļovs. Visu šo scenāriju  modelēšana balstās uz 2024. gada 9. jūlijā Ministru Kabinetā apstiprināto NEKP versiju un valsts iestāžu iesniegtiem nepublicētiem datiem; modelēšanas darbi veikti 2024. gada jūlijā – septembrī.</w:t>
      </w:r>
    </w:p>
    <w:p w14:paraId="392D9266" w14:textId="2E541D28" w:rsidR="00812A72" w:rsidRDefault="00812A72" w:rsidP="00ED3083">
      <w:pPr>
        <w:spacing w:after="120" w:line="240" w:lineRule="auto"/>
        <w:rPr>
          <w:rFonts w:ascii="Verdana Pro Cond Light" w:hAnsi="Verdana Pro Cond Light"/>
          <w:lang w:val="lv-LV"/>
        </w:rPr>
      </w:pPr>
      <w:r w:rsidRPr="00537DE7">
        <w:rPr>
          <w:rFonts w:ascii="Verdana Pro Cond Light" w:hAnsi="Verdana Pro Cond Light"/>
          <w:lang w:val="lv-LV"/>
        </w:rPr>
        <w:t>NEKP pasākumu sociālekonomiskās ietekmes izvērtējuma precizitātei izšķiroši svarīgi ir dati un pieņēmumi</w:t>
      </w:r>
      <w:r w:rsidR="00B06983">
        <w:rPr>
          <w:rFonts w:ascii="Verdana Pro Cond Light" w:hAnsi="Verdana Pro Cond Light"/>
          <w:lang w:val="lv-LV"/>
        </w:rPr>
        <w:t xml:space="preserve"> (sk. 6.1. ielikumu)</w:t>
      </w:r>
      <w:r w:rsidRPr="00537DE7">
        <w:rPr>
          <w:rFonts w:ascii="Verdana Pro Cond Light" w:hAnsi="Verdana Pro Cond Light"/>
          <w:lang w:val="lv-LV"/>
        </w:rPr>
        <w:t>. Lai arī CGE modelim nepieciešamus datus LU formulēja 2024. gada sākumā (un vairākkārt atkārtoja datu prasības vairākās sanāksmēs un prezentācijās) šobrīd NEKP pieejamo datu apjomu nevar uzskatīt par pilnīgu (modelēšanai nepieciešamus datus pilnā apjomā no valsts iestādēm sniedza tikai Zemkopības ministrija – par NEKP pasākumiem ZIZIMM sektora un lauksaimniecības jomās). Precizējot šos izejas datus un pieņēmumus, var tikt precizēta arī NEKP pasākumu sociālekonomiskā ietekme:</w:t>
      </w:r>
    </w:p>
    <w:p w14:paraId="24562EB2" w14:textId="77777777" w:rsidR="00812A72" w:rsidRDefault="00812A72" w:rsidP="00ED3083">
      <w:pPr>
        <w:pStyle w:val="ListParagraph"/>
        <w:numPr>
          <w:ilvl w:val="0"/>
          <w:numId w:val="25"/>
        </w:numPr>
        <w:spacing w:after="120" w:line="240" w:lineRule="auto"/>
        <w:contextualSpacing w:val="0"/>
        <w:rPr>
          <w:rFonts w:ascii="Verdana Pro Cond Light" w:hAnsi="Verdana Pro Cond Light"/>
          <w:lang w:val="lv-LV"/>
        </w:rPr>
      </w:pPr>
      <w:r w:rsidRPr="00537DE7">
        <w:rPr>
          <w:rFonts w:ascii="Verdana Pro Cond Light" w:hAnsi="Verdana Pro Cond Light"/>
          <w:lang w:val="lv-LV"/>
        </w:rPr>
        <w:t xml:space="preserve">NEKP pasākumu finansējuma apjoms, periods un avots. Attiecībā uz finansējuma avotu svarīgi ir vai NEKP pasākumu finansējums ir jaunā nauda, kas tiek ieguldīta Latvijas ekonomikā vai arī finansējuma pārdale no citām programmām. Pārsvarā tikai jaunai naudai ir ietekme uz ekonomikas kopējiem rādītājiem, savukārt finansējuma pārdale galvenokārt ietekmē tikai ekonomikas struktūru. Modelēšanas vajadzībām tika pieņemts, ka Latvijas privāto uzņēmumu un mājsaimniecību finansējums ir finansējuma pārdale, bet ārvalstu privāto uzņēmumu finansējums ir jaunā nauda; savukārt ES fondu un valsts budžeta finansējuma gadījumā iespējami abi varianti. Taču par vairākiem NEKP pasākumiem </w:t>
      </w:r>
      <w:r w:rsidRPr="00537DE7">
        <w:rPr>
          <w:rFonts w:ascii="Verdana Pro Cond Light" w:hAnsi="Verdana Pro Cond Light"/>
          <w:lang w:val="lv-LV"/>
        </w:rPr>
        <w:lastRenderedPageBreak/>
        <w:t>joprojām nav zināma precīza finansējuma struktūra pa avotiem un gadiem.</w:t>
      </w:r>
    </w:p>
    <w:p w14:paraId="194A1BC3" w14:textId="77777777" w:rsidR="00812A72" w:rsidRDefault="00812A72" w:rsidP="00812A72">
      <w:pPr>
        <w:pStyle w:val="ListParagraph"/>
        <w:numPr>
          <w:ilvl w:val="0"/>
          <w:numId w:val="25"/>
        </w:numPr>
        <w:spacing w:before="40" w:after="160" w:line="240" w:lineRule="auto"/>
        <w:contextualSpacing w:val="0"/>
        <w:jc w:val="both"/>
        <w:rPr>
          <w:rFonts w:ascii="Verdana Pro Cond Light" w:hAnsi="Verdana Pro Cond Light"/>
          <w:lang w:val="lv-LV"/>
        </w:rPr>
      </w:pPr>
      <w:r w:rsidRPr="00537DE7">
        <w:rPr>
          <w:rFonts w:ascii="Verdana Pro Cond Light" w:hAnsi="Verdana Pro Cond Light"/>
          <w:lang w:val="lv-LV"/>
        </w:rPr>
        <w:t>Nozare un ieguldījuma veids. Attiecībā uz ieguldījuma veidu tika pieņemts, ka gandrīz visi NEKP pasākumi tiek īstenoti investīciju veidā. Ja ieguldījumi tiks īstenoti citā veidā (piemēram, palielinot privāto patēriņu, publisko patēriņu vai darba samaksas fondu), šo pasākumu pozitīva ietekme uz ekonomiku ilgtermiņā var izrādīties mazāka.</w:t>
      </w:r>
    </w:p>
    <w:p w14:paraId="32578D2F" w14:textId="77777777" w:rsidR="003F3C9B" w:rsidRDefault="003F3C9B" w:rsidP="00ED3083">
      <w:pPr>
        <w:spacing w:after="120" w:line="240" w:lineRule="auto"/>
        <w:rPr>
          <w:rFonts w:ascii="Verdana Pro Cond Light" w:hAnsi="Verdana Pro Cond Light"/>
          <w:lang w:val="lv-LV"/>
        </w:rPr>
      </w:pPr>
    </w:p>
    <w:p w14:paraId="4B17CB0D" w14:textId="6E1EE582" w:rsidR="00812A72" w:rsidRDefault="00812A72" w:rsidP="00ED3083">
      <w:pPr>
        <w:spacing w:after="120" w:line="240" w:lineRule="auto"/>
        <w:rPr>
          <w:rFonts w:ascii="Verdana Pro Cond Light" w:hAnsi="Verdana Pro Cond Light"/>
          <w:lang w:val="lv-LV"/>
        </w:rPr>
      </w:pPr>
      <w:r w:rsidRPr="00537DE7">
        <w:rPr>
          <w:rFonts w:ascii="Verdana Pro Cond Light" w:hAnsi="Verdana Pro Cond Light"/>
          <w:lang w:val="lv-LV"/>
        </w:rPr>
        <w:t>Pēc saskaņošanas ar EM ekspertiem netika modelēta sekojošu NEKP pasākumu grupu ietekme:</w:t>
      </w:r>
    </w:p>
    <w:p w14:paraId="6AD588F0" w14:textId="77777777" w:rsidR="00812A72" w:rsidRDefault="00812A72" w:rsidP="00ED3083">
      <w:pPr>
        <w:pStyle w:val="ListParagraph"/>
        <w:widowControl/>
        <w:numPr>
          <w:ilvl w:val="0"/>
          <w:numId w:val="2"/>
        </w:numPr>
        <w:spacing w:after="120" w:line="240" w:lineRule="auto"/>
        <w:ind w:left="714" w:hanging="357"/>
        <w:contextualSpacing w:val="0"/>
        <w:rPr>
          <w:rFonts w:ascii="Verdana Pro Cond Light" w:hAnsi="Verdana Pro Cond Light"/>
          <w:lang w:val="lv-LV"/>
        </w:rPr>
      </w:pPr>
      <w:r w:rsidRPr="00537DE7">
        <w:rPr>
          <w:rFonts w:ascii="Verdana Pro Cond Light" w:hAnsi="Verdana Pro Cond Light"/>
          <w:lang w:val="lv-LV"/>
        </w:rPr>
        <w:t>Lauksaimniecības sektora pasākumi, jo sanāksmē (2024. gada 5. augustā) ZM pārstāvji skaidroja, ka 95</w:t>
      </w:r>
      <w:r>
        <w:rPr>
          <w:rFonts w:ascii="Verdana Pro Cond Light" w:hAnsi="Verdana Pro Cond Light"/>
          <w:lang w:val="lv-LV"/>
        </w:rPr>
        <w:t> </w:t>
      </w:r>
      <w:r w:rsidRPr="00537DE7">
        <w:rPr>
          <w:rFonts w:ascii="Verdana Pro Cond Light" w:hAnsi="Verdana Pro Cond Light"/>
          <w:lang w:val="lv-LV"/>
        </w:rPr>
        <w:t>% no finansējuma ir ES fondu pārdale no citām programmām, tāpēc šo pasākumu (papildus) ekonomiskā ietekme nav būtiska.</w:t>
      </w:r>
    </w:p>
    <w:p w14:paraId="1CF34983" w14:textId="77777777" w:rsidR="00812A72" w:rsidRDefault="00812A72" w:rsidP="00ED3083">
      <w:pPr>
        <w:pStyle w:val="ListParagraph"/>
        <w:numPr>
          <w:ilvl w:val="0"/>
          <w:numId w:val="2"/>
        </w:numPr>
        <w:spacing w:after="120" w:line="240" w:lineRule="auto"/>
        <w:contextualSpacing w:val="0"/>
        <w:rPr>
          <w:rFonts w:ascii="Verdana Pro Cond Light" w:hAnsi="Verdana Pro Cond Light"/>
          <w:lang w:val="lv-LV"/>
        </w:rPr>
      </w:pPr>
      <w:r w:rsidRPr="00537DE7">
        <w:rPr>
          <w:rFonts w:ascii="Verdana Pro Cond Light" w:hAnsi="Verdana Pro Cond Light"/>
          <w:lang w:val="lv-LV"/>
        </w:rPr>
        <w:t>Atkritumu un notekūdeņu apsaimniekošanas pasākumi, jo tie pārsvarā ir pašreizējā ES fondu perioda pasākumi.</w:t>
      </w:r>
    </w:p>
    <w:p w14:paraId="3C57F6D7" w14:textId="77777777" w:rsidR="00812A72" w:rsidRDefault="00812A72" w:rsidP="00ED3083">
      <w:pPr>
        <w:pStyle w:val="ListParagraph"/>
        <w:widowControl/>
        <w:numPr>
          <w:ilvl w:val="0"/>
          <w:numId w:val="2"/>
        </w:numPr>
        <w:spacing w:after="120" w:line="240" w:lineRule="auto"/>
        <w:ind w:left="714" w:hanging="357"/>
        <w:contextualSpacing w:val="0"/>
        <w:rPr>
          <w:rFonts w:ascii="Verdana Pro Cond Light" w:hAnsi="Verdana Pro Cond Light"/>
          <w:lang w:val="lv-LV"/>
        </w:rPr>
      </w:pPr>
      <w:r w:rsidRPr="00537DE7">
        <w:rPr>
          <w:rFonts w:ascii="Verdana Pro Cond Light" w:hAnsi="Verdana Pro Cond Light"/>
          <w:lang w:val="lv-LV"/>
        </w:rPr>
        <w:t>Pētniecības, inovācijas un konkurētspējas pasākumi, jo 99</w:t>
      </w:r>
      <w:r>
        <w:rPr>
          <w:rFonts w:ascii="Verdana Pro Cond Light" w:hAnsi="Verdana Pro Cond Light"/>
          <w:lang w:val="lv-LV"/>
        </w:rPr>
        <w:t> </w:t>
      </w:r>
      <w:r w:rsidRPr="00537DE7">
        <w:rPr>
          <w:rFonts w:ascii="Verdana Pro Cond Light" w:hAnsi="Verdana Pro Cond Light"/>
          <w:lang w:val="lv-LV"/>
        </w:rPr>
        <w:t>% no finansējuma nāk no ES fondiem, kas aizstāj citas ES fondu programmas, tāpēc šo pasākumu (papildus) ekonomiskā ietekme nav būtiska.</w:t>
      </w:r>
    </w:p>
    <w:p w14:paraId="15A55E30" w14:textId="77777777" w:rsidR="00812A72" w:rsidRDefault="00812A72" w:rsidP="00ED3083">
      <w:pPr>
        <w:pStyle w:val="ListParagraph"/>
        <w:widowControl/>
        <w:numPr>
          <w:ilvl w:val="0"/>
          <w:numId w:val="2"/>
        </w:numPr>
        <w:spacing w:after="120" w:line="240" w:lineRule="auto"/>
        <w:ind w:left="714" w:hanging="357"/>
        <w:contextualSpacing w:val="0"/>
        <w:rPr>
          <w:rFonts w:ascii="Verdana Pro Cond Light" w:hAnsi="Verdana Pro Cond Light"/>
          <w:lang w:val="lv-LV"/>
        </w:rPr>
      </w:pPr>
      <w:r w:rsidRPr="00537DE7">
        <w:rPr>
          <w:rFonts w:ascii="Verdana Pro Cond Light" w:hAnsi="Verdana Pro Cond Light"/>
          <w:lang w:val="lv-LV"/>
        </w:rPr>
        <w:t>Pielāgošanās klimata pārmaiņām pasākumi, jo NEKP nav datu par veicamiem ieguldījumiem. NEKP rakstīts “Papildus informācija par nepieciešamo finansējumu un konkrētiem uzdevumiem pasākumu īstenošanai ir atrunāti LPKPP.” Savukārt 2019. gada</w:t>
      </w:r>
      <w:r>
        <w:rPr>
          <w:rFonts w:ascii="Verdana Pro Cond Light" w:hAnsi="Verdana Pro Cond Light"/>
          <w:lang w:val="lv-LV"/>
        </w:rPr>
        <w:t xml:space="preserve"> </w:t>
      </w:r>
      <w:r w:rsidRPr="00537DE7">
        <w:rPr>
          <w:rFonts w:ascii="Verdana Pro Cond Light" w:hAnsi="Verdana Pro Cond Light"/>
          <w:lang w:val="lv-LV"/>
        </w:rPr>
        <w:t>dokumentā «Latvijas pielāgošanās klimata pārmaiņām plāns laika posmam līdz 2030. gadam» lpp. 52 rakstīts: “Nepieciešamais finansējuma apjoms Plānā noteikto mērķu un tajā ietverto rīcību īstenošanai šobrīd nav aprēķināms ņemot vērā, ka šis ir ilgtermiņa (līdz 2030. gadam) attīstības plānošanas dokuments un klimata pārmaiņu prognozēs ir vērojama nenoteiktība, kā arī daudzu iesaistīto nozaru politika nav saplānota periodam pēc 2020. gada.”</w:t>
      </w:r>
    </w:p>
    <w:p w14:paraId="4AED87DC" w14:textId="77777777" w:rsidR="00ED3083" w:rsidRDefault="00ED3083" w:rsidP="00ED3083">
      <w:pPr>
        <w:spacing w:after="120" w:line="240" w:lineRule="auto"/>
        <w:rPr>
          <w:rFonts w:ascii="Verdana Pro Cond Light" w:hAnsi="Verdana Pro Cond Light"/>
          <w:lang w:val="lv-LV"/>
        </w:rPr>
      </w:pPr>
    </w:p>
    <w:p w14:paraId="041B273D" w14:textId="3A9FC998" w:rsidR="00812A72" w:rsidRDefault="00812A72" w:rsidP="00ED3083">
      <w:pPr>
        <w:spacing w:after="120" w:line="240" w:lineRule="auto"/>
        <w:rPr>
          <w:rFonts w:ascii="Verdana Pro Cond Light" w:hAnsi="Verdana Pro Cond Light"/>
          <w:lang w:val="lv-LV"/>
        </w:rPr>
      </w:pPr>
      <w:r w:rsidRPr="00537DE7">
        <w:rPr>
          <w:rFonts w:ascii="Verdana Pro Cond Light" w:hAnsi="Verdana Pro Cond Light"/>
          <w:lang w:val="lv-LV"/>
        </w:rPr>
        <w:t>Tālākā darbā būtu lietderīgi uzlabot ievadinformāciju, precīzāk definējot investīciju iespējamos avotus, kā arī pilnveidojot pašus NEKP pasākumus, veikt precizētu ietekmju analīzi ar VLA.</w:t>
      </w:r>
      <w:r>
        <w:rPr>
          <w:rFonts w:ascii="Verdana Pro Cond Light" w:hAnsi="Verdana Pro Cond Light"/>
          <w:lang w:val="lv-LV"/>
        </w:rPr>
        <w:t xml:space="preserve"> </w:t>
      </w:r>
      <w:r w:rsidRPr="00537DE7">
        <w:rPr>
          <w:rFonts w:ascii="Verdana Pro Cond Light" w:hAnsi="Verdana Pro Cond Light"/>
          <w:lang w:val="lv-LV"/>
        </w:rPr>
        <w:t>Izmantojot piedāvāto pieeju, iespējams arī detalizētāk modelēt Transporta enerģijas likuma sociāli ekonomiskās ietekmes, kā arī analizēt klimatneitralitātes sasniegšanas scenāriju sociāli ekonomiskās ietekmes, kad šādi scenāriji būs izstrādāti ar klimata enerģētikas modeli.</w:t>
      </w:r>
    </w:p>
    <w:p w14:paraId="1F05AFCD" w14:textId="77777777" w:rsidR="003A2F64" w:rsidRDefault="003A2F64" w:rsidP="00ED3083">
      <w:pPr>
        <w:spacing w:after="120" w:line="240" w:lineRule="auto"/>
        <w:rPr>
          <w:rFonts w:ascii="Verdana Pro Cond Light" w:hAnsi="Verdana Pro Cond Light"/>
          <w:lang w:val="lv-LV"/>
        </w:rPr>
      </w:pPr>
    </w:p>
    <w:p w14:paraId="7E58314F" w14:textId="71C43919" w:rsidR="003A2F64" w:rsidRDefault="003A2F64" w:rsidP="003A2F64">
      <w:pPr>
        <w:widowControl/>
        <w:spacing w:after="120" w:line="240" w:lineRule="auto"/>
        <w:jc w:val="right"/>
        <w:rPr>
          <w:rFonts w:ascii="Verdana Pro Cond Light" w:hAnsi="Verdana Pro Cond Light"/>
          <w:lang w:val="lv-LV"/>
        </w:rPr>
      </w:pPr>
      <w:r>
        <w:rPr>
          <w:rFonts w:ascii="Verdana Pro Cond Light" w:hAnsi="Verdana Pro Cond Light"/>
          <w:lang w:val="lv-LV"/>
        </w:rPr>
        <w:t>6.1</w:t>
      </w:r>
      <w:r w:rsidR="00124C43">
        <w:rPr>
          <w:rFonts w:ascii="Verdana Pro Cond Light" w:hAnsi="Verdana Pro Cond Light"/>
          <w:lang w:val="lv-LV"/>
        </w:rPr>
        <w:t>.</w:t>
      </w:r>
      <w:r>
        <w:rPr>
          <w:rFonts w:ascii="Verdana Pro Cond Light" w:hAnsi="Verdana Pro Cond Light"/>
          <w:lang w:val="lv-LV"/>
        </w:rPr>
        <w:t xml:space="preserve"> ielikums</w:t>
      </w:r>
    </w:p>
    <w:p w14:paraId="1868955F" w14:textId="593E29E7" w:rsidR="003A2F64" w:rsidRPr="00740ACA" w:rsidRDefault="003A2F64" w:rsidP="003A2F64">
      <w:pPr>
        <w:widowControl/>
        <w:spacing w:after="120" w:line="240" w:lineRule="auto"/>
        <w:jc w:val="center"/>
        <w:rPr>
          <w:rFonts w:ascii="Verdana Pro Cond Light" w:hAnsi="Verdana Pro Cond Light"/>
          <w:b/>
          <w:sz w:val="20"/>
          <w:lang w:val="lv-LV"/>
        </w:rPr>
      </w:pPr>
      <w:r w:rsidRPr="00740ACA">
        <w:rPr>
          <w:rFonts w:ascii="Verdana Pro Cond Light" w:hAnsi="Verdana Pro Cond Light"/>
          <w:b/>
          <w:sz w:val="20"/>
          <w:lang w:val="lv-LV"/>
        </w:rPr>
        <w:t>LU pētnieka Oļega Krasnopjorova atbildes uz Finanšu ministrijas (FM) e</w:t>
      </w:r>
      <w:r w:rsidR="009B03BD">
        <w:rPr>
          <w:rFonts w:ascii="Verdana Pro Cond Light" w:hAnsi="Verdana Pro Cond Light"/>
          <w:b/>
          <w:sz w:val="20"/>
          <w:lang w:val="lv-LV"/>
        </w:rPr>
        <w:t>kspertu rakstiskiem komentāriem</w:t>
      </w:r>
    </w:p>
    <w:tbl>
      <w:tblPr>
        <w:tblStyle w:val="TableGrid"/>
        <w:tblW w:w="966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4"/>
        <w:gridCol w:w="4835"/>
      </w:tblGrid>
      <w:tr w:rsidR="003A2F64" w:rsidRPr="00CB4E89" w14:paraId="40773CFA" w14:textId="77777777" w:rsidTr="003A2F64">
        <w:trPr>
          <w:cantSplit/>
          <w:trHeight w:val="20"/>
          <w:tblHeader/>
          <w:jc w:val="center"/>
        </w:trPr>
        <w:tc>
          <w:tcPr>
            <w:tcW w:w="4834" w:type="dxa"/>
            <w:shd w:val="clear" w:color="auto" w:fill="4472C4" w:themeFill="accent1"/>
          </w:tcPr>
          <w:p w14:paraId="7F370B4A" w14:textId="77777777" w:rsidR="003A2F64" w:rsidRPr="00CB4E89" w:rsidRDefault="003A2F64" w:rsidP="00914720">
            <w:pPr>
              <w:widowControl/>
              <w:spacing w:before="40" w:after="40" w:line="240" w:lineRule="auto"/>
              <w:jc w:val="center"/>
              <w:rPr>
                <w:rFonts w:asciiTheme="majorHAnsi" w:hAnsiTheme="majorHAnsi" w:cstheme="majorHAnsi"/>
                <w:b/>
                <w:bCs/>
                <w:color w:val="FFFFFF" w:themeColor="background1"/>
                <w:sz w:val="16"/>
                <w:szCs w:val="16"/>
                <w:lang w:val="lv-LV"/>
              </w:rPr>
            </w:pPr>
            <w:r>
              <w:rPr>
                <w:rFonts w:asciiTheme="majorHAnsi" w:hAnsiTheme="majorHAnsi" w:cstheme="majorHAnsi"/>
                <w:b/>
                <w:bCs/>
                <w:color w:val="FFFFFF" w:themeColor="background1"/>
                <w:sz w:val="16"/>
                <w:szCs w:val="16"/>
                <w:lang w:val="lv-LV"/>
              </w:rPr>
              <w:t>FM komentārs</w:t>
            </w:r>
          </w:p>
        </w:tc>
        <w:tc>
          <w:tcPr>
            <w:tcW w:w="4835" w:type="dxa"/>
            <w:shd w:val="clear" w:color="auto" w:fill="4472C4" w:themeFill="accent1"/>
          </w:tcPr>
          <w:p w14:paraId="7DB91568" w14:textId="77777777" w:rsidR="003A2F64" w:rsidRPr="00CB4E89" w:rsidRDefault="003A2F64" w:rsidP="00914720">
            <w:pPr>
              <w:widowControl/>
              <w:spacing w:before="40" w:after="40" w:line="240" w:lineRule="auto"/>
              <w:jc w:val="center"/>
              <w:rPr>
                <w:rFonts w:asciiTheme="majorHAnsi" w:hAnsiTheme="majorHAnsi" w:cstheme="majorHAnsi"/>
                <w:b/>
                <w:bCs/>
                <w:color w:val="FFFFFF" w:themeColor="background1"/>
                <w:sz w:val="16"/>
                <w:szCs w:val="16"/>
                <w:lang w:val="lv-LV"/>
              </w:rPr>
            </w:pPr>
            <w:r>
              <w:rPr>
                <w:rFonts w:asciiTheme="majorHAnsi" w:hAnsiTheme="majorHAnsi" w:cstheme="majorHAnsi"/>
                <w:b/>
                <w:bCs/>
                <w:color w:val="FFFFFF" w:themeColor="background1"/>
                <w:sz w:val="16"/>
                <w:szCs w:val="16"/>
                <w:lang w:val="lv-LV"/>
              </w:rPr>
              <w:t>Atbilde</w:t>
            </w:r>
          </w:p>
        </w:tc>
      </w:tr>
      <w:tr w:rsidR="003A2F64" w:rsidRPr="006B7AB1" w14:paraId="73F2761D" w14:textId="77777777" w:rsidTr="003A2F64">
        <w:trPr>
          <w:cantSplit/>
          <w:jc w:val="center"/>
        </w:trPr>
        <w:tc>
          <w:tcPr>
            <w:tcW w:w="4834" w:type="dxa"/>
            <w:shd w:val="clear" w:color="auto" w:fill="D9E2F3" w:themeFill="accent1" w:themeFillTint="33"/>
          </w:tcPr>
          <w:p w14:paraId="396B28F3" w14:textId="77777777" w:rsidR="003A2F64" w:rsidRPr="007A5C8E" w:rsidRDefault="003A2F64" w:rsidP="00914720">
            <w:pPr>
              <w:widowControl/>
              <w:spacing w:before="40" w:after="40" w:line="240" w:lineRule="auto"/>
              <w:rPr>
                <w:rFonts w:asciiTheme="majorHAnsi" w:hAnsiTheme="majorHAnsi" w:cstheme="majorHAnsi"/>
                <w:b/>
                <w:bCs/>
                <w:sz w:val="16"/>
                <w:szCs w:val="16"/>
                <w:lang w:val="lv-LV"/>
              </w:rPr>
            </w:pPr>
            <w:r w:rsidRPr="00740ACA">
              <w:rPr>
                <w:rFonts w:asciiTheme="majorHAnsi" w:hAnsiTheme="majorHAnsi" w:cstheme="majorHAnsi"/>
                <w:sz w:val="16"/>
                <w:szCs w:val="16"/>
              </w:rPr>
              <w:t>Lūgums izvērtēt iespēju iekļaut pielikumu ar tabulu, kurā iepretim katram NEKP pasākumam ir norādīta tā sociālekonomiskā ietekme (piemēram, X pasākuma ietekme uz IKP ir +0,1%, uz budžeta ieņēmumiem +0,05%, bet nodarbinātību + 0,2% utt.). Tas palīdzētu saprast, kāda ir konkrēto pasākumu sociālekonomiskā ietekme (nevis kopējā plāna sociālekonomiskā ietekme). Tas palīdzētu novērtēt to, kuru pasākumu īstenošana varētu būt prioritāra, ja finansējums visu pasākumu īstenošanai nepietiks.</w:t>
            </w:r>
          </w:p>
        </w:tc>
        <w:tc>
          <w:tcPr>
            <w:tcW w:w="4835" w:type="dxa"/>
            <w:shd w:val="clear" w:color="auto" w:fill="D9E2F3" w:themeFill="accent1" w:themeFillTint="33"/>
          </w:tcPr>
          <w:p w14:paraId="5F0EBBDB" w14:textId="77777777" w:rsidR="003A2F64" w:rsidRPr="00740ACA" w:rsidRDefault="003A2F64" w:rsidP="00914720">
            <w:pPr>
              <w:widowControl/>
              <w:spacing w:after="80" w:line="240" w:lineRule="auto"/>
              <w:rPr>
                <w:rFonts w:asciiTheme="majorHAnsi" w:hAnsiTheme="majorHAnsi" w:cstheme="majorHAnsi"/>
                <w:bCs/>
                <w:sz w:val="16"/>
                <w:szCs w:val="16"/>
                <w:lang w:val="lv-LV"/>
              </w:rPr>
            </w:pPr>
            <w:r w:rsidRPr="00740ACA">
              <w:rPr>
                <w:rFonts w:asciiTheme="majorHAnsi" w:hAnsiTheme="majorHAnsi" w:cstheme="majorHAnsi"/>
                <w:bCs/>
                <w:sz w:val="16"/>
                <w:szCs w:val="16"/>
                <w:lang w:val="lv-LV"/>
              </w:rPr>
              <w:t xml:space="preserve">Par katru pasākumu tas noteikti nav aktuāli, jo: </w:t>
            </w:r>
          </w:p>
          <w:p w14:paraId="5349A8A2" w14:textId="77777777" w:rsidR="003A2F64" w:rsidRPr="00740ACA" w:rsidRDefault="003A2F64" w:rsidP="00914720">
            <w:pPr>
              <w:widowControl/>
              <w:spacing w:after="80" w:line="240" w:lineRule="auto"/>
              <w:rPr>
                <w:rFonts w:asciiTheme="majorHAnsi" w:hAnsiTheme="majorHAnsi" w:cstheme="majorHAnsi"/>
                <w:bCs/>
                <w:sz w:val="16"/>
                <w:szCs w:val="16"/>
                <w:lang w:val="lv-LV"/>
              </w:rPr>
            </w:pPr>
            <w:r w:rsidRPr="00740ACA">
              <w:rPr>
                <w:rFonts w:asciiTheme="majorHAnsi" w:hAnsiTheme="majorHAnsi" w:cstheme="majorHAnsi"/>
                <w:bCs/>
                <w:sz w:val="16"/>
                <w:szCs w:val="16"/>
                <w:lang w:val="lv-LV"/>
              </w:rPr>
              <w:t xml:space="preserve">(1) Strādājot ar VLA modeli redzam, ka “jaunās naudas” ietekme uz IKP un citiem makroekonomikas rādītājiem diezgan maz atkarīga no nozares. VLA modelis arī neatšķir pasākumu nianses –  datorkods ietver ieguldījumu summu, nozari un veidu (investīcijas/patēriņš/atalgojums), bet ne kādas sīkas pasākumu nianses. Tāpēc – ja vēlamies  uzzināt atsevišķā pasākuma ekonomisko ietekmi, par to var spriest visai vienkārši - aprēķinot cik jaunās naudas ieplūdināts ekonomikā šī pasākuma ietvaros (% no visas NEKP jaunās naudas) – aptuveni tik liela arī būs šī pasākuma ietekme (% no kopējās NEKP ietekmes). </w:t>
            </w:r>
          </w:p>
          <w:p w14:paraId="4BD73427" w14:textId="77777777" w:rsidR="003A2F64" w:rsidRPr="00740ACA" w:rsidRDefault="003A2F64" w:rsidP="00914720">
            <w:pPr>
              <w:widowControl/>
              <w:spacing w:after="0" w:line="240" w:lineRule="auto"/>
              <w:rPr>
                <w:rFonts w:asciiTheme="majorHAnsi" w:hAnsiTheme="majorHAnsi" w:cstheme="majorHAnsi"/>
                <w:bCs/>
                <w:sz w:val="16"/>
                <w:szCs w:val="16"/>
                <w:lang w:val="lv-LV"/>
              </w:rPr>
            </w:pPr>
            <w:r w:rsidRPr="00740ACA">
              <w:rPr>
                <w:rFonts w:asciiTheme="majorHAnsi" w:hAnsiTheme="majorHAnsi" w:cstheme="majorHAnsi"/>
                <w:bCs/>
                <w:sz w:val="16"/>
                <w:szCs w:val="16"/>
                <w:lang w:val="lv-LV"/>
              </w:rPr>
              <w:t xml:space="preserve">(2) Modelēto NEKP pasākumu skaits tuvojas 100. Nav prātīgi izstrādāt 100 atsevišķus scenārijus katra pasākuma ietekmes novērtējumam. </w:t>
            </w:r>
          </w:p>
          <w:p w14:paraId="19F8AC30" w14:textId="77777777" w:rsidR="003A2F64" w:rsidRPr="007A5C8E" w:rsidRDefault="003A2F64" w:rsidP="00680043">
            <w:pPr>
              <w:widowControl/>
              <w:spacing w:after="40" w:line="240" w:lineRule="auto"/>
              <w:rPr>
                <w:rFonts w:asciiTheme="majorHAnsi" w:eastAsia="Times New Roman" w:hAnsiTheme="majorHAnsi" w:cstheme="majorHAnsi"/>
                <w:b/>
                <w:bCs/>
                <w:color w:val="000000"/>
                <w:sz w:val="16"/>
                <w:szCs w:val="16"/>
                <w:lang w:val="lv-LV" w:eastAsia="lv-LV"/>
              </w:rPr>
            </w:pPr>
            <w:r w:rsidRPr="00740ACA">
              <w:rPr>
                <w:rFonts w:asciiTheme="majorHAnsi" w:hAnsiTheme="majorHAnsi" w:cstheme="majorHAnsi"/>
                <w:bCs/>
                <w:sz w:val="16"/>
                <w:szCs w:val="16"/>
                <w:lang w:val="lv-LV"/>
              </w:rPr>
              <w:t>Taču ja tiešām ir interese par kāda liela (vairāki simti miljoni eiro) pasākuma ietekmi – mēs varam atsevišķi novērtēt šī pasākuma ietekmi, izstrādājot attiecīgo (atsevišķu, papildus) scenāriju.</w:t>
            </w:r>
          </w:p>
        </w:tc>
      </w:tr>
      <w:tr w:rsidR="003A2F64" w:rsidRPr="00D24F07" w14:paraId="73DD796C" w14:textId="77777777" w:rsidTr="003A2F64">
        <w:trPr>
          <w:cantSplit/>
          <w:jc w:val="center"/>
        </w:trPr>
        <w:tc>
          <w:tcPr>
            <w:tcW w:w="4834" w:type="dxa"/>
            <w:shd w:val="clear" w:color="auto" w:fill="B4C6E7" w:themeFill="accent1" w:themeFillTint="66"/>
          </w:tcPr>
          <w:p w14:paraId="37AA3E15" w14:textId="77777777" w:rsidR="003A2F64" w:rsidRPr="007A5C8E" w:rsidRDefault="003A2F64" w:rsidP="00914720">
            <w:pPr>
              <w:widowControl/>
              <w:spacing w:before="40" w:after="40" w:line="240" w:lineRule="auto"/>
              <w:rPr>
                <w:rFonts w:asciiTheme="majorHAnsi" w:hAnsiTheme="majorHAnsi" w:cstheme="majorHAnsi"/>
                <w:sz w:val="16"/>
                <w:szCs w:val="16"/>
                <w:lang w:val="lv-LV"/>
              </w:rPr>
            </w:pPr>
            <w:r w:rsidRPr="00740ACA">
              <w:rPr>
                <w:rFonts w:asciiTheme="majorHAnsi" w:hAnsiTheme="majorHAnsi" w:cstheme="majorHAnsi"/>
                <w:sz w:val="16"/>
                <w:szCs w:val="16"/>
              </w:rPr>
              <w:lastRenderedPageBreak/>
              <w:t>Sanāksmē tika jautāts, vai izvērtējumā ir iekļauts fakts, ka, ieviešot NEKP pasākumus enerģētikas un transporta sektoros, samazināsies nodokļu ieņēmumi, piemēram, no akcīzes nodokļiem, jo samazināsies fosilā kurināmā patēriņš, uz ko atbilde bija “nē”. Līdz ar to lūgums sociālekonomiskajā izvērtējumā ņemt vērā/izvērtēt nodokļu ieņēmumu samazinājumu (piemēram, akcīzes nodokļa), kas radīsies, pateicoties fosilā kurināmā patēriņa kritumam, NEKP īstenoto pasākumu dēļ.</w:t>
            </w:r>
          </w:p>
        </w:tc>
        <w:tc>
          <w:tcPr>
            <w:tcW w:w="4835" w:type="dxa"/>
            <w:shd w:val="clear" w:color="auto" w:fill="B4C6E7" w:themeFill="accent1" w:themeFillTint="66"/>
          </w:tcPr>
          <w:p w14:paraId="191C75BC" w14:textId="77777777" w:rsidR="003A2F64" w:rsidRPr="00740ACA" w:rsidRDefault="003A2F64" w:rsidP="00914720">
            <w:pPr>
              <w:widowControl/>
              <w:spacing w:before="40" w:after="40" w:line="240" w:lineRule="auto"/>
              <w:rPr>
                <w:rFonts w:asciiTheme="majorHAnsi" w:eastAsia="Times New Roman" w:hAnsiTheme="majorHAnsi" w:cstheme="majorHAnsi"/>
                <w:color w:val="000000"/>
                <w:sz w:val="16"/>
                <w:szCs w:val="16"/>
                <w:lang w:val="lv-LV" w:eastAsia="lv-LV"/>
              </w:rPr>
            </w:pPr>
            <w:r w:rsidRPr="00740ACA">
              <w:rPr>
                <w:rFonts w:asciiTheme="majorHAnsi" w:hAnsiTheme="majorHAnsi" w:cstheme="majorHAnsi"/>
                <w:bCs/>
                <w:sz w:val="16"/>
                <w:szCs w:val="16"/>
                <w:lang w:val="lv-LV"/>
              </w:rPr>
              <w:t>Tam ir nepieciešami pieņēmumi par cik tieši samazināsies fosilā kurināmā patēriņš noteikto NEKP pasākumu dēļ, un virkne citu tamlīdzīgu pieņēmumu. Tiklīdz šādi pieņēmumi būs mūsu rīcībā, esam gatavi iestrādāt tos VLA modeli, lai ņemtu vērā ietekmi uz nodokļu ieņēmumu samazinājumu. Taču šobrīd tam nav nepieciešamo ievaddatu.</w:t>
            </w:r>
          </w:p>
        </w:tc>
      </w:tr>
      <w:tr w:rsidR="003A2F64" w:rsidRPr="00D24F07" w14:paraId="5562C20C" w14:textId="77777777" w:rsidTr="003A2F64">
        <w:trPr>
          <w:cantSplit/>
          <w:jc w:val="center"/>
        </w:trPr>
        <w:tc>
          <w:tcPr>
            <w:tcW w:w="4834" w:type="dxa"/>
            <w:shd w:val="clear" w:color="auto" w:fill="D9E2F3" w:themeFill="accent1" w:themeFillTint="33"/>
          </w:tcPr>
          <w:p w14:paraId="1288130E" w14:textId="77777777" w:rsidR="003A2F64" w:rsidRPr="007A5C8E" w:rsidRDefault="003A2F64" w:rsidP="00914720">
            <w:pPr>
              <w:widowControl/>
              <w:spacing w:before="40" w:after="40" w:line="240" w:lineRule="auto"/>
              <w:rPr>
                <w:rFonts w:asciiTheme="majorHAnsi" w:hAnsiTheme="majorHAnsi" w:cstheme="majorHAnsi"/>
                <w:sz w:val="16"/>
                <w:szCs w:val="16"/>
                <w:lang w:val="lv-LV"/>
              </w:rPr>
            </w:pPr>
            <w:r w:rsidRPr="00740ACA">
              <w:rPr>
                <w:rFonts w:asciiTheme="majorHAnsi" w:hAnsiTheme="majorHAnsi" w:cstheme="majorHAnsi"/>
                <w:sz w:val="16"/>
                <w:szCs w:val="16"/>
                <w:lang w:val="lv-LV"/>
              </w:rPr>
              <w:t>Kā saprotams, pētījumā un modelī ir pieņēmums, ka viena sektora / nozares ietvaros investīciju ietekme ekonomiskajiem rādītājiem ir vienāda. Tad modelēšanas rezultāts (jeb ietekme ekonomiskajiem rādītājiem) gadījumos, kad, piemēram, tiek investēts 1 milj. euro 1) mēbeļu rūpniecībā un 2) papīra ražošanas rūpniecībā, būs vienāds. Vai ir iespējams katram plānotam pasākumam pievienot papildus koeficientus atkarībā no investīciju objekta teorētiskās pievienotās vērtības (zema, vai augsta)?</w:t>
            </w:r>
          </w:p>
        </w:tc>
        <w:tc>
          <w:tcPr>
            <w:tcW w:w="4835" w:type="dxa"/>
            <w:shd w:val="clear" w:color="auto" w:fill="D9E2F3" w:themeFill="accent1" w:themeFillTint="33"/>
          </w:tcPr>
          <w:p w14:paraId="094FCC71" w14:textId="77777777" w:rsidR="003A2F64" w:rsidRPr="00740ACA" w:rsidRDefault="003A2F64" w:rsidP="00914720">
            <w:pPr>
              <w:widowControl/>
              <w:spacing w:before="40" w:after="40" w:line="240" w:lineRule="auto"/>
              <w:rPr>
                <w:rFonts w:asciiTheme="majorHAnsi" w:eastAsia="Times New Roman" w:hAnsiTheme="majorHAnsi" w:cstheme="majorHAnsi"/>
                <w:color w:val="000000"/>
                <w:sz w:val="16"/>
                <w:szCs w:val="16"/>
                <w:lang w:val="lv-LV" w:eastAsia="lv-LV"/>
              </w:rPr>
            </w:pPr>
            <w:r w:rsidRPr="00740ACA">
              <w:rPr>
                <w:rFonts w:asciiTheme="majorHAnsi" w:hAnsiTheme="majorHAnsi" w:cstheme="majorHAnsi"/>
                <w:bCs/>
                <w:sz w:val="16"/>
                <w:szCs w:val="16"/>
                <w:lang w:val="lv-LV"/>
              </w:rPr>
              <w:t>Investīciju objekta teorētiskā pievienotā vērtība (jeb apakšnozares piederība zemas vai augstas tehnoloģijas nozarei) maz ko pasaka par šo investīciju gaidāmo ienesīgumu (ja viss būtu tik viennozīmīgi, tad visi investētu tikai informācijas tehnoloģijās). Taču ja par kādu pasākumu “A”  skaidri zināms, ka investīcijas tajā būs divreiz produktīvas nekā pasākumā “B” – šo efektu var iestrādāt VLA modelī kā pieņēmumu (jeb eksperta viedokli) par investīciju multiplikatoru – šajā gadījumā lūdzu sniegt ievaddatus par šādiem pieņēmumiem. Taču VLA modelis noteikti nav instruments, kas pateiks par cik 1 milj. eiro investīcijas pasākumā “A” būs produktīvākas nekā 1 milj. eiro investīcijas pasākumā “B”, jo, kā minēju iepriekš, VLA modelis neizķer noteiktā pasākuma nianses, un turklāt redzam, ka “jaunās naudas” ietekme uz makroekonomiskiem rādītājiem visai maz atšķiras pat lielu nozaru dalījumā.</w:t>
            </w:r>
          </w:p>
        </w:tc>
      </w:tr>
      <w:tr w:rsidR="003A2F64" w:rsidRPr="00D24F07" w14:paraId="1E3C25C5" w14:textId="77777777" w:rsidTr="003A2F64">
        <w:trPr>
          <w:cantSplit/>
          <w:jc w:val="center"/>
        </w:trPr>
        <w:tc>
          <w:tcPr>
            <w:tcW w:w="4834" w:type="dxa"/>
            <w:shd w:val="clear" w:color="auto" w:fill="B4C6E7" w:themeFill="accent1" w:themeFillTint="66"/>
          </w:tcPr>
          <w:p w14:paraId="48BB2CA3" w14:textId="77777777" w:rsidR="003A2F64" w:rsidRPr="007A5C8E" w:rsidRDefault="003A2F64" w:rsidP="00914720">
            <w:pPr>
              <w:widowControl/>
              <w:spacing w:before="40" w:after="40" w:line="240" w:lineRule="auto"/>
              <w:rPr>
                <w:rFonts w:asciiTheme="majorHAnsi" w:hAnsiTheme="majorHAnsi" w:cstheme="majorHAnsi"/>
                <w:sz w:val="16"/>
                <w:szCs w:val="16"/>
                <w:lang w:val="lv-LV"/>
              </w:rPr>
            </w:pPr>
            <w:r w:rsidRPr="00740ACA">
              <w:rPr>
                <w:rFonts w:asciiTheme="majorHAnsi" w:hAnsiTheme="majorHAnsi" w:cstheme="majorHAnsi"/>
                <w:sz w:val="16"/>
                <w:szCs w:val="16"/>
              </w:rPr>
              <w:t>“Zaļas” un “ne zaļas” investīcijas (pamatlīdzekļos) pagaidām var atšķirties pēc sākotnējām investīcijām un apsaimniekošanas izmaksām. Piemērām (ignorējot ietekmi uz klimatu un emisijām): elektriskais transports ir dārgāks nekā dīzeļa transports un arī izdevumi uz 100 km ir lielāki elektriskajam transportam. Citās jomās var pastāvēt pretēja situācija – vēja / saules paneļu elektrostacijas izdevumi var būt zemāki nekā TEC, taču elektroenerģijas pārdošanas cena vidēji arī var būt zemāka. Vai ir iespējams iekļaut aprēķinos citas korekcijas, piemēram, papildus koeficientus? Tāds komentārs attiecas vairāk uz pieņēmumu, ka nauda, kura tiek nodrošināta NEKP pasākumiem un nav “jauna” (ir “pārvietota” no citiem pasākumiem) ietekmēs ekonomiku tikpat kā bāzes scenārijā.</w:t>
            </w:r>
          </w:p>
        </w:tc>
        <w:tc>
          <w:tcPr>
            <w:tcW w:w="4835" w:type="dxa"/>
            <w:shd w:val="clear" w:color="auto" w:fill="B4C6E7" w:themeFill="accent1" w:themeFillTint="66"/>
          </w:tcPr>
          <w:p w14:paraId="4FAC40BB" w14:textId="77777777" w:rsidR="003A2F64" w:rsidRPr="00740ACA" w:rsidRDefault="003A2F64" w:rsidP="00914720">
            <w:pPr>
              <w:widowControl/>
              <w:spacing w:before="40" w:after="40" w:line="240" w:lineRule="auto"/>
              <w:rPr>
                <w:rFonts w:asciiTheme="majorHAnsi" w:eastAsia="Times New Roman" w:hAnsiTheme="majorHAnsi" w:cstheme="majorHAnsi"/>
                <w:color w:val="000000"/>
                <w:sz w:val="16"/>
                <w:szCs w:val="16"/>
                <w:lang w:val="lv-LV" w:eastAsia="lv-LV"/>
              </w:rPr>
            </w:pPr>
            <w:r w:rsidRPr="00740ACA">
              <w:rPr>
                <w:rFonts w:asciiTheme="majorHAnsi" w:hAnsiTheme="majorHAnsi" w:cstheme="majorHAnsi"/>
                <w:bCs/>
                <w:sz w:val="16"/>
                <w:szCs w:val="16"/>
                <w:lang w:val="lv-LV"/>
              </w:rPr>
              <w:t>Lai kaut ko tādu varētu iekļaut VLA modeļa aprēķinos, nepieciešami pieņēmumi par koeficientiem – ievaddatu veidā.</w:t>
            </w:r>
          </w:p>
        </w:tc>
      </w:tr>
      <w:tr w:rsidR="003A2F64" w:rsidRPr="00D24F07" w14:paraId="2959BB29" w14:textId="77777777" w:rsidTr="003A2F64">
        <w:trPr>
          <w:cantSplit/>
          <w:jc w:val="center"/>
        </w:trPr>
        <w:tc>
          <w:tcPr>
            <w:tcW w:w="4834" w:type="dxa"/>
            <w:shd w:val="clear" w:color="auto" w:fill="D9E2F3" w:themeFill="accent1" w:themeFillTint="33"/>
          </w:tcPr>
          <w:p w14:paraId="0481B642" w14:textId="4049A5FD" w:rsidR="003A2F64" w:rsidRPr="003F3C9B" w:rsidRDefault="003A2F64" w:rsidP="00914720">
            <w:pPr>
              <w:widowControl/>
              <w:spacing w:after="80" w:line="240" w:lineRule="auto"/>
              <w:rPr>
                <w:rFonts w:asciiTheme="majorHAnsi" w:hAnsiTheme="majorHAnsi" w:cstheme="majorHAnsi"/>
                <w:sz w:val="16"/>
                <w:szCs w:val="16"/>
              </w:rPr>
            </w:pPr>
            <w:r>
              <w:rPr>
                <w:rFonts w:asciiTheme="majorHAnsi" w:hAnsiTheme="majorHAnsi" w:cstheme="majorHAnsi"/>
                <w:sz w:val="16"/>
                <w:szCs w:val="16"/>
              </w:rPr>
              <w:t>Ziņojuma 58</w:t>
            </w:r>
            <w:r w:rsidRPr="003F3C9B">
              <w:rPr>
                <w:rFonts w:asciiTheme="majorHAnsi" w:hAnsiTheme="majorHAnsi" w:cstheme="majorHAnsi"/>
                <w:sz w:val="16"/>
                <w:szCs w:val="16"/>
              </w:rPr>
              <w:t xml:space="preserve">.lpp ir rakstīts, ka pēc saskaņošanas ar EM ekspertiem netika modelēta sekojošu NEKP pasākumu grupu ietekme: </w:t>
            </w:r>
          </w:p>
          <w:p w14:paraId="7F39C496" w14:textId="77777777" w:rsidR="003A2F64" w:rsidRPr="003F3C9B" w:rsidRDefault="003A2F64" w:rsidP="00914720">
            <w:pPr>
              <w:pStyle w:val="ListParagraph"/>
              <w:widowControl/>
              <w:numPr>
                <w:ilvl w:val="1"/>
                <w:numId w:val="9"/>
              </w:numPr>
              <w:tabs>
                <w:tab w:val="clear" w:pos="1440"/>
              </w:tabs>
              <w:spacing w:after="80" w:line="240" w:lineRule="auto"/>
              <w:ind w:left="460" w:hanging="284"/>
              <w:contextualSpacing w:val="0"/>
              <w:rPr>
                <w:rFonts w:asciiTheme="majorHAnsi" w:hAnsiTheme="majorHAnsi" w:cstheme="majorHAnsi"/>
                <w:sz w:val="16"/>
                <w:szCs w:val="16"/>
              </w:rPr>
            </w:pPr>
            <w:r w:rsidRPr="003F3C9B">
              <w:rPr>
                <w:rFonts w:asciiTheme="majorHAnsi" w:hAnsiTheme="majorHAnsi" w:cstheme="majorHAnsi"/>
                <w:sz w:val="16"/>
                <w:szCs w:val="16"/>
              </w:rPr>
              <w:t>Lauksaimniecības sektora pasākumi, jo sanāksmē (2024. gada 5. augustā) ZM pārstāvji skaidroja, ka 95 % no finansējuma ir ES fondu pārdale no citām programmām, tāpēc šo pasākumu (papildus) ekonomiskā ietekme nav būtiska.</w:t>
            </w:r>
          </w:p>
          <w:p w14:paraId="66379AB0" w14:textId="77777777" w:rsidR="003A2F64" w:rsidRPr="003F3C9B" w:rsidRDefault="003A2F64" w:rsidP="00914720">
            <w:pPr>
              <w:pStyle w:val="ListParagraph"/>
              <w:widowControl/>
              <w:numPr>
                <w:ilvl w:val="1"/>
                <w:numId w:val="9"/>
              </w:numPr>
              <w:tabs>
                <w:tab w:val="clear" w:pos="1440"/>
              </w:tabs>
              <w:spacing w:after="80" w:line="240" w:lineRule="auto"/>
              <w:ind w:left="458" w:hanging="283"/>
              <w:contextualSpacing w:val="0"/>
              <w:rPr>
                <w:rFonts w:asciiTheme="majorHAnsi" w:hAnsiTheme="majorHAnsi" w:cstheme="majorHAnsi"/>
                <w:sz w:val="16"/>
                <w:szCs w:val="16"/>
              </w:rPr>
            </w:pPr>
            <w:r w:rsidRPr="003F3C9B">
              <w:rPr>
                <w:rFonts w:asciiTheme="majorHAnsi" w:hAnsiTheme="majorHAnsi" w:cstheme="majorHAnsi"/>
                <w:sz w:val="16"/>
                <w:szCs w:val="16"/>
              </w:rPr>
              <w:t>Atkritumu un notekūdeņu apsaimniekošanas pasākumi, jo tie pārsvarā ir pašreizējā ES fondu perioda pasākumi.</w:t>
            </w:r>
          </w:p>
          <w:p w14:paraId="7E3636DD" w14:textId="77777777" w:rsidR="003A2F64" w:rsidRPr="003F3C9B" w:rsidRDefault="003A2F64" w:rsidP="00914720">
            <w:pPr>
              <w:pStyle w:val="ListParagraph"/>
              <w:widowControl/>
              <w:numPr>
                <w:ilvl w:val="1"/>
                <w:numId w:val="9"/>
              </w:numPr>
              <w:tabs>
                <w:tab w:val="clear" w:pos="1440"/>
              </w:tabs>
              <w:spacing w:after="80" w:line="240" w:lineRule="auto"/>
              <w:ind w:left="458" w:hanging="283"/>
              <w:contextualSpacing w:val="0"/>
              <w:rPr>
                <w:rFonts w:asciiTheme="majorHAnsi" w:hAnsiTheme="majorHAnsi" w:cstheme="majorHAnsi"/>
                <w:sz w:val="16"/>
                <w:szCs w:val="16"/>
              </w:rPr>
            </w:pPr>
            <w:r w:rsidRPr="003F3C9B">
              <w:rPr>
                <w:rFonts w:asciiTheme="majorHAnsi" w:hAnsiTheme="majorHAnsi" w:cstheme="majorHAnsi"/>
                <w:sz w:val="16"/>
                <w:szCs w:val="16"/>
              </w:rPr>
              <w:t>Pētniecības, inovācijas un konkurētspējas pasākumi, jo 99 % no finansējuma nāk no ES fondiem, kas aizstāj citas ES fondu programmas, tāpēc šo pasākumu (papildus) ekonomiskā ietekme nav būtiska.</w:t>
            </w:r>
          </w:p>
          <w:p w14:paraId="00E3AFD4" w14:textId="77777777" w:rsidR="003A2F64" w:rsidRPr="00740ACA" w:rsidRDefault="003A2F64" w:rsidP="00914720">
            <w:pPr>
              <w:widowControl/>
              <w:spacing w:before="40" w:after="40" w:line="240" w:lineRule="auto"/>
              <w:rPr>
                <w:rFonts w:asciiTheme="majorHAnsi" w:hAnsiTheme="majorHAnsi" w:cstheme="majorHAnsi"/>
                <w:sz w:val="16"/>
                <w:szCs w:val="16"/>
              </w:rPr>
            </w:pPr>
            <w:r w:rsidRPr="003F3C9B">
              <w:rPr>
                <w:rFonts w:asciiTheme="majorHAnsi" w:hAnsiTheme="majorHAnsi" w:cstheme="majorHAnsi"/>
                <w:sz w:val="16"/>
                <w:szCs w:val="16"/>
              </w:rPr>
              <w:t>Lūdzam paskaidrot tekstā vai zemsvītras piezīmē, par kādām citām programmām šajos punktos ir runa. Attiecīgi lūdzam paskaidrot, kā var pieņemt, ka ES fondu finansējumam nav ekonomiskā ietekme, jo iepriekšējā lappaspusē tiek norādīts pieņēmumu sadaļā “Pārsvarā tikai jaunai naudai ir ietekme uz ekonomikas kopējiem rādītājiem, savukārt finansējuma pārdale galvenokārt ietekmē tikai ekonomikas struktūru.”. ES fondu finansējums kā tāds ir jauns finansējums un nav vērtējams kā Latvijā esošo finanšu līdzekļu pārdale.</w:t>
            </w:r>
          </w:p>
        </w:tc>
        <w:tc>
          <w:tcPr>
            <w:tcW w:w="4835" w:type="dxa"/>
            <w:shd w:val="clear" w:color="auto" w:fill="D9E2F3" w:themeFill="accent1" w:themeFillTint="33"/>
          </w:tcPr>
          <w:p w14:paraId="39DD0F17" w14:textId="77777777" w:rsidR="003A2F64" w:rsidRDefault="003A2F64" w:rsidP="00914720">
            <w:pPr>
              <w:widowControl/>
              <w:spacing w:before="40" w:after="40" w:line="240" w:lineRule="auto"/>
              <w:rPr>
                <w:rFonts w:asciiTheme="majorHAnsi" w:hAnsiTheme="majorHAnsi" w:cstheme="majorHAnsi"/>
                <w:bCs/>
                <w:sz w:val="16"/>
                <w:szCs w:val="16"/>
                <w:lang w:val="lv-LV"/>
              </w:rPr>
            </w:pPr>
            <w:r w:rsidRPr="003F3C9B">
              <w:rPr>
                <w:rFonts w:asciiTheme="majorHAnsi" w:hAnsiTheme="majorHAnsi" w:cstheme="majorHAnsi"/>
                <w:bCs/>
                <w:sz w:val="16"/>
                <w:szCs w:val="16"/>
                <w:lang w:val="lv-LV"/>
              </w:rPr>
              <w:t>ES fondu esošais finansējums jau ņemts vērā Ekonomikas ministrijas makroekonomisko prognožu bāzes scenārijā. Attiecīgi, pārnesot šo naudu no vienas ES fondu programmas uz citu, būtiskas makroekonomiskās ietekmes nav. Hipotētiskais piemērs: ja sākumā bija paredzēts 100 milj. eiro ES fondu naudas iztērēt izglītībai, bet tad parādījās NEKP un tika nolemts šos 100 milj. eiro iztērēt NEKP “Pētniecības, inovācijas un konkurētspējas pasākumiem”, tad neto ietekme uz makroekonomiskiem rādītājiem no šādas finansējuma pārdales ir tuvu nullei.</w:t>
            </w:r>
          </w:p>
          <w:p w14:paraId="7098AC3C" w14:textId="77777777" w:rsidR="003A2F64" w:rsidRDefault="003A2F64" w:rsidP="00914720">
            <w:pPr>
              <w:widowControl/>
              <w:spacing w:before="40" w:after="40" w:line="240" w:lineRule="auto"/>
              <w:rPr>
                <w:rFonts w:asciiTheme="majorHAnsi" w:hAnsiTheme="majorHAnsi" w:cstheme="majorHAnsi"/>
                <w:bCs/>
                <w:sz w:val="16"/>
                <w:szCs w:val="16"/>
                <w:lang w:val="lv-LV"/>
              </w:rPr>
            </w:pPr>
            <w:r w:rsidRPr="003F3C9B">
              <w:rPr>
                <w:rFonts w:asciiTheme="majorHAnsi" w:hAnsiTheme="majorHAnsi" w:cstheme="majorHAnsi"/>
                <w:bCs/>
                <w:sz w:val="16"/>
                <w:szCs w:val="16"/>
                <w:lang w:val="lv-LV"/>
              </w:rPr>
              <w:t>Ja ir interese par ES fondu kopējo ietekmi uz Latvijas makroekonomiskiem rādītājiem, šīs vērtējums tika sniegts Latvijas Un</w:t>
            </w:r>
            <w:r>
              <w:rPr>
                <w:rFonts w:asciiTheme="majorHAnsi" w:hAnsiTheme="majorHAnsi" w:cstheme="majorHAnsi"/>
                <w:bCs/>
                <w:sz w:val="16"/>
                <w:szCs w:val="16"/>
                <w:lang w:val="lv-LV"/>
              </w:rPr>
              <w:t xml:space="preserve">iversitātes 2023. gada pētījumā </w:t>
            </w:r>
            <w:hyperlink r:id="rId56" w:history="1">
              <w:r w:rsidRPr="003F3C9B">
                <w:rPr>
                  <w:rStyle w:val="Hyperlink"/>
                  <w:rFonts w:asciiTheme="majorHAnsi" w:hAnsiTheme="majorHAnsi" w:cstheme="majorHAnsi"/>
                  <w:bCs/>
                  <w:sz w:val="16"/>
                  <w:szCs w:val="16"/>
                  <w:lang w:val="lv-LV"/>
                </w:rPr>
                <w:t>“Eiropas Savienības ieguldījumu ietekmes uz Latvijas tautsaimniecību kvantitatīva novērtēšanas modeļa izveide”</w:t>
              </w:r>
            </w:hyperlink>
            <w:r>
              <w:rPr>
                <w:rFonts w:asciiTheme="majorHAnsi" w:hAnsiTheme="majorHAnsi" w:cstheme="majorHAnsi"/>
                <w:bCs/>
                <w:sz w:val="16"/>
                <w:szCs w:val="16"/>
                <w:lang w:val="lv-LV"/>
              </w:rPr>
              <w:t xml:space="preserve">. </w:t>
            </w:r>
            <w:r w:rsidRPr="003F3C9B">
              <w:rPr>
                <w:rFonts w:asciiTheme="majorHAnsi" w:hAnsiTheme="majorHAnsi" w:cstheme="majorHAnsi"/>
                <w:bCs/>
                <w:sz w:val="16"/>
                <w:szCs w:val="16"/>
                <w:lang w:val="lv-LV"/>
              </w:rPr>
              <w:t>Taču šī projekta mērķis ir NEKP (papildus) ekonomiskās ietekmes novērtējums (nevis visu ES fondu ekonomiskās ietekmes novērtējums).</w:t>
            </w:r>
          </w:p>
          <w:p w14:paraId="2C147F05" w14:textId="77777777" w:rsidR="003A2F64" w:rsidRPr="00740ACA" w:rsidRDefault="003A2F64" w:rsidP="00914720">
            <w:pPr>
              <w:widowControl/>
              <w:spacing w:before="40" w:after="40" w:line="240" w:lineRule="auto"/>
              <w:rPr>
                <w:rFonts w:asciiTheme="majorHAnsi" w:hAnsiTheme="majorHAnsi" w:cstheme="majorHAnsi"/>
                <w:bCs/>
                <w:sz w:val="16"/>
                <w:szCs w:val="16"/>
                <w:lang w:val="lv-LV"/>
              </w:rPr>
            </w:pPr>
          </w:p>
        </w:tc>
      </w:tr>
    </w:tbl>
    <w:p w14:paraId="726DCD49" w14:textId="77777777" w:rsidR="003A2F64" w:rsidRDefault="003A2F64" w:rsidP="003A2F64">
      <w:pPr>
        <w:spacing w:after="120" w:line="240" w:lineRule="auto"/>
        <w:jc w:val="center"/>
        <w:rPr>
          <w:rFonts w:ascii="Verdana Pro Cond Light" w:hAnsi="Verdana Pro Cond Light"/>
          <w:b/>
          <w:sz w:val="20"/>
          <w:lang w:val="lv-LV"/>
        </w:rPr>
      </w:pPr>
    </w:p>
    <w:p w14:paraId="10AD3B46" w14:textId="77777777" w:rsidR="00812A72" w:rsidRDefault="00812A72" w:rsidP="00ED3083">
      <w:pPr>
        <w:widowControl/>
        <w:spacing w:after="120" w:line="240" w:lineRule="auto"/>
        <w:rPr>
          <w:rFonts w:ascii="Verdana Pro Cond Light" w:hAnsi="Verdana Pro Cond Light"/>
          <w:lang w:val="lv-LV"/>
        </w:rPr>
      </w:pPr>
    </w:p>
    <w:p w14:paraId="60C7AED1" w14:textId="0FD0D520" w:rsidR="00812A72" w:rsidRPr="00537DE7" w:rsidRDefault="00812A72" w:rsidP="00ED3083">
      <w:pPr>
        <w:pStyle w:val="Heading2"/>
        <w:spacing w:after="120"/>
        <w:rPr>
          <w:lang w:val="lv-LV"/>
        </w:rPr>
      </w:pPr>
      <w:bookmarkStart w:id="38" w:name="_Toc176185144"/>
      <w:bookmarkStart w:id="39" w:name="_Toc176778153"/>
      <w:bookmarkStart w:id="40" w:name="_Toc178327879"/>
      <w:bookmarkStart w:id="41" w:name="_Toc183697488"/>
      <w:r w:rsidRPr="00537DE7">
        <w:rPr>
          <w:lang w:val="lv-LV"/>
        </w:rPr>
        <w:t>P</w:t>
      </w:r>
      <w:r w:rsidR="00F40BF4">
        <w:rPr>
          <w:lang w:val="lv-LV"/>
        </w:rPr>
        <w:t>irmais scenā</w:t>
      </w:r>
      <w:r>
        <w:rPr>
          <w:lang w:val="lv-LV"/>
        </w:rPr>
        <w:t>rijs</w:t>
      </w:r>
      <w:r w:rsidRPr="00537DE7">
        <w:rPr>
          <w:lang w:val="lv-LV"/>
        </w:rPr>
        <w:t xml:space="preserve"> </w:t>
      </w:r>
      <w:r>
        <w:rPr>
          <w:lang w:val="lv-LV"/>
        </w:rPr>
        <w:t xml:space="preserve">– </w:t>
      </w:r>
      <w:r w:rsidRPr="00537DE7">
        <w:rPr>
          <w:lang w:val="lv-LV"/>
        </w:rPr>
        <w:t xml:space="preserve">ZIZIMM </w:t>
      </w:r>
      <w:r>
        <w:rPr>
          <w:lang w:val="lv-LV"/>
        </w:rPr>
        <w:t>sektora pasĀkumi</w:t>
      </w:r>
      <w:bookmarkStart w:id="42" w:name="_GoBack"/>
      <w:bookmarkEnd w:id="38"/>
      <w:bookmarkEnd w:id="39"/>
      <w:bookmarkEnd w:id="40"/>
      <w:bookmarkEnd w:id="41"/>
      <w:bookmarkEnd w:id="42"/>
    </w:p>
    <w:p w14:paraId="678A5F37" w14:textId="77777777" w:rsidR="00812A72" w:rsidRDefault="00812A72" w:rsidP="00ED3083">
      <w:pPr>
        <w:widowControl/>
        <w:spacing w:after="120" w:line="240" w:lineRule="auto"/>
        <w:rPr>
          <w:rFonts w:ascii="Verdana Pro Cond Light" w:hAnsi="Verdana Pro Cond Light"/>
          <w:lang w:val="lv-LV"/>
        </w:rPr>
      </w:pPr>
      <w:r w:rsidRPr="00411677">
        <w:rPr>
          <w:rFonts w:ascii="Verdana Pro Cond Light" w:hAnsi="Verdana Pro Cond Light"/>
          <w:lang w:val="lv-LV"/>
        </w:rPr>
        <w:t>Modelēto ZIZIMM sektora pasākumu īstenošanai nepieciešamais finansējums ir 2195,2 milj. eiro. VLA modelī šie ieguldījumi tika iekļauti kā eksogēns investīciju šoks attiecīgā nozarē un gadā. Atbilstoši ZM (2024. gada 29. jūlijā) sniegtai informācijai 59,6</w:t>
      </w:r>
      <w:r>
        <w:rPr>
          <w:rFonts w:ascii="Verdana Pro Cond Light" w:hAnsi="Verdana Pro Cond Light"/>
          <w:lang w:val="lv-LV"/>
        </w:rPr>
        <w:t> </w:t>
      </w:r>
      <w:r w:rsidRPr="00411677">
        <w:rPr>
          <w:rFonts w:ascii="Verdana Pro Cond Light" w:hAnsi="Verdana Pro Cond Light"/>
          <w:lang w:val="lv-LV"/>
        </w:rPr>
        <w:t>% no šo pasākumu kopējā finansējuma ir papildu investīcijas (jaunās ES fondu programmas, papildus nacionālais publiskais finansējums, ārvalstu uzņēmumu finansējums), bet 40,4</w:t>
      </w:r>
      <w:r>
        <w:rPr>
          <w:rFonts w:ascii="Verdana Pro Cond Light" w:hAnsi="Verdana Pro Cond Light"/>
          <w:lang w:val="lv-LV"/>
        </w:rPr>
        <w:t> </w:t>
      </w:r>
      <w:r w:rsidRPr="00411677">
        <w:rPr>
          <w:rFonts w:ascii="Verdana Pro Cond Light" w:hAnsi="Verdana Pro Cond Light"/>
          <w:lang w:val="lv-LV"/>
        </w:rPr>
        <w:t>% no finansējuma aizvieto citas investīcijas (aizstāj citas ES fondu programmas, aizstāj citus valsts budžeta izdevumus, Latvijas privāto uzņēmumu finansējums), tostarp:</w:t>
      </w:r>
    </w:p>
    <w:p w14:paraId="4273B246" w14:textId="6299D379" w:rsidR="00812A72" w:rsidRDefault="00812A72" w:rsidP="00ED3083">
      <w:pPr>
        <w:pStyle w:val="ListParagraph"/>
        <w:widowControl/>
        <w:numPr>
          <w:ilvl w:val="0"/>
          <w:numId w:val="19"/>
        </w:numPr>
        <w:spacing w:after="120" w:line="240" w:lineRule="auto"/>
        <w:ind w:left="568" w:hanging="284"/>
        <w:contextualSpacing w:val="0"/>
        <w:rPr>
          <w:rFonts w:ascii="Verdana Pro Cond Light" w:hAnsi="Verdana Pro Cond Light"/>
          <w:lang w:val="lv-LV"/>
        </w:rPr>
      </w:pPr>
      <w:r w:rsidRPr="00411677">
        <w:rPr>
          <w:rFonts w:ascii="Verdana Pro Cond Light" w:hAnsi="Verdana Pro Cond Light"/>
          <w:lang w:val="lv-LV"/>
        </w:rPr>
        <w:lastRenderedPageBreak/>
        <w:t xml:space="preserve">ZIZIMM pasākumi </w:t>
      </w:r>
      <w:r w:rsidR="006E6750">
        <w:rPr>
          <w:rFonts w:ascii="Verdana Pro Cond Light" w:hAnsi="Verdana Pro Cond Light"/>
          <w:lang w:val="lv-LV"/>
        </w:rPr>
        <w:t>3.1.6.</w:t>
      </w:r>
      <w:r w:rsidRPr="00411677">
        <w:rPr>
          <w:rFonts w:ascii="Verdana Pro Cond Light" w:hAnsi="Verdana Pro Cond Light"/>
          <w:lang w:val="lv-LV"/>
        </w:rPr>
        <w:t xml:space="preserve">11, </w:t>
      </w:r>
      <w:r w:rsidR="006E6750">
        <w:rPr>
          <w:rFonts w:ascii="Verdana Pro Cond Light" w:hAnsi="Verdana Pro Cond Light"/>
          <w:lang w:val="lv-LV"/>
        </w:rPr>
        <w:t>3.1.6.</w:t>
      </w:r>
      <w:r w:rsidR="006E6750" w:rsidRPr="00411677">
        <w:rPr>
          <w:rFonts w:ascii="Verdana Pro Cond Light" w:hAnsi="Verdana Pro Cond Light"/>
          <w:lang w:val="lv-LV"/>
        </w:rPr>
        <w:t>1</w:t>
      </w:r>
      <w:r w:rsidR="006E6750">
        <w:rPr>
          <w:rFonts w:ascii="Verdana Pro Cond Light" w:hAnsi="Verdana Pro Cond Light"/>
          <w:lang w:val="lv-LV"/>
        </w:rPr>
        <w:t>4</w:t>
      </w:r>
      <w:r w:rsidRPr="00411677">
        <w:rPr>
          <w:rFonts w:ascii="Verdana Pro Cond Light" w:hAnsi="Verdana Pro Cond Light"/>
          <w:lang w:val="lv-LV"/>
        </w:rPr>
        <w:t xml:space="preserve">, kā arī papildus pasākums attiecas uz kokrūpniecību; tie ietver trīs jaunu rūpnīcu būvniecību – tie attiecīgi ir koksnes ķīmiskās pārstrādes/koksnes šķiedras rūpnīca, skaidu plātņu rūpnīca un bioogles rūpnīca. Šiem pasākumiem kā finansējuma avots tika norādīts privātais finansējums; paredzēts, ka </w:t>
      </w:r>
      <w:r w:rsidR="006E6750">
        <w:rPr>
          <w:rFonts w:ascii="Verdana Pro Cond Light" w:hAnsi="Verdana Pro Cond Light"/>
          <w:lang w:val="lv-LV"/>
        </w:rPr>
        <w:t>3.1.6.</w:t>
      </w:r>
      <w:r w:rsidRPr="00411677">
        <w:rPr>
          <w:rFonts w:ascii="Verdana Pro Cond Light" w:hAnsi="Verdana Pro Cond Light"/>
          <w:lang w:val="lv-LV"/>
        </w:rPr>
        <w:t xml:space="preserve">11. pasākumu (koksnes ķīmiskās pārstrādes/koksnes šķiedras rūpnīcu) finansēs ārvalstu privātie uzņēmumi, savukārt </w:t>
      </w:r>
      <w:r w:rsidR="006E6750">
        <w:rPr>
          <w:rFonts w:ascii="Verdana Pro Cond Light" w:hAnsi="Verdana Pro Cond Light"/>
          <w:lang w:val="lv-LV"/>
        </w:rPr>
        <w:t>3.1.6.</w:t>
      </w:r>
      <w:r w:rsidRPr="00411677">
        <w:rPr>
          <w:rFonts w:ascii="Verdana Pro Cond Light" w:hAnsi="Verdana Pro Cond Light"/>
          <w:lang w:val="lv-LV"/>
        </w:rPr>
        <w:t>14. un papildus pasākumus (skaidu plātņu un bioogles rūpnīcas) – Latvijas privātie uzņēmumi. Modelēšanas vajadzībām tika pieņemts, ka ārvalstu uzņēmumu investīcijas ir papildu finansējums (kas ietekmē gan ekonomikas struktūru, gan kopējo ekonomikas apjomu), savukārt Latvijas privāto uzņēmumu finansējums aizvieto citas investīcijas (t.i., ietekmē galvenokārt ekonomikas struktūru).</w:t>
      </w:r>
    </w:p>
    <w:p w14:paraId="6B8AF37B" w14:textId="3A99D033" w:rsidR="00812A72" w:rsidRDefault="00812A72" w:rsidP="00ED3083">
      <w:pPr>
        <w:pStyle w:val="ListParagraph"/>
        <w:widowControl/>
        <w:numPr>
          <w:ilvl w:val="0"/>
          <w:numId w:val="19"/>
        </w:numPr>
        <w:spacing w:after="120" w:line="240" w:lineRule="auto"/>
        <w:ind w:left="568" w:hanging="284"/>
        <w:contextualSpacing w:val="0"/>
        <w:rPr>
          <w:rFonts w:ascii="Verdana Pro Cond Light" w:hAnsi="Verdana Pro Cond Light"/>
          <w:lang w:val="lv-LV"/>
        </w:rPr>
      </w:pPr>
      <w:r w:rsidRPr="00411677">
        <w:rPr>
          <w:rFonts w:ascii="Verdana Pro Cond Light" w:hAnsi="Verdana Pro Cond Light"/>
          <w:lang w:val="lv-LV"/>
        </w:rPr>
        <w:t xml:space="preserve">Pārējie </w:t>
      </w:r>
      <w:r w:rsidR="006E6750">
        <w:rPr>
          <w:rFonts w:ascii="Verdana Pro Cond Light" w:hAnsi="Verdana Pro Cond Light"/>
          <w:lang w:val="lv-LV"/>
        </w:rPr>
        <w:t xml:space="preserve">ZIZIMM pasākumi </w:t>
      </w:r>
      <w:r w:rsidRPr="00411677">
        <w:rPr>
          <w:rFonts w:ascii="Verdana Pro Cond Light" w:hAnsi="Verdana Pro Cond Light"/>
          <w:lang w:val="lv-LV"/>
        </w:rPr>
        <w:t xml:space="preserve">attiecas uz lauksaimniecību. To finansējuma avoti ir dažādi (6.1. tabula). Sanāksmē (2024. gada 5. augustā) ZM pārstāvji skaidroja, </w:t>
      </w:r>
      <w:r w:rsidR="006E6750">
        <w:rPr>
          <w:rFonts w:ascii="Verdana Pro Cond Light" w:hAnsi="Verdana Pro Cond Light"/>
          <w:lang w:val="lv-LV"/>
        </w:rPr>
        <w:t>ka 3.1.6.</w:t>
      </w:r>
      <w:r w:rsidRPr="00411677">
        <w:rPr>
          <w:rFonts w:ascii="Verdana Pro Cond Light" w:hAnsi="Verdana Pro Cond Light"/>
          <w:lang w:val="lv-LV"/>
        </w:rPr>
        <w:t xml:space="preserve">3. un </w:t>
      </w:r>
      <w:r w:rsidR="006E6750">
        <w:rPr>
          <w:rFonts w:ascii="Verdana Pro Cond Light" w:hAnsi="Verdana Pro Cond Light"/>
          <w:lang w:val="lv-LV"/>
        </w:rPr>
        <w:t>3.1.6.</w:t>
      </w:r>
      <w:r w:rsidRPr="00411677">
        <w:rPr>
          <w:rFonts w:ascii="Verdana Pro Cond Light" w:hAnsi="Verdana Pro Cond Light"/>
          <w:lang w:val="lv-LV"/>
        </w:rPr>
        <w:t>10.</w:t>
      </w:r>
      <w:r>
        <w:rPr>
          <w:rFonts w:ascii="Verdana Pro Cond Light" w:hAnsi="Verdana Pro Cond Light"/>
          <w:lang w:val="lv-LV"/>
        </w:rPr>
        <w:t> </w:t>
      </w:r>
      <w:r w:rsidRPr="00411677">
        <w:rPr>
          <w:rFonts w:ascii="Verdana Pro Cond Light" w:hAnsi="Verdana Pro Cond Light"/>
          <w:lang w:val="lv-LV"/>
        </w:rPr>
        <w:t>pasākum</w:t>
      </w:r>
      <w:r w:rsidR="006E6750">
        <w:rPr>
          <w:rFonts w:ascii="Verdana Pro Cond Light" w:hAnsi="Verdana Pro Cond Light"/>
          <w:lang w:val="lv-LV"/>
        </w:rPr>
        <w:t>u</w:t>
      </w:r>
      <w:r w:rsidRPr="00411677">
        <w:rPr>
          <w:rFonts w:ascii="Verdana Pro Cond Light" w:hAnsi="Verdana Pro Cond Light"/>
          <w:lang w:val="lv-LV"/>
        </w:rPr>
        <w:t xml:space="preserve"> ekonomiskā ietekme nav būtiska, tāpēc tā netika modelēta.</w:t>
      </w:r>
    </w:p>
    <w:p w14:paraId="4CAB9D89" w14:textId="77777777" w:rsidR="00812A72" w:rsidRDefault="00812A72" w:rsidP="00ED3083">
      <w:pPr>
        <w:widowControl/>
        <w:spacing w:after="120" w:line="240" w:lineRule="auto"/>
        <w:rPr>
          <w:rFonts w:ascii="Verdana Pro Cond Light" w:hAnsi="Verdana Pro Cond Light"/>
          <w:lang w:val="lv-LV"/>
        </w:rPr>
      </w:pPr>
    </w:p>
    <w:p w14:paraId="6EC76151" w14:textId="77777777" w:rsidR="00812A72" w:rsidRPr="00411677" w:rsidRDefault="00812A72" w:rsidP="00ED3083">
      <w:pPr>
        <w:widowControl/>
        <w:spacing w:after="120" w:line="240" w:lineRule="auto"/>
        <w:rPr>
          <w:rFonts w:ascii="Verdana Pro Cond Light" w:hAnsi="Verdana Pro Cond Light"/>
          <w:lang w:val="lv-LV"/>
        </w:rPr>
      </w:pPr>
      <w:r w:rsidRPr="00411677">
        <w:rPr>
          <w:rFonts w:ascii="Verdana Pro Cond Light" w:hAnsi="Verdana Pro Cond Light"/>
          <w:lang w:val="lv-LV"/>
        </w:rPr>
        <w:t>Tā kā ZIZIMM pasākumi ietver papildu investīcijas, kas palielina fiziskā kapitāla apjomu (un tādējādi arī ražošanas potenciālu) tautsaimniecībā, tiem ir pozitīva ietekme uz iekšzemes kopproduktu (IKP)</w:t>
      </w:r>
      <w:r>
        <w:rPr>
          <w:rFonts w:ascii="Verdana Pro Cond Light" w:hAnsi="Verdana Pro Cond Light"/>
          <w:lang w:val="lv-LV"/>
        </w:rPr>
        <w:t xml:space="preserve"> – </w:t>
      </w:r>
      <w:r w:rsidRPr="00411677">
        <w:rPr>
          <w:rFonts w:ascii="Verdana Pro Cond Light" w:hAnsi="Verdana Pro Cond Light"/>
          <w:lang w:val="lv-LV"/>
        </w:rPr>
        <w:t>ne tikai īstermiņā (t.i., investīciju veikšanas periodā</w:t>
      </w:r>
      <w:r>
        <w:rPr>
          <w:rFonts w:ascii="Verdana Pro Cond Light" w:hAnsi="Verdana Pro Cond Light"/>
          <w:lang w:val="lv-LV"/>
        </w:rPr>
        <w:t xml:space="preserve"> – </w:t>
      </w:r>
      <w:r w:rsidRPr="00411677">
        <w:rPr>
          <w:rFonts w:ascii="Verdana Pro Cond Light" w:hAnsi="Verdana Pro Cond Light"/>
          <w:lang w:val="lv-LV"/>
        </w:rPr>
        <w:t>līdz 2030. gadam), bet arī ilgtermiņā. Reālā IKP līmenis 2050. gadā ir par 1,6</w:t>
      </w:r>
      <w:r>
        <w:rPr>
          <w:rFonts w:ascii="Verdana Pro Cond Light" w:hAnsi="Verdana Pro Cond Light"/>
          <w:lang w:val="lv-LV"/>
        </w:rPr>
        <w:t> </w:t>
      </w:r>
      <w:r w:rsidRPr="00411677">
        <w:rPr>
          <w:rFonts w:ascii="Verdana Pro Cond Light" w:hAnsi="Verdana Pro Cond Light"/>
          <w:lang w:val="lv-LV"/>
        </w:rPr>
        <w:t>% lielāks nekā neīstenojot ZIZIMM pasākumus. No IKP komponentēm visvairāk palielinās investīcijas, pozitīva ietekme ir arī uz privāto patēriņu (</w:t>
      </w:r>
      <w:r>
        <w:rPr>
          <w:rFonts w:ascii="Verdana Pro Cond Light" w:hAnsi="Verdana Pro Cond Light"/>
          <w:lang w:val="lv-LV"/>
        </w:rPr>
        <w:t>6.2</w:t>
      </w:r>
      <w:r w:rsidRPr="00411677">
        <w:rPr>
          <w:rFonts w:ascii="Verdana Pro Cond Light" w:hAnsi="Verdana Pro Cond Light"/>
          <w:lang w:val="lv-LV"/>
        </w:rPr>
        <w:t>. attēls).</w:t>
      </w:r>
    </w:p>
    <w:p w14:paraId="71ED4461" w14:textId="61D94EC1" w:rsidR="00812A72" w:rsidRPr="00411677" w:rsidRDefault="00812A72" w:rsidP="00ED3083">
      <w:pPr>
        <w:widowControl/>
        <w:spacing w:after="120" w:line="240" w:lineRule="auto"/>
        <w:rPr>
          <w:rFonts w:ascii="Verdana Pro Cond Light" w:hAnsi="Verdana Pro Cond Light"/>
          <w:lang w:val="lv-LV"/>
        </w:rPr>
      </w:pPr>
      <w:r w:rsidRPr="00411677">
        <w:rPr>
          <w:rFonts w:ascii="Verdana Pro Cond Light" w:hAnsi="Verdana Pro Cond Light"/>
          <w:lang w:val="lv-LV"/>
        </w:rPr>
        <w:t>Īstermiņā investīciju pieaugums izspiež eksportu, tādējādi pasliktinot tirdzniecības bilanci par 0,</w:t>
      </w:r>
      <w:r w:rsidR="006E6750">
        <w:rPr>
          <w:rFonts w:ascii="Verdana Pro Cond Light" w:hAnsi="Verdana Pro Cond Light"/>
          <w:lang w:val="lv-LV"/>
        </w:rPr>
        <w:t>4</w:t>
      </w:r>
      <w:r>
        <w:rPr>
          <w:rFonts w:ascii="Verdana Pro Cond Light" w:hAnsi="Verdana Pro Cond Light"/>
          <w:lang w:val="lv-LV"/>
        </w:rPr>
        <w:t> </w:t>
      </w:r>
      <w:r w:rsidRPr="00411677">
        <w:rPr>
          <w:rFonts w:ascii="Verdana Pro Cond Light" w:hAnsi="Verdana Pro Cond Light"/>
          <w:lang w:val="lv-LV"/>
        </w:rPr>
        <w:t>procentu punktiem no IKP.</w:t>
      </w:r>
      <w:r>
        <w:rPr>
          <w:rFonts w:ascii="Verdana Pro Cond Light" w:hAnsi="Verdana Pro Cond Light"/>
          <w:lang w:val="lv-LV"/>
        </w:rPr>
        <w:t xml:space="preserve"> </w:t>
      </w:r>
      <w:r w:rsidRPr="00411677">
        <w:rPr>
          <w:rFonts w:ascii="Verdana Pro Cond Light" w:hAnsi="Verdana Pro Cond Light"/>
          <w:lang w:val="lv-LV"/>
        </w:rPr>
        <w:t>Ilgtermiņā</w:t>
      </w:r>
      <w:r>
        <w:rPr>
          <w:rFonts w:ascii="Verdana Pro Cond Light" w:hAnsi="Verdana Pro Cond Light"/>
          <w:lang w:val="lv-LV"/>
        </w:rPr>
        <w:t xml:space="preserve"> </w:t>
      </w:r>
      <w:r w:rsidRPr="00411677">
        <w:rPr>
          <w:rFonts w:ascii="Verdana Pro Cond Light" w:hAnsi="Verdana Pro Cond Light"/>
          <w:lang w:val="lv-LV"/>
        </w:rPr>
        <w:t>eksports tomēr pieaug nedaudz vairāk par importu, uzlabojot tirdzniecības bilanci par 0,4 procentu punktiem no IKP (6.</w:t>
      </w:r>
      <w:r>
        <w:rPr>
          <w:rFonts w:ascii="Verdana Pro Cond Light" w:hAnsi="Verdana Pro Cond Light"/>
          <w:lang w:val="lv-LV"/>
        </w:rPr>
        <w:t>3</w:t>
      </w:r>
      <w:r w:rsidRPr="00411677">
        <w:rPr>
          <w:rFonts w:ascii="Verdana Pro Cond Light" w:hAnsi="Verdana Pro Cond Light"/>
          <w:lang w:val="lv-LV"/>
        </w:rPr>
        <w:t>. attēls).</w:t>
      </w:r>
    </w:p>
    <w:p w14:paraId="36652311" w14:textId="77777777" w:rsidR="00812A72" w:rsidRPr="00411677" w:rsidRDefault="00812A72" w:rsidP="00ED3083">
      <w:pPr>
        <w:widowControl/>
        <w:spacing w:after="120" w:line="240" w:lineRule="auto"/>
        <w:rPr>
          <w:rFonts w:ascii="Verdana Pro Cond Light" w:hAnsi="Verdana Pro Cond Light"/>
          <w:lang w:val="lv-LV"/>
        </w:rPr>
      </w:pPr>
      <w:r w:rsidRPr="00411677">
        <w:rPr>
          <w:rFonts w:ascii="Verdana Pro Cond Light" w:hAnsi="Verdana Pro Cond Light"/>
          <w:lang w:val="lv-LV"/>
        </w:rPr>
        <w:t>ZIZIMM pasākumu īstenošanai ir pozitīva ietekme uz produktivitāti, palielinās arī nodarbinātība. Nodarbināto skaits 2050. gadā ir par 1,0</w:t>
      </w:r>
      <w:r>
        <w:rPr>
          <w:rFonts w:ascii="Verdana Pro Cond Light" w:hAnsi="Verdana Pro Cond Light"/>
          <w:lang w:val="lv-LV"/>
        </w:rPr>
        <w:t> </w:t>
      </w:r>
      <w:r w:rsidRPr="00411677">
        <w:rPr>
          <w:rFonts w:ascii="Verdana Pro Cond Light" w:hAnsi="Verdana Pro Cond Light"/>
          <w:lang w:val="lv-LV"/>
        </w:rPr>
        <w:t>% lielāks nekā bāzes scenārijā, kas samazina bezdarba līmeni par 0,6 procentu punktiem no ekonomiski aktīvajiem iedzīvotājiem (6.</w:t>
      </w:r>
      <w:r>
        <w:rPr>
          <w:rFonts w:ascii="Verdana Pro Cond Light" w:hAnsi="Verdana Pro Cond Light"/>
          <w:lang w:val="lv-LV"/>
        </w:rPr>
        <w:t>4</w:t>
      </w:r>
      <w:r w:rsidRPr="00411677">
        <w:rPr>
          <w:rFonts w:ascii="Verdana Pro Cond Light" w:hAnsi="Verdana Pro Cond Light"/>
          <w:lang w:val="lv-LV"/>
        </w:rPr>
        <w:t>. attēls).</w:t>
      </w:r>
    </w:p>
    <w:p w14:paraId="60FF1752" w14:textId="77777777" w:rsidR="00812A72" w:rsidRDefault="00812A72" w:rsidP="00ED3083">
      <w:pPr>
        <w:widowControl/>
        <w:spacing w:after="120" w:line="240" w:lineRule="auto"/>
        <w:rPr>
          <w:rFonts w:ascii="Verdana Pro Cond Light" w:hAnsi="Verdana Pro Cond Light"/>
          <w:lang w:val="lv-LV"/>
        </w:rPr>
      </w:pPr>
      <w:r w:rsidRPr="00411677">
        <w:rPr>
          <w:rFonts w:ascii="Verdana Pro Cond Light" w:hAnsi="Verdana Pro Cond Light"/>
          <w:lang w:val="lv-LV"/>
        </w:rPr>
        <w:t>Lielāks darbaspēka pieprasījums nosaka arī augstākas algas. Vidējā alga nominālā izteiksmē 2030. – 2034. gadā ir par 0,25</w:t>
      </w:r>
      <w:r>
        <w:rPr>
          <w:rFonts w:ascii="Verdana Pro Cond Light" w:hAnsi="Verdana Pro Cond Light"/>
          <w:lang w:val="lv-LV"/>
        </w:rPr>
        <w:t> </w:t>
      </w:r>
      <w:r w:rsidRPr="00411677">
        <w:rPr>
          <w:rFonts w:ascii="Verdana Pro Cond Light" w:hAnsi="Verdana Pro Cond Light"/>
          <w:lang w:val="lv-LV"/>
        </w:rPr>
        <w:t>% lielāka nekā bāzes scenārijā. ZIZIMM pasākumu īstenošana palielina patēriņa cenu līmeni īstermiņā (tautsaimniecības augšupejas ietekmē); bet samazina to ilgtermiņā, jo papildu investīcijas vairo tautsaimniecības kapacitāti jeb potenciālo IKP (6.</w:t>
      </w:r>
      <w:r>
        <w:rPr>
          <w:rFonts w:ascii="Verdana Pro Cond Light" w:hAnsi="Verdana Pro Cond Light"/>
          <w:lang w:val="lv-LV"/>
        </w:rPr>
        <w:t>5</w:t>
      </w:r>
      <w:r w:rsidRPr="00411677">
        <w:rPr>
          <w:rFonts w:ascii="Verdana Pro Cond Light" w:hAnsi="Verdana Pro Cond Light"/>
          <w:lang w:val="lv-LV"/>
        </w:rPr>
        <w:t>. attēls). Tādējādi ietekme uz reālo algu (t.i., vidējās algas pirktspēju) ilgtermiņā ir pozitīva.</w:t>
      </w:r>
    </w:p>
    <w:p w14:paraId="352E7DF4" w14:textId="77777777" w:rsidR="00812A72" w:rsidRDefault="00812A72" w:rsidP="00ED3083">
      <w:pPr>
        <w:widowControl/>
        <w:spacing w:after="120" w:line="240" w:lineRule="auto"/>
        <w:rPr>
          <w:rFonts w:ascii="Verdana Pro Cond Light" w:hAnsi="Verdana Pro Cond Light"/>
          <w:lang w:val="lv-LV"/>
        </w:rPr>
      </w:pPr>
      <w:r w:rsidRPr="00411677">
        <w:rPr>
          <w:rFonts w:ascii="Verdana Pro Cond Light" w:hAnsi="Verdana Pro Cond Light"/>
          <w:lang w:val="lv-LV"/>
        </w:rPr>
        <w:t>Augstāks IKP un īstermiņā arī lielāks cenu līmenis nosaka pozitīvu ZIZIMM pasākumu ietekmi uz valsts budžeta ieņēmumiem, t.sk. uz nodokļu ieņēmumiem. Tādējādi valsts budžeta ieņēmumi 2050. gadā ir par 1,0</w:t>
      </w:r>
      <w:r>
        <w:rPr>
          <w:rFonts w:ascii="Verdana Pro Cond Light" w:hAnsi="Verdana Pro Cond Light"/>
          <w:lang w:val="lv-LV"/>
        </w:rPr>
        <w:t> </w:t>
      </w:r>
      <w:r w:rsidRPr="00411677">
        <w:rPr>
          <w:rFonts w:ascii="Verdana Pro Cond Light" w:hAnsi="Verdana Pro Cond Light"/>
          <w:lang w:val="lv-LV"/>
        </w:rPr>
        <w:t>% lielāki nekā bāzes scenārijā (6.</w:t>
      </w:r>
      <w:r>
        <w:rPr>
          <w:rFonts w:ascii="Verdana Pro Cond Light" w:hAnsi="Verdana Pro Cond Light"/>
          <w:lang w:val="lv-LV"/>
        </w:rPr>
        <w:t>6</w:t>
      </w:r>
      <w:r w:rsidRPr="00411677">
        <w:rPr>
          <w:rFonts w:ascii="Verdana Pro Cond Light" w:hAnsi="Verdana Pro Cond Light"/>
          <w:lang w:val="lv-LV"/>
        </w:rPr>
        <w:t>. attēls).</w:t>
      </w:r>
    </w:p>
    <w:p w14:paraId="53A2D953" w14:textId="1A4305FD" w:rsidR="003A2F64" w:rsidRDefault="00812A72" w:rsidP="00ED3083">
      <w:pPr>
        <w:widowControl/>
        <w:spacing w:after="120" w:line="240" w:lineRule="auto"/>
        <w:rPr>
          <w:rFonts w:ascii="Verdana Pro Cond Light" w:hAnsi="Verdana Pro Cond Light"/>
          <w:lang w:val="lv-LV"/>
        </w:rPr>
      </w:pPr>
      <w:r w:rsidRPr="00411677">
        <w:rPr>
          <w:rFonts w:ascii="Verdana Pro Cond Light" w:hAnsi="Verdana Pro Cond Light"/>
          <w:lang w:val="lv-LV"/>
        </w:rPr>
        <w:t xml:space="preserve">Nozaru dalījumā vislielākā pozitīva ietekme īstermiņā ir uz pievienoto vērtību būvniecībā un nemetālisko minerālu ražošanu (to produkcija ir būvniecības izejmateriāli). Tas atspoguļo faktu, ka vislielākie ZIZIMM pasākumu ieguldījumi atspoguļo trīs jaunu lielu rūpnīcu būvniecību. Ilgtermiņā pozitīva ietekme ir uz gandrīz visu nozaru pievienoto vērtību, visvairāk </w:t>
      </w:r>
      <w:r>
        <w:rPr>
          <w:rFonts w:ascii="Verdana Pro Cond Light" w:hAnsi="Verdana Pro Cond Light"/>
          <w:lang w:val="lv-LV"/>
        </w:rPr>
        <w:t xml:space="preserve">– </w:t>
      </w:r>
      <w:r w:rsidRPr="00411677">
        <w:rPr>
          <w:rFonts w:ascii="Verdana Pro Cond Light" w:hAnsi="Verdana Pro Cond Light"/>
          <w:lang w:val="lv-LV"/>
        </w:rPr>
        <w:t xml:space="preserve">uz kokrūpniecību (trīs jaunās rūpnīcas attiecas tieši uz kokapstrādi), kā arī uz lauksaimniecību (uz šo nozari attiecas visi pārējie ZIZIMM pasākumi; </w:t>
      </w:r>
      <w:r>
        <w:rPr>
          <w:rFonts w:ascii="Verdana Pro Cond Light" w:hAnsi="Verdana Pro Cond Light"/>
          <w:lang w:val="lv-LV"/>
        </w:rPr>
        <w:t>6</w:t>
      </w:r>
      <w:r w:rsidRPr="00411677">
        <w:rPr>
          <w:rFonts w:ascii="Verdana Pro Cond Light" w:hAnsi="Verdana Pro Cond Light"/>
          <w:lang w:val="lv-LV"/>
        </w:rPr>
        <w:t>.</w:t>
      </w:r>
      <w:r>
        <w:rPr>
          <w:rFonts w:ascii="Verdana Pro Cond Light" w:hAnsi="Verdana Pro Cond Light"/>
          <w:lang w:val="lv-LV"/>
        </w:rPr>
        <w:t>7</w:t>
      </w:r>
      <w:r w:rsidRPr="00411677">
        <w:rPr>
          <w:rFonts w:ascii="Verdana Pro Cond Light" w:hAnsi="Verdana Pro Cond Light"/>
          <w:lang w:val="lv-LV"/>
        </w:rPr>
        <w:t>.</w:t>
      </w:r>
      <w:r>
        <w:rPr>
          <w:rFonts w:ascii="Verdana Pro Cond Light" w:hAnsi="Verdana Pro Cond Light"/>
          <w:lang w:val="lv-LV"/>
        </w:rPr>
        <w:t> </w:t>
      </w:r>
      <w:r w:rsidRPr="00411677">
        <w:rPr>
          <w:rFonts w:ascii="Verdana Pro Cond Light" w:hAnsi="Verdana Pro Cond Light"/>
          <w:lang w:val="lv-LV"/>
        </w:rPr>
        <w:t>attēls).</w:t>
      </w:r>
    </w:p>
    <w:p w14:paraId="18498504" w14:textId="77777777" w:rsidR="003A2F64" w:rsidRDefault="003A2F64">
      <w:pPr>
        <w:widowControl/>
        <w:spacing w:after="160" w:line="259" w:lineRule="auto"/>
        <w:rPr>
          <w:rFonts w:ascii="Verdana Pro Cond Light" w:hAnsi="Verdana Pro Cond Light"/>
          <w:lang w:val="lv-LV"/>
        </w:rPr>
      </w:pPr>
      <w:r>
        <w:rPr>
          <w:rFonts w:ascii="Verdana Pro Cond Light" w:hAnsi="Verdana Pro Cond Light"/>
          <w:lang w:val="lv-LV"/>
        </w:rPr>
        <w:br w:type="page"/>
      </w:r>
    </w:p>
    <w:p w14:paraId="29781D45" w14:textId="77777777" w:rsidR="00812A72" w:rsidRPr="00411677" w:rsidRDefault="00812A72" w:rsidP="00812A72">
      <w:pPr>
        <w:widowControl/>
        <w:spacing w:after="120" w:line="240" w:lineRule="auto"/>
        <w:jc w:val="right"/>
        <w:rPr>
          <w:rFonts w:ascii="Verdana Pro Cond Light" w:eastAsia="Times New Roman" w:hAnsi="Verdana Pro Cond Light" w:cstheme="minorHAnsi"/>
          <w:bCs/>
          <w:lang w:val="lv-LV" w:eastAsia="lv-LV"/>
        </w:rPr>
      </w:pPr>
      <w:r w:rsidRPr="00411677">
        <w:rPr>
          <w:rFonts w:ascii="Verdana Pro Cond Light" w:eastAsia="Times New Roman" w:hAnsi="Verdana Pro Cond Light" w:cstheme="minorHAnsi"/>
          <w:bCs/>
          <w:lang w:val="lv-LV" w:eastAsia="lv-LV"/>
        </w:rPr>
        <w:lastRenderedPageBreak/>
        <w:t>6.</w:t>
      </w:r>
      <w:r>
        <w:rPr>
          <w:rFonts w:ascii="Verdana Pro Cond Light" w:eastAsia="Times New Roman" w:hAnsi="Verdana Pro Cond Light" w:cstheme="minorHAnsi"/>
          <w:bCs/>
          <w:lang w:val="lv-LV" w:eastAsia="lv-LV"/>
        </w:rPr>
        <w:t>2</w:t>
      </w:r>
      <w:r w:rsidRPr="00411677">
        <w:rPr>
          <w:rFonts w:ascii="Verdana Pro Cond Light" w:eastAsia="Times New Roman" w:hAnsi="Verdana Pro Cond Light" w:cstheme="minorHAnsi"/>
          <w:bCs/>
          <w:lang w:val="lv-LV" w:eastAsia="lv-LV"/>
        </w:rPr>
        <w:t>. attēls</w:t>
      </w:r>
    </w:p>
    <w:p w14:paraId="0007AAED" w14:textId="77777777" w:rsidR="00812A72" w:rsidRDefault="00812A72" w:rsidP="00812A72">
      <w:pPr>
        <w:widowControl/>
        <w:spacing w:after="120" w:line="240" w:lineRule="auto"/>
        <w:jc w:val="center"/>
        <w:rPr>
          <w:rFonts w:ascii="Verdana Pro Cond Light" w:eastAsia="Times New Roman" w:hAnsi="Verdana Pro Cond Light"/>
          <w:sz w:val="18"/>
          <w:szCs w:val="18"/>
          <w:lang w:val="lv-LV" w:eastAsia="lv-LV"/>
        </w:rPr>
      </w:pPr>
      <w:r w:rsidRPr="00411677">
        <w:rPr>
          <w:rFonts w:ascii="Verdana Pro Cond Light" w:eastAsia="Times New Roman" w:hAnsi="Verdana Pro Cond Light"/>
          <w:b/>
          <w:bCs/>
          <w:lang w:val="lv-LV" w:eastAsia="lv-LV"/>
        </w:rPr>
        <w:t>ZIZIMM pasākumu ietekme uz Latvijas iekšzemes kopprodukta līmeni un tā iekšzemes komponentēm</w:t>
      </w:r>
      <w:r>
        <w:rPr>
          <w:rFonts w:ascii="Verdana Pro Cond Light" w:eastAsia="Times New Roman" w:hAnsi="Verdana Pro Cond Light"/>
          <w:b/>
          <w:bCs/>
          <w:lang w:val="lv-LV" w:eastAsia="lv-LV"/>
        </w:rPr>
        <w:br/>
      </w:r>
      <w:r w:rsidRPr="00411677">
        <w:rPr>
          <w:rFonts w:ascii="Verdana Pro Cond Light" w:eastAsia="Times New Roman" w:hAnsi="Verdana Pro Cond Light"/>
          <w:sz w:val="18"/>
          <w:szCs w:val="18"/>
          <w:lang w:val="lv-LV" w:eastAsia="lv-LV"/>
        </w:rPr>
        <w:t>%; salīdzinot ar bāzes scenāriju; 2015. gada cenās; 2025. – 2050. gadā</w:t>
      </w:r>
    </w:p>
    <w:p w14:paraId="4134E4D2" w14:textId="77777777" w:rsidR="00812A72" w:rsidRPr="00411677" w:rsidRDefault="00812A72" w:rsidP="00812A72">
      <w:pPr>
        <w:widowControl/>
        <w:spacing w:after="120" w:line="240" w:lineRule="auto"/>
        <w:jc w:val="center"/>
        <w:rPr>
          <w:rFonts w:ascii="Verdana Pro Cond Light" w:eastAsia="Times New Roman" w:hAnsi="Verdana Pro Cond Light"/>
          <w:sz w:val="18"/>
          <w:szCs w:val="18"/>
          <w:lang w:val="lv-LV" w:eastAsia="lv-LV"/>
        </w:rPr>
      </w:pPr>
    </w:p>
    <w:p w14:paraId="253B11E7" w14:textId="77777777" w:rsidR="00812A72" w:rsidRPr="00537DE7" w:rsidRDefault="00812A72" w:rsidP="00812A72">
      <w:pPr>
        <w:widowControl/>
        <w:tabs>
          <w:tab w:val="center" w:pos="2410"/>
          <w:tab w:val="center" w:pos="7230"/>
        </w:tabs>
        <w:spacing w:after="120" w:line="240" w:lineRule="auto"/>
        <w:rPr>
          <w:rFonts w:ascii="Verdana Pro Cond Light" w:eastAsia="Times New Roman" w:hAnsi="Verdana Pro Cond Light" w:cstheme="minorHAnsi"/>
          <w:b/>
          <w:bCs/>
          <w:sz w:val="18"/>
          <w:szCs w:val="18"/>
          <w:lang w:val="lv-LV" w:eastAsia="lv-LV"/>
        </w:rPr>
      </w:pPr>
      <w:r w:rsidRPr="00537DE7">
        <w:rPr>
          <w:rFonts w:ascii="Verdana Pro Cond Light" w:eastAsia="Times New Roman" w:hAnsi="Verdana Pro Cond Light" w:cstheme="minorHAnsi"/>
          <w:b/>
          <w:bCs/>
          <w:sz w:val="18"/>
          <w:szCs w:val="18"/>
          <w:lang w:val="lv-LV" w:eastAsia="lv-LV"/>
        </w:rPr>
        <w:tab/>
        <w:t>Ietekme uz iekšzemes kopprodukta līmeni</w:t>
      </w:r>
      <w:r w:rsidRPr="00537DE7">
        <w:rPr>
          <w:rFonts w:ascii="Verdana Pro Cond Light" w:eastAsia="Times New Roman" w:hAnsi="Verdana Pro Cond Light" w:cstheme="minorHAnsi"/>
          <w:b/>
          <w:bCs/>
          <w:sz w:val="18"/>
          <w:szCs w:val="18"/>
          <w:lang w:val="lv-LV" w:eastAsia="lv-LV"/>
        </w:rPr>
        <w:tab/>
        <w:t>Ietekme uz investīcijām un patēriņu</w:t>
      </w:r>
    </w:p>
    <w:p w14:paraId="662A8237" w14:textId="77777777" w:rsidR="00812A72" w:rsidRPr="00411677" w:rsidRDefault="00812A72" w:rsidP="00812A72">
      <w:pPr>
        <w:widowControl/>
        <w:tabs>
          <w:tab w:val="center" w:pos="2410"/>
          <w:tab w:val="center" w:pos="7230"/>
        </w:tabs>
        <w:spacing w:after="120" w:line="240" w:lineRule="auto"/>
        <w:ind w:right="-143"/>
        <w:rPr>
          <w:rFonts w:ascii="Verdana Pro Cond Light" w:hAnsi="Verdana Pro Cond Light"/>
          <w:b/>
          <w:bCs/>
          <w:sz w:val="18"/>
          <w:szCs w:val="18"/>
          <w:lang w:val="lv-LV"/>
        </w:rPr>
      </w:pPr>
      <w:r w:rsidRPr="00D804CB">
        <w:rPr>
          <w:rFonts w:ascii="Minion Pro" w:hAnsi="Minion Pro" w:cstheme="minorHAnsi"/>
          <w:noProof/>
          <w:sz w:val="24"/>
          <w:szCs w:val="24"/>
        </w:rPr>
        <w:drawing>
          <wp:inline distT="0" distB="0" distL="0" distR="0" wp14:anchorId="18166FA3" wp14:editId="0EA7EC03">
            <wp:extent cx="3060000" cy="2160000"/>
            <wp:effectExtent l="0" t="0" r="0" b="0"/>
            <wp:docPr id="599025499" name="Chart 599025499">
              <a:extLst xmlns:a="http://schemas.openxmlformats.org/drawingml/2006/main">
                <a:ext uri="{FF2B5EF4-FFF2-40B4-BE49-F238E27FC236}">
                  <a16:creationId xmlns:a16="http://schemas.microsoft.com/office/drawing/2014/main" id="{C0B412E0-20D9-9C02-797F-E1BB76C514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r w:rsidRPr="00D804CB">
        <w:rPr>
          <w:rFonts w:ascii="Minion Pro" w:hAnsi="Minion Pro" w:cstheme="minorHAnsi"/>
          <w:noProof/>
          <w:sz w:val="24"/>
          <w:szCs w:val="24"/>
        </w:rPr>
        <w:drawing>
          <wp:inline distT="0" distB="0" distL="0" distR="0" wp14:anchorId="456439EE" wp14:editId="25D33973">
            <wp:extent cx="3060000" cy="2160000"/>
            <wp:effectExtent l="0" t="0" r="0" b="0"/>
            <wp:docPr id="1196024552" name="Chart 1196024552">
              <a:extLst xmlns:a="http://schemas.openxmlformats.org/drawingml/2006/main">
                <a:ext uri="{FF2B5EF4-FFF2-40B4-BE49-F238E27FC236}">
                  <a16:creationId xmlns:a16="http://schemas.microsoft.com/office/drawing/2014/main" id="{DA49B370-F5C9-6939-A1AB-36EBEF097AC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07D253C5" w14:textId="77777777" w:rsidR="00812A72" w:rsidRPr="00097491" w:rsidRDefault="00812A72" w:rsidP="00812A72">
      <w:pPr>
        <w:widowControl/>
        <w:spacing w:before="120" w:after="120" w:line="240" w:lineRule="auto"/>
        <w:jc w:val="both"/>
        <w:rPr>
          <w:rFonts w:ascii="Arial Nova Cond Light" w:eastAsia="Times New Roman" w:hAnsi="Arial Nova Cond Light"/>
          <w:sz w:val="16"/>
          <w:szCs w:val="24"/>
          <w:lang w:val="lv-LV" w:eastAsia="lv-LV"/>
        </w:rPr>
      </w:pPr>
      <w:r w:rsidRPr="00097491">
        <w:rPr>
          <w:rFonts w:ascii="Arial Nova Cond Light" w:eastAsia="Times New Roman" w:hAnsi="Arial Nova Cond Light"/>
          <w:sz w:val="16"/>
          <w:szCs w:val="24"/>
          <w:lang w:val="lv-LV" w:eastAsia="lv-LV"/>
        </w:rPr>
        <w:t>Avots: autoru aprēķins, izmantojot VLA modeli.</w:t>
      </w:r>
    </w:p>
    <w:p w14:paraId="2AE4739A" w14:textId="4D593C6C" w:rsidR="00812A72" w:rsidRPr="00097491" w:rsidRDefault="00812A72" w:rsidP="00812A72">
      <w:pPr>
        <w:widowControl/>
        <w:spacing w:after="160" w:line="259" w:lineRule="auto"/>
        <w:rPr>
          <w:rFonts w:ascii="Verdana Pro Cond Light" w:eastAsia="Times New Roman" w:hAnsi="Verdana Pro Cond Light" w:cstheme="minorHAnsi"/>
          <w:bCs/>
          <w:lang w:val="lv-LV" w:eastAsia="lv-LV"/>
        </w:rPr>
      </w:pPr>
    </w:p>
    <w:p w14:paraId="193395EB" w14:textId="77777777" w:rsidR="00812A72" w:rsidRPr="00097491" w:rsidRDefault="00812A72" w:rsidP="00812A72">
      <w:pPr>
        <w:widowControl/>
        <w:spacing w:before="120" w:after="120" w:line="240" w:lineRule="auto"/>
        <w:jc w:val="right"/>
        <w:rPr>
          <w:rFonts w:ascii="Verdana Pro Cond Light" w:eastAsia="Times New Roman" w:hAnsi="Verdana Pro Cond Light" w:cstheme="minorHAnsi"/>
          <w:bCs/>
          <w:lang w:val="lv-LV" w:eastAsia="lv-LV"/>
        </w:rPr>
      </w:pPr>
      <w:r w:rsidRPr="00097491">
        <w:rPr>
          <w:rFonts w:ascii="Verdana Pro Cond Light" w:eastAsia="Times New Roman" w:hAnsi="Verdana Pro Cond Light" w:cstheme="minorHAnsi"/>
          <w:bCs/>
          <w:lang w:val="lv-LV" w:eastAsia="lv-LV"/>
        </w:rPr>
        <w:t>6.3. attēls</w:t>
      </w:r>
    </w:p>
    <w:p w14:paraId="6B0B09F9" w14:textId="77777777" w:rsidR="00812A72" w:rsidRPr="00097491" w:rsidRDefault="00812A72" w:rsidP="00812A72">
      <w:pPr>
        <w:widowControl/>
        <w:spacing w:after="0" w:line="240" w:lineRule="auto"/>
        <w:jc w:val="center"/>
        <w:rPr>
          <w:rFonts w:ascii="Verdana Pro Cond Light" w:eastAsia="Times New Roman" w:hAnsi="Verdana Pro Cond Light"/>
          <w:b/>
          <w:bCs/>
          <w:lang w:val="lv-LV" w:eastAsia="lv-LV"/>
        </w:rPr>
      </w:pPr>
      <w:r w:rsidRPr="00097491">
        <w:rPr>
          <w:rFonts w:ascii="Verdana Pro Cond Light" w:eastAsia="Times New Roman" w:hAnsi="Verdana Pro Cond Light"/>
          <w:b/>
          <w:bCs/>
          <w:lang w:val="lv-LV" w:eastAsia="lv-LV"/>
        </w:rPr>
        <w:t>ZIZIMM pasākumu ietekme uz Latvijas eksportu, importu un tirdzniecības bilanci</w:t>
      </w:r>
    </w:p>
    <w:p w14:paraId="218A78BD" w14:textId="77777777" w:rsidR="00812A72" w:rsidRPr="00097491" w:rsidRDefault="00812A72" w:rsidP="00812A72">
      <w:pPr>
        <w:widowControl/>
        <w:spacing w:after="120" w:line="240" w:lineRule="auto"/>
        <w:jc w:val="center"/>
        <w:rPr>
          <w:rFonts w:ascii="Verdana Pro Cond Light" w:eastAsia="Times New Roman" w:hAnsi="Verdana Pro Cond Light"/>
          <w:sz w:val="18"/>
          <w:szCs w:val="18"/>
          <w:lang w:val="lv-LV" w:eastAsia="lv-LV"/>
        </w:rPr>
      </w:pPr>
      <w:r w:rsidRPr="00097491">
        <w:rPr>
          <w:rFonts w:ascii="Verdana Pro Cond Light" w:eastAsia="Times New Roman" w:hAnsi="Verdana Pro Cond Light"/>
          <w:sz w:val="18"/>
          <w:szCs w:val="18"/>
          <w:lang w:val="lv-LV" w:eastAsia="lv-LV"/>
        </w:rPr>
        <w:t>salīdzinot ar bāzes scenāriju; 2025. – 2050. gadā</w:t>
      </w:r>
    </w:p>
    <w:p w14:paraId="5846B80F" w14:textId="77777777" w:rsidR="00812A72" w:rsidRPr="00097491" w:rsidRDefault="00812A72" w:rsidP="00812A72">
      <w:pPr>
        <w:widowControl/>
        <w:spacing w:after="120" w:line="240" w:lineRule="auto"/>
        <w:jc w:val="center"/>
        <w:rPr>
          <w:rFonts w:ascii="Verdana Pro Cond Light" w:eastAsia="Times New Roman" w:hAnsi="Verdana Pro Cond Light"/>
          <w:b/>
          <w:bCs/>
          <w:sz w:val="18"/>
          <w:szCs w:val="18"/>
          <w:lang w:val="lv-LV" w:eastAsia="lv-LV"/>
        </w:rPr>
      </w:pPr>
    </w:p>
    <w:p w14:paraId="2C1009A4" w14:textId="77777777" w:rsidR="00812A72" w:rsidRPr="00097491" w:rsidRDefault="00812A72" w:rsidP="00812A72">
      <w:pPr>
        <w:widowControl/>
        <w:tabs>
          <w:tab w:val="center" w:pos="2410"/>
          <w:tab w:val="center" w:pos="7230"/>
        </w:tabs>
        <w:spacing w:after="120" w:line="240" w:lineRule="auto"/>
        <w:rPr>
          <w:rFonts w:ascii="Verdana Pro Cond Light" w:eastAsia="Times New Roman" w:hAnsi="Verdana Pro Cond Light"/>
          <w:b/>
          <w:bCs/>
          <w:sz w:val="18"/>
          <w:szCs w:val="18"/>
          <w:lang w:val="lv-LV" w:eastAsia="lv-LV"/>
        </w:rPr>
      </w:pPr>
      <w:r w:rsidRPr="00097491">
        <w:rPr>
          <w:rFonts w:ascii="Verdana Pro Cond Light" w:eastAsia="Times New Roman" w:hAnsi="Verdana Pro Cond Light"/>
          <w:b/>
          <w:bCs/>
          <w:sz w:val="18"/>
          <w:szCs w:val="18"/>
          <w:lang w:val="lv-LV" w:eastAsia="lv-LV"/>
        </w:rPr>
        <w:tab/>
        <w:t>Ietekme uz Latvijas eksportu un importu (%)</w:t>
      </w:r>
      <w:r w:rsidRPr="00097491">
        <w:rPr>
          <w:rFonts w:ascii="Verdana Pro Cond Light" w:eastAsia="Times New Roman" w:hAnsi="Verdana Pro Cond Light"/>
          <w:b/>
          <w:bCs/>
          <w:sz w:val="18"/>
          <w:szCs w:val="18"/>
          <w:lang w:val="lv-LV" w:eastAsia="lv-LV"/>
        </w:rPr>
        <w:tab/>
        <w:t>Ietekme uz Latvijas tirdzniecības bilanci (pp. no IKP)</w:t>
      </w:r>
    </w:p>
    <w:p w14:paraId="7E4EAB85" w14:textId="77777777" w:rsidR="00812A72" w:rsidRPr="006429C3" w:rsidRDefault="00812A72" w:rsidP="00812A72">
      <w:pPr>
        <w:widowControl/>
        <w:tabs>
          <w:tab w:val="center" w:pos="2410"/>
          <w:tab w:val="center" w:pos="7230"/>
        </w:tabs>
        <w:spacing w:after="120" w:line="240" w:lineRule="auto"/>
        <w:rPr>
          <w:rFonts w:ascii="Verdana Pro Cond Light" w:eastAsia="Times New Roman" w:hAnsi="Verdana Pro Cond Light"/>
          <w:b/>
          <w:bCs/>
          <w:sz w:val="18"/>
          <w:szCs w:val="18"/>
          <w:lang w:eastAsia="lv-LV"/>
        </w:rPr>
      </w:pPr>
      <w:r w:rsidRPr="00D804CB">
        <w:rPr>
          <w:rFonts w:ascii="Minion Pro" w:hAnsi="Minion Pro" w:cstheme="minorHAnsi"/>
          <w:noProof/>
          <w:sz w:val="24"/>
          <w:szCs w:val="24"/>
        </w:rPr>
        <w:drawing>
          <wp:inline distT="0" distB="0" distL="0" distR="0" wp14:anchorId="2EEDFDF7" wp14:editId="3A5EF4BC">
            <wp:extent cx="3060000" cy="2160000"/>
            <wp:effectExtent l="0" t="0" r="0" b="0"/>
            <wp:docPr id="352921623" name="Chart 352921623">
              <a:extLst xmlns:a="http://schemas.openxmlformats.org/drawingml/2006/main">
                <a:ext uri="{FF2B5EF4-FFF2-40B4-BE49-F238E27FC236}">
                  <a16:creationId xmlns:a16="http://schemas.microsoft.com/office/drawing/2014/main" id="{013AA65C-5627-335A-2509-D049CDF1205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r w:rsidRPr="00D804CB">
        <w:rPr>
          <w:rFonts w:ascii="Minion Pro" w:hAnsi="Minion Pro" w:cstheme="minorHAnsi"/>
          <w:noProof/>
          <w:sz w:val="24"/>
          <w:szCs w:val="24"/>
        </w:rPr>
        <w:drawing>
          <wp:inline distT="0" distB="0" distL="0" distR="0" wp14:anchorId="33003D38" wp14:editId="27280DF2">
            <wp:extent cx="3024000" cy="2160000"/>
            <wp:effectExtent l="0" t="0" r="5080" b="0"/>
            <wp:docPr id="609382369" name="Chart 609382369">
              <a:extLst xmlns:a="http://schemas.openxmlformats.org/drawingml/2006/main">
                <a:ext uri="{FF2B5EF4-FFF2-40B4-BE49-F238E27FC236}">
                  <a16:creationId xmlns:a16="http://schemas.microsoft.com/office/drawing/2014/main" id="{C0B412E0-20D9-9C02-797F-E1BB76C514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2B171071" w14:textId="2E8227F9" w:rsidR="003A2F64" w:rsidRDefault="00812A72" w:rsidP="00812A72">
      <w:pPr>
        <w:widowControl/>
        <w:spacing w:before="120" w:after="120" w:line="240" w:lineRule="auto"/>
        <w:jc w:val="both"/>
        <w:rPr>
          <w:rFonts w:ascii="Arial Nova Cond Light" w:eastAsia="Times New Roman" w:hAnsi="Arial Nova Cond Light"/>
          <w:sz w:val="16"/>
          <w:szCs w:val="24"/>
          <w:lang w:eastAsia="lv-LV"/>
        </w:rPr>
      </w:pPr>
      <w:r w:rsidRPr="00F57914">
        <w:rPr>
          <w:rFonts w:ascii="Arial Nova Cond Light" w:eastAsia="Times New Roman" w:hAnsi="Arial Nova Cond Light"/>
          <w:sz w:val="16"/>
          <w:szCs w:val="24"/>
          <w:lang w:eastAsia="lv-LV"/>
        </w:rPr>
        <w:t>Avots: autoru aprēķins, izmantojot VLA modeli.</w:t>
      </w:r>
    </w:p>
    <w:p w14:paraId="52443633" w14:textId="77777777" w:rsidR="003A2F64" w:rsidRDefault="003A2F64">
      <w:pPr>
        <w:widowControl/>
        <w:spacing w:after="160" w:line="259" w:lineRule="auto"/>
        <w:rPr>
          <w:rFonts w:ascii="Arial Nova Cond Light" w:eastAsia="Times New Roman" w:hAnsi="Arial Nova Cond Light"/>
          <w:sz w:val="16"/>
          <w:szCs w:val="24"/>
          <w:lang w:eastAsia="lv-LV"/>
        </w:rPr>
      </w:pPr>
      <w:r>
        <w:rPr>
          <w:rFonts w:ascii="Arial Nova Cond Light" w:eastAsia="Times New Roman" w:hAnsi="Arial Nova Cond Light"/>
          <w:sz w:val="16"/>
          <w:szCs w:val="24"/>
          <w:lang w:eastAsia="lv-LV"/>
        </w:rPr>
        <w:br w:type="page"/>
      </w:r>
    </w:p>
    <w:p w14:paraId="2EDE9419" w14:textId="77777777" w:rsidR="00812A72" w:rsidRPr="00F57914" w:rsidRDefault="00812A72" w:rsidP="00812A72">
      <w:pPr>
        <w:widowControl/>
        <w:spacing w:line="240" w:lineRule="auto"/>
        <w:jc w:val="right"/>
        <w:rPr>
          <w:rFonts w:ascii="Verdana Pro Cond Light" w:eastAsia="Times New Roman" w:hAnsi="Verdana Pro Cond Light" w:cstheme="minorHAnsi"/>
          <w:bCs/>
          <w:lang w:eastAsia="lv-LV"/>
        </w:rPr>
      </w:pPr>
      <w:r w:rsidRPr="00F57914">
        <w:rPr>
          <w:rFonts w:ascii="Verdana Pro Cond Light" w:eastAsia="Times New Roman" w:hAnsi="Verdana Pro Cond Light" w:cstheme="minorHAnsi"/>
          <w:bCs/>
          <w:lang w:eastAsia="lv-LV"/>
        </w:rPr>
        <w:lastRenderedPageBreak/>
        <w:t>6.</w:t>
      </w:r>
      <w:r>
        <w:rPr>
          <w:rFonts w:ascii="Verdana Pro Cond Light" w:eastAsia="Times New Roman" w:hAnsi="Verdana Pro Cond Light" w:cstheme="minorHAnsi"/>
          <w:bCs/>
          <w:lang w:eastAsia="lv-LV"/>
        </w:rPr>
        <w:t>4</w:t>
      </w:r>
      <w:r w:rsidRPr="00F57914">
        <w:rPr>
          <w:rFonts w:ascii="Verdana Pro Cond Light" w:eastAsia="Times New Roman" w:hAnsi="Verdana Pro Cond Light" w:cstheme="minorHAnsi"/>
          <w:bCs/>
          <w:lang w:eastAsia="lv-LV"/>
        </w:rPr>
        <w:t>. attēls</w:t>
      </w:r>
    </w:p>
    <w:p w14:paraId="2BE43CC7" w14:textId="77777777" w:rsidR="00812A72" w:rsidRPr="00F57914" w:rsidRDefault="00812A72" w:rsidP="00812A72">
      <w:pPr>
        <w:widowControl/>
        <w:spacing w:after="0" w:line="240" w:lineRule="auto"/>
        <w:jc w:val="center"/>
        <w:rPr>
          <w:rFonts w:ascii="Verdana Pro Cond Light" w:eastAsia="Times New Roman" w:hAnsi="Verdana Pro Cond Light"/>
          <w:b/>
          <w:bCs/>
          <w:lang w:eastAsia="lv-LV"/>
        </w:rPr>
      </w:pPr>
      <w:r w:rsidRPr="00F57914">
        <w:rPr>
          <w:rFonts w:ascii="Verdana Pro Cond Light" w:eastAsia="Times New Roman" w:hAnsi="Verdana Pro Cond Light"/>
          <w:b/>
          <w:bCs/>
          <w:lang w:eastAsia="lv-LV"/>
        </w:rPr>
        <w:t>ZIZIMM pasākumu ietekme uz nodarbināto skaitu un bezdarba līmeni Latvijā</w:t>
      </w:r>
    </w:p>
    <w:p w14:paraId="6DFC72E2" w14:textId="77777777" w:rsidR="00812A72" w:rsidRDefault="00812A72" w:rsidP="00812A72">
      <w:pPr>
        <w:widowControl/>
        <w:spacing w:after="120" w:line="240" w:lineRule="auto"/>
        <w:jc w:val="center"/>
        <w:rPr>
          <w:rFonts w:ascii="Verdana Pro Cond Light" w:eastAsia="Times New Roman" w:hAnsi="Verdana Pro Cond Light"/>
          <w:sz w:val="18"/>
          <w:szCs w:val="18"/>
          <w:lang w:eastAsia="lv-LV"/>
        </w:rPr>
      </w:pPr>
      <w:r w:rsidRPr="00F57914">
        <w:rPr>
          <w:rFonts w:ascii="Verdana Pro Cond Light" w:eastAsia="Times New Roman" w:hAnsi="Verdana Pro Cond Light"/>
          <w:sz w:val="18"/>
          <w:szCs w:val="18"/>
          <w:lang w:eastAsia="lv-LV"/>
        </w:rPr>
        <w:t xml:space="preserve">salīdzinot ar bāzes scenāriju; 2025. – 2050. </w:t>
      </w:r>
      <w:r>
        <w:rPr>
          <w:rFonts w:ascii="Verdana Pro Cond Light" w:eastAsia="Times New Roman" w:hAnsi="Verdana Pro Cond Light"/>
          <w:sz w:val="18"/>
          <w:szCs w:val="18"/>
          <w:lang w:eastAsia="lv-LV"/>
        </w:rPr>
        <w:t>g</w:t>
      </w:r>
      <w:r w:rsidRPr="00F57914">
        <w:rPr>
          <w:rFonts w:ascii="Verdana Pro Cond Light" w:eastAsia="Times New Roman" w:hAnsi="Verdana Pro Cond Light"/>
          <w:sz w:val="18"/>
          <w:szCs w:val="18"/>
          <w:lang w:eastAsia="lv-LV"/>
        </w:rPr>
        <w:t>adā</w:t>
      </w:r>
    </w:p>
    <w:p w14:paraId="08D04B14" w14:textId="77777777" w:rsidR="00812A72" w:rsidRDefault="00812A72" w:rsidP="00812A72">
      <w:pPr>
        <w:widowControl/>
        <w:tabs>
          <w:tab w:val="center" w:pos="2410"/>
          <w:tab w:val="center" w:pos="7230"/>
        </w:tabs>
        <w:spacing w:after="120" w:line="240" w:lineRule="auto"/>
        <w:rPr>
          <w:rFonts w:ascii="Verdana Pro Cond Light" w:eastAsia="Times New Roman" w:hAnsi="Verdana Pro Cond Light"/>
          <w:sz w:val="18"/>
          <w:szCs w:val="18"/>
          <w:lang w:eastAsia="lv-LV"/>
        </w:rPr>
      </w:pPr>
      <w:r w:rsidRPr="00F57914">
        <w:rPr>
          <w:rFonts w:ascii="Verdana Pro Cond Light" w:eastAsia="Times New Roman" w:hAnsi="Verdana Pro Cond Light"/>
          <w:b/>
          <w:bCs/>
          <w:sz w:val="18"/>
          <w:szCs w:val="18"/>
          <w:lang w:eastAsia="lv-LV"/>
        </w:rPr>
        <w:tab/>
        <w:t xml:space="preserve">Ietekme uz nodarbināto skaitu (%) </w:t>
      </w:r>
      <w:r w:rsidRPr="00F57914">
        <w:rPr>
          <w:rFonts w:ascii="Verdana Pro Cond Light" w:eastAsia="Times New Roman" w:hAnsi="Verdana Pro Cond Light"/>
          <w:b/>
          <w:bCs/>
          <w:sz w:val="18"/>
          <w:szCs w:val="18"/>
          <w:lang w:eastAsia="lv-LV"/>
        </w:rPr>
        <w:tab/>
        <w:t xml:space="preserve">Ietekme uz bezdarba līmeni </w:t>
      </w:r>
      <w:r w:rsidRPr="00F57914">
        <w:rPr>
          <w:rFonts w:ascii="Verdana Pro Cond Light" w:eastAsia="Times New Roman" w:hAnsi="Verdana Pro Cond Light"/>
          <w:b/>
          <w:bCs/>
          <w:sz w:val="18"/>
          <w:szCs w:val="18"/>
          <w:lang w:eastAsia="lv-LV"/>
        </w:rPr>
        <w:br/>
      </w:r>
      <w:r>
        <w:rPr>
          <w:rFonts w:ascii="Verdana Pro Cond Light" w:eastAsia="Times New Roman" w:hAnsi="Verdana Pro Cond Light"/>
          <w:sz w:val="18"/>
          <w:szCs w:val="18"/>
          <w:lang w:eastAsia="lv-LV"/>
        </w:rPr>
        <w:tab/>
      </w:r>
      <w:r>
        <w:rPr>
          <w:rFonts w:ascii="Verdana Pro Cond Light" w:eastAsia="Times New Roman" w:hAnsi="Verdana Pro Cond Light"/>
          <w:sz w:val="18"/>
          <w:szCs w:val="18"/>
          <w:lang w:eastAsia="lv-LV"/>
        </w:rPr>
        <w:tab/>
      </w:r>
      <w:r w:rsidRPr="00F57914">
        <w:rPr>
          <w:rFonts w:ascii="Verdana Pro Cond Light" w:eastAsia="Times New Roman" w:hAnsi="Verdana Pro Cond Light"/>
          <w:sz w:val="18"/>
          <w:szCs w:val="18"/>
          <w:lang w:eastAsia="lv-LV"/>
        </w:rPr>
        <w:t>pp. no ekonomiski aktīvajiem iedzīvotājiem</w:t>
      </w:r>
    </w:p>
    <w:p w14:paraId="39DD0539" w14:textId="77777777" w:rsidR="00812A72" w:rsidRPr="00F57914" w:rsidRDefault="00812A72" w:rsidP="00812A72">
      <w:pPr>
        <w:widowControl/>
        <w:tabs>
          <w:tab w:val="center" w:pos="2410"/>
          <w:tab w:val="center" w:pos="7230"/>
        </w:tabs>
        <w:spacing w:after="120" w:line="240" w:lineRule="auto"/>
        <w:ind w:right="-143"/>
        <w:rPr>
          <w:rFonts w:ascii="Verdana Pro Cond Light" w:eastAsia="Times New Roman" w:hAnsi="Verdana Pro Cond Light"/>
          <w:sz w:val="18"/>
          <w:szCs w:val="18"/>
          <w:lang w:eastAsia="lv-LV"/>
        </w:rPr>
      </w:pPr>
      <w:r w:rsidRPr="00D804CB">
        <w:rPr>
          <w:rFonts w:ascii="Minion Pro" w:hAnsi="Minion Pro" w:cstheme="minorHAnsi"/>
          <w:noProof/>
          <w:sz w:val="24"/>
          <w:szCs w:val="24"/>
        </w:rPr>
        <w:drawing>
          <wp:inline distT="0" distB="0" distL="0" distR="0" wp14:anchorId="54BC81CC" wp14:editId="3006560D">
            <wp:extent cx="3060000" cy="2160000"/>
            <wp:effectExtent l="0" t="0" r="7620" b="0"/>
            <wp:docPr id="1902274143" name="Chart 1902274143">
              <a:extLst xmlns:a="http://schemas.openxmlformats.org/drawingml/2006/main">
                <a:ext uri="{FF2B5EF4-FFF2-40B4-BE49-F238E27FC236}">
                  <a16:creationId xmlns:a16="http://schemas.microsoft.com/office/drawing/2014/main" id="{C0B412E0-20D9-9C02-797F-E1BB76C514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r w:rsidRPr="00D804CB">
        <w:rPr>
          <w:rFonts w:ascii="Minion Pro" w:hAnsi="Minion Pro" w:cstheme="minorHAnsi"/>
          <w:noProof/>
          <w:sz w:val="24"/>
          <w:szCs w:val="24"/>
        </w:rPr>
        <w:drawing>
          <wp:inline distT="0" distB="0" distL="0" distR="0" wp14:anchorId="5E5C60D8" wp14:editId="0DC2F4BB">
            <wp:extent cx="3060000" cy="2160000"/>
            <wp:effectExtent l="0" t="0" r="7620" b="0"/>
            <wp:docPr id="859105358" name="Chart 859105358">
              <a:extLst xmlns:a="http://schemas.openxmlformats.org/drawingml/2006/main">
                <a:ext uri="{FF2B5EF4-FFF2-40B4-BE49-F238E27FC236}">
                  <a16:creationId xmlns:a16="http://schemas.microsoft.com/office/drawing/2014/main" id="{C0B412E0-20D9-9C02-797F-E1BB76C514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6F1E3611" w14:textId="77777777" w:rsidR="00812A72" w:rsidRDefault="00812A72" w:rsidP="00812A72">
      <w:pPr>
        <w:widowControl/>
        <w:spacing w:before="120" w:after="120" w:line="240" w:lineRule="auto"/>
        <w:jc w:val="both"/>
        <w:rPr>
          <w:rFonts w:ascii="Arial Nova Cond Light" w:eastAsia="Times New Roman" w:hAnsi="Arial Nova Cond Light"/>
          <w:sz w:val="16"/>
          <w:szCs w:val="24"/>
          <w:lang w:eastAsia="lv-LV"/>
        </w:rPr>
      </w:pPr>
      <w:r w:rsidRPr="00F57914">
        <w:rPr>
          <w:rFonts w:ascii="Arial Nova Cond Light" w:eastAsia="Times New Roman" w:hAnsi="Arial Nova Cond Light"/>
          <w:sz w:val="16"/>
          <w:szCs w:val="24"/>
          <w:lang w:eastAsia="lv-LV"/>
        </w:rPr>
        <w:t>Avots: autoru aprēķins, izmantojot VLA modeli.</w:t>
      </w:r>
    </w:p>
    <w:p w14:paraId="750D2C9F" w14:textId="77777777" w:rsidR="00812A72" w:rsidRPr="00F57914" w:rsidRDefault="00812A72" w:rsidP="00812A72">
      <w:pPr>
        <w:widowControl/>
        <w:spacing w:after="160" w:line="240" w:lineRule="auto"/>
        <w:rPr>
          <w:rFonts w:ascii="Verdana Pro Cond Light" w:eastAsia="Times New Roman" w:hAnsi="Verdana Pro Cond Light"/>
          <w:lang w:eastAsia="lv-LV"/>
        </w:rPr>
      </w:pPr>
    </w:p>
    <w:p w14:paraId="1575D91C" w14:textId="14BE650F" w:rsidR="00812A72" w:rsidRDefault="00812A72" w:rsidP="00812A72">
      <w:pPr>
        <w:widowControl/>
        <w:spacing w:after="160" w:line="259" w:lineRule="auto"/>
        <w:rPr>
          <w:rFonts w:ascii="Verdana Pro Cond Light" w:eastAsia="Times New Roman" w:hAnsi="Verdana Pro Cond Light" w:cstheme="minorHAnsi"/>
          <w:bCs/>
          <w:lang w:eastAsia="lv-LV"/>
        </w:rPr>
      </w:pPr>
    </w:p>
    <w:p w14:paraId="6516B8B3" w14:textId="77777777" w:rsidR="00812A72" w:rsidRPr="00F57914" w:rsidRDefault="00812A72" w:rsidP="00812A72">
      <w:pPr>
        <w:widowControl/>
        <w:spacing w:after="160" w:line="240" w:lineRule="auto"/>
        <w:jc w:val="right"/>
        <w:rPr>
          <w:rFonts w:ascii="Verdana Pro Cond Light" w:eastAsia="Times New Roman" w:hAnsi="Verdana Pro Cond Light" w:cstheme="minorHAnsi"/>
          <w:lang w:eastAsia="lv-LV"/>
        </w:rPr>
      </w:pPr>
      <w:r w:rsidRPr="00F57914">
        <w:rPr>
          <w:rFonts w:ascii="Verdana Pro Cond Light" w:eastAsia="Times New Roman" w:hAnsi="Verdana Pro Cond Light" w:cstheme="minorHAnsi"/>
          <w:bCs/>
          <w:lang w:eastAsia="lv-LV"/>
        </w:rPr>
        <w:t>6.</w:t>
      </w:r>
      <w:r>
        <w:rPr>
          <w:rFonts w:ascii="Verdana Pro Cond Light" w:eastAsia="Times New Roman" w:hAnsi="Verdana Pro Cond Light" w:cstheme="minorHAnsi"/>
          <w:bCs/>
          <w:lang w:eastAsia="lv-LV"/>
        </w:rPr>
        <w:t>5</w:t>
      </w:r>
      <w:r w:rsidRPr="00F57914">
        <w:rPr>
          <w:rFonts w:ascii="Verdana Pro Cond Light" w:eastAsia="Times New Roman" w:hAnsi="Verdana Pro Cond Light" w:cstheme="minorHAnsi"/>
          <w:bCs/>
          <w:lang w:eastAsia="lv-LV"/>
        </w:rPr>
        <w:t>. attēls</w:t>
      </w:r>
    </w:p>
    <w:p w14:paraId="33B88757" w14:textId="77777777" w:rsidR="00812A72" w:rsidRPr="00F57914" w:rsidRDefault="00812A72" w:rsidP="00812A72">
      <w:pPr>
        <w:widowControl/>
        <w:spacing w:after="0" w:line="240" w:lineRule="auto"/>
        <w:jc w:val="center"/>
        <w:rPr>
          <w:rFonts w:ascii="Verdana Pro Cond Light" w:eastAsia="Times New Roman" w:hAnsi="Verdana Pro Cond Light"/>
          <w:b/>
          <w:bCs/>
          <w:lang w:eastAsia="lv-LV"/>
        </w:rPr>
      </w:pPr>
      <w:r w:rsidRPr="00F57914">
        <w:rPr>
          <w:rFonts w:ascii="Verdana Pro Cond Light" w:eastAsia="Times New Roman" w:hAnsi="Verdana Pro Cond Light"/>
          <w:b/>
          <w:bCs/>
          <w:lang w:eastAsia="lv-LV"/>
        </w:rPr>
        <w:t>ZIZIMM pasākumu ietekme uz vidējo algu un patēriņa cenām Latvijā</w:t>
      </w:r>
    </w:p>
    <w:p w14:paraId="492CE60D" w14:textId="77777777" w:rsidR="00812A72" w:rsidRDefault="00812A72" w:rsidP="00812A72">
      <w:pPr>
        <w:widowControl/>
        <w:spacing w:after="120" w:line="240" w:lineRule="auto"/>
        <w:jc w:val="center"/>
        <w:rPr>
          <w:rFonts w:ascii="Verdana Pro Cond Light" w:eastAsia="Times New Roman" w:hAnsi="Verdana Pro Cond Light"/>
          <w:sz w:val="18"/>
          <w:szCs w:val="18"/>
          <w:lang w:eastAsia="lv-LV"/>
        </w:rPr>
      </w:pPr>
      <w:r w:rsidRPr="00F57914">
        <w:rPr>
          <w:rFonts w:ascii="Verdana Pro Cond Light" w:eastAsia="Times New Roman" w:hAnsi="Verdana Pro Cond Light"/>
          <w:sz w:val="18"/>
          <w:szCs w:val="18"/>
          <w:lang w:eastAsia="lv-LV"/>
        </w:rPr>
        <w:t xml:space="preserve">salīdzinot ar bāzes scenāriju; 2025. – 2050. </w:t>
      </w:r>
      <w:r>
        <w:rPr>
          <w:rFonts w:ascii="Verdana Pro Cond Light" w:eastAsia="Times New Roman" w:hAnsi="Verdana Pro Cond Light"/>
          <w:sz w:val="18"/>
          <w:szCs w:val="18"/>
          <w:lang w:eastAsia="lv-LV"/>
        </w:rPr>
        <w:t>g</w:t>
      </w:r>
      <w:r w:rsidRPr="00F57914">
        <w:rPr>
          <w:rFonts w:ascii="Verdana Pro Cond Light" w:eastAsia="Times New Roman" w:hAnsi="Verdana Pro Cond Light"/>
          <w:sz w:val="18"/>
          <w:szCs w:val="18"/>
          <w:lang w:eastAsia="lv-LV"/>
        </w:rPr>
        <w:t>adā</w:t>
      </w:r>
    </w:p>
    <w:p w14:paraId="5A826B92" w14:textId="77777777" w:rsidR="00812A72" w:rsidRDefault="00812A72" w:rsidP="00812A72">
      <w:pPr>
        <w:widowControl/>
        <w:spacing w:after="120" w:line="240" w:lineRule="auto"/>
        <w:jc w:val="center"/>
        <w:rPr>
          <w:rFonts w:ascii="Verdana Pro Cond Light" w:eastAsia="Times New Roman" w:hAnsi="Verdana Pro Cond Light"/>
          <w:sz w:val="18"/>
          <w:szCs w:val="18"/>
          <w:lang w:eastAsia="lv-LV"/>
        </w:rPr>
      </w:pPr>
    </w:p>
    <w:p w14:paraId="58659AA0" w14:textId="77777777" w:rsidR="00812A72" w:rsidRPr="00F57914" w:rsidRDefault="00812A72" w:rsidP="00812A72">
      <w:pPr>
        <w:widowControl/>
        <w:tabs>
          <w:tab w:val="center" w:pos="2410"/>
          <w:tab w:val="center" w:pos="7230"/>
        </w:tabs>
        <w:spacing w:after="120" w:line="240" w:lineRule="auto"/>
        <w:rPr>
          <w:rFonts w:ascii="Verdana Pro Cond Light" w:eastAsia="Times New Roman" w:hAnsi="Verdana Pro Cond Light"/>
          <w:b/>
          <w:bCs/>
          <w:sz w:val="18"/>
          <w:szCs w:val="18"/>
          <w:lang w:eastAsia="lv-LV"/>
        </w:rPr>
      </w:pPr>
      <w:r>
        <w:rPr>
          <w:rFonts w:ascii="Verdana Pro Cond Light" w:eastAsia="Times New Roman" w:hAnsi="Verdana Pro Cond Light"/>
          <w:b/>
          <w:bCs/>
          <w:sz w:val="18"/>
          <w:szCs w:val="18"/>
          <w:lang w:eastAsia="lv-LV"/>
        </w:rPr>
        <w:tab/>
      </w:r>
      <w:r w:rsidRPr="00F57914">
        <w:rPr>
          <w:rFonts w:ascii="Verdana Pro Cond Light" w:eastAsia="Times New Roman" w:hAnsi="Verdana Pro Cond Light"/>
          <w:b/>
          <w:bCs/>
          <w:sz w:val="18"/>
          <w:szCs w:val="18"/>
          <w:lang w:eastAsia="lv-LV"/>
        </w:rPr>
        <w:t>Ietekme uz vidējo algu (%; nominālā izteiksmē)</w:t>
      </w:r>
      <w:r w:rsidRPr="00F57914">
        <w:rPr>
          <w:rFonts w:ascii="Verdana Pro Cond Light" w:eastAsia="Times New Roman" w:hAnsi="Verdana Pro Cond Light"/>
          <w:b/>
          <w:bCs/>
          <w:sz w:val="18"/>
          <w:szCs w:val="18"/>
          <w:lang w:eastAsia="lv-LV"/>
        </w:rPr>
        <w:tab/>
        <w:t>Ietekme uz patēriņa cenu līmeni (%)</w:t>
      </w:r>
    </w:p>
    <w:p w14:paraId="4CE9DD1E" w14:textId="77777777" w:rsidR="00812A72" w:rsidRPr="00F57914" w:rsidRDefault="00812A72" w:rsidP="00812A72">
      <w:pPr>
        <w:widowControl/>
        <w:spacing w:after="120" w:line="240" w:lineRule="auto"/>
        <w:ind w:right="-143"/>
        <w:jc w:val="center"/>
        <w:rPr>
          <w:rFonts w:ascii="Verdana Pro Cond Light" w:eastAsia="Times New Roman" w:hAnsi="Verdana Pro Cond Light"/>
          <w:sz w:val="18"/>
          <w:szCs w:val="18"/>
          <w:lang w:eastAsia="lv-LV"/>
        </w:rPr>
      </w:pPr>
      <w:r w:rsidRPr="00D804CB">
        <w:rPr>
          <w:rFonts w:ascii="Minion Pro" w:hAnsi="Minion Pro" w:cstheme="minorHAnsi"/>
          <w:noProof/>
          <w:sz w:val="24"/>
          <w:szCs w:val="24"/>
        </w:rPr>
        <w:drawing>
          <wp:inline distT="0" distB="0" distL="0" distR="0" wp14:anchorId="1C990537" wp14:editId="615B1EDF">
            <wp:extent cx="3060000" cy="2160000"/>
            <wp:effectExtent l="0" t="0" r="0" b="0"/>
            <wp:docPr id="1963088123" name="Chart 1963088123">
              <a:extLst xmlns:a="http://schemas.openxmlformats.org/drawingml/2006/main">
                <a:ext uri="{FF2B5EF4-FFF2-40B4-BE49-F238E27FC236}">
                  <a16:creationId xmlns:a16="http://schemas.microsoft.com/office/drawing/2014/main" id="{C0B412E0-20D9-9C02-797F-E1BB76C514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r w:rsidRPr="00D804CB">
        <w:rPr>
          <w:rFonts w:ascii="Minion Pro" w:hAnsi="Minion Pro" w:cstheme="minorHAnsi"/>
          <w:noProof/>
          <w:sz w:val="24"/>
          <w:szCs w:val="24"/>
        </w:rPr>
        <w:drawing>
          <wp:inline distT="0" distB="0" distL="0" distR="0" wp14:anchorId="37CE37BA" wp14:editId="095822E4">
            <wp:extent cx="3060000" cy="2160000"/>
            <wp:effectExtent l="0" t="0" r="0" b="0"/>
            <wp:docPr id="896160960" name="Chart 896160960">
              <a:extLst xmlns:a="http://schemas.openxmlformats.org/drawingml/2006/main">
                <a:ext uri="{FF2B5EF4-FFF2-40B4-BE49-F238E27FC236}">
                  <a16:creationId xmlns:a16="http://schemas.microsoft.com/office/drawing/2014/main" id="{C0B412E0-20D9-9C02-797F-E1BB76C514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42D49E71" w14:textId="19B57B2B" w:rsidR="003A2F64" w:rsidRDefault="00812A72" w:rsidP="00812A72">
      <w:pPr>
        <w:widowControl/>
        <w:spacing w:before="120" w:after="120" w:line="240" w:lineRule="auto"/>
        <w:jc w:val="both"/>
        <w:rPr>
          <w:rFonts w:ascii="Arial Nova Cond Light" w:eastAsia="Times New Roman" w:hAnsi="Arial Nova Cond Light"/>
          <w:sz w:val="16"/>
          <w:szCs w:val="24"/>
          <w:lang w:eastAsia="lv-LV"/>
        </w:rPr>
      </w:pPr>
      <w:r w:rsidRPr="00F57914">
        <w:rPr>
          <w:rFonts w:ascii="Arial Nova Cond Light" w:eastAsia="Times New Roman" w:hAnsi="Arial Nova Cond Light"/>
          <w:sz w:val="16"/>
          <w:szCs w:val="24"/>
          <w:lang w:eastAsia="lv-LV"/>
        </w:rPr>
        <w:t>Avots: autoru aprēķins, izmantojot VLA modeli.</w:t>
      </w:r>
    </w:p>
    <w:p w14:paraId="6242D6A5" w14:textId="77777777" w:rsidR="003A2F64" w:rsidRDefault="003A2F64">
      <w:pPr>
        <w:widowControl/>
        <w:spacing w:after="160" w:line="259" w:lineRule="auto"/>
        <w:rPr>
          <w:rFonts w:ascii="Arial Nova Cond Light" w:eastAsia="Times New Roman" w:hAnsi="Arial Nova Cond Light"/>
          <w:sz w:val="16"/>
          <w:szCs w:val="24"/>
          <w:lang w:eastAsia="lv-LV"/>
        </w:rPr>
      </w:pPr>
      <w:r>
        <w:rPr>
          <w:rFonts w:ascii="Arial Nova Cond Light" w:eastAsia="Times New Roman" w:hAnsi="Arial Nova Cond Light"/>
          <w:sz w:val="16"/>
          <w:szCs w:val="24"/>
          <w:lang w:eastAsia="lv-LV"/>
        </w:rPr>
        <w:br w:type="page"/>
      </w:r>
    </w:p>
    <w:p w14:paraId="3318E015" w14:textId="77777777" w:rsidR="00812A72" w:rsidRPr="00F57914" w:rsidRDefault="00812A72" w:rsidP="00812A72">
      <w:pPr>
        <w:widowControl/>
        <w:spacing w:line="240" w:lineRule="auto"/>
        <w:jc w:val="right"/>
        <w:rPr>
          <w:rFonts w:ascii="Verdana Pro Cond Light" w:eastAsia="Times New Roman" w:hAnsi="Verdana Pro Cond Light" w:cstheme="minorHAnsi"/>
          <w:bCs/>
          <w:lang w:eastAsia="lv-LV"/>
        </w:rPr>
      </w:pPr>
      <w:r w:rsidRPr="00F57914">
        <w:rPr>
          <w:rFonts w:ascii="Verdana Pro Cond Light" w:eastAsia="Times New Roman" w:hAnsi="Verdana Pro Cond Light" w:cstheme="minorHAnsi"/>
          <w:bCs/>
          <w:lang w:eastAsia="lv-LV"/>
        </w:rPr>
        <w:lastRenderedPageBreak/>
        <w:t>6.</w:t>
      </w:r>
      <w:r>
        <w:rPr>
          <w:rFonts w:ascii="Verdana Pro Cond Light" w:eastAsia="Times New Roman" w:hAnsi="Verdana Pro Cond Light" w:cstheme="minorHAnsi"/>
          <w:bCs/>
          <w:lang w:eastAsia="lv-LV"/>
        </w:rPr>
        <w:t>6</w:t>
      </w:r>
      <w:r w:rsidRPr="00F57914">
        <w:rPr>
          <w:rFonts w:ascii="Verdana Pro Cond Light" w:eastAsia="Times New Roman" w:hAnsi="Verdana Pro Cond Light" w:cstheme="minorHAnsi"/>
          <w:bCs/>
          <w:lang w:eastAsia="lv-LV"/>
        </w:rPr>
        <w:t>. attēls</w:t>
      </w:r>
    </w:p>
    <w:p w14:paraId="5C594371" w14:textId="77777777" w:rsidR="00812A72" w:rsidRDefault="00812A72" w:rsidP="00812A72">
      <w:pPr>
        <w:widowControl/>
        <w:spacing w:after="120" w:line="240" w:lineRule="auto"/>
        <w:jc w:val="center"/>
        <w:rPr>
          <w:rFonts w:ascii="Verdana Pro Cond Light" w:eastAsia="Times New Roman" w:hAnsi="Verdana Pro Cond Light"/>
          <w:sz w:val="18"/>
          <w:szCs w:val="18"/>
          <w:lang w:eastAsia="lv-LV"/>
        </w:rPr>
      </w:pPr>
      <w:r w:rsidRPr="00F57914">
        <w:rPr>
          <w:rFonts w:ascii="Verdana Pro Cond Light" w:eastAsia="Times New Roman" w:hAnsi="Verdana Pro Cond Light"/>
          <w:b/>
          <w:bCs/>
          <w:lang w:eastAsia="lv-LV"/>
        </w:rPr>
        <w:t>ZIZIMM pasākumu ietekme uz Latvijas vispārējā konsolidētā kopbudžeta</w:t>
      </w:r>
      <w:r>
        <w:rPr>
          <w:rFonts w:ascii="Verdana Pro Cond Light" w:eastAsia="Times New Roman" w:hAnsi="Verdana Pro Cond Light"/>
          <w:b/>
          <w:bCs/>
          <w:lang w:eastAsia="lv-LV"/>
        </w:rPr>
        <w:br/>
      </w:r>
      <w:r w:rsidRPr="00F57914">
        <w:rPr>
          <w:rFonts w:ascii="Verdana Pro Cond Light" w:eastAsia="Times New Roman" w:hAnsi="Verdana Pro Cond Light"/>
          <w:b/>
          <w:bCs/>
          <w:lang w:eastAsia="lv-LV"/>
        </w:rPr>
        <w:t xml:space="preserve">ieņēmumiem un atsevišķu nodokļu ieņēmumiem </w:t>
      </w:r>
      <w:r>
        <w:rPr>
          <w:rFonts w:ascii="Verdana Pro Cond Light" w:eastAsia="Times New Roman" w:hAnsi="Verdana Pro Cond Light"/>
          <w:b/>
          <w:bCs/>
          <w:lang w:eastAsia="lv-LV"/>
        </w:rPr>
        <w:br/>
      </w:r>
      <w:r w:rsidRPr="00F57914">
        <w:rPr>
          <w:rFonts w:ascii="Verdana Pro Cond Light" w:eastAsia="Times New Roman" w:hAnsi="Verdana Pro Cond Light"/>
          <w:sz w:val="18"/>
          <w:szCs w:val="18"/>
          <w:lang w:eastAsia="lv-LV"/>
        </w:rPr>
        <w:t xml:space="preserve">%; salīdzinot ar bāzes scenāriju; 2025. – 2050. </w:t>
      </w:r>
      <w:r>
        <w:rPr>
          <w:rFonts w:ascii="Verdana Pro Cond Light" w:eastAsia="Times New Roman" w:hAnsi="Verdana Pro Cond Light"/>
          <w:sz w:val="18"/>
          <w:szCs w:val="18"/>
          <w:lang w:eastAsia="lv-LV"/>
        </w:rPr>
        <w:t>g</w:t>
      </w:r>
      <w:r w:rsidRPr="00F57914">
        <w:rPr>
          <w:rFonts w:ascii="Verdana Pro Cond Light" w:eastAsia="Times New Roman" w:hAnsi="Verdana Pro Cond Light"/>
          <w:sz w:val="18"/>
          <w:szCs w:val="18"/>
          <w:lang w:eastAsia="lv-LV"/>
        </w:rPr>
        <w:t>adā</w:t>
      </w:r>
    </w:p>
    <w:p w14:paraId="677D40A2" w14:textId="77777777" w:rsidR="00812A72" w:rsidRDefault="00812A72" w:rsidP="00812A72">
      <w:pPr>
        <w:widowControl/>
        <w:spacing w:after="120" w:line="240" w:lineRule="auto"/>
        <w:jc w:val="center"/>
        <w:rPr>
          <w:rFonts w:ascii="Verdana Pro Cond Light" w:eastAsia="Times New Roman" w:hAnsi="Verdana Pro Cond Light"/>
          <w:sz w:val="18"/>
          <w:szCs w:val="18"/>
          <w:lang w:eastAsia="lv-LV"/>
        </w:rPr>
      </w:pPr>
    </w:p>
    <w:p w14:paraId="4B2566FC" w14:textId="77777777" w:rsidR="00812A72" w:rsidRDefault="00812A72" w:rsidP="00812A72">
      <w:pPr>
        <w:widowControl/>
        <w:tabs>
          <w:tab w:val="center" w:pos="2410"/>
          <w:tab w:val="center" w:pos="7230"/>
        </w:tabs>
        <w:spacing w:after="120" w:line="240" w:lineRule="auto"/>
        <w:rPr>
          <w:rFonts w:ascii="Verdana Pro Cond Light" w:eastAsia="Times New Roman" w:hAnsi="Verdana Pro Cond Light"/>
          <w:b/>
          <w:bCs/>
          <w:sz w:val="18"/>
          <w:szCs w:val="18"/>
          <w:lang w:eastAsia="lv-LV"/>
        </w:rPr>
      </w:pPr>
      <w:r>
        <w:rPr>
          <w:rFonts w:ascii="Verdana Pro Cond Light" w:eastAsia="Times New Roman" w:hAnsi="Verdana Pro Cond Light"/>
          <w:b/>
          <w:bCs/>
          <w:sz w:val="18"/>
          <w:szCs w:val="18"/>
          <w:lang w:eastAsia="lv-LV"/>
        </w:rPr>
        <w:tab/>
      </w:r>
      <w:r w:rsidRPr="00F57914">
        <w:rPr>
          <w:rFonts w:ascii="Verdana Pro Cond Light" w:eastAsia="Times New Roman" w:hAnsi="Verdana Pro Cond Light"/>
          <w:b/>
          <w:bCs/>
          <w:sz w:val="18"/>
          <w:szCs w:val="18"/>
          <w:lang w:eastAsia="lv-LV"/>
        </w:rPr>
        <w:t>Ietekme uz vispārējā konsolidētā kopbudžeta ieņēmumiem (%)</w:t>
      </w:r>
      <w:r w:rsidRPr="00F57914">
        <w:rPr>
          <w:rFonts w:ascii="Verdana Pro Cond Light" w:eastAsia="Times New Roman" w:hAnsi="Verdana Pro Cond Light"/>
          <w:b/>
          <w:bCs/>
          <w:sz w:val="18"/>
          <w:szCs w:val="18"/>
          <w:lang w:eastAsia="lv-LV"/>
        </w:rPr>
        <w:tab/>
        <w:t>Ietekme uz atsevišķu nodokļu ieņēmumiem (%)</w:t>
      </w:r>
    </w:p>
    <w:p w14:paraId="74ECAD1B" w14:textId="77777777" w:rsidR="00812A72" w:rsidRPr="00F57914" w:rsidRDefault="00812A72" w:rsidP="00812A72">
      <w:pPr>
        <w:widowControl/>
        <w:tabs>
          <w:tab w:val="center" w:pos="2410"/>
          <w:tab w:val="center" w:pos="7230"/>
        </w:tabs>
        <w:spacing w:after="120" w:line="240" w:lineRule="auto"/>
        <w:rPr>
          <w:rFonts w:ascii="Verdana Pro Cond Light" w:eastAsia="Times New Roman" w:hAnsi="Verdana Pro Cond Light"/>
          <w:b/>
          <w:bCs/>
          <w:sz w:val="18"/>
          <w:szCs w:val="18"/>
          <w:lang w:eastAsia="lv-LV"/>
        </w:rPr>
      </w:pPr>
      <w:r w:rsidRPr="00D804CB">
        <w:rPr>
          <w:rFonts w:ascii="Minion Pro" w:hAnsi="Minion Pro" w:cstheme="minorHAnsi"/>
          <w:noProof/>
          <w:sz w:val="24"/>
          <w:szCs w:val="24"/>
        </w:rPr>
        <w:drawing>
          <wp:inline distT="0" distB="0" distL="0" distR="0" wp14:anchorId="192D5C7F" wp14:editId="316C365D">
            <wp:extent cx="3060000" cy="2160000"/>
            <wp:effectExtent l="0" t="0" r="0" b="0"/>
            <wp:docPr id="2038426334" name="Chart 2038426334">
              <a:extLst xmlns:a="http://schemas.openxmlformats.org/drawingml/2006/main">
                <a:ext uri="{FF2B5EF4-FFF2-40B4-BE49-F238E27FC236}">
                  <a16:creationId xmlns:a16="http://schemas.microsoft.com/office/drawing/2014/main" id="{2DCBF45D-DE3F-2971-5D7A-6034F91B2D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r w:rsidRPr="00D804CB">
        <w:rPr>
          <w:rFonts w:ascii="Minion Pro" w:hAnsi="Minion Pro" w:cstheme="minorHAnsi"/>
          <w:noProof/>
          <w:sz w:val="24"/>
          <w:szCs w:val="24"/>
        </w:rPr>
        <w:drawing>
          <wp:inline distT="0" distB="0" distL="0" distR="0" wp14:anchorId="137A66BE" wp14:editId="743FB17D">
            <wp:extent cx="3060000" cy="2160000"/>
            <wp:effectExtent l="0" t="0" r="0" b="0"/>
            <wp:docPr id="1659754762" name="Chart 1659754762">
              <a:extLst xmlns:a="http://schemas.openxmlformats.org/drawingml/2006/main">
                <a:ext uri="{FF2B5EF4-FFF2-40B4-BE49-F238E27FC236}">
                  <a16:creationId xmlns:a16="http://schemas.microsoft.com/office/drawing/2014/main" id="{E8729AA3-B962-A2D9-7C5A-6B606779FF6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36B9E3AA" w14:textId="77777777" w:rsidR="00812A72" w:rsidRDefault="00812A72" w:rsidP="00812A72">
      <w:pPr>
        <w:widowControl/>
        <w:spacing w:before="120" w:after="120" w:line="240" w:lineRule="auto"/>
        <w:jc w:val="both"/>
        <w:rPr>
          <w:rFonts w:ascii="Arial Nova Cond Light" w:eastAsia="Times New Roman" w:hAnsi="Arial Nova Cond Light"/>
          <w:sz w:val="16"/>
          <w:szCs w:val="24"/>
          <w:lang w:eastAsia="lv-LV"/>
        </w:rPr>
      </w:pPr>
      <w:r w:rsidRPr="00F57914">
        <w:rPr>
          <w:rFonts w:ascii="Arial Nova Cond Light" w:eastAsia="Times New Roman" w:hAnsi="Arial Nova Cond Light"/>
          <w:sz w:val="16"/>
          <w:szCs w:val="24"/>
          <w:lang w:eastAsia="lv-LV"/>
        </w:rPr>
        <w:t>Avots: autoru aprēķins, izmantojot VLA modeli.</w:t>
      </w:r>
    </w:p>
    <w:p w14:paraId="145FB82B" w14:textId="77777777" w:rsidR="00812A72" w:rsidRPr="00CB4E89" w:rsidRDefault="00812A72" w:rsidP="00812A72">
      <w:pPr>
        <w:widowControl/>
        <w:spacing w:after="120" w:line="240" w:lineRule="auto"/>
        <w:rPr>
          <w:rFonts w:ascii="Verdana Pro Cond Light" w:eastAsia="Times New Roman" w:hAnsi="Verdana Pro Cond Light"/>
          <w:lang w:eastAsia="lv-LV"/>
        </w:rPr>
      </w:pPr>
    </w:p>
    <w:p w14:paraId="37290112" w14:textId="02726B57" w:rsidR="00812A72" w:rsidRDefault="00812A72" w:rsidP="00812A72">
      <w:pPr>
        <w:widowControl/>
        <w:spacing w:after="160" w:line="259" w:lineRule="auto"/>
        <w:rPr>
          <w:rFonts w:ascii="Verdana Pro Cond Light" w:eastAsia="Times New Roman" w:hAnsi="Verdana Pro Cond Light" w:cstheme="minorHAnsi"/>
          <w:bCs/>
          <w:lang w:eastAsia="lv-LV"/>
        </w:rPr>
      </w:pPr>
    </w:p>
    <w:p w14:paraId="3B1AD2E6" w14:textId="77777777" w:rsidR="00812A72" w:rsidRPr="00CB4E89" w:rsidRDefault="00812A72" w:rsidP="00812A72">
      <w:pPr>
        <w:widowControl/>
        <w:spacing w:before="120" w:after="120" w:line="240" w:lineRule="auto"/>
        <w:jc w:val="right"/>
        <w:rPr>
          <w:rFonts w:ascii="Verdana Pro Cond Light" w:eastAsia="Times New Roman" w:hAnsi="Verdana Pro Cond Light" w:cstheme="minorHAnsi"/>
          <w:highlight w:val="yellow"/>
          <w:lang w:eastAsia="lv-LV"/>
        </w:rPr>
      </w:pPr>
      <w:r w:rsidRPr="00CB4E89">
        <w:rPr>
          <w:rFonts w:ascii="Verdana Pro Cond Light" w:eastAsia="Times New Roman" w:hAnsi="Verdana Pro Cond Light" w:cstheme="minorHAnsi"/>
          <w:bCs/>
          <w:lang w:eastAsia="lv-LV"/>
        </w:rPr>
        <w:t>6.</w:t>
      </w:r>
      <w:r>
        <w:rPr>
          <w:rFonts w:ascii="Verdana Pro Cond Light" w:eastAsia="Times New Roman" w:hAnsi="Verdana Pro Cond Light" w:cstheme="minorHAnsi"/>
          <w:bCs/>
          <w:lang w:eastAsia="lv-LV"/>
        </w:rPr>
        <w:t>7</w:t>
      </w:r>
      <w:r w:rsidRPr="00CB4E89">
        <w:rPr>
          <w:rFonts w:ascii="Verdana Pro Cond Light" w:eastAsia="Times New Roman" w:hAnsi="Verdana Pro Cond Light" w:cstheme="minorHAnsi"/>
          <w:bCs/>
          <w:lang w:eastAsia="lv-LV"/>
        </w:rPr>
        <w:t>. attēls</w:t>
      </w:r>
    </w:p>
    <w:p w14:paraId="0F19A6B6" w14:textId="77777777" w:rsidR="00812A72" w:rsidRPr="00CB4E89" w:rsidRDefault="00812A72" w:rsidP="00812A72">
      <w:pPr>
        <w:widowControl/>
        <w:spacing w:after="0" w:line="240" w:lineRule="auto"/>
        <w:jc w:val="center"/>
        <w:rPr>
          <w:rFonts w:ascii="Verdana Pro Cond Light" w:eastAsia="Times New Roman" w:hAnsi="Verdana Pro Cond Light"/>
          <w:b/>
          <w:bCs/>
          <w:lang w:eastAsia="lv-LV"/>
        </w:rPr>
      </w:pPr>
      <w:r w:rsidRPr="00CB4E89">
        <w:rPr>
          <w:rFonts w:ascii="Verdana Pro Cond Light" w:eastAsia="Times New Roman" w:hAnsi="Verdana Pro Cond Light"/>
          <w:b/>
          <w:bCs/>
          <w:lang w:eastAsia="lv-LV"/>
        </w:rPr>
        <w:t>ZIZIMM pasākumu ietekme uz pievienoto vērtību nozaru dalījumā</w:t>
      </w:r>
    </w:p>
    <w:p w14:paraId="661D4FD5" w14:textId="77777777" w:rsidR="00812A72" w:rsidRPr="00CB4E89" w:rsidRDefault="00812A72" w:rsidP="00812A72">
      <w:pPr>
        <w:widowControl/>
        <w:spacing w:after="120" w:line="240" w:lineRule="auto"/>
        <w:jc w:val="center"/>
        <w:rPr>
          <w:rFonts w:ascii="Verdana Pro Cond Light" w:eastAsia="Times New Roman" w:hAnsi="Verdana Pro Cond Light"/>
          <w:sz w:val="18"/>
          <w:szCs w:val="18"/>
          <w:lang w:eastAsia="lv-LV"/>
        </w:rPr>
      </w:pPr>
      <w:r w:rsidRPr="00CB4E89">
        <w:rPr>
          <w:rFonts w:ascii="Verdana Pro Cond Light" w:eastAsia="Times New Roman" w:hAnsi="Verdana Pro Cond Light"/>
          <w:sz w:val="18"/>
          <w:szCs w:val="18"/>
          <w:lang w:eastAsia="lv-LV"/>
        </w:rPr>
        <w:t>%; 2035. – 2039. gadā; salīdzinot ar bāzes scenāriju; 2015. gada cenās</w:t>
      </w:r>
    </w:p>
    <w:p w14:paraId="0D8C95AB" w14:textId="77777777" w:rsidR="00812A72" w:rsidRPr="00D804CB" w:rsidRDefault="00812A72" w:rsidP="00812A72">
      <w:pPr>
        <w:widowControl/>
        <w:spacing w:after="0" w:line="240" w:lineRule="auto"/>
        <w:jc w:val="center"/>
        <w:rPr>
          <w:rFonts w:ascii="Minion Pro" w:hAnsi="Minion Pro" w:cstheme="minorHAnsi"/>
          <w:b/>
          <w:bCs/>
          <w:sz w:val="24"/>
          <w:szCs w:val="24"/>
        </w:rPr>
      </w:pPr>
      <w:r w:rsidRPr="00D804CB">
        <w:rPr>
          <w:rFonts w:ascii="Minion Pro" w:hAnsi="Minion Pro" w:cstheme="minorHAnsi"/>
          <w:b/>
          <w:bCs/>
          <w:noProof/>
          <w:sz w:val="24"/>
          <w:szCs w:val="24"/>
        </w:rPr>
        <w:drawing>
          <wp:inline distT="0" distB="0" distL="0" distR="0" wp14:anchorId="579D96D4" wp14:editId="53B0174F">
            <wp:extent cx="6120000" cy="3600000"/>
            <wp:effectExtent l="0" t="0" r="0" b="0"/>
            <wp:docPr id="1246802625" name="Chart 1246802625">
              <a:extLst xmlns:a="http://schemas.openxmlformats.org/drawingml/2006/main">
                <a:ext uri="{FF2B5EF4-FFF2-40B4-BE49-F238E27FC236}">
                  <a16:creationId xmlns:a16="http://schemas.microsoft.com/office/drawing/2014/main" id="{9CA58CAF-2A31-E6CF-FFCA-A031A940653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65567B30" w14:textId="49D8CA90" w:rsidR="003A2F64" w:rsidRDefault="00812A72" w:rsidP="00812A72">
      <w:pPr>
        <w:widowControl/>
        <w:spacing w:before="120" w:after="120" w:line="240" w:lineRule="auto"/>
        <w:jc w:val="both"/>
        <w:rPr>
          <w:rFonts w:ascii="Arial Nova Cond Light" w:eastAsia="Times New Roman" w:hAnsi="Arial Nova Cond Light"/>
          <w:sz w:val="16"/>
          <w:szCs w:val="24"/>
          <w:lang w:eastAsia="lv-LV"/>
        </w:rPr>
      </w:pPr>
      <w:r w:rsidRPr="00CB4E89">
        <w:rPr>
          <w:rFonts w:ascii="Arial Nova Cond Light" w:eastAsia="Times New Roman" w:hAnsi="Arial Nova Cond Light"/>
          <w:sz w:val="16"/>
          <w:szCs w:val="24"/>
          <w:lang w:eastAsia="lv-LV"/>
        </w:rPr>
        <w:t>Avots: autoru aprēķins, izmantojot VLA modeli.</w:t>
      </w:r>
    </w:p>
    <w:p w14:paraId="1CDFD061" w14:textId="77777777" w:rsidR="003A2F64" w:rsidRDefault="003A2F64">
      <w:pPr>
        <w:widowControl/>
        <w:spacing w:after="160" w:line="259" w:lineRule="auto"/>
        <w:rPr>
          <w:rFonts w:ascii="Arial Nova Cond Light" w:eastAsia="Times New Roman" w:hAnsi="Arial Nova Cond Light"/>
          <w:sz w:val="16"/>
          <w:szCs w:val="24"/>
          <w:lang w:eastAsia="lv-LV"/>
        </w:rPr>
      </w:pPr>
      <w:r>
        <w:rPr>
          <w:rFonts w:ascii="Arial Nova Cond Light" w:eastAsia="Times New Roman" w:hAnsi="Arial Nova Cond Light"/>
          <w:sz w:val="16"/>
          <w:szCs w:val="24"/>
          <w:lang w:eastAsia="lv-LV"/>
        </w:rPr>
        <w:br w:type="page"/>
      </w:r>
    </w:p>
    <w:p w14:paraId="1E267462" w14:textId="77777777" w:rsidR="00812A72" w:rsidRPr="00CB4E89" w:rsidRDefault="00812A72" w:rsidP="00812A72">
      <w:pPr>
        <w:widowControl/>
        <w:spacing w:before="120" w:after="120" w:line="240" w:lineRule="auto"/>
        <w:jc w:val="right"/>
        <w:rPr>
          <w:rFonts w:ascii="Verdana Pro Cond Light" w:hAnsi="Verdana Pro Cond Light"/>
          <w:bCs/>
          <w:lang w:val="lv-LV"/>
        </w:rPr>
      </w:pPr>
      <w:r w:rsidRPr="00CB4E89">
        <w:rPr>
          <w:rFonts w:ascii="Verdana Pro Cond Light" w:hAnsi="Verdana Pro Cond Light"/>
          <w:bCs/>
          <w:lang w:val="lv-LV"/>
        </w:rPr>
        <w:lastRenderedPageBreak/>
        <w:t>6.1. tabula</w:t>
      </w:r>
    </w:p>
    <w:p w14:paraId="444B9C6F" w14:textId="77777777" w:rsidR="00812A72" w:rsidRDefault="00812A72" w:rsidP="00812A72">
      <w:pPr>
        <w:widowControl/>
        <w:spacing w:after="120" w:line="240" w:lineRule="auto"/>
        <w:jc w:val="center"/>
        <w:rPr>
          <w:rFonts w:ascii="Verdana Pro Cond Light" w:hAnsi="Verdana Pro Cond Light"/>
          <w:b/>
          <w:bCs/>
          <w:lang w:val="lv-LV"/>
        </w:rPr>
      </w:pPr>
      <w:r w:rsidRPr="00CB4E89">
        <w:rPr>
          <w:rFonts w:ascii="Verdana Pro Cond Light" w:hAnsi="Verdana Pro Cond Light"/>
          <w:b/>
          <w:bCs/>
          <w:lang w:val="lv-LV"/>
        </w:rPr>
        <w:t>ZIZIMM sektora pasākumu kopsavilkums</w:t>
      </w:r>
    </w:p>
    <w:tbl>
      <w:tblPr>
        <w:tblStyle w:val="TableGrid"/>
        <w:tblW w:w="963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1417"/>
        <w:gridCol w:w="1984"/>
        <w:gridCol w:w="3402"/>
      </w:tblGrid>
      <w:tr w:rsidR="00812A72" w:rsidRPr="00CB4E89" w14:paraId="0BEB2EDC" w14:textId="77777777" w:rsidTr="0002297E">
        <w:trPr>
          <w:cantSplit/>
          <w:trHeight w:val="20"/>
          <w:tblHeader/>
          <w:jc w:val="center"/>
        </w:trPr>
        <w:tc>
          <w:tcPr>
            <w:tcW w:w="2835" w:type="dxa"/>
            <w:shd w:val="clear" w:color="auto" w:fill="4472C4" w:themeFill="accent1"/>
          </w:tcPr>
          <w:p w14:paraId="23BD1715" w14:textId="77777777" w:rsidR="00812A72" w:rsidRPr="00CB4E89" w:rsidRDefault="00812A72" w:rsidP="0002297E">
            <w:pPr>
              <w:widowControl/>
              <w:spacing w:before="40" w:after="40" w:line="240" w:lineRule="auto"/>
              <w:jc w:val="center"/>
              <w:rPr>
                <w:rFonts w:asciiTheme="majorHAnsi" w:hAnsiTheme="majorHAnsi" w:cstheme="majorHAnsi"/>
                <w:b/>
                <w:bCs/>
                <w:color w:val="FFFFFF" w:themeColor="background1"/>
                <w:sz w:val="16"/>
                <w:szCs w:val="16"/>
                <w:lang w:val="lv-LV"/>
              </w:rPr>
            </w:pPr>
            <w:r w:rsidRPr="00CB4E89">
              <w:rPr>
                <w:rFonts w:asciiTheme="majorHAnsi" w:hAnsiTheme="majorHAnsi" w:cstheme="majorHAnsi"/>
                <w:b/>
                <w:bCs/>
                <w:color w:val="FFFFFF" w:themeColor="background1"/>
                <w:sz w:val="16"/>
                <w:szCs w:val="16"/>
                <w:lang w:val="lv-LV"/>
              </w:rPr>
              <w:t>Pasākums</w:t>
            </w:r>
          </w:p>
        </w:tc>
        <w:tc>
          <w:tcPr>
            <w:tcW w:w="1417" w:type="dxa"/>
            <w:shd w:val="clear" w:color="auto" w:fill="4472C4" w:themeFill="accent1"/>
          </w:tcPr>
          <w:p w14:paraId="282B426B" w14:textId="77777777" w:rsidR="00812A72" w:rsidRPr="00CB4E89" w:rsidRDefault="00812A72" w:rsidP="0002297E">
            <w:pPr>
              <w:widowControl/>
              <w:spacing w:before="40" w:after="40" w:line="240" w:lineRule="auto"/>
              <w:jc w:val="center"/>
              <w:rPr>
                <w:rFonts w:asciiTheme="majorHAnsi" w:hAnsiTheme="majorHAnsi" w:cstheme="majorHAnsi"/>
                <w:b/>
                <w:bCs/>
                <w:color w:val="FFFFFF" w:themeColor="background1"/>
                <w:sz w:val="16"/>
                <w:szCs w:val="16"/>
                <w:lang w:val="lv-LV"/>
              </w:rPr>
            </w:pPr>
            <w:r w:rsidRPr="00CB4E89">
              <w:rPr>
                <w:rFonts w:asciiTheme="majorHAnsi" w:hAnsiTheme="majorHAnsi" w:cstheme="majorHAnsi"/>
                <w:b/>
                <w:bCs/>
                <w:color w:val="FFFFFF" w:themeColor="background1"/>
                <w:sz w:val="16"/>
                <w:szCs w:val="16"/>
                <w:lang w:val="lv-LV"/>
              </w:rPr>
              <w:t>Nozare</w:t>
            </w:r>
          </w:p>
        </w:tc>
        <w:tc>
          <w:tcPr>
            <w:tcW w:w="1984" w:type="dxa"/>
            <w:shd w:val="clear" w:color="auto" w:fill="4472C4" w:themeFill="accent1"/>
          </w:tcPr>
          <w:p w14:paraId="1E9FC8C8" w14:textId="77777777" w:rsidR="00812A72" w:rsidRPr="00CB4E89" w:rsidRDefault="00812A72" w:rsidP="0002297E">
            <w:pPr>
              <w:widowControl/>
              <w:spacing w:before="40" w:after="40" w:line="240" w:lineRule="auto"/>
              <w:jc w:val="center"/>
              <w:rPr>
                <w:rFonts w:asciiTheme="majorHAnsi" w:hAnsiTheme="majorHAnsi" w:cstheme="majorHAnsi"/>
                <w:b/>
                <w:bCs/>
                <w:color w:val="FFFFFF" w:themeColor="background1"/>
                <w:sz w:val="16"/>
                <w:szCs w:val="16"/>
                <w:lang w:val="lv-LV"/>
              </w:rPr>
            </w:pPr>
            <w:r w:rsidRPr="00CB4E89">
              <w:rPr>
                <w:rFonts w:asciiTheme="majorHAnsi" w:hAnsiTheme="majorHAnsi" w:cstheme="majorHAnsi"/>
                <w:b/>
                <w:bCs/>
                <w:color w:val="FFFFFF" w:themeColor="background1"/>
                <w:sz w:val="16"/>
                <w:szCs w:val="16"/>
                <w:lang w:val="lv-LV"/>
              </w:rPr>
              <w:t>Finansējums</w:t>
            </w:r>
          </w:p>
        </w:tc>
        <w:tc>
          <w:tcPr>
            <w:tcW w:w="3402" w:type="dxa"/>
            <w:shd w:val="clear" w:color="auto" w:fill="4472C4" w:themeFill="accent1"/>
          </w:tcPr>
          <w:p w14:paraId="72E66630" w14:textId="77777777" w:rsidR="00812A72" w:rsidRPr="00CB4E89" w:rsidRDefault="00812A72" w:rsidP="0002297E">
            <w:pPr>
              <w:widowControl/>
              <w:spacing w:before="40" w:after="40" w:line="240" w:lineRule="auto"/>
              <w:jc w:val="center"/>
              <w:rPr>
                <w:rFonts w:asciiTheme="majorHAnsi" w:hAnsiTheme="majorHAnsi" w:cstheme="majorHAnsi"/>
                <w:b/>
                <w:bCs/>
                <w:color w:val="FFFFFF" w:themeColor="background1"/>
                <w:sz w:val="16"/>
                <w:szCs w:val="16"/>
                <w:lang w:val="lv-LV"/>
              </w:rPr>
            </w:pPr>
            <w:r w:rsidRPr="00CB4E89">
              <w:rPr>
                <w:rFonts w:asciiTheme="majorHAnsi" w:hAnsiTheme="majorHAnsi" w:cstheme="majorHAnsi"/>
                <w:b/>
                <w:bCs/>
                <w:color w:val="FFFFFF" w:themeColor="background1"/>
                <w:sz w:val="16"/>
                <w:szCs w:val="16"/>
                <w:lang w:val="lv-LV"/>
              </w:rPr>
              <w:t>Finansējuma avots</w:t>
            </w:r>
          </w:p>
        </w:tc>
      </w:tr>
      <w:tr w:rsidR="00812A72" w:rsidRPr="004C4A33" w14:paraId="3B809C29" w14:textId="77777777" w:rsidTr="0002297E">
        <w:trPr>
          <w:jc w:val="center"/>
        </w:trPr>
        <w:tc>
          <w:tcPr>
            <w:tcW w:w="2835" w:type="dxa"/>
            <w:shd w:val="clear" w:color="auto" w:fill="D9E2F3" w:themeFill="accent1" w:themeFillTint="33"/>
          </w:tcPr>
          <w:p w14:paraId="5871654B" w14:textId="77777777" w:rsidR="00812A72" w:rsidRPr="00CB4E89" w:rsidRDefault="00812A72" w:rsidP="0002297E">
            <w:pPr>
              <w:widowControl/>
              <w:spacing w:before="40" w:after="40" w:line="240" w:lineRule="auto"/>
              <w:rPr>
                <w:rFonts w:asciiTheme="majorHAnsi" w:hAnsiTheme="majorHAnsi" w:cstheme="majorHAnsi"/>
                <w:b/>
                <w:bCs/>
                <w:sz w:val="16"/>
                <w:szCs w:val="16"/>
                <w:lang w:val="lv-LV"/>
              </w:rPr>
            </w:pPr>
            <w:r w:rsidRPr="00CB4E89">
              <w:rPr>
                <w:rFonts w:asciiTheme="majorHAnsi" w:hAnsiTheme="majorHAnsi" w:cstheme="majorHAnsi"/>
                <w:sz w:val="16"/>
                <w:szCs w:val="16"/>
                <w:lang w:val="lv-LV"/>
              </w:rPr>
              <w:t>3.1.6.1.</w:t>
            </w:r>
            <w:r>
              <w:rPr>
                <w:rFonts w:asciiTheme="majorHAnsi" w:hAnsiTheme="majorHAnsi" w:cstheme="majorHAnsi"/>
                <w:sz w:val="16"/>
                <w:szCs w:val="16"/>
                <w:lang w:val="lv-LV"/>
              </w:rPr>
              <w:t xml:space="preserve"> </w:t>
            </w:r>
            <w:r w:rsidRPr="00CB4E89">
              <w:rPr>
                <w:rFonts w:asciiTheme="majorHAnsi" w:hAnsiTheme="majorHAnsi" w:cstheme="majorHAnsi"/>
                <w:sz w:val="16"/>
                <w:szCs w:val="16"/>
                <w:lang w:val="lv-LV"/>
              </w:rPr>
              <w:t xml:space="preserve">Minerālmēslojuma pielietošana sausieņos un āreņos </w:t>
            </w:r>
          </w:p>
        </w:tc>
        <w:tc>
          <w:tcPr>
            <w:tcW w:w="1417" w:type="dxa"/>
            <w:shd w:val="clear" w:color="auto" w:fill="D9E2F3" w:themeFill="accent1" w:themeFillTint="33"/>
          </w:tcPr>
          <w:p w14:paraId="1147D101" w14:textId="77777777" w:rsidR="00812A72" w:rsidRPr="006B7AB1" w:rsidRDefault="00812A72" w:rsidP="0002297E">
            <w:pPr>
              <w:widowControl/>
              <w:spacing w:before="40" w:after="40" w:line="240" w:lineRule="auto"/>
              <w:rPr>
                <w:rFonts w:asciiTheme="majorHAnsi" w:hAnsiTheme="majorHAnsi" w:cstheme="majorHAnsi"/>
                <w:b/>
                <w:bCs/>
                <w:color w:val="000000" w:themeColor="text1"/>
                <w:sz w:val="16"/>
                <w:szCs w:val="16"/>
                <w:lang w:val="lv-LV"/>
              </w:rPr>
            </w:pPr>
            <w:r w:rsidRPr="006B7AB1">
              <w:rPr>
                <w:rFonts w:asciiTheme="majorHAnsi" w:hAnsiTheme="majorHAnsi" w:cstheme="majorHAnsi"/>
                <w:color w:val="000000" w:themeColor="text1"/>
                <w:sz w:val="16"/>
                <w:szCs w:val="16"/>
                <w:lang w:val="lv-LV"/>
              </w:rPr>
              <w:t xml:space="preserve">Lauksaimniecība </w:t>
            </w:r>
          </w:p>
        </w:tc>
        <w:tc>
          <w:tcPr>
            <w:tcW w:w="1984" w:type="dxa"/>
            <w:shd w:val="clear" w:color="auto" w:fill="D9E2F3" w:themeFill="accent1" w:themeFillTint="33"/>
          </w:tcPr>
          <w:p w14:paraId="0B29D647" w14:textId="77777777" w:rsidR="00812A72" w:rsidRPr="00CB4E89" w:rsidRDefault="00812A72" w:rsidP="0002297E">
            <w:pPr>
              <w:widowControl/>
              <w:spacing w:before="40" w:after="40" w:line="240" w:lineRule="auto"/>
              <w:rPr>
                <w:rFonts w:asciiTheme="majorHAnsi" w:hAnsiTheme="majorHAnsi" w:cstheme="majorHAnsi"/>
                <w:b/>
                <w:bCs/>
                <w:sz w:val="16"/>
                <w:szCs w:val="16"/>
                <w:lang w:val="lv-LV"/>
              </w:rPr>
            </w:pPr>
            <w:r w:rsidRPr="00CB4E89">
              <w:rPr>
                <w:rFonts w:asciiTheme="majorHAnsi" w:hAnsiTheme="majorHAnsi" w:cstheme="majorHAnsi"/>
                <w:sz w:val="16"/>
                <w:szCs w:val="16"/>
                <w:lang w:val="lv-LV"/>
              </w:rPr>
              <w:t xml:space="preserve">7,4 milj.eiro 2026.-2030. gadā: 1,48 milj. eiro katru gadu. </w:t>
            </w:r>
          </w:p>
        </w:tc>
        <w:tc>
          <w:tcPr>
            <w:tcW w:w="3402" w:type="dxa"/>
            <w:shd w:val="clear" w:color="auto" w:fill="D9E2F3" w:themeFill="accent1" w:themeFillTint="33"/>
          </w:tcPr>
          <w:p w14:paraId="5F0E1D22" w14:textId="77777777" w:rsidR="00812A72" w:rsidRPr="00CB4E89" w:rsidRDefault="00812A72" w:rsidP="0002297E">
            <w:pPr>
              <w:widowControl/>
              <w:spacing w:before="40" w:after="40" w:line="240" w:lineRule="auto"/>
              <w:rPr>
                <w:rFonts w:asciiTheme="majorHAnsi" w:eastAsia="Times New Roman" w:hAnsiTheme="majorHAnsi" w:cstheme="majorHAnsi"/>
                <w:b/>
                <w:bCs/>
                <w:color w:val="000000"/>
                <w:sz w:val="16"/>
                <w:szCs w:val="16"/>
                <w:lang w:val="lv-LV" w:eastAsia="lv-LV"/>
              </w:rPr>
            </w:pPr>
            <w:r w:rsidRPr="00CB4E89">
              <w:rPr>
                <w:rFonts w:asciiTheme="majorHAnsi" w:hAnsiTheme="majorHAnsi" w:cstheme="majorHAnsi"/>
                <w:b/>
                <w:bCs/>
                <w:sz w:val="16"/>
                <w:szCs w:val="16"/>
                <w:lang w:val="lv-LV"/>
              </w:rPr>
              <w:t>54 %</w:t>
            </w:r>
            <w:r>
              <w:rPr>
                <w:rFonts w:asciiTheme="majorHAnsi" w:hAnsiTheme="majorHAnsi" w:cstheme="majorHAnsi"/>
                <w:sz w:val="16"/>
                <w:szCs w:val="16"/>
                <w:lang w:val="lv-LV"/>
              </w:rPr>
              <w:t xml:space="preserve"> – </w:t>
            </w:r>
            <w:r w:rsidRPr="00CB4E89">
              <w:rPr>
                <w:rFonts w:asciiTheme="majorHAnsi" w:hAnsiTheme="majorHAnsi" w:cstheme="majorHAnsi"/>
                <w:sz w:val="16"/>
                <w:szCs w:val="16"/>
                <w:lang w:val="lv-LV"/>
              </w:rPr>
              <w:t>nacionālais publiskais finansējums, kas</w:t>
            </w:r>
            <w:r>
              <w:rPr>
                <w:rFonts w:asciiTheme="majorHAnsi" w:hAnsiTheme="majorHAnsi" w:cstheme="majorHAnsi"/>
                <w:sz w:val="16"/>
                <w:szCs w:val="16"/>
                <w:lang w:val="lv-LV"/>
              </w:rPr>
              <w:t xml:space="preserve"> </w:t>
            </w:r>
            <w:r w:rsidRPr="00CB4E89">
              <w:rPr>
                <w:rFonts w:asciiTheme="majorHAnsi" w:hAnsiTheme="majorHAnsi" w:cstheme="majorHAnsi"/>
                <w:sz w:val="16"/>
                <w:szCs w:val="16"/>
                <w:lang w:val="lv-LV"/>
              </w:rPr>
              <w:t xml:space="preserve">aizstāj citus budžeta izdevumus. </w:t>
            </w:r>
            <w:r>
              <w:rPr>
                <w:rFonts w:asciiTheme="majorHAnsi" w:hAnsiTheme="majorHAnsi" w:cstheme="majorHAnsi"/>
                <w:sz w:val="16"/>
                <w:szCs w:val="16"/>
                <w:lang w:val="lv-LV"/>
              </w:rPr>
              <w:br/>
            </w:r>
            <w:r w:rsidRPr="00CB4E89">
              <w:rPr>
                <w:rFonts w:asciiTheme="majorHAnsi" w:hAnsiTheme="majorHAnsi" w:cstheme="majorHAnsi"/>
                <w:b/>
                <w:bCs/>
                <w:sz w:val="16"/>
                <w:szCs w:val="16"/>
                <w:lang w:val="lv-LV"/>
              </w:rPr>
              <w:t>27 %</w:t>
            </w:r>
            <w:r>
              <w:rPr>
                <w:rFonts w:asciiTheme="majorHAnsi" w:hAnsiTheme="majorHAnsi" w:cstheme="majorHAnsi"/>
                <w:sz w:val="16"/>
                <w:szCs w:val="16"/>
                <w:lang w:val="lv-LV"/>
              </w:rPr>
              <w:t xml:space="preserve"> – </w:t>
            </w:r>
            <w:r w:rsidRPr="00CB4E89">
              <w:rPr>
                <w:rFonts w:asciiTheme="majorHAnsi" w:hAnsiTheme="majorHAnsi" w:cstheme="majorHAnsi"/>
                <w:sz w:val="16"/>
                <w:szCs w:val="16"/>
                <w:lang w:val="lv-LV"/>
              </w:rPr>
              <w:t xml:space="preserve">Latvijas privāto uzņēmumu finansējums. </w:t>
            </w:r>
            <w:r>
              <w:rPr>
                <w:rFonts w:asciiTheme="majorHAnsi" w:hAnsiTheme="majorHAnsi" w:cstheme="majorHAnsi"/>
                <w:sz w:val="16"/>
                <w:szCs w:val="16"/>
                <w:lang w:val="lv-LV"/>
              </w:rPr>
              <w:br/>
            </w:r>
            <w:r w:rsidRPr="00CB4E89">
              <w:rPr>
                <w:rFonts w:asciiTheme="majorHAnsi" w:hAnsiTheme="majorHAnsi" w:cstheme="majorHAnsi"/>
                <w:b/>
                <w:bCs/>
                <w:sz w:val="16"/>
                <w:szCs w:val="16"/>
                <w:lang w:val="lv-LV"/>
              </w:rPr>
              <w:t>19 %</w:t>
            </w:r>
            <w:r>
              <w:rPr>
                <w:rFonts w:asciiTheme="majorHAnsi" w:hAnsiTheme="majorHAnsi" w:cstheme="majorHAnsi"/>
                <w:sz w:val="16"/>
                <w:szCs w:val="16"/>
                <w:lang w:val="lv-LV"/>
              </w:rPr>
              <w:t xml:space="preserve"> – </w:t>
            </w:r>
            <w:r w:rsidRPr="00CB4E89">
              <w:rPr>
                <w:rFonts w:asciiTheme="majorHAnsi" w:hAnsiTheme="majorHAnsi" w:cstheme="majorHAnsi"/>
                <w:sz w:val="16"/>
                <w:szCs w:val="16"/>
                <w:lang w:val="lv-LV"/>
              </w:rPr>
              <w:t xml:space="preserve">ārvalstu uzņēmumu finansējums. </w:t>
            </w:r>
          </w:p>
        </w:tc>
      </w:tr>
      <w:tr w:rsidR="00812A72" w:rsidRPr="004C4A33" w14:paraId="69D6FC33" w14:textId="77777777" w:rsidTr="0002297E">
        <w:trPr>
          <w:jc w:val="center"/>
        </w:trPr>
        <w:tc>
          <w:tcPr>
            <w:tcW w:w="2835" w:type="dxa"/>
            <w:shd w:val="clear" w:color="auto" w:fill="B4C6E7" w:themeFill="accent1" w:themeFillTint="66"/>
          </w:tcPr>
          <w:p w14:paraId="4FF39F92" w14:textId="77777777" w:rsidR="00812A72" w:rsidRPr="00CB4E89" w:rsidRDefault="00812A72" w:rsidP="0002297E">
            <w:pPr>
              <w:widowControl/>
              <w:spacing w:before="40" w:after="40" w:line="240" w:lineRule="auto"/>
              <w:rPr>
                <w:rFonts w:asciiTheme="majorHAnsi" w:hAnsiTheme="majorHAnsi" w:cstheme="majorHAnsi"/>
                <w:sz w:val="16"/>
                <w:szCs w:val="16"/>
                <w:lang w:val="lv-LV"/>
              </w:rPr>
            </w:pPr>
            <w:r w:rsidRPr="00CB4E89">
              <w:rPr>
                <w:rFonts w:asciiTheme="majorHAnsi" w:hAnsiTheme="majorHAnsi" w:cstheme="majorHAnsi"/>
                <w:sz w:val="16"/>
                <w:szCs w:val="16"/>
                <w:lang w:val="lv-LV"/>
              </w:rPr>
              <w:t xml:space="preserve">3.1.6.2. Augsnes ielabošana kūdreņos, izmantojot koksnes pelnus </w:t>
            </w:r>
          </w:p>
        </w:tc>
        <w:tc>
          <w:tcPr>
            <w:tcW w:w="1417" w:type="dxa"/>
            <w:shd w:val="clear" w:color="auto" w:fill="B4C6E7" w:themeFill="accent1" w:themeFillTint="66"/>
          </w:tcPr>
          <w:p w14:paraId="503D733D" w14:textId="77777777" w:rsidR="00812A72" w:rsidRPr="006B7AB1" w:rsidRDefault="00812A72" w:rsidP="0002297E">
            <w:pPr>
              <w:widowControl/>
              <w:spacing w:before="40" w:after="40" w:line="240" w:lineRule="auto"/>
              <w:rPr>
                <w:rFonts w:asciiTheme="majorHAnsi" w:hAnsiTheme="majorHAnsi" w:cstheme="majorHAnsi"/>
                <w:color w:val="000000" w:themeColor="text1"/>
                <w:sz w:val="16"/>
                <w:szCs w:val="16"/>
                <w:lang w:val="lv-LV"/>
              </w:rPr>
            </w:pPr>
            <w:r w:rsidRPr="006B7AB1">
              <w:rPr>
                <w:rFonts w:asciiTheme="majorHAnsi" w:hAnsiTheme="majorHAnsi" w:cstheme="majorHAnsi"/>
                <w:color w:val="000000" w:themeColor="text1"/>
                <w:sz w:val="16"/>
                <w:szCs w:val="16"/>
                <w:lang w:val="lv-LV"/>
              </w:rPr>
              <w:t>Lauksaimniecība</w:t>
            </w:r>
          </w:p>
        </w:tc>
        <w:tc>
          <w:tcPr>
            <w:tcW w:w="1984" w:type="dxa"/>
            <w:shd w:val="clear" w:color="auto" w:fill="B4C6E7" w:themeFill="accent1" w:themeFillTint="66"/>
          </w:tcPr>
          <w:p w14:paraId="607AC4C6" w14:textId="77777777" w:rsidR="00812A72" w:rsidRPr="00CB4E89" w:rsidRDefault="00812A72" w:rsidP="0002297E">
            <w:pPr>
              <w:widowControl/>
              <w:spacing w:before="40" w:after="40" w:line="240" w:lineRule="auto"/>
              <w:rPr>
                <w:rFonts w:asciiTheme="majorHAnsi" w:hAnsiTheme="majorHAnsi" w:cstheme="majorHAnsi"/>
                <w:sz w:val="16"/>
                <w:szCs w:val="16"/>
                <w:lang w:val="lv-LV"/>
              </w:rPr>
            </w:pPr>
            <w:r w:rsidRPr="00CB4E89">
              <w:rPr>
                <w:rFonts w:asciiTheme="majorHAnsi" w:hAnsiTheme="majorHAnsi" w:cstheme="majorHAnsi"/>
                <w:sz w:val="16"/>
                <w:szCs w:val="16"/>
                <w:lang w:val="lv-LV"/>
              </w:rPr>
              <w:t>2,6 milj.eiro 2026.-2030. gadā: 0,52 milj. eiro katru gadu.</w:t>
            </w:r>
          </w:p>
        </w:tc>
        <w:tc>
          <w:tcPr>
            <w:tcW w:w="3402" w:type="dxa"/>
            <w:shd w:val="clear" w:color="auto" w:fill="B4C6E7" w:themeFill="accent1" w:themeFillTint="66"/>
          </w:tcPr>
          <w:p w14:paraId="60DBC30F" w14:textId="77777777" w:rsidR="00812A72" w:rsidRPr="00CB4E89" w:rsidRDefault="00812A72" w:rsidP="0002297E">
            <w:pPr>
              <w:widowControl/>
              <w:spacing w:before="40" w:after="40" w:line="240" w:lineRule="auto"/>
              <w:rPr>
                <w:rFonts w:asciiTheme="majorHAnsi" w:eastAsia="Times New Roman" w:hAnsiTheme="majorHAnsi" w:cstheme="majorHAnsi"/>
                <w:color w:val="000000"/>
                <w:sz w:val="16"/>
                <w:szCs w:val="16"/>
                <w:lang w:val="lv-LV" w:eastAsia="lv-LV"/>
              </w:rPr>
            </w:pPr>
            <w:r w:rsidRPr="00CB4E89">
              <w:rPr>
                <w:rFonts w:asciiTheme="majorHAnsi" w:hAnsiTheme="majorHAnsi" w:cstheme="majorHAnsi"/>
                <w:b/>
                <w:bCs/>
                <w:sz w:val="16"/>
                <w:szCs w:val="16"/>
                <w:lang w:val="lv-LV"/>
              </w:rPr>
              <w:t>77 %</w:t>
            </w:r>
            <w:r>
              <w:rPr>
                <w:rFonts w:asciiTheme="majorHAnsi" w:hAnsiTheme="majorHAnsi" w:cstheme="majorHAnsi"/>
                <w:sz w:val="16"/>
                <w:szCs w:val="16"/>
                <w:lang w:val="lv-LV"/>
              </w:rPr>
              <w:t xml:space="preserve"> – </w:t>
            </w:r>
            <w:r w:rsidRPr="00CB4E89">
              <w:rPr>
                <w:rFonts w:asciiTheme="majorHAnsi" w:hAnsiTheme="majorHAnsi" w:cstheme="majorHAnsi"/>
                <w:sz w:val="16"/>
                <w:szCs w:val="16"/>
                <w:lang w:val="lv-LV"/>
              </w:rPr>
              <w:t>nacionālais publiskais finansējums, kas</w:t>
            </w:r>
            <w:r>
              <w:rPr>
                <w:rFonts w:asciiTheme="majorHAnsi" w:hAnsiTheme="majorHAnsi" w:cstheme="majorHAnsi"/>
                <w:sz w:val="16"/>
                <w:szCs w:val="16"/>
                <w:lang w:val="lv-LV"/>
              </w:rPr>
              <w:t xml:space="preserve"> </w:t>
            </w:r>
            <w:r w:rsidRPr="00CB4E89">
              <w:rPr>
                <w:rFonts w:asciiTheme="majorHAnsi" w:hAnsiTheme="majorHAnsi" w:cstheme="majorHAnsi"/>
                <w:sz w:val="16"/>
                <w:szCs w:val="16"/>
                <w:lang w:val="lv-LV"/>
              </w:rPr>
              <w:t xml:space="preserve">aizstāj citus budžeta izdevumus. </w:t>
            </w:r>
            <w:r>
              <w:rPr>
                <w:rFonts w:asciiTheme="majorHAnsi" w:hAnsiTheme="majorHAnsi" w:cstheme="majorHAnsi"/>
                <w:sz w:val="16"/>
                <w:szCs w:val="16"/>
                <w:lang w:val="lv-LV"/>
              </w:rPr>
              <w:br/>
            </w:r>
            <w:r w:rsidRPr="00CB4E89">
              <w:rPr>
                <w:rFonts w:asciiTheme="majorHAnsi" w:hAnsiTheme="majorHAnsi" w:cstheme="majorHAnsi"/>
                <w:b/>
                <w:bCs/>
                <w:sz w:val="16"/>
                <w:szCs w:val="16"/>
                <w:lang w:val="lv-LV"/>
              </w:rPr>
              <w:t>23 %</w:t>
            </w:r>
            <w:r>
              <w:rPr>
                <w:rFonts w:asciiTheme="majorHAnsi" w:hAnsiTheme="majorHAnsi" w:cstheme="majorHAnsi"/>
                <w:sz w:val="16"/>
                <w:szCs w:val="16"/>
                <w:lang w:val="lv-LV"/>
              </w:rPr>
              <w:t xml:space="preserve"> – </w:t>
            </w:r>
            <w:r w:rsidRPr="00CB4E89">
              <w:rPr>
                <w:rFonts w:asciiTheme="majorHAnsi" w:hAnsiTheme="majorHAnsi" w:cstheme="majorHAnsi"/>
                <w:sz w:val="16"/>
                <w:szCs w:val="16"/>
                <w:lang w:val="lv-LV"/>
              </w:rPr>
              <w:t xml:space="preserve">Latvijas privāto uzņēmumu finansējums. </w:t>
            </w:r>
          </w:p>
        </w:tc>
      </w:tr>
      <w:tr w:rsidR="00812A72" w:rsidRPr="00AB3438" w14:paraId="459E4FA3" w14:textId="77777777" w:rsidTr="0002297E">
        <w:trPr>
          <w:jc w:val="center"/>
        </w:trPr>
        <w:tc>
          <w:tcPr>
            <w:tcW w:w="2835" w:type="dxa"/>
            <w:shd w:val="clear" w:color="auto" w:fill="D9E2F3" w:themeFill="accent1" w:themeFillTint="33"/>
          </w:tcPr>
          <w:p w14:paraId="779623FD" w14:textId="77777777" w:rsidR="00812A72" w:rsidRPr="00CB4E89" w:rsidRDefault="00812A72" w:rsidP="0002297E">
            <w:pPr>
              <w:widowControl/>
              <w:spacing w:before="40" w:after="40" w:line="240" w:lineRule="auto"/>
              <w:rPr>
                <w:rFonts w:asciiTheme="majorHAnsi" w:hAnsiTheme="majorHAnsi" w:cstheme="majorHAnsi"/>
                <w:sz w:val="16"/>
                <w:szCs w:val="16"/>
                <w:lang w:val="lv-LV"/>
              </w:rPr>
            </w:pPr>
            <w:r w:rsidRPr="00CB4E89">
              <w:rPr>
                <w:rFonts w:asciiTheme="majorHAnsi" w:hAnsiTheme="majorHAnsi" w:cstheme="majorHAnsi"/>
                <w:sz w:val="16"/>
                <w:szCs w:val="16"/>
                <w:lang w:val="lv-LV"/>
              </w:rPr>
              <w:t xml:space="preserve">3.1.6.3. Pārmitro meža biotopu atjaunošana organiskajās augsnēs lauksaimniecībā izmantojamās zemēs. </w:t>
            </w:r>
          </w:p>
        </w:tc>
        <w:tc>
          <w:tcPr>
            <w:tcW w:w="1417" w:type="dxa"/>
            <w:shd w:val="clear" w:color="auto" w:fill="D9E2F3" w:themeFill="accent1" w:themeFillTint="33"/>
          </w:tcPr>
          <w:p w14:paraId="55EF9D97" w14:textId="77777777" w:rsidR="00812A72" w:rsidRPr="006B7AB1" w:rsidRDefault="00812A72" w:rsidP="0002297E">
            <w:pPr>
              <w:widowControl/>
              <w:spacing w:before="40" w:after="40" w:line="240" w:lineRule="auto"/>
              <w:rPr>
                <w:rFonts w:asciiTheme="majorHAnsi" w:hAnsiTheme="majorHAnsi" w:cstheme="majorHAnsi"/>
                <w:color w:val="000000" w:themeColor="text1"/>
                <w:sz w:val="16"/>
                <w:szCs w:val="16"/>
                <w:lang w:val="lv-LV"/>
              </w:rPr>
            </w:pPr>
            <w:r w:rsidRPr="006B7AB1">
              <w:rPr>
                <w:rFonts w:asciiTheme="majorHAnsi" w:hAnsiTheme="majorHAnsi" w:cstheme="majorHAnsi"/>
                <w:color w:val="000000" w:themeColor="text1"/>
                <w:sz w:val="16"/>
                <w:szCs w:val="16"/>
                <w:lang w:val="lv-LV"/>
              </w:rPr>
              <w:t>Lauksaimniecība</w:t>
            </w:r>
          </w:p>
        </w:tc>
        <w:tc>
          <w:tcPr>
            <w:tcW w:w="1984" w:type="dxa"/>
            <w:shd w:val="clear" w:color="auto" w:fill="D9E2F3" w:themeFill="accent1" w:themeFillTint="33"/>
          </w:tcPr>
          <w:p w14:paraId="647D8D49" w14:textId="77777777" w:rsidR="00812A72" w:rsidRPr="00CB4E89" w:rsidRDefault="00812A72" w:rsidP="0002297E">
            <w:pPr>
              <w:widowControl/>
              <w:spacing w:before="40" w:after="40" w:line="240" w:lineRule="auto"/>
              <w:rPr>
                <w:rFonts w:asciiTheme="majorHAnsi" w:hAnsiTheme="majorHAnsi" w:cstheme="majorHAnsi"/>
                <w:sz w:val="16"/>
                <w:szCs w:val="16"/>
                <w:lang w:val="lv-LV"/>
              </w:rPr>
            </w:pPr>
            <w:r w:rsidRPr="00CB4E89">
              <w:rPr>
                <w:rFonts w:asciiTheme="majorHAnsi" w:hAnsiTheme="majorHAnsi" w:cstheme="majorHAnsi"/>
                <w:sz w:val="16"/>
                <w:szCs w:val="16"/>
                <w:lang w:val="lv-LV"/>
              </w:rPr>
              <w:t xml:space="preserve">259,3 milj.eiro 2026.-2030. gadā: 51,86 milj. eiro katru gadu. </w:t>
            </w:r>
          </w:p>
        </w:tc>
        <w:tc>
          <w:tcPr>
            <w:tcW w:w="3402" w:type="dxa"/>
            <w:shd w:val="clear" w:color="auto" w:fill="D9E2F3" w:themeFill="accent1" w:themeFillTint="33"/>
          </w:tcPr>
          <w:p w14:paraId="3FA204C8" w14:textId="77777777" w:rsidR="00812A72" w:rsidRPr="00CB4E89" w:rsidRDefault="00812A72" w:rsidP="0002297E">
            <w:pPr>
              <w:widowControl/>
              <w:spacing w:before="40" w:after="40" w:line="240" w:lineRule="auto"/>
              <w:rPr>
                <w:rFonts w:asciiTheme="majorHAnsi" w:eastAsia="Times New Roman" w:hAnsiTheme="majorHAnsi" w:cstheme="majorHAnsi"/>
                <w:color w:val="000000"/>
                <w:sz w:val="16"/>
                <w:szCs w:val="16"/>
                <w:lang w:val="lv-LV" w:eastAsia="lv-LV"/>
              </w:rPr>
            </w:pPr>
            <w:r w:rsidRPr="00CB4E89">
              <w:rPr>
                <w:rFonts w:asciiTheme="majorHAnsi" w:hAnsiTheme="majorHAnsi" w:cstheme="majorHAnsi"/>
                <w:b/>
                <w:bCs/>
                <w:sz w:val="16"/>
                <w:szCs w:val="16"/>
                <w:lang w:val="lv-LV"/>
              </w:rPr>
              <w:t>19 %</w:t>
            </w:r>
            <w:r>
              <w:rPr>
                <w:rFonts w:asciiTheme="majorHAnsi" w:hAnsiTheme="majorHAnsi" w:cstheme="majorHAnsi"/>
                <w:sz w:val="16"/>
                <w:szCs w:val="16"/>
                <w:lang w:val="lv-LV"/>
              </w:rPr>
              <w:t xml:space="preserve"> – </w:t>
            </w:r>
            <w:r w:rsidRPr="00CB4E89">
              <w:rPr>
                <w:rFonts w:asciiTheme="majorHAnsi" w:hAnsiTheme="majorHAnsi" w:cstheme="majorHAnsi"/>
                <w:sz w:val="16"/>
                <w:szCs w:val="16"/>
                <w:lang w:val="lv-LV"/>
              </w:rPr>
              <w:t xml:space="preserve">nacionālais publiskais finansējums papildu izdevumu veidā. </w:t>
            </w:r>
            <w:r>
              <w:rPr>
                <w:rFonts w:asciiTheme="majorHAnsi" w:hAnsiTheme="majorHAnsi" w:cstheme="majorHAnsi"/>
                <w:sz w:val="16"/>
                <w:szCs w:val="16"/>
                <w:lang w:val="lv-LV"/>
              </w:rPr>
              <w:br/>
            </w:r>
            <w:r w:rsidRPr="00CB4E89">
              <w:rPr>
                <w:rFonts w:asciiTheme="majorHAnsi" w:hAnsiTheme="majorHAnsi" w:cstheme="majorHAnsi"/>
                <w:b/>
                <w:bCs/>
                <w:sz w:val="16"/>
                <w:szCs w:val="16"/>
                <w:lang w:val="lv-LV"/>
              </w:rPr>
              <w:t>42 %</w:t>
            </w:r>
            <w:r>
              <w:rPr>
                <w:rFonts w:asciiTheme="majorHAnsi" w:hAnsiTheme="majorHAnsi" w:cstheme="majorHAnsi"/>
                <w:sz w:val="16"/>
                <w:szCs w:val="16"/>
                <w:lang w:val="lv-LV"/>
              </w:rPr>
              <w:t xml:space="preserve"> – </w:t>
            </w:r>
            <w:r w:rsidRPr="00CB4E89">
              <w:rPr>
                <w:rFonts w:asciiTheme="majorHAnsi" w:hAnsiTheme="majorHAnsi" w:cstheme="majorHAnsi"/>
                <w:sz w:val="16"/>
                <w:szCs w:val="16"/>
                <w:lang w:val="lv-LV"/>
              </w:rPr>
              <w:t xml:space="preserve">Latvijas privāto uzņēmumu finansējums. </w:t>
            </w:r>
            <w:r>
              <w:rPr>
                <w:rFonts w:asciiTheme="majorHAnsi" w:hAnsiTheme="majorHAnsi" w:cstheme="majorHAnsi"/>
                <w:sz w:val="16"/>
                <w:szCs w:val="16"/>
                <w:lang w:val="lv-LV"/>
              </w:rPr>
              <w:br/>
            </w:r>
            <w:r w:rsidRPr="00CB4E89">
              <w:rPr>
                <w:rFonts w:asciiTheme="majorHAnsi" w:hAnsiTheme="majorHAnsi" w:cstheme="majorHAnsi"/>
                <w:b/>
                <w:bCs/>
                <w:sz w:val="16"/>
                <w:szCs w:val="16"/>
                <w:lang w:val="lv-LV"/>
              </w:rPr>
              <w:t>39 %</w:t>
            </w:r>
            <w:r>
              <w:rPr>
                <w:rFonts w:asciiTheme="majorHAnsi" w:hAnsiTheme="majorHAnsi" w:cstheme="majorHAnsi"/>
                <w:sz w:val="16"/>
                <w:szCs w:val="16"/>
                <w:lang w:val="lv-LV"/>
              </w:rPr>
              <w:t xml:space="preserve"> – </w:t>
            </w:r>
            <w:r w:rsidRPr="00CB4E89">
              <w:rPr>
                <w:rFonts w:asciiTheme="majorHAnsi" w:hAnsiTheme="majorHAnsi" w:cstheme="majorHAnsi"/>
                <w:sz w:val="16"/>
                <w:szCs w:val="16"/>
                <w:lang w:val="lv-LV"/>
              </w:rPr>
              <w:t>ārvalstu uzņēmumu finansējums.</w:t>
            </w:r>
          </w:p>
        </w:tc>
      </w:tr>
      <w:tr w:rsidR="00812A72" w:rsidRPr="00AB3438" w14:paraId="36BC1EFB" w14:textId="77777777" w:rsidTr="0002297E">
        <w:trPr>
          <w:jc w:val="center"/>
        </w:trPr>
        <w:tc>
          <w:tcPr>
            <w:tcW w:w="2835" w:type="dxa"/>
            <w:shd w:val="clear" w:color="auto" w:fill="B4C6E7" w:themeFill="accent1" w:themeFillTint="66"/>
          </w:tcPr>
          <w:p w14:paraId="6561F807" w14:textId="77777777" w:rsidR="00812A72" w:rsidRPr="00CB4E89" w:rsidRDefault="00812A72" w:rsidP="0002297E">
            <w:pPr>
              <w:widowControl/>
              <w:spacing w:before="40" w:after="40" w:line="240" w:lineRule="auto"/>
              <w:rPr>
                <w:rFonts w:asciiTheme="majorHAnsi" w:hAnsiTheme="majorHAnsi" w:cstheme="majorHAnsi"/>
                <w:sz w:val="16"/>
                <w:szCs w:val="16"/>
                <w:lang w:val="lv-LV"/>
              </w:rPr>
            </w:pPr>
            <w:r w:rsidRPr="00CB4E89">
              <w:rPr>
                <w:rFonts w:asciiTheme="majorHAnsi" w:hAnsiTheme="majorHAnsi" w:cstheme="majorHAnsi"/>
                <w:sz w:val="16"/>
                <w:szCs w:val="16"/>
                <w:lang w:val="lv-LV"/>
              </w:rPr>
              <w:t xml:space="preserve">3.1.6.4. Mērķtiecīga organisko augšņu apmežošana lauksaimniecībā izmantojamās zemēs </w:t>
            </w:r>
          </w:p>
        </w:tc>
        <w:tc>
          <w:tcPr>
            <w:tcW w:w="1417" w:type="dxa"/>
            <w:shd w:val="clear" w:color="auto" w:fill="B4C6E7" w:themeFill="accent1" w:themeFillTint="66"/>
          </w:tcPr>
          <w:p w14:paraId="7A75203F" w14:textId="77777777" w:rsidR="00812A72" w:rsidRPr="006B7AB1" w:rsidRDefault="00812A72" w:rsidP="0002297E">
            <w:pPr>
              <w:widowControl/>
              <w:spacing w:before="40" w:after="40" w:line="240" w:lineRule="auto"/>
              <w:rPr>
                <w:rFonts w:asciiTheme="majorHAnsi" w:hAnsiTheme="majorHAnsi" w:cstheme="majorHAnsi"/>
                <w:color w:val="000000" w:themeColor="text1"/>
                <w:sz w:val="16"/>
                <w:szCs w:val="16"/>
                <w:lang w:val="lv-LV"/>
              </w:rPr>
            </w:pPr>
            <w:r w:rsidRPr="006B7AB1">
              <w:rPr>
                <w:rFonts w:asciiTheme="majorHAnsi" w:hAnsiTheme="majorHAnsi" w:cstheme="majorHAnsi"/>
                <w:color w:val="000000" w:themeColor="text1"/>
                <w:sz w:val="16"/>
                <w:szCs w:val="16"/>
                <w:lang w:val="lv-LV"/>
              </w:rPr>
              <w:t>Lauksaimniecība</w:t>
            </w:r>
          </w:p>
        </w:tc>
        <w:tc>
          <w:tcPr>
            <w:tcW w:w="1984" w:type="dxa"/>
            <w:shd w:val="clear" w:color="auto" w:fill="B4C6E7" w:themeFill="accent1" w:themeFillTint="66"/>
          </w:tcPr>
          <w:p w14:paraId="7A630CD1" w14:textId="77777777" w:rsidR="00812A72" w:rsidRPr="00CB4E89" w:rsidRDefault="00812A72" w:rsidP="0002297E">
            <w:pPr>
              <w:widowControl/>
              <w:spacing w:before="40" w:after="40" w:line="240" w:lineRule="auto"/>
              <w:rPr>
                <w:rFonts w:asciiTheme="majorHAnsi" w:hAnsiTheme="majorHAnsi" w:cstheme="majorHAnsi"/>
                <w:sz w:val="16"/>
                <w:szCs w:val="16"/>
                <w:lang w:val="lv-LV"/>
              </w:rPr>
            </w:pPr>
            <w:r w:rsidRPr="00CB4E89">
              <w:rPr>
                <w:rFonts w:asciiTheme="majorHAnsi" w:hAnsiTheme="majorHAnsi" w:cstheme="majorHAnsi"/>
                <w:sz w:val="16"/>
                <w:szCs w:val="16"/>
                <w:lang w:val="lv-LV"/>
              </w:rPr>
              <w:t>99,3 milj.eiro 2026.-2030. gadā: 19,86 milj. eiro katru gadu.</w:t>
            </w:r>
          </w:p>
        </w:tc>
        <w:tc>
          <w:tcPr>
            <w:tcW w:w="3402" w:type="dxa"/>
            <w:shd w:val="clear" w:color="auto" w:fill="B4C6E7" w:themeFill="accent1" w:themeFillTint="66"/>
          </w:tcPr>
          <w:p w14:paraId="44EF988C" w14:textId="77777777" w:rsidR="00812A72" w:rsidRPr="00CB4E89" w:rsidRDefault="00812A72" w:rsidP="0002297E">
            <w:pPr>
              <w:widowControl/>
              <w:spacing w:before="40" w:after="40" w:line="240" w:lineRule="auto"/>
              <w:rPr>
                <w:rFonts w:asciiTheme="majorHAnsi" w:eastAsia="Times New Roman" w:hAnsiTheme="majorHAnsi" w:cstheme="majorHAnsi"/>
                <w:color w:val="000000"/>
                <w:sz w:val="16"/>
                <w:szCs w:val="16"/>
                <w:lang w:val="lv-LV" w:eastAsia="lv-LV"/>
              </w:rPr>
            </w:pPr>
            <w:r w:rsidRPr="00CB4E89">
              <w:rPr>
                <w:rFonts w:asciiTheme="majorHAnsi" w:hAnsiTheme="majorHAnsi" w:cstheme="majorHAnsi"/>
                <w:b/>
                <w:bCs/>
                <w:sz w:val="16"/>
                <w:szCs w:val="16"/>
                <w:lang w:val="lv-LV"/>
              </w:rPr>
              <w:t>75 %</w:t>
            </w:r>
            <w:r>
              <w:rPr>
                <w:rFonts w:asciiTheme="majorHAnsi" w:hAnsiTheme="majorHAnsi" w:cstheme="majorHAnsi"/>
                <w:sz w:val="16"/>
                <w:szCs w:val="16"/>
                <w:lang w:val="lv-LV"/>
              </w:rPr>
              <w:t xml:space="preserve"> – </w:t>
            </w:r>
            <w:r w:rsidRPr="00CB4E89">
              <w:rPr>
                <w:rFonts w:asciiTheme="majorHAnsi" w:hAnsiTheme="majorHAnsi" w:cstheme="majorHAnsi"/>
                <w:sz w:val="16"/>
                <w:szCs w:val="16"/>
                <w:lang w:val="lv-LV"/>
              </w:rPr>
              <w:t xml:space="preserve">nacionālais publiskais finansējums papildu izdevumu veidā. </w:t>
            </w:r>
            <w:r>
              <w:rPr>
                <w:rFonts w:asciiTheme="majorHAnsi" w:hAnsiTheme="majorHAnsi" w:cstheme="majorHAnsi"/>
                <w:sz w:val="16"/>
                <w:szCs w:val="16"/>
                <w:lang w:val="lv-LV"/>
              </w:rPr>
              <w:br/>
            </w:r>
            <w:r w:rsidRPr="00CB4E89">
              <w:rPr>
                <w:rFonts w:asciiTheme="majorHAnsi" w:hAnsiTheme="majorHAnsi" w:cstheme="majorHAnsi"/>
                <w:b/>
                <w:bCs/>
                <w:sz w:val="16"/>
                <w:szCs w:val="16"/>
                <w:lang w:val="lv-LV"/>
              </w:rPr>
              <w:t>20 %</w:t>
            </w:r>
            <w:r>
              <w:rPr>
                <w:rFonts w:asciiTheme="majorHAnsi" w:hAnsiTheme="majorHAnsi" w:cstheme="majorHAnsi"/>
                <w:sz w:val="16"/>
                <w:szCs w:val="16"/>
                <w:lang w:val="lv-LV"/>
              </w:rPr>
              <w:t xml:space="preserve"> – </w:t>
            </w:r>
            <w:r w:rsidRPr="00CB4E89">
              <w:rPr>
                <w:rFonts w:asciiTheme="majorHAnsi" w:hAnsiTheme="majorHAnsi" w:cstheme="majorHAnsi"/>
                <w:sz w:val="16"/>
                <w:szCs w:val="16"/>
                <w:lang w:val="lv-LV"/>
              </w:rPr>
              <w:t xml:space="preserve">Latvijas privāto uzņēmumu finansējums. </w:t>
            </w:r>
            <w:r>
              <w:rPr>
                <w:rFonts w:asciiTheme="majorHAnsi" w:hAnsiTheme="majorHAnsi" w:cstheme="majorHAnsi"/>
                <w:sz w:val="16"/>
                <w:szCs w:val="16"/>
                <w:lang w:val="lv-LV"/>
              </w:rPr>
              <w:br/>
            </w:r>
            <w:r w:rsidRPr="00CB4E89">
              <w:rPr>
                <w:rFonts w:asciiTheme="majorHAnsi" w:hAnsiTheme="majorHAnsi" w:cstheme="majorHAnsi"/>
                <w:b/>
                <w:bCs/>
                <w:sz w:val="16"/>
                <w:szCs w:val="16"/>
                <w:lang w:val="lv-LV"/>
              </w:rPr>
              <w:t>5 %</w:t>
            </w:r>
            <w:r>
              <w:rPr>
                <w:rFonts w:asciiTheme="majorHAnsi" w:hAnsiTheme="majorHAnsi" w:cstheme="majorHAnsi"/>
                <w:sz w:val="16"/>
                <w:szCs w:val="16"/>
                <w:lang w:val="lv-LV"/>
              </w:rPr>
              <w:t xml:space="preserve"> – </w:t>
            </w:r>
            <w:r w:rsidRPr="00CB4E89">
              <w:rPr>
                <w:rFonts w:asciiTheme="majorHAnsi" w:hAnsiTheme="majorHAnsi" w:cstheme="majorHAnsi"/>
                <w:sz w:val="16"/>
                <w:szCs w:val="16"/>
                <w:lang w:val="lv-LV"/>
              </w:rPr>
              <w:t xml:space="preserve">ārvalstu uzņēmumu finansējums. </w:t>
            </w:r>
          </w:p>
        </w:tc>
      </w:tr>
      <w:tr w:rsidR="00812A72" w:rsidRPr="00AB3438" w14:paraId="38E8EFE4" w14:textId="77777777" w:rsidTr="0002297E">
        <w:trPr>
          <w:jc w:val="center"/>
        </w:trPr>
        <w:tc>
          <w:tcPr>
            <w:tcW w:w="2835" w:type="dxa"/>
            <w:shd w:val="clear" w:color="auto" w:fill="D9E2F3" w:themeFill="accent1" w:themeFillTint="33"/>
          </w:tcPr>
          <w:p w14:paraId="69FD6124" w14:textId="77777777" w:rsidR="00812A72" w:rsidRPr="00CB4E89" w:rsidRDefault="00812A72" w:rsidP="0002297E">
            <w:pPr>
              <w:widowControl/>
              <w:spacing w:before="40" w:after="40" w:line="240" w:lineRule="auto"/>
              <w:rPr>
                <w:rFonts w:asciiTheme="majorHAnsi" w:hAnsiTheme="majorHAnsi" w:cstheme="majorHAnsi"/>
                <w:sz w:val="16"/>
                <w:szCs w:val="16"/>
                <w:lang w:val="lv-LV"/>
              </w:rPr>
            </w:pPr>
            <w:r w:rsidRPr="00CB4E89">
              <w:rPr>
                <w:rFonts w:asciiTheme="majorHAnsi" w:hAnsiTheme="majorHAnsi" w:cstheme="majorHAnsi"/>
                <w:sz w:val="16"/>
                <w:szCs w:val="16"/>
                <w:lang w:val="lv-LV"/>
              </w:rPr>
              <w:t xml:space="preserve">3.1.6.5. Mērķtiecīga meža ieaudzēšana izstrādātajos kūdras laukos, tajā skaitā atjaunojot Latvijai raksturīgos pārmitro mežu biotopus </w:t>
            </w:r>
          </w:p>
        </w:tc>
        <w:tc>
          <w:tcPr>
            <w:tcW w:w="1417" w:type="dxa"/>
            <w:shd w:val="clear" w:color="auto" w:fill="D9E2F3" w:themeFill="accent1" w:themeFillTint="33"/>
          </w:tcPr>
          <w:p w14:paraId="388499BD" w14:textId="77777777" w:rsidR="00812A72" w:rsidRPr="006B7AB1" w:rsidRDefault="00812A72" w:rsidP="0002297E">
            <w:pPr>
              <w:widowControl/>
              <w:spacing w:before="40" w:after="40" w:line="240" w:lineRule="auto"/>
              <w:rPr>
                <w:rFonts w:asciiTheme="majorHAnsi" w:hAnsiTheme="majorHAnsi" w:cstheme="majorHAnsi"/>
                <w:color w:val="000000" w:themeColor="text1"/>
                <w:sz w:val="16"/>
                <w:szCs w:val="16"/>
                <w:lang w:val="lv-LV"/>
              </w:rPr>
            </w:pPr>
            <w:r w:rsidRPr="006B7AB1">
              <w:rPr>
                <w:rFonts w:asciiTheme="majorHAnsi" w:hAnsiTheme="majorHAnsi" w:cstheme="majorHAnsi"/>
                <w:color w:val="000000" w:themeColor="text1"/>
                <w:sz w:val="16"/>
                <w:szCs w:val="16"/>
                <w:lang w:val="lv-LV"/>
              </w:rPr>
              <w:t>Lauksaimniecība</w:t>
            </w:r>
          </w:p>
        </w:tc>
        <w:tc>
          <w:tcPr>
            <w:tcW w:w="1984" w:type="dxa"/>
            <w:shd w:val="clear" w:color="auto" w:fill="D9E2F3" w:themeFill="accent1" w:themeFillTint="33"/>
          </w:tcPr>
          <w:p w14:paraId="520AC492" w14:textId="77777777" w:rsidR="00812A72" w:rsidRPr="00CB4E89" w:rsidRDefault="00812A72" w:rsidP="0002297E">
            <w:pPr>
              <w:widowControl/>
              <w:spacing w:before="40" w:after="40" w:line="240" w:lineRule="auto"/>
              <w:rPr>
                <w:rFonts w:asciiTheme="majorHAnsi" w:hAnsiTheme="majorHAnsi" w:cstheme="majorHAnsi"/>
                <w:sz w:val="16"/>
                <w:szCs w:val="16"/>
                <w:lang w:val="lv-LV"/>
              </w:rPr>
            </w:pPr>
            <w:r w:rsidRPr="00CB4E89">
              <w:rPr>
                <w:rFonts w:asciiTheme="majorHAnsi" w:hAnsiTheme="majorHAnsi" w:cstheme="majorHAnsi"/>
                <w:sz w:val="16"/>
                <w:szCs w:val="16"/>
                <w:lang w:val="lv-LV"/>
              </w:rPr>
              <w:t xml:space="preserve">15,6 milj.eiro 2026.-2030. gadā: 3,12 milj. eiro katru gadu. </w:t>
            </w:r>
          </w:p>
        </w:tc>
        <w:tc>
          <w:tcPr>
            <w:tcW w:w="3402" w:type="dxa"/>
            <w:shd w:val="clear" w:color="auto" w:fill="D9E2F3" w:themeFill="accent1" w:themeFillTint="33"/>
          </w:tcPr>
          <w:p w14:paraId="0223F7E0" w14:textId="77777777" w:rsidR="00812A72" w:rsidRPr="00CB4E89" w:rsidRDefault="00812A72" w:rsidP="0002297E">
            <w:pPr>
              <w:widowControl/>
              <w:spacing w:before="40" w:after="40" w:line="240" w:lineRule="auto"/>
              <w:rPr>
                <w:rFonts w:asciiTheme="majorHAnsi" w:eastAsia="Times New Roman" w:hAnsiTheme="majorHAnsi" w:cstheme="majorHAnsi"/>
                <w:color w:val="000000"/>
                <w:sz w:val="16"/>
                <w:szCs w:val="16"/>
                <w:lang w:val="lv-LV" w:eastAsia="lv-LV"/>
              </w:rPr>
            </w:pPr>
            <w:r w:rsidRPr="00CB4E89">
              <w:rPr>
                <w:rFonts w:asciiTheme="majorHAnsi" w:hAnsiTheme="majorHAnsi" w:cstheme="majorHAnsi"/>
                <w:b/>
                <w:bCs/>
                <w:sz w:val="16"/>
                <w:szCs w:val="16"/>
                <w:lang w:val="lv-LV"/>
              </w:rPr>
              <w:t>17 %</w:t>
            </w:r>
            <w:r>
              <w:rPr>
                <w:rFonts w:asciiTheme="majorHAnsi" w:hAnsiTheme="majorHAnsi" w:cstheme="majorHAnsi"/>
                <w:sz w:val="16"/>
                <w:szCs w:val="16"/>
                <w:lang w:val="lv-LV"/>
              </w:rPr>
              <w:t xml:space="preserve"> – </w:t>
            </w:r>
            <w:r w:rsidRPr="00CB4E89">
              <w:rPr>
                <w:rFonts w:asciiTheme="majorHAnsi" w:hAnsiTheme="majorHAnsi" w:cstheme="majorHAnsi"/>
                <w:sz w:val="16"/>
                <w:szCs w:val="16"/>
                <w:lang w:val="lv-LV"/>
              </w:rPr>
              <w:t>nacionālais publiskais finansējums, kas</w:t>
            </w:r>
            <w:r>
              <w:rPr>
                <w:rFonts w:asciiTheme="majorHAnsi" w:hAnsiTheme="majorHAnsi" w:cstheme="majorHAnsi"/>
                <w:sz w:val="16"/>
                <w:szCs w:val="16"/>
                <w:lang w:val="lv-LV"/>
              </w:rPr>
              <w:t xml:space="preserve"> </w:t>
            </w:r>
            <w:r w:rsidRPr="00CB4E89">
              <w:rPr>
                <w:rFonts w:asciiTheme="majorHAnsi" w:hAnsiTheme="majorHAnsi" w:cstheme="majorHAnsi"/>
                <w:sz w:val="16"/>
                <w:szCs w:val="16"/>
                <w:lang w:val="lv-LV"/>
              </w:rPr>
              <w:t xml:space="preserve">aizstāj citus budžeta izdevumus. </w:t>
            </w:r>
            <w:r>
              <w:rPr>
                <w:rFonts w:asciiTheme="majorHAnsi" w:hAnsiTheme="majorHAnsi" w:cstheme="majorHAnsi"/>
                <w:sz w:val="16"/>
                <w:szCs w:val="16"/>
                <w:lang w:val="lv-LV"/>
              </w:rPr>
              <w:br/>
            </w:r>
            <w:r w:rsidRPr="00CB4E89">
              <w:rPr>
                <w:rFonts w:asciiTheme="majorHAnsi" w:hAnsiTheme="majorHAnsi" w:cstheme="majorHAnsi"/>
                <w:b/>
                <w:bCs/>
                <w:sz w:val="16"/>
                <w:szCs w:val="16"/>
                <w:lang w:val="lv-LV"/>
              </w:rPr>
              <w:t>51 %</w:t>
            </w:r>
            <w:r>
              <w:rPr>
                <w:rFonts w:asciiTheme="majorHAnsi" w:hAnsiTheme="majorHAnsi" w:cstheme="majorHAnsi"/>
                <w:sz w:val="16"/>
                <w:szCs w:val="16"/>
                <w:lang w:val="lv-LV"/>
              </w:rPr>
              <w:t xml:space="preserve"> – </w:t>
            </w:r>
            <w:r w:rsidRPr="00CB4E89">
              <w:rPr>
                <w:rFonts w:asciiTheme="majorHAnsi" w:hAnsiTheme="majorHAnsi" w:cstheme="majorHAnsi"/>
                <w:sz w:val="16"/>
                <w:szCs w:val="16"/>
                <w:lang w:val="lv-LV"/>
              </w:rPr>
              <w:t xml:space="preserve">nacionālais publiskais finansējums papildu izdevumu veidā. </w:t>
            </w:r>
            <w:r>
              <w:rPr>
                <w:rFonts w:asciiTheme="majorHAnsi" w:hAnsiTheme="majorHAnsi" w:cstheme="majorHAnsi"/>
                <w:sz w:val="16"/>
                <w:szCs w:val="16"/>
                <w:lang w:val="lv-LV"/>
              </w:rPr>
              <w:br/>
            </w:r>
            <w:r w:rsidRPr="00CB4E89">
              <w:rPr>
                <w:rFonts w:asciiTheme="majorHAnsi" w:hAnsiTheme="majorHAnsi" w:cstheme="majorHAnsi"/>
                <w:b/>
                <w:bCs/>
                <w:sz w:val="16"/>
                <w:szCs w:val="16"/>
                <w:lang w:val="lv-LV"/>
              </w:rPr>
              <w:t>26 %</w:t>
            </w:r>
            <w:r>
              <w:rPr>
                <w:rFonts w:asciiTheme="majorHAnsi" w:hAnsiTheme="majorHAnsi" w:cstheme="majorHAnsi"/>
                <w:sz w:val="16"/>
                <w:szCs w:val="16"/>
                <w:lang w:val="lv-LV"/>
              </w:rPr>
              <w:t xml:space="preserve"> – </w:t>
            </w:r>
            <w:r w:rsidRPr="00CB4E89">
              <w:rPr>
                <w:rFonts w:asciiTheme="majorHAnsi" w:hAnsiTheme="majorHAnsi" w:cstheme="majorHAnsi"/>
                <w:sz w:val="16"/>
                <w:szCs w:val="16"/>
                <w:lang w:val="lv-LV"/>
              </w:rPr>
              <w:t xml:space="preserve">Latvijas privāto uzņēmumu finansējums. </w:t>
            </w:r>
            <w:r>
              <w:rPr>
                <w:rFonts w:asciiTheme="majorHAnsi" w:hAnsiTheme="majorHAnsi" w:cstheme="majorHAnsi"/>
                <w:sz w:val="16"/>
                <w:szCs w:val="16"/>
                <w:lang w:val="lv-LV"/>
              </w:rPr>
              <w:br/>
            </w:r>
            <w:r w:rsidRPr="00CB4E89">
              <w:rPr>
                <w:rFonts w:asciiTheme="majorHAnsi" w:hAnsiTheme="majorHAnsi" w:cstheme="majorHAnsi"/>
                <w:b/>
                <w:bCs/>
                <w:sz w:val="16"/>
                <w:szCs w:val="16"/>
                <w:lang w:val="lv-LV"/>
              </w:rPr>
              <w:t>6 %</w:t>
            </w:r>
            <w:r>
              <w:rPr>
                <w:rFonts w:asciiTheme="majorHAnsi" w:hAnsiTheme="majorHAnsi" w:cstheme="majorHAnsi"/>
                <w:sz w:val="16"/>
                <w:szCs w:val="16"/>
                <w:lang w:val="lv-LV"/>
              </w:rPr>
              <w:t xml:space="preserve"> – </w:t>
            </w:r>
            <w:r w:rsidRPr="00CB4E89">
              <w:rPr>
                <w:rFonts w:asciiTheme="majorHAnsi" w:hAnsiTheme="majorHAnsi" w:cstheme="majorHAnsi"/>
                <w:sz w:val="16"/>
                <w:szCs w:val="16"/>
                <w:lang w:val="lv-LV"/>
              </w:rPr>
              <w:t>ārvalstu uzņēmumu finansējums.</w:t>
            </w:r>
          </w:p>
        </w:tc>
      </w:tr>
      <w:tr w:rsidR="00812A72" w:rsidRPr="00AB3438" w14:paraId="20952CBF" w14:textId="77777777" w:rsidTr="0002297E">
        <w:trPr>
          <w:jc w:val="center"/>
        </w:trPr>
        <w:tc>
          <w:tcPr>
            <w:tcW w:w="2835" w:type="dxa"/>
            <w:shd w:val="clear" w:color="auto" w:fill="B4C6E7" w:themeFill="accent1" w:themeFillTint="66"/>
          </w:tcPr>
          <w:p w14:paraId="5B47DB6A" w14:textId="77777777" w:rsidR="00812A72" w:rsidRPr="00CB4E89" w:rsidRDefault="00812A72" w:rsidP="0002297E">
            <w:pPr>
              <w:widowControl/>
              <w:spacing w:before="40" w:after="40" w:line="240" w:lineRule="auto"/>
              <w:rPr>
                <w:rFonts w:asciiTheme="majorHAnsi" w:hAnsiTheme="majorHAnsi" w:cstheme="majorHAnsi"/>
                <w:sz w:val="16"/>
                <w:szCs w:val="16"/>
                <w:lang w:val="lv-LV"/>
              </w:rPr>
            </w:pPr>
            <w:r w:rsidRPr="00CB4E89">
              <w:rPr>
                <w:rFonts w:asciiTheme="majorHAnsi" w:hAnsiTheme="majorHAnsi" w:cstheme="majorHAnsi"/>
                <w:sz w:val="16"/>
                <w:szCs w:val="16"/>
                <w:lang w:val="lv-LV"/>
              </w:rPr>
              <w:t xml:space="preserve">3.1.6.6. Mazāk vērtīgo lauksaimniecībā izmantojamo zemju mērķtiecīga apmežošana </w:t>
            </w:r>
          </w:p>
        </w:tc>
        <w:tc>
          <w:tcPr>
            <w:tcW w:w="1417" w:type="dxa"/>
            <w:shd w:val="clear" w:color="auto" w:fill="B4C6E7" w:themeFill="accent1" w:themeFillTint="66"/>
          </w:tcPr>
          <w:p w14:paraId="6EB95D54" w14:textId="77777777" w:rsidR="00812A72" w:rsidRPr="006B7AB1" w:rsidRDefault="00812A72" w:rsidP="0002297E">
            <w:pPr>
              <w:widowControl/>
              <w:spacing w:before="40" w:after="40" w:line="240" w:lineRule="auto"/>
              <w:rPr>
                <w:rFonts w:asciiTheme="majorHAnsi" w:hAnsiTheme="majorHAnsi" w:cstheme="majorHAnsi"/>
                <w:color w:val="000000" w:themeColor="text1"/>
                <w:sz w:val="16"/>
                <w:szCs w:val="16"/>
                <w:lang w:val="lv-LV"/>
              </w:rPr>
            </w:pPr>
            <w:r w:rsidRPr="006B7AB1">
              <w:rPr>
                <w:rFonts w:asciiTheme="majorHAnsi" w:hAnsiTheme="majorHAnsi" w:cstheme="majorHAnsi"/>
                <w:color w:val="000000" w:themeColor="text1"/>
                <w:sz w:val="16"/>
                <w:szCs w:val="16"/>
                <w:lang w:val="lv-LV"/>
              </w:rPr>
              <w:t>Lauksaimniecība</w:t>
            </w:r>
          </w:p>
        </w:tc>
        <w:tc>
          <w:tcPr>
            <w:tcW w:w="1984" w:type="dxa"/>
            <w:shd w:val="clear" w:color="auto" w:fill="B4C6E7" w:themeFill="accent1" w:themeFillTint="66"/>
          </w:tcPr>
          <w:p w14:paraId="583E47F7" w14:textId="77777777" w:rsidR="00812A72" w:rsidRPr="00CB4E89" w:rsidRDefault="00812A72" w:rsidP="0002297E">
            <w:pPr>
              <w:widowControl/>
              <w:spacing w:before="40" w:after="40" w:line="240" w:lineRule="auto"/>
              <w:rPr>
                <w:rFonts w:asciiTheme="majorHAnsi" w:hAnsiTheme="majorHAnsi" w:cstheme="majorHAnsi"/>
                <w:sz w:val="16"/>
                <w:szCs w:val="16"/>
                <w:lang w:val="lv-LV"/>
              </w:rPr>
            </w:pPr>
            <w:r w:rsidRPr="00CB4E89">
              <w:rPr>
                <w:rFonts w:asciiTheme="majorHAnsi" w:hAnsiTheme="majorHAnsi" w:cstheme="majorHAnsi"/>
                <w:sz w:val="16"/>
                <w:szCs w:val="16"/>
                <w:lang w:val="lv-LV"/>
              </w:rPr>
              <w:t>186,2 milj.eiro 2026.-2030. gadā: 37,24 milj. eiro katru gadu.</w:t>
            </w:r>
          </w:p>
        </w:tc>
        <w:tc>
          <w:tcPr>
            <w:tcW w:w="3402" w:type="dxa"/>
            <w:shd w:val="clear" w:color="auto" w:fill="B4C6E7" w:themeFill="accent1" w:themeFillTint="66"/>
          </w:tcPr>
          <w:p w14:paraId="685BB0A9" w14:textId="77777777" w:rsidR="00812A72" w:rsidRPr="00CB4E89" w:rsidRDefault="00812A72" w:rsidP="0002297E">
            <w:pPr>
              <w:widowControl/>
              <w:spacing w:before="40" w:after="40" w:line="240" w:lineRule="auto"/>
              <w:rPr>
                <w:rFonts w:asciiTheme="majorHAnsi" w:eastAsia="Times New Roman" w:hAnsiTheme="majorHAnsi" w:cstheme="majorHAnsi"/>
                <w:color w:val="000000"/>
                <w:sz w:val="16"/>
                <w:szCs w:val="16"/>
                <w:lang w:val="lv-LV" w:eastAsia="lv-LV"/>
              </w:rPr>
            </w:pPr>
            <w:r w:rsidRPr="00CB4E89">
              <w:rPr>
                <w:rFonts w:asciiTheme="majorHAnsi" w:hAnsiTheme="majorHAnsi" w:cstheme="majorHAnsi"/>
                <w:b/>
                <w:bCs/>
                <w:sz w:val="16"/>
                <w:szCs w:val="16"/>
                <w:lang w:val="lv-LV"/>
              </w:rPr>
              <w:t>52 %</w:t>
            </w:r>
            <w:r>
              <w:rPr>
                <w:rFonts w:asciiTheme="majorHAnsi" w:hAnsiTheme="majorHAnsi" w:cstheme="majorHAnsi"/>
                <w:sz w:val="16"/>
                <w:szCs w:val="16"/>
                <w:lang w:val="lv-LV"/>
              </w:rPr>
              <w:t xml:space="preserve"> – </w:t>
            </w:r>
            <w:r w:rsidRPr="00CB4E89">
              <w:rPr>
                <w:rFonts w:asciiTheme="majorHAnsi" w:hAnsiTheme="majorHAnsi" w:cstheme="majorHAnsi"/>
                <w:sz w:val="16"/>
                <w:szCs w:val="16"/>
                <w:lang w:val="lv-LV"/>
              </w:rPr>
              <w:t xml:space="preserve">nacionālais publiskais finansējums papildu izdevumu veidā. </w:t>
            </w:r>
            <w:r>
              <w:rPr>
                <w:rFonts w:asciiTheme="majorHAnsi" w:hAnsiTheme="majorHAnsi" w:cstheme="majorHAnsi"/>
                <w:sz w:val="16"/>
                <w:szCs w:val="16"/>
                <w:lang w:val="lv-LV"/>
              </w:rPr>
              <w:br/>
            </w:r>
            <w:r w:rsidRPr="00CB4E89">
              <w:rPr>
                <w:rFonts w:asciiTheme="majorHAnsi" w:hAnsiTheme="majorHAnsi" w:cstheme="majorHAnsi"/>
                <w:b/>
                <w:bCs/>
                <w:sz w:val="16"/>
                <w:szCs w:val="16"/>
                <w:lang w:val="lv-LV"/>
              </w:rPr>
              <w:t>11 %</w:t>
            </w:r>
            <w:r>
              <w:rPr>
                <w:rFonts w:asciiTheme="majorHAnsi" w:hAnsiTheme="majorHAnsi" w:cstheme="majorHAnsi"/>
                <w:sz w:val="16"/>
                <w:szCs w:val="16"/>
                <w:lang w:val="lv-LV"/>
              </w:rPr>
              <w:t xml:space="preserve"> – </w:t>
            </w:r>
            <w:r w:rsidRPr="00CB4E89">
              <w:rPr>
                <w:rFonts w:asciiTheme="majorHAnsi" w:hAnsiTheme="majorHAnsi" w:cstheme="majorHAnsi"/>
                <w:sz w:val="16"/>
                <w:szCs w:val="16"/>
                <w:lang w:val="lv-LV"/>
              </w:rPr>
              <w:t xml:space="preserve">Latvijas privāto uzņēmumu finansējums. </w:t>
            </w:r>
            <w:r>
              <w:rPr>
                <w:rFonts w:asciiTheme="majorHAnsi" w:hAnsiTheme="majorHAnsi" w:cstheme="majorHAnsi"/>
                <w:sz w:val="16"/>
                <w:szCs w:val="16"/>
                <w:lang w:val="lv-LV"/>
              </w:rPr>
              <w:br/>
            </w:r>
            <w:r w:rsidRPr="00CB4E89">
              <w:rPr>
                <w:rFonts w:asciiTheme="majorHAnsi" w:hAnsiTheme="majorHAnsi" w:cstheme="majorHAnsi"/>
                <w:b/>
                <w:bCs/>
                <w:sz w:val="16"/>
                <w:szCs w:val="16"/>
                <w:lang w:val="lv-LV"/>
              </w:rPr>
              <w:t>38 %</w:t>
            </w:r>
            <w:r>
              <w:rPr>
                <w:rFonts w:asciiTheme="majorHAnsi" w:hAnsiTheme="majorHAnsi" w:cstheme="majorHAnsi"/>
                <w:sz w:val="16"/>
                <w:szCs w:val="16"/>
                <w:lang w:val="lv-LV"/>
              </w:rPr>
              <w:t xml:space="preserve"> – </w:t>
            </w:r>
            <w:r w:rsidRPr="00CB4E89">
              <w:rPr>
                <w:rFonts w:asciiTheme="majorHAnsi" w:hAnsiTheme="majorHAnsi" w:cstheme="majorHAnsi"/>
                <w:sz w:val="16"/>
                <w:szCs w:val="16"/>
                <w:lang w:val="lv-LV"/>
              </w:rPr>
              <w:t xml:space="preserve">ārvalstu uzņēmumu finansējums. </w:t>
            </w:r>
          </w:p>
        </w:tc>
      </w:tr>
      <w:tr w:rsidR="00812A72" w:rsidRPr="005F4D7C" w14:paraId="2E582F30" w14:textId="77777777" w:rsidTr="0002297E">
        <w:trPr>
          <w:jc w:val="center"/>
        </w:trPr>
        <w:tc>
          <w:tcPr>
            <w:tcW w:w="2835" w:type="dxa"/>
            <w:shd w:val="clear" w:color="auto" w:fill="D9E2F3" w:themeFill="accent1" w:themeFillTint="33"/>
          </w:tcPr>
          <w:p w14:paraId="15E25DB3" w14:textId="77777777" w:rsidR="00812A72" w:rsidRPr="00CB4E89" w:rsidRDefault="00812A72" w:rsidP="0002297E">
            <w:pPr>
              <w:widowControl/>
              <w:spacing w:before="40" w:after="40" w:line="240" w:lineRule="auto"/>
              <w:rPr>
                <w:rFonts w:asciiTheme="majorHAnsi" w:hAnsiTheme="majorHAnsi" w:cstheme="majorHAnsi"/>
                <w:sz w:val="16"/>
                <w:szCs w:val="16"/>
                <w:lang w:val="lv-LV"/>
              </w:rPr>
            </w:pPr>
            <w:r w:rsidRPr="00CB4E89">
              <w:rPr>
                <w:rFonts w:asciiTheme="majorHAnsi" w:hAnsiTheme="majorHAnsi" w:cstheme="majorHAnsi"/>
                <w:sz w:val="16"/>
                <w:szCs w:val="16"/>
                <w:lang w:val="lv-LV"/>
              </w:rPr>
              <w:t xml:space="preserve">3.1.6.7. Hidroloģiskā režīma uzlabošana slapjaiņos </w:t>
            </w:r>
          </w:p>
        </w:tc>
        <w:tc>
          <w:tcPr>
            <w:tcW w:w="1417" w:type="dxa"/>
            <w:shd w:val="clear" w:color="auto" w:fill="D9E2F3" w:themeFill="accent1" w:themeFillTint="33"/>
          </w:tcPr>
          <w:p w14:paraId="28316C5A" w14:textId="77777777" w:rsidR="00812A72" w:rsidRPr="006B7AB1" w:rsidRDefault="00812A72" w:rsidP="0002297E">
            <w:pPr>
              <w:widowControl/>
              <w:spacing w:before="40" w:after="40" w:line="240" w:lineRule="auto"/>
              <w:rPr>
                <w:rFonts w:asciiTheme="majorHAnsi" w:hAnsiTheme="majorHAnsi" w:cstheme="majorHAnsi"/>
                <w:color w:val="000000" w:themeColor="text1"/>
                <w:sz w:val="16"/>
                <w:szCs w:val="16"/>
                <w:lang w:val="lv-LV"/>
              </w:rPr>
            </w:pPr>
            <w:r w:rsidRPr="006B7AB1">
              <w:rPr>
                <w:rFonts w:asciiTheme="majorHAnsi" w:hAnsiTheme="majorHAnsi" w:cstheme="majorHAnsi"/>
                <w:color w:val="000000" w:themeColor="text1"/>
                <w:sz w:val="16"/>
                <w:szCs w:val="16"/>
                <w:lang w:val="lv-LV"/>
              </w:rPr>
              <w:t>Lauksaimniecība</w:t>
            </w:r>
          </w:p>
        </w:tc>
        <w:tc>
          <w:tcPr>
            <w:tcW w:w="1984" w:type="dxa"/>
            <w:shd w:val="clear" w:color="auto" w:fill="D9E2F3" w:themeFill="accent1" w:themeFillTint="33"/>
          </w:tcPr>
          <w:p w14:paraId="0B1687C0" w14:textId="77777777" w:rsidR="00812A72" w:rsidRPr="00CB4E89" w:rsidRDefault="00812A72" w:rsidP="0002297E">
            <w:pPr>
              <w:widowControl/>
              <w:spacing w:before="40" w:after="40" w:line="240" w:lineRule="auto"/>
              <w:rPr>
                <w:rFonts w:asciiTheme="majorHAnsi" w:hAnsiTheme="majorHAnsi" w:cstheme="majorHAnsi"/>
                <w:sz w:val="16"/>
                <w:szCs w:val="16"/>
                <w:lang w:val="lv-LV"/>
              </w:rPr>
            </w:pPr>
            <w:r w:rsidRPr="00CB4E89">
              <w:rPr>
                <w:rFonts w:asciiTheme="majorHAnsi" w:hAnsiTheme="majorHAnsi" w:cstheme="majorHAnsi"/>
                <w:sz w:val="16"/>
                <w:szCs w:val="16"/>
                <w:lang w:val="lv-LV"/>
              </w:rPr>
              <w:t>120 milj.eiro 2026.-2030. gadā: 24 milj. eiro katru gadu.</w:t>
            </w:r>
          </w:p>
        </w:tc>
        <w:tc>
          <w:tcPr>
            <w:tcW w:w="3402" w:type="dxa"/>
            <w:shd w:val="clear" w:color="auto" w:fill="D9E2F3" w:themeFill="accent1" w:themeFillTint="33"/>
          </w:tcPr>
          <w:p w14:paraId="7A627610" w14:textId="77777777" w:rsidR="00812A72" w:rsidRPr="00CB4E89" w:rsidRDefault="00812A72" w:rsidP="0002297E">
            <w:pPr>
              <w:widowControl/>
              <w:spacing w:before="40" w:after="40" w:line="240" w:lineRule="auto"/>
              <w:rPr>
                <w:rFonts w:asciiTheme="majorHAnsi" w:eastAsia="Times New Roman" w:hAnsiTheme="majorHAnsi" w:cstheme="majorHAnsi"/>
                <w:color w:val="000000"/>
                <w:sz w:val="16"/>
                <w:szCs w:val="16"/>
                <w:lang w:val="lv-LV" w:eastAsia="lv-LV"/>
              </w:rPr>
            </w:pPr>
            <w:r w:rsidRPr="00CB4E89">
              <w:rPr>
                <w:rFonts w:asciiTheme="majorHAnsi" w:hAnsiTheme="majorHAnsi" w:cstheme="majorHAnsi"/>
                <w:b/>
                <w:bCs/>
                <w:sz w:val="16"/>
                <w:szCs w:val="16"/>
                <w:lang w:val="lv-LV"/>
              </w:rPr>
              <w:t>17 %</w:t>
            </w:r>
            <w:r>
              <w:rPr>
                <w:rFonts w:asciiTheme="majorHAnsi" w:hAnsiTheme="majorHAnsi" w:cstheme="majorHAnsi"/>
                <w:sz w:val="16"/>
                <w:szCs w:val="16"/>
                <w:lang w:val="lv-LV"/>
              </w:rPr>
              <w:t xml:space="preserve"> – </w:t>
            </w:r>
            <w:r w:rsidRPr="00CB4E89">
              <w:rPr>
                <w:rFonts w:asciiTheme="majorHAnsi" w:hAnsiTheme="majorHAnsi" w:cstheme="majorHAnsi"/>
                <w:sz w:val="16"/>
                <w:szCs w:val="16"/>
                <w:lang w:val="lv-LV"/>
              </w:rPr>
              <w:t>nacionālais publiskais finansējums, kas</w:t>
            </w:r>
            <w:r>
              <w:rPr>
                <w:rFonts w:asciiTheme="majorHAnsi" w:hAnsiTheme="majorHAnsi" w:cstheme="majorHAnsi"/>
                <w:sz w:val="16"/>
                <w:szCs w:val="16"/>
                <w:lang w:val="lv-LV"/>
              </w:rPr>
              <w:t xml:space="preserve"> </w:t>
            </w:r>
            <w:r w:rsidRPr="00CB4E89">
              <w:rPr>
                <w:rFonts w:asciiTheme="majorHAnsi" w:hAnsiTheme="majorHAnsi" w:cstheme="majorHAnsi"/>
                <w:sz w:val="16"/>
                <w:szCs w:val="16"/>
                <w:lang w:val="lv-LV"/>
              </w:rPr>
              <w:t xml:space="preserve">aizstāj citus budžeta izdevumus. </w:t>
            </w:r>
            <w:r>
              <w:rPr>
                <w:rFonts w:asciiTheme="majorHAnsi" w:hAnsiTheme="majorHAnsi" w:cstheme="majorHAnsi"/>
                <w:sz w:val="16"/>
                <w:szCs w:val="16"/>
                <w:lang w:val="lv-LV"/>
              </w:rPr>
              <w:br/>
            </w:r>
            <w:r w:rsidRPr="00CB4E89">
              <w:rPr>
                <w:rFonts w:asciiTheme="majorHAnsi" w:hAnsiTheme="majorHAnsi" w:cstheme="majorHAnsi"/>
                <w:b/>
                <w:bCs/>
                <w:sz w:val="16"/>
                <w:szCs w:val="16"/>
                <w:lang w:val="lv-LV"/>
              </w:rPr>
              <w:t>66 %</w:t>
            </w:r>
            <w:r>
              <w:rPr>
                <w:rFonts w:asciiTheme="majorHAnsi" w:hAnsiTheme="majorHAnsi" w:cstheme="majorHAnsi"/>
                <w:sz w:val="16"/>
                <w:szCs w:val="16"/>
                <w:lang w:val="lv-LV"/>
              </w:rPr>
              <w:t xml:space="preserve"> – </w:t>
            </w:r>
            <w:r w:rsidRPr="00CB4E89">
              <w:rPr>
                <w:rFonts w:asciiTheme="majorHAnsi" w:hAnsiTheme="majorHAnsi" w:cstheme="majorHAnsi"/>
                <w:sz w:val="16"/>
                <w:szCs w:val="16"/>
                <w:lang w:val="lv-LV"/>
              </w:rPr>
              <w:t xml:space="preserve">nacionālais publiskais finansējums papildu izdevumu veidā. </w:t>
            </w:r>
            <w:r>
              <w:rPr>
                <w:rFonts w:asciiTheme="majorHAnsi" w:hAnsiTheme="majorHAnsi" w:cstheme="majorHAnsi"/>
                <w:sz w:val="16"/>
                <w:szCs w:val="16"/>
                <w:lang w:val="lv-LV"/>
              </w:rPr>
              <w:br/>
            </w:r>
            <w:r w:rsidRPr="00CB4E89">
              <w:rPr>
                <w:rFonts w:asciiTheme="majorHAnsi" w:hAnsiTheme="majorHAnsi" w:cstheme="majorHAnsi"/>
                <w:b/>
                <w:bCs/>
                <w:sz w:val="16"/>
                <w:szCs w:val="16"/>
                <w:lang w:val="lv-LV"/>
              </w:rPr>
              <w:t>17 %</w:t>
            </w:r>
            <w:r>
              <w:rPr>
                <w:rFonts w:asciiTheme="majorHAnsi" w:hAnsiTheme="majorHAnsi" w:cstheme="majorHAnsi"/>
                <w:sz w:val="16"/>
                <w:szCs w:val="16"/>
                <w:lang w:val="lv-LV"/>
              </w:rPr>
              <w:t xml:space="preserve"> – </w:t>
            </w:r>
            <w:r w:rsidRPr="00CB4E89">
              <w:rPr>
                <w:rFonts w:asciiTheme="majorHAnsi" w:hAnsiTheme="majorHAnsi" w:cstheme="majorHAnsi"/>
                <w:sz w:val="16"/>
                <w:szCs w:val="16"/>
                <w:lang w:val="lv-LV"/>
              </w:rPr>
              <w:t xml:space="preserve">Latvijas privāto uzņēmumu finansējums. </w:t>
            </w:r>
          </w:p>
        </w:tc>
      </w:tr>
      <w:tr w:rsidR="00812A72" w:rsidRPr="00AB3438" w14:paraId="3D54EBF5" w14:textId="77777777" w:rsidTr="0002297E">
        <w:trPr>
          <w:jc w:val="center"/>
        </w:trPr>
        <w:tc>
          <w:tcPr>
            <w:tcW w:w="2835" w:type="dxa"/>
            <w:shd w:val="clear" w:color="auto" w:fill="B4C6E7" w:themeFill="accent1" w:themeFillTint="66"/>
          </w:tcPr>
          <w:p w14:paraId="08170328" w14:textId="77777777" w:rsidR="00812A72" w:rsidRPr="00CB4E89" w:rsidRDefault="00812A72" w:rsidP="0002297E">
            <w:pPr>
              <w:widowControl/>
              <w:spacing w:before="40" w:after="40" w:line="240" w:lineRule="auto"/>
              <w:rPr>
                <w:rFonts w:asciiTheme="majorHAnsi" w:hAnsiTheme="majorHAnsi" w:cstheme="majorHAnsi"/>
                <w:sz w:val="16"/>
                <w:szCs w:val="16"/>
                <w:lang w:val="lv-LV"/>
              </w:rPr>
            </w:pPr>
            <w:r w:rsidRPr="00CB4E89">
              <w:rPr>
                <w:rFonts w:asciiTheme="majorHAnsi" w:hAnsiTheme="majorHAnsi" w:cstheme="majorHAnsi"/>
                <w:sz w:val="16"/>
                <w:szCs w:val="16"/>
                <w:lang w:val="lv-LV"/>
              </w:rPr>
              <w:t>3.1.6.8. Kokaugu joslu stādījumi</w:t>
            </w:r>
            <w:r>
              <w:rPr>
                <w:rFonts w:asciiTheme="majorHAnsi" w:hAnsiTheme="majorHAnsi" w:cstheme="majorHAnsi"/>
                <w:sz w:val="16"/>
                <w:szCs w:val="16"/>
                <w:lang w:val="lv-LV"/>
              </w:rPr>
              <w:t xml:space="preserve"> </w:t>
            </w:r>
            <w:r w:rsidRPr="00CB4E89">
              <w:rPr>
                <w:rFonts w:asciiTheme="majorHAnsi" w:hAnsiTheme="majorHAnsi" w:cstheme="majorHAnsi"/>
                <w:sz w:val="16"/>
                <w:szCs w:val="16"/>
                <w:lang w:val="lv-LV"/>
              </w:rPr>
              <w:t xml:space="preserve"> </w:t>
            </w:r>
          </w:p>
        </w:tc>
        <w:tc>
          <w:tcPr>
            <w:tcW w:w="1417" w:type="dxa"/>
            <w:shd w:val="clear" w:color="auto" w:fill="B4C6E7" w:themeFill="accent1" w:themeFillTint="66"/>
          </w:tcPr>
          <w:p w14:paraId="75E0CA47" w14:textId="77777777" w:rsidR="00812A72" w:rsidRPr="006B7AB1" w:rsidRDefault="00812A72" w:rsidP="0002297E">
            <w:pPr>
              <w:widowControl/>
              <w:spacing w:before="40" w:after="40" w:line="240" w:lineRule="auto"/>
              <w:rPr>
                <w:rFonts w:asciiTheme="majorHAnsi" w:hAnsiTheme="majorHAnsi" w:cstheme="majorHAnsi"/>
                <w:color w:val="000000" w:themeColor="text1"/>
                <w:sz w:val="16"/>
                <w:szCs w:val="16"/>
                <w:lang w:val="lv-LV"/>
              </w:rPr>
            </w:pPr>
            <w:r w:rsidRPr="006B7AB1">
              <w:rPr>
                <w:rFonts w:asciiTheme="majorHAnsi" w:hAnsiTheme="majorHAnsi" w:cstheme="majorHAnsi"/>
                <w:color w:val="000000" w:themeColor="text1"/>
                <w:sz w:val="16"/>
                <w:szCs w:val="16"/>
                <w:lang w:val="lv-LV"/>
              </w:rPr>
              <w:t>Lauksaimniecība</w:t>
            </w:r>
          </w:p>
        </w:tc>
        <w:tc>
          <w:tcPr>
            <w:tcW w:w="1984" w:type="dxa"/>
            <w:shd w:val="clear" w:color="auto" w:fill="B4C6E7" w:themeFill="accent1" w:themeFillTint="66"/>
          </w:tcPr>
          <w:p w14:paraId="4BBD0133" w14:textId="77777777" w:rsidR="00812A72" w:rsidRPr="00CB4E89" w:rsidRDefault="00812A72" w:rsidP="0002297E">
            <w:pPr>
              <w:widowControl/>
              <w:spacing w:before="40" w:after="40" w:line="240" w:lineRule="auto"/>
              <w:rPr>
                <w:rFonts w:asciiTheme="majorHAnsi" w:hAnsiTheme="majorHAnsi" w:cstheme="majorHAnsi"/>
                <w:sz w:val="16"/>
                <w:szCs w:val="16"/>
                <w:lang w:val="lv-LV"/>
              </w:rPr>
            </w:pPr>
            <w:r w:rsidRPr="00CB4E89">
              <w:rPr>
                <w:rFonts w:asciiTheme="majorHAnsi" w:hAnsiTheme="majorHAnsi" w:cstheme="majorHAnsi"/>
                <w:sz w:val="16"/>
                <w:szCs w:val="16"/>
                <w:lang w:val="lv-LV"/>
              </w:rPr>
              <w:t>37,6 milj.eiro 2026.-2030. gadā: 7,52 milj. eiro katru gadu.</w:t>
            </w:r>
          </w:p>
        </w:tc>
        <w:tc>
          <w:tcPr>
            <w:tcW w:w="3402" w:type="dxa"/>
            <w:shd w:val="clear" w:color="auto" w:fill="B4C6E7" w:themeFill="accent1" w:themeFillTint="66"/>
          </w:tcPr>
          <w:p w14:paraId="2CE3E1A9" w14:textId="77777777" w:rsidR="00812A72" w:rsidRPr="00CB4E89" w:rsidRDefault="00812A72" w:rsidP="0002297E">
            <w:pPr>
              <w:widowControl/>
              <w:spacing w:before="40" w:after="40" w:line="240" w:lineRule="auto"/>
              <w:rPr>
                <w:rFonts w:asciiTheme="majorHAnsi" w:eastAsia="Times New Roman" w:hAnsiTheme="majorHAnsi" w:cstheme="majorHAnsi"/>
                <w:color w:val="000000"/>
                <w:sz w:val="16"/>
                <w:szCs w:val="16"/>
                <w:lang w:val="lv-LV" w:eastAsia="lv-LV"/>
              </w:rPr>
            </w:pPr>
            <w:r w:rsidRPr="00CB4E89">
              <w:rPr>
                <w:rFonts w:asciiTheme="majorHAnsi" w:hAnsiTheme="majorHAnsi" w:cstheme="majorHAnsi"/>
                <w:b/>
                <w:bCs/>
                <w:sz w:val="16"/>
                <w:szCs w:val="16"/>
                <w:lang w:val="lv-LV"/>
              </w:rPr>
              <w:t>16 %</w:t>
            </w:r>
            <w:r>
              <w:rPr>
                <w:rFonts w:asciiTheme="majorHAnsi" w:hAnsiTheme="majorHAnsi" w:cstheme="majorHAnsi"/>
                <w:sz w:val="16"/>
                <w:szCs w:val="16"/>
                <w:lang w:val="lv-LV"/>
              </w:rPr>
              <w:t xml:space="preserve"> – </w:t>
            </w:r>
            <w:r w:rsidRPr="00CB4E89">
              <w:rPr>
                <w:rFonts w:asciiTheme="majorHAnsi" w:hAnsiTheme="majorHAnsi" w:cstheme="majorHAnsi"/>
                <w:sz w:val="16"/>
                <w:szCs w:val="16"/>
                <w:lang w:val="lv-LV"/>
              </w:rPr>
              <w:t xml:space="preserve">aizstāj citas ES fondu programmas. </w:t>
            </w:r>
            <w:r>
              <w:rPr>
                <w:rFonts w:asciiTheme="majorHAnsi" w:hAnsiTheme="majorHAnsi" w:cstheme="majorHAnsi"/>
                <w:sz w:val="16"/>
                <w:szCs w:val="16"/>
                <w:lang w:val="lv-LV"/>
              </w:rPr>
              <w:br/>
            </w:r>
            <w:r w:rsidRPr="00CB4E89">
              <w:rPr>
                <w:rFonts w:asciiTheme="majorHAnsi" w:hAnsiTheme="majorHAnsi" w:cstheme="majorHAnsi"/>
                <w:b/>
                <w:bCs/>
                <w:sz w:val="16"/>
                <w:szCs w:val="16"/>
                <w:lang w:val="lv-LV"/>
              </w:rPr>
              <w:t>24 %</w:t>
            </w:r>
            <w:r>
              <w:rPr>
                <w:rFonts w:asciiTheme="majorHAnsi" w:hAnsiTheme="majorHAnsi" w:cstheme="majorHAnsi"/>
                <w:sz w:val="16"/>
                <w:szCs w:val="16"/>
                <w:lang w:val="lv-LV"/>
              </w:rPr>
              <w:t xml:space="preserve"> – </w:t>
            </w:r>
            <w:r w:rsidRPr="00CB4E89">
              <w:rPr>
                <w:rFonts w:asciiTheme="majorHAnsi" w:hAnsiTheme="majorHAnsi" w:cstheme="majorHAnsi"/>
                <w:sz w:val="16"/>
                <w:szCs w:val="16"/>
                <w:lang w:val="lv-LV"/>
              </w:rPr>
              <w:t xml:space="preserve">jaunais ES fondu finansējums. </w:t>
            </w:r>
            <w:r>
              <w:rPr>
                <w:rFonts w:asciiTheme="majorHAnsi" w:hAnsiTheme="majorHAnsi" w:cstheme="majorHAnsi"/>
                <w:sz w:val="16"/>
                <w:szCs w:val="16"/>
                <w:lang w:val="lv-LV"/>
              </w:rPr>
              <w:br/>
            </w:r>
            <w:r w:rsidRPr="00CB4E89">
              <w:rPr>
                <w:rFonts w:asciiTheme="majorHAnsi" w:hAnsiTheme="majorHAnsi" w:cstheme="majorHAnsi"/>
                <w:b/>
                <w:bCs/>
                <w:sz w:val="16"/>
                <w:szCs w:val="16"/>
                <w:lang w:val="lv-LV"/>
              </w:rPr>
              <w:t>8 %</w:t>
            </w:r>
            <w:r>
              <w:rPr>
                <w:rFonts w:asciiTheme="majorHAnsi" w:hAnsiTheme="majorHAnsi" w:cstheme="majorHAnsi"/>
                <w:sz w:val="16"/>
                <w:szCs w:val="16"/>
                <w:lang w:val="lv-LV"/>
              </w:rPr>
              <w:t xml:space="preserve"> – </w:t>
            </w:r>
            <w:r w:rsidRPr="00CB4E89">
              <w:rPr>
                <w:rFonts w:asciiTheme="majorHAnsi" w:hAnsiTheme="majorHAnsi" w:cstheme="majorHAnsi"/>
                <w:sz w:val="16"/>
                <w:szCs w:val="16"/>
                <w:lang w:val="lv-LV"/>
              </w:rPr>
              <w:t xml:space="preserve">nacionālais publiskais finansējums papildu izdevumu veidā. </w:t>
            </w:r>
            <w:r>
              <w:rPr>
                <w:rFonts w:asciiTheme="majorHAnsi" w:hAnsiTheme="majorHAnsi" w:cstheme="majorHAnsi"/>
                <w:sz w:val="16"/>
                <w:szCs w:val="16"/>
                <w:lang w:val="lv-LV"/>
              </w:rPr>
              <w:br/>
            </w:r>
            <w:r w:rsidRPr="00CB4E89">
              <w:rPr>
                <w:rFonts w:asciiTheme="majorHAnsi" w:hAnsiTheme="majorHAnsi" w:cstheme="majorHAnsi"/>
                <w:b/>
                <w:bCs/>
                <w:sz w:val="16"/>
                <w:szCs w:val="16"/>
                <w:lang w:val="lv-LV"/>
              </w:rPr>
              <w:t>12 %</w:t>
            </w:r>
            <w:r>
              <w:rPr>
                <w:rFonts w:asciiTheme="majorHAnsi" w:hAnsiTheme="majorHAnsi" w:cstheme="majorHAnsi"/>
                <w:sz w:val="16"/>
                <w:szCs w:val="16"/>
                <w:lang w:val="lv-LV"/>
              </w:rPr>
              <w:t xml:space="preserve"> – </w:t>
            </w:r>
            <w:r w:rsidRPr="00CB4E89">
              <w:rPr>
                <w:rFonts w:asciiTheme="majorHAnsi" w:hAnsiTheme="majorHAnsi" w:cstheme="majorHAnsi"/>
                <w:sz w:val="16"/>
                <w:szCs w:val="16"/>
                <w:lang w:val="lv-LV"/>
              </w:rPr>
              <w:t xml:space="preserve">Latvijas privāto uzņēmumu finansējums. </w:t>
            </w:r>
            <w:r>
              <w:rPr>
                <w:rFonts w:asciiTheme="majorHAnsi" w:hAnsiTheme="majorHAnsi" w:cstheme="majorHAnsi"/>
                <w:sz w:val="16"/>
                <w:szCs w:val="16"/>
                <w:lang w:val="lv-LV"/>
              </w:rPr>
              <w:br/>
            </w:r>
            <w:r w:rsidRPr="00CB4E89">
              <w:rPr>
                <w:rFonts w:asciiTheme="majorHAnsi" w:hAnsiTheme="majorHAnsi" w:cstheme="majorHAnsi"/>
                <w:b/>
                <w:bCs/>
                <w:sz w:val="16"/>
                <w:szCs w:val="16"/>
                <w:lang w:val="lv-LV"/>
              </w:rPr>
              <w:t>40 %</w:t>
            </w:r>
            <w:r>
              <w:rPr>
                <w:rFonts w:asciiTheme="majorHAnsi" w:hAnsiTheme="majorHAnsi" w:cstheme="majorHAnsi"/>
                <w:sz w:val="16"/>
                <w:szCs w:val="16"/>
                <w:lang w:val="lv-LV"/>
              </w:rPr>
              <w:t xml:space="preserve"> – </w:t>
            </w:r>
            <w:r w:rsidRPr="00CB4E89">
              <w:rPr>
                <w:rFonts w:asciiTheme="majorHAnsi" w:hAnsiTheme="majorHAnsi" w:cstheme="majorHAnsi"/>
                <w:sz w:val="16"/>
                <w:szCs w:val="16"/>
                <w:lang w:val="lv-LV"/>
              </w:rPr>
              <w:t xml:space="preserve">ārvalstu uzņēmumu finansējums. </w:t>
            </w:r>
          </w:p>
        </w:tc>
      </w:tr>
      <w:tr w:rsidR="00812A72" w:rsidRPr="00AB3438" w14:paraId="72F4E166" w14:textId="77777777" w:rsidTr="0002297E">
        <w:trPr>
          <w:jc w:val="center"/>
        </w:trPr>
        <w:tc>
          <w:tcPr>
            <w:tcW w:w="2835" w:type="dxa"/>
            <w:shd w:val="clear" w:color="auto" w:fill="D9E2F3" w:themeFill="accent1" w:themeFillTint="33"/>
          </w:tcPr>
          <w:p w14:paraId="7DECEE7E" w14:textId="77777777" w:rsidR="00812A72" w:rsidRPr="00CB4E89" w:rsidRDefault="00812A72" w:rsidP="0002297E">
            <w:pPr>
              <w:widowControl/>
              <w:spacing w:before="40" w:after="40" w:line="240" w:lineRule="auto"/>
              <w:rPr>
                <w:rFonts w:asciiTheme="majorHAnsi" w:hAnsiTheme="majorHAnsi" w:cstheme="majorHAnsi"/>
                <w:sz w:val="16"/>
                <w:szCs w:val="16"/>
                <w:lang w:val="lv-LV"/>
              </w:rPr>
            </w:pPr>
            <w:r w:rsidRPr="00CB4E89">
              <w:rPr>
                <w:rFonts w:asciiTheme="majorHAnsi" w:hAnsiTheme="majorHAnsi" w:cstheme="majorHAnsi"/>
                <w:sz w:val="16"/>
                <w:szCs w:val="16"/>
                <w:lang w:val="lv-LV"/>
              </w:rPr>
              <w:t xml:space="preserve">3.1.6.9. Īscirtmeta atvasāji </w:t>
            </w:r>
          </w:p>
        </w:tc>
        <w:tc>
          <w:tcPr>
            <w:tcW w:w="1417" w:type="dxa"/>
            <w:shd w:val="clear" w:color="auto" w:fill="D9E2F3" w:themeFill="accent1" w:themeFillTint="33"/>
          </w:tcPr>
          <w:p w14:paraId="05864579" w14:textId="77777777" w:rsidR="00812A72" w:rsidRPr="006B7AB1" w:rsidRDefault="00812A72" w:rsidP="0002297E">
            <w:pPr>
              <w:widowControl/>
              <w:spacing w:before="40" w:after="40" w:line="240" w:lineRule="auto"/>
              <w:rPr>
                <w:rFonts w:asciiTheme="majorHAnsi" w:hAnsiTheme="majorHAnsi" w:cstheme="majorHAnsi"/>
                <w:color w:val="000000" w:themeColor="text1"/>
                <w:sz w:val="16"/>
                <w:szCs w:val="16"/>
                <w:lang w:val="lv-LV"/>
              </w:rPr>
            </w:pPr>
            <w:r w:rsidRPr="006B7AB1">
              <w:rPr>
                <w:rFonts w:asciiTheme="majorHAnsi" w:hAnsiTheme="majorHAnsi" w:cstheme="majorHAnsi"/>
                <w:color w:val="000000" w:themeColor="text1"/>
                <w:sz w:val="16"/>
                <w:szCs w:val="16"/>
                <w:lang w:val="lv-LV"/>
              </w:rPr>
              <w:t>Lauksaimniecība</w:t>
            </w:r>
          </w:p>
        </w:tc>
        <w:tc>
          <w:tcPr>
            <w:tcW w:w="1984" w:type="dxa"/>
            <w:shd w:val="clear" w:color="auto" w:fill="D9E2F3" w:themeFill="accent1" w:themeFillTint="33"/>
          </w:tcPr>
          <w:p w14:paraId="0B23E370" w14:textId="77777777" w:rsidR="00812A72" w:rsidRPr="00CB4E89" w:rsidRDefault="00812A72" w:rsidP="0002297E">
            <w:pPr>
              <w:widowControl/>
              <w:spacing w:before="40" w:after="40" w:line="240" w:lineRule="auto"/>
              <w:rPr>
                <w:rFonts w:asciiTheme="majorHAnsi" w:hAnsiTheme="majorHAnsi" w:cstheme="majorHAnsi"/>
                <w:sz w:val="16"/>
                <w:szCs w:val="16"/>
                <w:lang w:val="lv-LV"/>
              </w:rPr>
            </w:pPr>
            <w:r w:rsidRPr="00CB4E89">
              <w:rPr>
                <w:rFonts w:asciiTheme="majorHAnsi" w:hAnsiTheme="majorHAnsi" w:cstheme="majorHAnsi"/>
                <w:sz w:val="16"/>
                <w:szCs w:val="16"/>
                <w:lang w:val="lv-LV"/>
              </w:rPr>
              <w:t>41,4 milj.eiro 2026.-2030. gadā: 8,28 milj. eiro katru gadu.</w:t>
            </w:r>
          </w:p>
        </w:tc>
        <w:tc>
          <w:tcPr>
            <w:tcW w:w="3402" w:type="dxa"/>
            <w:shd w:val="clear" w:color="auto" w:fill="D9E2F3" w:themeFill="accent1" w:themeFillTint="33"/>
          </w:tcPr>
          <w:p w14:paraId="7AD9072A" w14:textId="77777777" w:rsidR="00812A72" w:rsidRPr="00CB4E89" w:rsidRDefault="00812A72" w:rsidP="0002297E">
            <w:pPr>
              <w:widowControl/>
              <w:spacing w:before="40" w:after="40" w:line="240" w:lineRule="auto"/>
              <w:rPr>
                <w:rFonts w:asciiTheme="majorHAnsi" w:eastAsia="Times New Roman" w:hAnsiTheme="majorHAnsi" w:cstheme="majorHAnsi"/>
                <w:color w:val="000000"/>
                <w:sz w:val="16"/>
                <w:szCs w:val="16"/>
                <w:lang w:val="lv-LV" w:eastAsia="lv-LV"/>
              </w:rPr>
            </w:pPr>
            <w:r w:rsidRPr="00CB4E89">
              <w:rPr>
                <w:rFonts w:asciiTheme="majorHAnsi" w:hAnsiTheme="majorHAnsi" w:cstheme="majorHAnsi"/>
                <w:b/>
                <w:bCs/>
                <w:sz w:val="16"/>
                <w:szCs w:val="16"/>
                <w:lang w:val="lv-LV"/>
              </w:rPr>
              <w:t>14 %</w:t>
            </w:r>
            <w:r>
              <w:rPr>
                <w:rFonts w:asciiTheme="majorHAnsi" w:hAnsiTheme="majorHAnsi" w:cstheme="majorHAnsi"/>
                <w:sz w:val="16"/>
                <w:szCs w:val="16"/>
                <w:lang w:val="lv-LV"/>
              </w:rPr>
              <w:t xml:space="preserve"> – </w:t>
            </w:r>
            <w:r w:rsidRPr="00CB4E89">
              <w:rPr>
                <w:rFonts w:asciiTheme="majorHAnsi" w:hAnsiTheme="majorHAnsi" w:cstheme="majorHAnsi"/>
                <w:sz w:val="16"/>
                <w:szCs w:val="16"/>
                <w:lang w:val="lv-LV"/>
              </w:rPr>
              <w:t xml:space="preserve">aizstāj citas ES fondu programmas. </w:t>
            </w:r>
            <w:r>
              <w:rPr>
                <w:rFonts w:asciiTheme="majorHAnsi" w:hAnsiTheme="majorHAnsi" w:cstheme="majorHAnsi"/>
                <w:sz w:val="16"/>
                <w:szCs w:val="16"/>
                <w:lang w:val="lv-LV"/>
              </w:rPr>
              <w:br/>
            </w:r>
            <w:r w:rsidRPr="00CB4E89">
              <w:rPr>
                <w:rFonts w:asciiTheme="majorHAnsi" w:hAnsiTheme="majorHAnsi" w:cstheme="majorHAnsi"/>
                <w:b/>
                <w:bCs/>
                <w:sz w:val="16"/>
                <w:szCs w:val="16"/>
                <w:lang w:val="lv-LV"/>
              </w:rPr>
              <w:t>22 %</w:t>
            </w:r>
            <w:r>
              <w:rPr>
                <w:rFonts w:asciiTheme="majorHAnsi" w:hAnsiTheme="majorHAnsi" w:cstheme="majorHAnsi"/>
                <w:sz w:val="16"/>
                <w:szCs w:val="16"/>
                <w:lang w:val="lv-LV"/>
              </w:rPr>
              <w:t xml:space="preserve"> – </w:t>
            </w:r>
            <w:r w:rsidRPr="00CB4E89">
              <w:rPr>
                <w:rFonts w:asciiTheme="majorHAnsi" w:hAnsiTheme="majorHAnsi" w:cstheme="majorHAnsi"/>
                <w:sz w:val="16"/>
                <w:szCs w:val="16"/>
                <w:lang w:val="lv-LV"/>
              </w:rPr>
              <w:t xml:space="preserve">jaunais ES fondu finansējums. </w:t>
            </w:r>
            <w:r>
              <w:rPr>
                <w:rFonts w:asciiTheme="majorHAnsi" w:hAnsiTheme="majorHAnsi" w:cstheme="majorHAnsi"/>
                <w:sz w:val="16"/>
                <w:szCs w:val="16"/>
                <w:lang w:val="lv-LV"/>
              </w:rPr>
              <w:br/>
            </w:r>
            <w:r w:rsidRPr="00CB4E89">
              <w:rPr>
                <w:rFonts w:asciiTheme="majorHAnsi" w:hAnsiTheme="majorHAnsi" w:cstheme="majorHAnsi"/>
                <w:b/>
                <w:bCs/>
                <w:sz w:val="16"/>
                <w:szCs w:val="16"/>
                <w:lang w:val="lv-LV"/>
              </w:rPr>
              <w:t>24 %</w:t>
            </w:r>
            <w:r>
              <w:rPr>
                <w:rFonts w:asciiTheme="majorHAnsi" w:hAnsiTheme="majorHAnsi" w:cstheme="majorHAnsi"/>
                <w:sz w:val="16"/>
                <w:szCs w:val="16"/>
                <w:lang w:val="lv-LV"/>
              </w:rPr>
              <w:t xml:space="preserve"> – </w:t>
            </w:r>
            <w:r w:rsidRPr="00CB4E89">
              <w:rPr>
                <w:rFonts w:asciiTheme="majorHAnsi" w:hAnsiTheme="majorHAnsi" w:cstheme="majorHAnsi"/>
                <w:sz w:val="16"/>
                <w:szCs w:val="16"/>
                <w:lang w:val="lv-LV"/>
              </w:rPr>
              <w:t xml:space="preserve">nacionālais publiskais finansējums papildu izdevumu veidā. </w:t>
            </w:r>
            <w:r>
              <w:rPr>
                <w:rFonts w:asciiTheme="majorHAnsi" w:hAnsiTheme="majorHAnsi" w:cstheme="majorHAnsi"/>
                <w:sz w:val="16"/>
                <w:szCs w:val="16"/>
                <w:lang w:val="lv-LV"/>
              </w:rPr>
              <w:br/>
            </w:r>
            <w:r w:rsidRPr="00CB4E89">
              <w:rPr>
                <w:rFonts w:asciiTheme="majorHAnsi" w:hAnsiTheme="majorHAnsi" w:cstheme="majorHAnsi"/>
                <w:b/>
                <w:bCs/>
                <w:sz w:val="16"/>
                <w:szCs w:val="16"/>
                <w:lang w:val="lv-LV"/>
              </w:rPr>
              <w:t>30 %</w:t>
            </w:r>
            <w:r>
              <w:rPr>
                <w:rFonts w:asciiTheme="majorHAnsi" w:hAnsiTheme="majorHAnsi" w:cstheme="majorHAnsi"/>
                <w:sz w:val="16"/>
                <w:szCs w:val="16"/>
                <w:lang w:val="lv-LV"/>
              </w:rPr>
              <w:t xml:space="preserve"> – </w:t>
            </w:r>
            <w:r w:rsidRPr="00CB4E89">
              <w:rPr>
                <w:rFonts w:asciiTheme="majorHAnsi" w:hAnsiTheme="majorHAnsi" w:cstheme="majorHAnsi"/>
                <w:sz w:val="16"/>
                <w:szCs w:val="16"/>
                <w:lang w:val="lv-LV"/>
              </w:rPr>
              <w:t xml:space="preserve">Latvijas privāto uzņēmumu finansējums. </w:t>
            </w:r>
            <w:r>
              <w:rPr>
                <w:rFonts w:asciiTheme="majorHAnsi" w:hAnsiTheme="majorHAnsi" w:cstheme="majorHAnsi"/>
                <w:sz w:val="16"/>
                <w:szCs w:val="16"/>
                <w:lang w:val="lv-LV"/>
              </w:rPr>
              <w:br/>
            </w:r>
            <w:r w:rsidRPr="00CB4E89">
              <w:rPr>
                <w:rFonts w:asciiTheme="majorHAnsi" w:hAnsiTheme="majorHAnsi" w:cstheme="majorHAnsi"/>
                <w:b/>
                <w:bCs/>
                <w:sz w:val="16"/>
                <w:szCs w:val="16"/>
                <w:lang w:val="lv-LV"/>
              </w:rPr>
              <w:t>10 %</w:t>
            </w:r>
            <w:r>
              <w:rPr>
                <w:rFonts w:asciiTheme="majorHAnsi" w:hAnsiTheme="majorHAnsi" w:cstheme="majorHAnsi"/>
                <w:sz w:val="16"/>
                <w:szCs w:val="16"/>
                <w:lang w:val="lv-LV"/>
              </w:rPr>
              <w:t xml:space="preserve"> – </w:t>
            </w:r>
            <w:r w:rsidRPr="00CB4E89">
              <w:rPr>
                <w:rFonts w:asciiTheme="majorHAnsi" w:hAnsiTheme="majorHAnsi" w:cstheme="majorHAnsi"/>
                <w:sz w:val="16"/>
                <w:szCs w:val="16"/>
                <w:lang w:val="lv-LV"/>
              </w:rPr>
              <w:t xml:space="preserve">ārvalstu uzņēmumu finansējums. </w:t>
            </w:r>
          </w:p>
        </w:tc>
      </w:tr>
      <w:tr w:rsidR="00812A72" w:rsidRPr="00AB3438" w14:paraId="25F8783C" w14:textId="77777777" w:rsidTr="0002297E">
        <w:trPr>
          <w:jc w:val="center"/>
        </w:trPr>
        <w:tc>
          <w:tcPr>
            <w:tcW w:w="2835" w:type="dxa"/>
            <w:shd w:val="clear" w:color="auto" w:fill="B4C6E7" w:themeFill="accent1" w:themeFillTint="66"/>
          </w:tcPr>
          <w:p w14:paraId="3777EBBC" w14:textId="77777777" w:rsidR="00812A72" w:rsidRPr="00CB4E89" w:rsidRDefault="00812A72" w:rsidP="0002297E">
            <w:pPr>
              <w:widowControl/>
              <w:spacing w:before="40" w:after="40" w:line="240" w:lineRule="auto"/>
              <w:rPr>
                <w:rFonts w:asciiTheme="majorHAnsi" w:hAnsiTheme="majorHAnsi" w:cstheme="majorHAnsi"/>
                <w:sz w:val="16"/>
                <w:szCs w:val="16"/>
                <w:lang w:val="lv-LV"/>
              </w:rPr>
            </w:pPr>
            <w:r w:rsidRPr="00CB4E89">
              <w:rPr>
                <w:rFonts w:asciiTheme="majorHAnsi" w:hAnsiTheme="majorHAnsi" w:cstheme="majorHAnsi"/>
                <w:sz w:val="16"/>
                <w:szCs w:val="16"/>
                <w:lang w:val="lv-LV"/>
              </w:rPr>
              <w:t xml:space="preserve">3.1.6.10. Koku grupas ganībās </w:t>
            </w:r>
          </w:p>
        </w:tc>
        <w:tc>
          <w:tcPr>
            <w:tcW w:w="1417" w:type="dxa"/>
            <w:shd w:val="clear" w:color="auto" w:fill="B4C6E7" w:themeFill="accent1" w:themeFillTint="66"/>
          </w:tcPr>
          <w:p w14:paraId="0E9B5182" w14:textId="77777777" w:rsidR="00812A72" w:rsidRPr="006B7AB1" w:rsidRDefault="00812A72" w:rsidP="0002297E">
            <w:pPr>
              <w:widowControl/>
              <w:spacing w:before="40" w:after="40" w:line="240" w:lineRule="auto"/>
              <w:rPr>
                <w:rFonts w:asciiTheme="majorHAnsi" w:hAnsiTheme="majorHAnsi" w:cstheme="majorHAnsi"/>
                <w:color w:val="000000" w:themeColor="text1"/>
                <w:sz w:val="16"/>
                <w:szCs w:val="16"/>
                <w:lang w:val="lv-LV"/>
              </w:rPr>
            </w:pPr>
            <w:r w:rsidRPr="006B7AB1">
              <w:rPr>
                <w:rFonts w:asciiTheme="majorHAnsi" w:hAnsiTheme="majorHAnsi" w:cstheme="majorHAnsi"/>
                <w:color w:val="000000" w:themeColor="text1"/>
                <w:sz w:val="16"/>
                <w:szCs w:val="16"/>
                <w:lang w:val="lv-LV"/>
              </w:rPr>
              <w:t>Lauksaimniecība</w:t>
            </w:r>
          </w:p>
        </w:tc>
        <w:tc>
          <w:tcPr>
            <w:tcW w:w="1984" w:type="dxa"/>
            <w:shd w:val="clear" w:color="auto" w:fill="B4C6E7" w:themeFill="accent1" w:themeFillTint="66"/>
          </w:tcPr>
          <w:p w14:paraId="7792A344" w14:textId="77777777" w:rsidR="00812A72" w:rsidRPr="00CB4E89" w:rsidRDefault="00812A72" w:rsidP="0002297E">
            <w:pPr>
              <w:widowControl/>
              <w:spacing w:before="40" w:after="40" w:line="240" w:lineRule="auto"/>
              <w:rPr>
                <w:rFonts w:asciiTheme="majorHAnsi" w:hAnsiTheme="majorHAnsi" w:cstheme="majorHAnsi"/>
                <w:sz w:val="16"/>
                <w:szCs w:val="16"/>
                <w:lang w:val="lv-LV"/>
              </w:rPr>
            </w:pPr>
            <w:r w:rsidRPr="00CB4E89">
              <w:rPr>
                <w:rFonts w:asciiTheme="majorHAnsi" w:hAnsiTheme="majorHAnsi" w:cstheme="majorHAnsi"/>
                <w:sz w:val="16"/>
                <w:szCs w:val="16"/>
                <w:lang w:val="lv-LV"/>
              </w:rPr>
              <w:t>37,2 milj.eiro 2026.-2030. gadā: 7,44 milj. eiro katru gadu.</w:t>
            </w:r>
          </w:p>
        </w:tc>
        <w:tc>
          <w:tcPr>
            <w:tcW w:w="3402" w:type="dxa"/>
            <w:shd w:val="clear" w:color="auto" w:fill="B4C6E7" w:themeFill="accent1" w:themeFillTint="66"/>
          </w:tcPr>
          <w:p w14:paraId="4F8E6D00" w14:textId="77777777" w:rsidR="00812A72" w:rsidRPr="00CB4E89" w:rsidRDefault="00812A72" w:rsidP="0002297E">
            <w:pPr>
              <w:widowControl/>
              <w:spacing w:before="40" w:after="40" w:line="240" w:lineRule="auto"/>
              <w:rPr>
                <w:rFonts w:asciiTheme="majorHAnsi" w:eastAsia="Times New Roman" w:hAnsiTheme="majorHAnsi" w:cstheme="majorHAnsi"/>
                <w:color w:val="000000"/>
                <w:sz w:val="16"/>
                <w:szCs w:val="16"/>
                <w:lang w:val="lv-LV" w:eastAsia="lv-LV"/>
              </w:rPr>
            </w:pPr>
            <w:r w:rsidRPr="00CB4E89">
              <w:rPr>
                <w:rFonts w:asciiTheme="majorHAnsi" w:hAnsiTheme="majorHAnsi" w:cstheme="majorHAnsi"/>
                <w:b/>
                <w:bCs/>
                <w:sz w:val="16"/>
                <w:szCs w:val="16"/>
                <w:lang w:val="lv-LV"/>
              </w:rPr>
              <w:t>16 %</w:t>
            </w:r>
            <w:r>
              <w:rPr>
                <w:rFonts w:asciiTheme="majorHAnsi" w:hAnsiTheme="majorHAnsi" w:cstheme="majorHAnsi"/>
                <w:sz w:val="16"/>
                <w:szCs w:val="16"/>
                <w:lang w:val="lv-LV"/>
              </w:rPr>
              <w:t xml:space="preserve"> – </w:t>
            </w:r>
            <w:r w:rsidRPr="00CB4E89">
              <w:rPr>
                <w:rFonts w:asciiTheme="majorHAnsi" w:hAnsiTheme="majorHAnsi" w:cstheme="majorHAnsi"/>
                <w:sz w:val="16"/>
                <w:szCs w:val="16"/>
                <w:lang w:val="lv-LV"/>
              </w:rPr>
              <w:t xml:space="preserve">aizstāj citas ES fondu programmas. </w:t>
            </w:r>
            <w:r>
              <w:rPr>
                <w:rFonts w:asciiTheme="majorHAnsi" w:hAnsiTheme="majorHAnsi" w:cstheme="majorHAnsi"/>
                <w:sz w:val="16"/>
                <w:szCs w:val="16"/>
                <w:lang w:val="lv-LV"/>
              </w:rPr>
              <w:br/>
            </w:r>
            <w:r w:rsidRPr="00CB4E89">
              <w:rPr>
                <w:rFonts w:asciiTheme="majorHAnsi" w:hAnsiTheme="majorHAnsi" w:cstheme="majorHAnsi"/>
                <w:b/>
                <w:bCs/>
                <w:sz w:val="16"/>
                <w:szCs w:val="16"/>
                <w:lang w:val="lv-LV"/>
              </w:rPr>
              <w:t>24 %</w:t>
            </w:r>
            <w:r>
              <w:rPr>
                <w:rFonts w:asciiTheme="majorHAnsi" w:hAnsiTheme="majorHAnsi" w:cstheme="majorHAnsi"/>
                <w:sz w:val="16"/>
                <w:szCs w:val="16"/>
                <w:lang w:val="lv-LV"/>
              </w:rPr>
              <w:t xml:space="preserve"> – </w:t>
            </w:r>
            <w:r w:rsidRPr="00CB4E89">
              <w:rPr>
                <w:rFonts w:asciiTheme="majorHAnsi" w:hAnsiTheme="majorHAnsi" w:cstheme="majorHAnsi"/>
                <w:sz w:val="16"/>
                <w:szCs w:val="16"/>
                <w:lang w:val="lv-LV"/>
              </w:rPr>
              <w:t xml:space="preserve">jaunais ES fondu finansējums. </w:t>
            </w:r>
            <w:r>
              <w:rPr>
                <w:rFonts w:asciiTheme="majorHAnsi" w:hAnsiTheme="majorHAnsi" w:cstheme="majorHAnsi"/>
                <w:sz w:val="16"/>
                <w:szCs w:val="16"/>
                <w:lang w:val="lv-LV"/>
              </w:rPr>
              <w:br/>
            </w:r>
            <w:r w:rsidRPr="00CB4E89">
              <w:rPr>
                <w:rFonts w:asciiTheme="majorHAnsi" w:hAnsiTheme="majorHAnsi" w:cstheme="majorHAnsi"/>
                <w:b/>
                <w:bCs/>
                <w:sz w:val="16"/>
                <w:szCs w:val="16"/>
                <w:lang w:val="lv-LV"/>
              </w:rPr>
              <w:t>8 %</w:t>
            </w:r>
            <w:r>
              <w:rPr>
                <w:rFonts w:asciiTheme="majorHAnsi" w:hAnsiTheme="majorHAnsi" w:cstheme="majorHAnsi"/>
                <w:sz w:val="16"/>
                <w:szCs w:val="16"/>
                <w:lang w:val="lv-LV"/>
              </w:rPr>
              <w:t xml:space="preserve"> – </w:t>
            </w:r>
            <w:r w:rsidRPr="00CB4E89">
              <w:rPr>
                <w:rFonts w:asciiTheme="majorHAnsi" w:hAnsiTheme="majorHAnsi" w:cstheme="majorHAnsi"/>
                <w:sz w:val="16"/>
                <w:szCs w:val="16"/>
                <w:lang w:val="lv-LV"/>
              </w:rPr>
              <w:t xml:space="preserve">nacionālais publiskais finansējums papildu izdevumu veidā. </w:t>
            </w:r>
            <w:r>
              <w:rPr>
                <w:rFonts w:asciiTheme="majorHAnsi" w:hAnsiTheme="majorHAnsi" w:cstheme="majorHAnsi"/>
                <w:sz w:val="16"/>
                <w:szCs w:val="16"/>
                <w:lang w:val="lv-LV"/>
              </w:rPr>
              <w:br/>
            </w:r>
            <w:r w:rsidRPr="00CB4E89">
              <w:rPr>
                <w:rFonts w:asciiTheme="majorHAnsi" w:hAnsiTheme="majorHAnsi" w:cstheme="majorHAnsi"/>
                <w:b/>
                <w:bCs/>
                <w:sz w:val="16"/>
                <w:szCs w:val="16"/>
                <w:lang w:val="lv-LV"/>
              </w:rPr>
              <w:t>13 %</w:t>
            </w:r>
            <w:r>
              <w:rPr>
                <w:rFonts w:asciiTheme="majorHAnsi" w:hAnsiTheme="majorHAnsi" w:cstheme="majorHAnsi"/>
                <w:sz w:val="16"/>
                <w:szCs w:val="16"/>
                <w:lang w:val="lv-LV"/>
              </w:rPr>
              <w:t xml:space="preserve"> – </w:t>
            </w:r>
            <w:r w:rsidRPr="00CB4E89">
              <w:rPr>
                <w:rFonts w:asciiTheme="majorHAnsi" w:hAnsiTheme="majorHAnsi" w:cstheme="majorHAnsi"/>
                <w:sz w:val="16"/>
                <w:szCs w:val="16"/>
                <w:lang w:val="lv-LV"/>
              </w:rPr>
              <w:t xml:space="preserve">Latvijas privāto uzņēmumu finansējums. </w:t>
            </w:r>
            <w:r>
              <w:rPr>
                <w:rFonts w:asciiTheme="majorHAnsi" w:hAnsiTheme="majorHAnsi" w:cstheme="majorHAnsi"/>
                <w:sz w:val="16"/>
                <w:szCs w:val="16"/>
                <w:lang w:val="lv-LV"/>
              </w:rPr>
              <w:br/>
            </w:r>
            <w:r w:rsidRPr="00CB4E89">
              <w:rPr>
                <w:rFonts w:asciiTheme="majorHAnsi" w:hAnsiTheme="majorHAnsi" w:cstheme="majorHAnsi"/>
                <w:b/>
                <w:bCs/>
                <w:sz w:val="16"/>
                <w:szCs w:val="16"/>
                <w:lang w:val="lv-LV"/>
              </w:rPr>
              <w:t>38 %</w:t>
            </w:r>
            <w:r>
              <w:rPr>
                <w:rFonts w:asciiTheme="majorHAnsi" w:hAnsiTheme="majorHAnsi" w:cstheme="majorHAnsi"/>
                <w:sz w:val="16"/>
                <w:szCs w:val="16"/>
                <w:lang w:val="lv-LV"/>
              </w:rPr>
              <w:t xml:space="preserve"> – </w:t>
            </w:r>
            <w:r w:rsidRPr="00CB4E89">
              <w:rPr>
                <w:rFonts w:asciiTheme="majorHAnsi" w:hAnsiTheme="majorHAnsi" w:cstheme="majorHAnsi"/>
                <w:sz w:val="16"/>
                <w:szCs w:val="16"/>
                <w:lang w:val="lv-LV"/>
              </w:rPr>
              <w:t>ārvalstu uzņēmumu finansējums.</w:t>
            </w:r>
          </w:p>
        </w:tc>
      </w:tr>
      <w:tr w:rsidR="00812A72" w:rsidRPr="00AB3438" w14:paraId="7A98FB4F" w14:textId="77777777" w:rsidTr="0002297E">
        <w:trPr>
          <w:jc w:val="center"/>
        </w:trPr>
        <w:tc>
          <w:tcPr>
            <w:tcW w:w="2835" w:type="dxa"/>
            <w:shd w:val="clear" w:color="auto" w:fill="D9E2F3" w:themeFill="accent1" w:themeFillTint="33"/>
          </w:tcPr>
          <w:p w14:paraId="48296A77" w14:textId="77777777" w:rsidR="00812A72" w:rsidRPr="00CB4E89" w:rsidRDefault="00812A72" w:rsidP="0002297E">
            <w:pPr>
              <w:widowControl/>
              <w:spacing w:before="40" w:after="40" w:line="240" w:lineRule="auto"/>
              <w:rPr>
                <w:rFonts w:asciiTheme="majorHAnsi" w:hAnsiTheme="majorHAnsi" w:cstheme="majorHAnsi"/>
                <w:sz w:val="16"/>
                <w:szCs w:val="16"/>
                <w:lang w:val="lv-LV"/>
              </w:rPr>
            </w:pPr>
            <w:r w:rsidRPr="00CB4E89">
              <w:rPr>
                <w:rFonts w:asciiTheme="majorHAnsi" w:hAnsiTheme="majorHAnsi" w:cstheme="majorHAnsi"/>
                <w:sz w:val="16"/>
                <w:szCs w:val="16"/>
                <w:lang w:val="lv-LV"/>
              </w:rPr>
              <w:t xml:space="preserve">3.1.6.11. Koksnes ķīmiskās pārstrādes/koksnes šķiedras rūpnīcas būvniecība </w:t>
            </w:r>
          </w:p>
        </w:tc>
        <w:tc>
          <w:tcPr>
            <w:tcW w:w="1417" w:type="dxa"/>
            <w:shd w:val="clear" w:color="auto" w:fill="D9E2F3" w:themeFill="accent1" w:themeFillTint="33"/>
          </w:tcPr>
          <w:p w14:paraId="77E63ACF" w14:textId="77777777" w:rsidR="00812A72" w:rsidRPr="006B7AB1" w:rsidRDefault="00812A72" w:rsidP="0002297E">
            <w:pPr>
              <w:widowControl/>
              <w:spacing w:before="40" w:after="40" w:line="240" w:lineRule="auto"/>
              <w:jc w:val="center"/>
              <w:rPr>
                <w:rFonts w:asciiTheme="majorHAnsi" w:hAnsiTheme="majorHAnsi" w:cstheme="majorHAnsi"/>
                <w:color w:val="000000" w:themeColor="text1"/>
                <w:sz w:val="16"/>
                <w:szCs w:val="16"/>
                <w:lang w:val="lv-LV"/>
              </w:rPr>
            </w:pPr>
            <w:r w:rsidRPr="006B7AB1">
              <w:rPr>
                <w:rFonts w:asciiTheme="majorHAnsi" w:hAnsiTheme="majorHAnsi" w:cstheme="majorHAnsi"/>
                <w:color w:val="000000" w:themeColor="text1"/>
                <w:sz w:val="16"/>
                <w:szCs w:val="16"/>
                <w:lang w:val="lv-LV"/>
              </w:rPr>
              <w:t xml:space="preserve">Kokrūpniecība </w:t>
            </w:r>
          </w:p>
        </w:tc>
        <w:tc>
          <w:tcPr>
            <w:tcW w:w="1984" w:type="dxa"/>
            <w:shd w:val="clear" w:color="auto" w:fill="D9E2F3" w:themeFill="accent1" w:themeFillTint="33"/>
          </w:tcPr>
          <w:p w14:paraId="566B0066" w14:textId="77777777" w:rsidR="00812A72" w:rsidRPr="00CB4E89" w:rsidRDefault="00812A72" w:rsidP="0002297E">
            <w:pPr>
              <w:widowControl/>
              <w:spacing w:before="40" w:after="40" w:line="240" w:lineRule="auto"/>
              <w:rPr>
                <w:rFonts w:asciiTheme="majorHAnsi" w:hAnsiTheme="majorHAnsi" w:cstheme="majorHAnsi"/>
                <w:sz w:val="16"/>
                <w:szCs w:val="16"/>
                <w:lang w:val="lv-LV"/>
              </w:rPr>
            </w:pPr>
            <w:r w:rsidRPr="00CB4E89">
              <w:rPr>
                <w:rFonts w:asciiTheme="majorHAnsi" w:hAnsiTheme="majorHAnsi" w:cstheme="majorHAnsi"/>
                <w:sz w:val="16"/>
                <w:szCs w:val="16"/>
                <w:lang w:val="lv-LV"/>
              </w:rPr>
              <w:t xml:space="preserve">700 milj.eiro, t.sk.: </w:t>
            </w:r>
            <w:r>
              <w:rPr>
                <w:rFonts w:asciiTheme="majorHAnsi" w:hAnsiTheme="majorHAnsi" w:cstheme="majorHAnsi"/>
                <w:sz w:val="16"/>
                <w:szCs w:val="16"/>
                <w:lang w:val="lv-LV"/>
              </w:rPr>
              <w:br/>
            </w:r>
            <w:r w:rsidRPr="00CB4E89">
              <w:rPr>
                <w:rFonts w:asciiTheme="majorHAnsi" w:hAnsiTheme="majorHAnsi" w:cstheme="majorHAnsi"/>
                <w:sz w:val="16"/>
                <w:szCs w:val="16"/>
                <w:lang w:val="lv-LV"/>
              </w:rPr>
              <w:t xml:space="preserve">50 milj. eiro 2025. gadā, </w:t>
            </w:r>
            <w:r>
              <w:rPr>
                <w:rFonts w:asciiTheme="majorHAnsi" w:hAnsiTheme="majorHAnsi" w:cstheme="majorHAnsi"/>
                <w:sz w:val="16"/>
                <w:szCs w:val="16"/>
                <w:lang w:val="lv-LV"/>
              </w:rPr>
              <w:br/>
            </w:r>
            <w:r w:rsidRPr="00CB4E89">
              <w:rPr>
                <w:rFonts w:asciiTheme="majorHAnsi" w:hAnsiTheme="majorHAnsi" w:cstheme="majorHAnsi"/>
                <w:sz w:val="16"/>
                <w:szCs w:val="16"/>
                <w:lang w:val="lv-LV"/>
              </w:rPr>
              <w:t xml:space="preserve">100 milj. eiro 2026. gadā, </w:t>
            </w:r>
            <w:r>
              <w:rPr>
                <w:rFonts w:asciiTheme="majorHAnsi" w:hAnsiTheme="majorHAnsi" w:cstheme="majorHAnsi"/>
                <w:sz w:val="16"/>
                <w:szCs w:val="16"/>
                <w:lang w:val="lv-LV"/>
              </w:rPr>
              <w:br/>
            </w:r>
            <w:r w:rsidRPr="00CB4E89">
              <w:rPr>
                <w:rFonts w:asciiTheme="majorHAnsi" w:hAnsiTheme="majorHAnsi" w:cstheme="majorHAnsi"/>
                <w:sz w:val="16"/>
                <w:szCs w:val="16"/>
                <w:lang w:val="lv-LV"/>
              </w:rPr>
              <w:t xml:space="preserve">250 milj. eiro 2027. gadā, </w:t>
            </w:r>
            <w:r>
              <w:rPr>
                <w:rFonts w:asciiTheme="majorHAnsi" w:hAnsiTheme="majorHAnsi" w:cstheme="majorHAnsi"/>
                <w:sz w:val="16"/>
                <w:szCs w:val="16"/>
                <w:lang w:val="lv-LV"/>
              </w:rPr>
              <w:br/>
            </w:r>
            <w:r w:rsidRPr="00CB4E89">
              <w:rPr>
                <w:rFonts w:asciiTheme="majorHAnsi" w:hAnsiTheme="majorHAnsi" w:cstheme="majorHAnsi"/>
                <w:sz w:val="16"/>
                <w:szCs w:val="16"/>
                <w:lang w:val="lv-LV"/>
              </w:rPr>
              <w:t xml:space="preserve">250 milj. eiro 2028. gadā, </w:t>
            </w:r>
            <w:r>
              <w:rPr>
                <w:rFonts w:asciiTheme="majorHAnsi" w:hAnsiTheme="majorHAnsi" w:cstheme="majorHAnsi"/>
                <w:sz w:val="16"/>
                <w:szCs w:val="16"/>
                <w:lang w:val="lv-LV"/>
              </w:rPr>
              <w:br/>
            </w:r>
            <w:r w:rsidRPr="00CB4E89">
              <w:rPr>
                <w:rFonts w:asciiTheme="majorHAnsi" w:hAnsiTheme="majorHAnsi" w:cstheme="majorHAnsi"/>
                <w:sz w:val="16"/>
                <w:szCs w:val="16"/>
                <w:lang w:val="lv-LV"/>
              </w:rPr>
              <w:t xml:space="preserve">50 milj. eiro 2029. gadā. </w:t>
            </w:r>
          </w:p>
        </w:tc>
        <w:tc>
          <w:tcPr>
            <w:tcW w:w="3402" w:type="dxa"/>
            <w:shd w:val="clear" w:color="auto" w:fill="D9E2F3" w:themeFill="accent1" w:themeFillTint="33"/>
          </w:tcPr>
          <w:p w14:paraId="61FB23CB" w14:textId="77777777" w:rsidR="00812A72" w:rsidRPr="00CB4E89" w:rsidRDefault="00812A72" w:rsidP="0002297E">
            <w:pPr>
              <w:widowControl/>
              <w:spacing w:before="40" w:after="40" w:line="240" w:lineRule="auto"/>
              <w:rPr>
                <w:rFonts w:asciiTheme="majorHAnsi" w:eastAsia="Times New Roman" w:hAnsiTheme="majorHAnsi" w:cstheme="majorHAnsi"/>
                <w:color w:val="000000"/>
                <w:sz w:val="16"/>
                <w:szCs w:val="16"/>
                <w:lang w:val="lv-LV" w:eastAsia="lv-LV"/>
              </w:rPr>
            </w:pPr>
            <w:r w:rsidRPr="00CB4E89">
              <w:rPr>
                <w:rFonts w:asciiTheme="majorHAnsi" w:hAnsiTheme="majorHAnsi" w:cstheme="majorHAnsi"/>
                <w:b/>
                <w:bCs/>
                <w:sz w:val="16"/>
                <w:szCs w:val="16"/>
                <w:lang w:val="lv-LV"/>
              </w:rPr>
              <w:t>100 %</w:t>
            </w:r>
            <w:r>
              <w:rPr>
                <w:rFonts w:asciiTheme="majorHAnsi" w:hAnsiTheme="majorHAnsi" w:cstheme="majorHAnsi"/>
                <w:sz w:val="16"/>
                <w:szCs w:val="16"/>
                <w:lang w:val="lv-LV"/>
              </w:rPr>
              <w:t xml:space="preserve"> – </w:t>
            </w:r>
            <w:r w:rsidRPr="00CB4E89">
              <w:rPr>
                <w:rFonts w:asciiTheme="majorHAnsi" w:hAnsiTheme="majorHAnsi" w:cstheme="majorHAnsi"/>
                <w:sz w:val="16"/>
                <w:szCs w:val="16"/>
                <w:lang w:val="lv-LV"/>
              </w:rPr>
              <w:t xml:space="preserve">ārvalstu uzņēmumu finansējums. </w:t>
            </w:r>
          </w:p>
        </w:tc>
      </w:tr>
      <w:tr w:rsidR="00812A72" w:rsidRPr="00AB3438" w14:paraId="2EF1D2AB" w14:textId="77777777" w:rsidTr="0002297E">
        <w:trPr>
          <w:jc w:val="center"/>
        </w:trPr>
        <w:tc>
          <w:tcPr>
            <w:tcW w:w="2835" w:type="dxa"/>
            <w:shd w:val="clear" w:color="auto" w:fill="D9E2F3" w:themeFill="accent1" w:themeFillTint="33"/>
          </w:tcPr>
          <w:p w14:paraId="59EDFA5C" w14:textId="77777777" w:rsidR="00812A72" w:rsidRPr="00CB4E89" w:rsidRDefault="00812A72" w:rsidP="0002297E">
            <w:pPr>
              <w:widowControl/>
              <w:spacing w:before="40" w:after="40" w:line="240" w:lineRule="auto"/>
              <w:rPr>
                <w:rFonts w:asciiTheme="majorHAnsi" w:hAnsiTheme="majorHAnsi" w:cstheme="majorHAnsi"/>
                <w:sz w:val="16"/>
                <w:szCs w:val="16"/>
                <w:lang w:val="lv-LV"/>
              </w:rPr>
            </w:pPr>
            <w:r w:rsidRPr="00CB4E89">
              <w:rPr>
                <w:rFonts w:asciiTheme="majorHAnsi" w:hAnsiTheme="majorHAnsi" w:cstheme="majorHAnsi"/>
                <w:sz w:val="16"/>
                <w:szCs w:val="16"/>
                <w:lang w:val="lv-LV"/>
              </w:rPr>
              <w:t xml:space="preserve">3.1.6.12. Neproduktīvu audžu nomaiņa </w:t>
            </w:r>
          </w:p>
        </w:tc>
        <w:tc>
          <w:tcPr>
            <w:tcW w:w="1417" w:type="dxa"/>
            <w:shd w:val="clear" w:color="auto" w:fill="D9E2F3" w:themeFill="accent1" w:themeFillTint="33"/>
          </w:tcPr>
          <w:p w14:paraId="19AA9495" w14:textId="77777777" w:rsidR="00812A72" w:rsidRPr="006B7AB1" w:rsidRDefault="00812A72" w:rsidP="0002297E">
            <w:pPr>
              <w:widowControl/>
              <w:spacing w:before="40" w:after="40" w:line="240" w:lineRule="auto"/>
              <w:jc w:val="center"/>
              <w:rPr>
                <w:rFonts w:asciiTheme="majorHAnsi" w:hAnsiTheme="majorHAnsi" w:cstheme="majorHAnsi"/>
                <w:color w:val="000000" w:themeColor="text1"/>
                <w:sz w:val="16"/>
                <w:szCs w:val="16"/>
                <w:lang w:val="lv-LV"/>
              </w:rPr>
            </w:pPr>
            <w:r w:rsidRPr="006B7AB1">
              <w:rPr>
                <w:rFonts w:asciiTheme="majorHAnsi" w:hAnsiTheme="majorHAnsi" w:cstheme="majorHAnsi"/>
                <w:color w:val="000000" w:themeColor="text1"/>
                <w:sz w:val="16"/>
                <w:szCs w:val="16"/>
                <w:lang w:val="lv-LV"/>
              </w:rPr>
              <w:t>Lauksaimniecība</w:t>
            </w:r>
          </w:p>
        </w:tc>
        <w:tc>
          <w:tcPr>
            <w:tcW w:w="1984" w:type="dxa"/>
            <w:shd w:val="clear" w:color="auto" w:fill="D9E2F3" w:themeFill="accent1" w:themeFillTint="33"/>
          </w:tcPr>
          <w:p w14:paraId="4012E6F4" w14:textId="77777777" w:rsidR="00812A72" w:rsidRPr="00CB4E89" w:rsidRDefault="00812A72" w:rsidP="0002297E">
            <w:pPr>
              <w:widowControl/>
              <w:spacing w:before="40" w:after="40" w:line="240" w:lineRule="auto"/>
              <w:rPr>
                <w:rFonts w:asciiTheme="majorHAnsi" w:hAnsiTheme="majorHAnsi" w:cstheme="majorHAnsi"/>
                <w:sz w:val="16"/>
                <w:szCs w:val="16"/>
                <w:lang w:val="lv-LV"/>
              </w:rPr>
            </w:pPr>
            <w:r w:rsidRPr="00CB4E89">
              <w:rPr>
                <w:rFonts w:asciiTheme="majorHAnsi" w:hAnsiTheme="majorHAnsi" w:cstheme="majorHAnsi"/>
                <w:sz w:val="16"/>
                <w:szCs w:val="16"/>
                <w:lang w:val="lv-LV"/>
              </w:rPr>
              <w:t xml:space="preserve">24,1 milj.eiro 2026.-2030. gadā: </w:t>
            </w:r>
            <w:r>
              <w:rPr>
                <w:rFonts w:asciiTheme="majorHAnsi" w:hAnsiTheme="majorHAnsi" w:cstheme="majorHAnsi"/>
                <w:sz w:val="16"/>
                <w:szCs w:val="16"/>
                <w:lang w:val="lv-LV"/>
              </w:rPr>
              <w:br/>
            </w:r>
            <w:r w:rsidRPr="00CB4E89">
              <w:rPr>
                <w:rFonts w:asciiTheme="majorHAnsi" w:hAnsiTheme="majorHAnsi" w:cstheme="majorHAnsi"/>
                <w:sz w:val="16"/>
                <w:szCs w:val="16"/>
                <w:lang w:val="lv-LV"/>
              </w:rPr>
              <w:t>4,82 milj. eiro katru gadu.</w:t>
            </w:r>
          </w:p>
        </w:tc>
        <w:tc>
          <w:tcPr>
            <w:tcW w:w="3402" w:type="dxa"/>
            <w:shd w:val="clear" w:color="auto" w:fill="D9E2F3" w:themeFill="accent1" w:themeFillTint="33"/>
          </w:tcPr>
          <w:p w14:paraId="3032FBC7" w14:textId="77777777" w:rsidR="00812A72" w:rsidRPr="00CB4E89" w:rsidRDefault="00812A72" w:rsidP="0002297E">
            <w:pPr>
              <w:widowControl/>
              <w:spacing w:before="40" w:after="40" w:line="240" w:lineRule="auto"/>
              <w:rPr>
                <w:rFonts w:asciiTheme="majorHAnsi" w:eastAsia="Times New Roman" w:hAnsiTheme="majorHAnsi" w:cstheme="majorHAnsi"/>
                <w:color w:val="000000"/>
                <w:sz w:val="16"/>
                <w:szCs w:val="16"/>
                <w:lang w:val="lv-LV" w:eastAsia="lv-LV"/>
              </w:rPr>
            </w:pPr>
            <w:r w:rsidRPr="00CB4E89">
              <w:rPr>
                <w:rFonts w:asciiTheme="majorHAnsi" w:hAnsiTheme="majorHAnsi" w:cstheme="majorHAnsi"/>
                <w:b/>
                <w:bCs/>
                <w:sz w:val="16"/>
                <w:szCs w:val="16"/>
                <w:lang w:val="lv-LV"/>
              </w:rPr>
              <w:t>12 %</w:t>
            </w:r>
            <w:r>
              <w:rPr>
                <w:rFonts w:asciiTheme="majorHAnsi" w:hAnsiTheme="majorHAnsi" w:cstheme="majorHAnsi"/>
                <w:sz w:val="16"/>
                <w:szCs w:val="16"/>
                <w:lang w:val="lv-LV"/>
              </w:rPr>
              <w:t xml:space="preserve"> – </w:t>
            </w:r>
            <w:r w:rsidRPr="00CB4E89">
              <w:rPr>
                <w:rFonts w:asciiTheme="majorHAnsi" w:hAnsiTheme="majorHAnsi" w:cstheme="majorHAnsi"/>
                <w:sz w:val="16"/>
                <w:szCs w:val="16"/>
                <w:lang w:val="lv-LV"/>
              </w:rPr>
              <w:t>nacionālais publiskais finansējums, kas</w:t>
            </w:r>
            <w:r>
              <w:rPr>
                <w:rFonts w:asciiTheme="majorHAnsi" w:hAnsiTheme="majorHAnsi" w:cstheme="majorHAnsi"/>
                <w:sz w:val="16"/>
                <w:szCs w:val="16"/>
                <w:lang w:val="lv-LV"/>
              </w:rPr>
              <w:t xml:space="preserve"> </w:t>
            </w:r>
            <w:r w:rsidRPr="00CB4E89">
              <w:rPr>
                <w:rFonts w:asciiTheme="majorHAnsi" w:hAnsiTheme="majorHAnsi" w:cstheme="majorHAnsi"/>
                <w:sz w:val="16"/>
                <w:szCs w:val="16"/>
                <w:lang w:val="lv-LV"/>
              </w:rPr>
              <w:t xml:space="preserve">aizstāj citus budžeta izdevumus. </w:t>
            </w:r>
            <w:r>
              <w:rPr>
                <w:rFonts w:asciiTheme="majorHAnsi" w:hAnsiTheme="majorHAnsi" w:cstheme="majorHAnsi"/>
                <w:sz w:val="16"/>
                <w:szCs w:val="16"/>
                <w:lang w:val="lv-LV"/>
              </w:rPr>
              <w:br/>
            </w:r>
            <w:r w:rsidRPr="00CB4E89">
              <w:rPr>
                <w:rFonts w:asciiTheme="majorHAnsi" w:hAnsiTheme="majorHAnsi" w:cstheme="majorHAnsi"/>
                <w:b/>
                <w:bCs/>
                <w:sz w:val="16"/>
                <w:szCs w:val="16"/>
                <w:lang w:val="lv-LV"/>
              </w:rPr>
              <w:t>67 %</w:t>
            </w:r>
            <w:r>
              <w:rPr>
                <w:rFonts w:asciiTheme="majorHAnsi" w:hAnsiTheme="majorHAnsi" w:cstheme="majorHAnsi"/>
                <w:sz w:val="16"/>
                <w:szCs w:val="16"/>
                <w:lang w:val="lv-LV"/>
              </w:rPr>
              <w:t xml:space="preserve"> – </w:t>
            </w:r>
            <w:r w:rsidRPr="00CB4E89">
              <w:rPr>
                <w:rFonts w:asciiTheme="majorHAnsi" w:hAnsiTheme="majorHAnsi" w:cstheme="majorHAnsi"/>
                <w:sz w:val="16"/>
                <w:szCs w:val="16"/>
                <w:lang w:val="lv-LV"/>
              </w:rPr>
              <w:t xml:space="preserve">nacionālais publiskais finansējums papildu izdevumu veidā. </w:t>
            </w:r>
            <w:r>
              <w:rPr>
                <w:rFonts w:asciiTheme="majorHAnsi" w:hAnsiTheme="majorHAnsi" w:cstheme="majorHAnsi"/>
                <w:sz w:val="16"/>
                <w:szCs w:val="16"/>
                <w:lang w:val="lv-LV"/>
              </w:rPr>
              <w:br/>
            </w:r>
            <w:r w:rsidRPr="00CB4E89">
              <w:rPr>
                <w:rFonts w:asciiTheme="majorHAnsi" w:hAnsiTheme="majorHAnsi" w:cstheme="majorHAnsi"/>
                <w:b/>
                <w:bCs/>
                <w:sz w:val="16"/>
                <w:szCs w:val="16"/>
                <w:lang w:val="lv-LV"/>
              </w:rPr>
              <w:t>17 %</w:t>
            </w:r>
            <w:r>
              <w:rPr>
                <w:rFonts w:asciiTheme="majorHAnsi" w:hAnsiTheme="majorHAnsi" w:cstheme="majorHAnsi"/>
                <w:sz w:val="16"/>
                <w:szCs w:val="16"/>
                <w:lang w:val="lv-LV"/>
              </w:rPr>
              <w:t xml:space="preserve"> – </w:t>
            </w:r>
            <w:r w:rsidRPr="00CB4E89">
              <w:rPr>
                <w:rFonts w:asciiTheme="majorHAnsi" w:hAnsiTheme="majorHAnsi" w:cstheme="majorHAnsi"/>
                <w:sz w:val="16"/>
                <w:szCs w:val="16"/>
                <w:lang w:val="lv-LV"/>
              </w:rPr>
              <w:t xml:space="preserve">Latvijas privāto uzņēmumu finansējums. </w:t>
            </w:r>
            <w:r>
              <w:rPr>
                <w:rFonts w:asciiTheme="majorHAnsi" w:hAnsiTheme="majorHAnsi" w:cstheme="majorHAnsi"/>
                <w:sz w:val="16"/>
                <w:szCs w:val="16"/>
                <w:lang w:val="lv-LV"/>
              </w:rPr>
              <w:br/>
            </w:r>
            <w:r w:rsidRPr="00CB4E89">
              <w:rPr>
                <w:rFonts w:asciiTheme="majorHAnsi" w:hAnsiTheme="majorHAnsi" w:cstheme="majorHAnsi"/>
                <w:b/>
                <w:bCs/>
                <w:sz w:val="16"/>
                <w:szCs w:val="16"/>
                <w:lang w:val="lv-LV"/>
              </w:rPr>
              <w:t>4 %</w:t>
            </w:r>
            <w:r>
              <w:rPr>
                <w:rFonts w:asciiTheme="majorHAnsi" w:hAnsiTheme="majorHAnsi" w:cstheme="majorHAnsi"/>
                <w:sz w:val="16"/>
                <w:szCs w:val="16"/>
                <w:lang w:val="lv-LV"/>
              </w:rPr>
              <w:t xml:space="preserve"> – </w:t>
            </w:r>
            <w:r w:rsidRPr="00CB4E89">
              <w:rPr>
                <w:rFonts w:asciiTheme="majorHAnsi" w:hAnsiTheme="majorHAnsi" w:cstheme="majorHAnsi"/>
                <w:sz w:val="16"/>
                <w:szCs w:val="16"/>
                <w:lang w:val="lv-LV"/>
              </w:rPr>
              <w:t xml:space="preserve">ārvalstu uzņēmumu finansējums. </w:t>
            </w:r>
          </w:p>
        </w:tc>
      </w:tr>
      <w:tr w:rsidR="00812A72" w:rsidRPr="00AB3438" w14:paraId="0E294335" w14:textId="77777777" w:rsidTr="0002297E">
        <w:trPr>
          <w:jc w:val="center"/>
        </w:trPr>
        <w:tc>
          <w:tcPr>
            <w:tcW w:w="2835" w:type="dxa"/>
            <w:shd w:val="clear" w:color="auto" w:fill="B4C6E7" w:themeFill="accent1" w:themeFillTint="66"/>
          </w:tcPr>
          <w:p w14:paraId="0E2BA7A4" w14:textId="77777777" w:rsidR="00812A72" w:rsidRPr="00CB4E89" w:rsidRDefault="00812A72" w:rsidP="0002297E">
            <w:pPr>
              <w:widowControl/>
              <w:spacing w:before="40" w:after="40" w:line="240" w:lineRule="auto"/>
              <w:rPr>
                <w:rFonts w:asciiTheme="majorHAnsi" w:hAnsiTheme="majorHAnsi" w:cstheme="majorHAnsi"/>
                <w:sz w:val="16"/>
                <w:szCs w:val="16"/>
                <w:lang w:val="lv-LV"/>
              </w:rPr>
            </w:pPr>
            <w:r w:rsidRPr="00CB4E89">
              <w:rPr>
                <w:rFonts w:asciiTheme="majorHAnsi" w:hAnsiTheme="majorHAnsi" w:cstheme="majorHAnsi"/>
                <w:sz w:val="16"/>
                <w:szCs w:val="16"/>
                <w:lang w:val="lv-LV"/>
              </w:rPr>
              <w:t xml:space="preserve">3.1.6.13. Bioogles izmantošana aramzemēs </w:t>
            </w:r>
          </w:p>
        </w:tc>
        <w:tc>
          <w:tcPr>
            <w:tcW w:w="1417" w:type="dxa"/>
            <w:shd w:val="clear" w:color="auto" w:fill="B4C6E7" w:themeFill="accent1" w:themeFillTint="66"/>
          </w:tcPr>
          <w:p w14:paraId="3BCAF6ED" w14:textId="77777777" w:rsidR="00812A72" w:rsidRPr="006B7AB1" w:rsidRDefault="00812A72" w:rsidP="0002297E">
            <w:pPr>
              <w:widowControl/>
              <w:spacing w:before="40" w:after="40" w:line="240" w:lineRule="auto"/>
              <w:jc w:val="center"/>
              <w:rPr>
                <w:rFonts w:asciiTheme="majorHAnsi" w:hAnsiTheme="majorHAnsi" w:cstheme="majorHAnsi"/>
                <w:color w:val="000000" w:themeColor="text1"/>
                <w:sz w:val="16"/>
                <w:szCs w:val="16"/>
                <w:lang w:val="lv-LV"/>
              </w:rPr>
            </w:pPr>
            <w:r w:rsidRPr="006B7AB1">
              <w:rPr>
                <w:rFonts w:asciiTheme="majorHAnsi" w:hAnsiTheme="majorHAnsi" w:cstheme="majorHAnsi"/>
                <w:color w:val="000000" w:themeColor="text1"/>
                <w:sz w:val="16"/>
                <w:szCs w:val="16"/>
                <w:lang w:val="lv-LV"/>
              </w:rPr>
              <w:t>Lauksaimniecība</w:t>
            </w:r>
          </w:p>
        </w:tc>
        <w:tc>
          <w:tcPr>
            <w:tcW w:w="1984" w:type="dxa"/>
            <w:shd w:val="clear" w:color="auto" w:fill="B4C6E7" w:themeFill="accent1" w:themeFillTint="66"/>
          </w:tcPr>
          <w:p w14:paraId="746FAC59" w14:textId="77777777" w:rsidR="00812A72" w:rsidRPr="00CB4E89" w:rsidRDefault="00812A72" w:rsidP="0002297E">
            <w:pPr>
              <w:widowControl/>
              <w:spacing w:before="40" w:after="40" w:line="240" w:lineRule="auto"/>
              <w:rPr>
                <w:rFonts w:asciiTheme="majorHAnsi" w:hAnsiTheme="majorHAnsi" w:cstheme="majorHAnsi"/>
                <w:sz w:val="16"/>
                <w:szCs w:val="16"/>
                <w:lang w:val="lv-LV"/>
              </w:rPr>
            </w:pPr>
            <w:r w:rsidRPr="00CB4E89">
              <w:rPr>
                <w:rFonts w:asciiTheme="majorHAnsi" w:hAnsiTheme="majorHAnsi" w:cstheme="majorHAnsi"/>
                <w:sz w:val="16"/>
                <w:szCs w:val="16"/>
                <w:lang w:val="lv-LV"/>
              </w:rPr>
              <w:t xml:space="preserve">322 milj.eiro, t.sk.: </w:t>
            </w:r>
            <w:r>
              <w:rPr>
                <w:rFonts w:asciiTheme="majorHAnsi" w:hAnsiTheme="majorHAnsi" w:cstheme="majorHAnsi"/>
                <w:sz w:val="16"/>
                <w:szCs w:val="16"/>
                <w:lang w:val="lv-LV"/>
              </w:rPr>
              <w:br/>
            </w:r>
            <w:r w:rsidRPr="00CB4E89">
              <w:rPr>
                <w:rFonts w:asciiTheme="majorHAnsi" w:hAnsiTheme="majorHAnsi" w:cstheme="majorHAnsi"/>
                <w:sz w:val="16"/>
                <w:szCs w:val="16"/>
                <w:lang w:val="lv-LV"/>
              </w:rPr>
              <w:t xml:space="preserve">161 milj. eiro 2029. gadā, </w:t>
            </w:r>
            <w:r>
              <w:rPr>
                <w:rFonts w:asciiTheme="majorHAnsi" w:hAnsiTheme="majorHAnsi" w:cstheme="majorHAnsi"/>
                <w:sz w:val="16"/>
                <w:szCs w:val="16"/>
                <w:lang w:val="lv-LV"/>
              </w:rPr>
              <w:br/>
            </w:r>
            <w:r w:rsidRPr="00CB4E89">
              <w:rPr>
                <w:rFonts w:asciiTheme="majorHAnsi" w:hAnsiTheme="majorHAnsi" w:cstheme="majorHAnsi"/>
                <w:sz w:val="16"/>
                <w:szCs w:val="16"/>
                <w:lang w:val="lv-LV"/>
              </w:rPr>
              <w:t xml:space="preserve">161 milj. eiro 2030. gadā. </w:t>
            </w:r>
          </w:p>
        </w:tc>
        <w:tc>
          <w:tcPr>
            <w:tcW w:w="3402" w:type="dxa"/>
            <w:shd w:val="clear" w:color="auto" w:fill="B4C6E7" w:themeFill="accent1" w:themeFillTint="66"/>
          </w:tcPr>
          <w:p w14:paraId="7B33D2C1" w14:textId="77777777" w:rsidR="00812A72" w:rsidRPr="00CB4E89" w:rsidRDefault="00812A72" w:rsidP="0002297E">
            <w:pPr>
              <w:widowControl/>
              <w:spacing w:before="40" w:after="40" w:line="240" w:lineRule="auto"/>
              <w:rPr>
                <w:rFonts w:asciiTheme="majorHAnsi" w:eastAsia="Times New Roman" w:hAnsiTheme="majorHAnsi" w:cstheme="majorHAnsi"/>
                <w:color w:val="000000"/>
                <w:sz w:val="16"/>
                <w:szCs w:val="16"/>
                <w:lang w:val="lv-LV" w:eastAsia="lv-LV"/>
              </w:rPr>
            </w:pPr>
            <w:r w:rsidRPr="00CB4E89">
              <w:rPr>
                <w:rFonts w:asciiTheme="majorHAnsi" w:hAnsiTheme="majorHAnsi" w:cstheme="majorHAnsi"/>
                <w:b/>
                <w:bCs/>
                <w:sz w:val="16"/>
                <w:szCs w:val="16"/>
                <w:lang w:val="lv-LV"/>
              </w:rPr>
              <w:t>13 %</w:t>
            </w:r>
            <w:r>
              <w:rPr>
                <w:rFonts w:asciiTheme="majorHAnsi" w:hAnsiTheme="majorHAnsi" w:cstheme="majorHAnsi"/>
                <w:sz w:val="16"/>
                <w:szCs w:val="16"/>
                <w:lang w:val="lv-LV"/>
              </w:rPr>
              <w:t xml:space="preserve"> – </w:t>
            </w:r>
            <w:r w:rsidRPr="00CB4E89">
              <w:rPr>
                <w:rFonts w:asciiTheme="majorHAnsi" w:hAnsiTheme="majorHAnsi" w:cstheme="majorHAnsi"/>
                <w:sz w:val="16"/>
                <w:szCs w:val="16"/>
                <w:lang w:val="lv-LV"/>
              </w:rPr>
              <w:t xml:space="preserve">jaunais ES fondu finansējums. </w:t>
            </w:r>
            <w:r>
              <w:rPr>
                <w:rFonts w:asciiTheme="majorHAnsi" w:hAnsiTheme="majorHAnsi" w:cstheme="majorHAnsi"/>
                <w:sz w:val="16"/>
                <w:szCs w:val="16"/>
                <w:lang w:val="lv-LV"/>
              </w:rPr>
              <w:br/>
            </w:r>
            <w:r w:rsidRPr="00CB4E89">
              <w:rPr>
                <w:rFonts w:asciiTheme="majorHAnsi" w:hAnsiTheme="majorHAnsi" w:cstheme="majorHAnsi"/>
                <w:b/>
                <w:bCs/>
                <w:sz w:val="16"/>
                <w:szCs w:val="16"/>
                <w:lang w:val="lv-LV"/>
              </w:rPr>
              <w:t>37 %</w:t>
            </w:r>
            <w:r>
              <w:rPr>
                <w:rFonts w:asciiTheme="majorHAnsi" w:hAnsiTheme="majorHAnsi" w:cstheme="majorHAnsi"/>
                <w:sz w:val="16"/>
                <w:szCs w:val="16"/>
                <w:lang w:val="lv-LV"/>
              </w:rPr>
              <w:t xml:space="preserve"> – </w:t>
            </w:r>
            <w:r w:rsidRPr="00CB4E89">
              <w:rPr>
                <w:rFonts w:asciiTheme="majorHAnsi" w:hAnsiTheme="majorHAnsi" w:cstheme="majorHAnsi"/>
                <w:sz w:val="16"/>
                <w:szCs w:val="16"/>
                <w:lang w:val="lv-LV"/>
              </w:rPr>
              <w:t xml:space="preserve">nacionālais publiskais finansējums papildu izdevumu veidā. </w:t>
            </w:r>
            <w:r>
              <w:rPr>
                <w:rFonts w:asciiTheme="majorHAnsi" w:hAnsiTheme="majorHAnsi" w:cstheme="majorHAnsi"/>
                <w:sz w:val="16"/>
                <w:szCs w:val="16"/>
                <w:lang w:val="lv-LV"/>
              </w:rPr>
              <w:br/>
            </w:r>
            <w:r w:rsidRPr="00CB4E89">
              <w:rPr>
                <w:rFonts w:asciiTheme="majorHAnsi" w:hAnsiTheme="majorHAnsi" w:cstheme="majorHAnsi"/>
                <w:b/>
                <w:bCs/>
                <w:sz w:val="16"/>
                <w:szCs w:val="16"/>
                <w:lang w:val="lv-LV"/>
              </w:rPr>
              <w:lastRenderedPageBreak/>
              <w:t>13 %</w:t>
            </w:r>
            <w:r>
              <w:rPr>
                <w:rFonts w:asciiTheme="majorHAnsi" w:hAnsiTheme="majorHAnsi" w:cstheme="majorHAnsi"/>
                <w:sz w:val="16"/>
                <w:szCs w:val="16"/>
                <w:lang w:val="lv-LV"/>
              </w:rPr>
              <w:t xml:space="preserve"> – </w:t>
            </w:r>
            <w:r w:rsidRPr="00CB4E89">
              <w:rPr>
                <w:rFonts w:asciiTheme="majorHAnsi" w:hAnsiTheme="majorHAnsi" w:cstheme="majorHAnsi"/>
                <w:sz w:val="16"/>
                <w:szCs w:val="16"/>
                <w:lang w:val="lv-LV"/>
              </w:rPr>
              <w:t xml:space="preserve">Latvijas privāto uzņēmumu finansējums. </w:t>
            </w:r>
            <w:r>
              <w:rPr>
                <w:rFonts w:asciiTheme="majorHAnsi" w:hAnsiTheme="majorHAnsi" w:cstheme="majorHAnsi"/>
                <w:sz w:val="16"/>
                <w:szCs w:val="16"/>
                <w:lang w:val="lv-LV"/>
              </w:rPr>
              <w:br/>
            </w:r>
            <w:r w:rsidRPr="00CB4E89">
              <w:rPr>
                <w:rFonts w:asciiTheme="majorHAnsi" w:hAnsiTheme="majorHAnsi" w:cstheme="majorHAnsi"/>
                <w:b/>
                <w:bCs/>
                <w:sz w:val="16"/>
                <w:szCs w:val="16"/>
                <w:lang w:val="lv-LV"/>
              </w:rPr>
              <w:t>37 %</w:t>
            </w:r>
            <w:r>
              <w:rPr>
                <w:rFonts w:asciiTheme="majorHAnsi" w:hAnsiTheme="majorHAnsi" w:cstheme="majorHAnsi"/>
                <w:sz w:val="16"/>
                <w:szCs w:val="16"/>
                <w:lang w:val="lv-LV"/>
              </w:rPr>
              <w:t xml:space="preserve"> – </w:t>
            </w:r>
            <w:r w:rsidRPr="00CB4E89">
              <w:rPr>
                <w:rFonts w:asciiTheme="majorHAnsi" w:hAnsiTheme="majorHAnsi" w:cstheme="majorHAnsi"/>
                <w:sz w:val="16"/>
                <w:szCs w:val="16"/>
                <w:lang w:val="lv-LV"/>
              </w:rPr>
              <w:t>ārvalstu uzņēmumu finansējums.</w:t>
            </w:r>
          </w:p>
        </w:tc>
      </w:tr>
      <w:tr w:rsidR="00812A72" w:rsidRPr="00AB3438" w14:paraId="64CA8545" w14:textId="77777777" w:rsidTr="0002297E">
        <w:trPr>
          <w:jc w:val="center"/>
        </w:trPr>
        <w:tc>
          <w:tcPr>
            <w:tcW w:w="2835" w:type="dxa"/>
            <w:shd w:val="clear" w:color="auto" w:fill="D9E2F3" w:themeFill="accent1" w:themeFillTint="33"/>
          </w:tcPr>
          <w:p w14:paraId="6003FCED" w14:textId="77777777" w:rsidR="00812A72" w:rsidRPr="00CB4E89" w:rsidRDefault="00812A72" w:rsidP="0002297E">
            <w:pPr>
              <w:widowControl/>
              <w:spacing w:before="40" w:after="40" w:line="240" w:lineRule="auto"/>
              <w:rPr>
                <w:rFonts w:asciiTheme="majorHAnsi" w:hAnsiTheme="majorHAnsi" w:cstheme="majorHAnsi"/>
                <w:sz w:val="16"/>
                <w:szCs w:val="16"/>
                <w:lang w:val="lv-LV"/>
              </w:rPr>
            </w:pPr>
            <w:r w:rsidRPr="00CB4E89">
              <w:rPr>
                <w:rFonts w:asciiTheme="majorHAnsi" w:hAnsiTheme="majorHAnsi" w:cstheme="majorHAnsi"/>
                <w:sz w:val="16"/>
                <w:szCs w:val="16"/>
                <w:lang w:val="lv-LV"/>
              </w:rPr>
              <w:lastRenderedPageBreak/>
              <w:t>3.1.6.14. Skaidu plātņu rūpnīcas izveidošana</w:t>
            </w:r>
          </w:p>
        </w:tc>
        <w:tc>
          <w:tcPr>
            <w:tcW w:w="1417" w:type="dxa"/>
            <w:shd w:val="clear" w:color="auto" w:fill="D9E2F3" w:themeFill="accent1" w:themeFillTint="33"/>
          </w:tcPr>
          <w:p w14:paraId="140B048A" w14:textId="77777777" w:rsidR="00812A72" w:rsidRPr="006B7AB1" w:rsidRDefault="00812A72" w:rsidP="0002297E">
            <w:pPr>
              <w:widowControl/>
              <w:spacing w:before="40" w:after="40" w:line="240" w:lineRule="auto"/>
              <w:jc w:val="center"/>
              <w:rPr>
                <w:rFonts w:asciiTheme="majorHAnsi" w:hAnsiTheme="majorHAnsi" w:cstheme="majorHAnsi"/>
                <w:color w:val="000000" w:themeColor="text1"/>
                <w:sz w:val="16"/>
                <w:szCs w:val="16"/>
                <w:lang w:val="lv-LV"/>
              </w:rPr>
            </w:pPr>
            <w:r w:rsidRPr="006B7AB1">
              <w:rPr>
                <w:rFonts w:asciiTheme="majorHAnsi" w:hAnsiTheme="majorHAnsi" w:cstheme="majorHAnsi"/>
                <w:color w:val="000000" w:themeColor="text1"/>
                <w:sz w:val="16"/>
                <w:szCs w:val="16"/>
                <w:lang w:val="lv-LV"/>
              </w:rPr>
              <w:t>Kokrūpniecība</w:t>
            </w:r>
          </w:p>
        </w:tc>
        <w:tc>
          <w:tcPr>
            <w:tcW w:w="1984" w:type="dxa"/>
            <w:shd w:val="clear" w:color="auto" w:fill="D9E2F3" w:themeFill="accent1" w:themeFillTint="33"/>
          </w:tcPr>
          <w:p w14:paraId="05B9DFF4" w14:textId="77777777" w:rsidR="00812A72" w:rsidRPr="00CB4E89" w:rsidRDefault="00812A72" w:rsidP="0002297E">
            <w:pPr>
              <w:widowControl/>
              <w:spacing w:before="40" w:after="40" w:line="240" w:lineRule="auto"/>
              <w:rPr>
                <w:rFonts w:asciiTheme="majorHAnsi" w:hAnsiTheme="majorHAnsi" w:cstheme="majorHAnsi"/>
                <w:sz w:val="16"/>
                <w:szCs w:val="16"/>
                <w:lang w:val="lv-LV"/>
              </w:rPr>
            </w:pPr>
            <w:r w:rsidRPr="00CB4E89">
              <w:rPr>
                <w:rFonts w:asciiTheme="majorHAnsi" w:hAnsiTheme="majorHAnsi" w:cstheme="majorHAnsi"/>
                <w:sz w:val="16"/>
                <w:szCs w:val="16"/>
                <w:lang w:val="lv-LV"/>
              </w:rPr>
              <w:t xml:space="preserve">200 milj.eiro, t.sk.: </w:t>
            </w:r>
            <w:r>
              <w:rPr>
                <w:rFonts w:asciiTheme="majorHAnsi" w:hAnsiTheme="majorHAnsi" w:cstheme="majorHAnsi"/>
                <w:sz w:val="16"/>
                <w:szCs w:val="16"/>
                <w:lang w:val="lv-LV"/>
              </w:rPr>
              <w:br/>
            </w:r>
            <w:r w:rsidRPr="00CB4E89">
              <w:rPr>
                <w:rFonts w:asciiTheme="majorHAnsi" w:hAnsiTheme="majorHAnsi" w:cstheme="majorHAnsi"/>
                <w:sz w:val="16"/>
                <w:szCs w:val="16"/>
                <w:lang w:val="lv-LV"/>
              </w:rPr>
              <w:t xml:space="preserve">50 milj. eiro 2026. gadā, </w:t>
            </w:r>
            <w:r>
              <w:rPr>
                <w:rFonts w:asciiTheme="majorHAnsi" w:hAnsiTheme="majorHAnsi" w:cstheme="majorHAnsi"/>
                <w:sz w:val="16"/>
                <w:szCs w:val="16"/>
                <w:lang w:val="lv-LV"/>
              </w:rPr>
              <w:br/>
            </w:r>
            <w:r w:rsidRPr="00CB4E89">
              <w:rPr>
                <w:rFonts w:asciiTheme="majorHAnsi" w:hAnsiTheme="majorHAnsi" w:cstheme="majorHAnsi"/>
                <w:sz w:val="16"/>
                <w:szCs w:val="16"/>
                <w:lang w:val="lv-LV"/>
              </w:rPr>
              <w:t xml:space="preserve">100 milj. eiro 2027. gadā, </w:t>
            </w:r>
            <w:r>
              <w:rPr>
                <w:rFonts w:asciiTheme="majorHAnsi" w:hAnsiTheme="majorHAnsi" w:cstheme="majorHAnsi"/>
                <w:sz w:val="16"/>
                <w:szCs w:val="16"/>
                <w:lang w:val="lv-LV"/>
              </w:rPr>
              <w:br/>
            </w:r>
            <w:r w:rsidRPr="00CB4E89">
              <w:rPr>
                <w:rFonts w:asciiTheme="majorHAnsi" w:hAnsiTheme="majorHAnsi" w:cstheme="majorHAnsi"/>
                <w:sz w:val="16"/>
                <w:szCs w:val="16"/>
                <w:lang w:val="lv-LV"/>
              </w:rPr>
              <w:t xml:space="preserve">50 milj. eiro 2028. gadā. </w:t>
            </w:r>
          </w:p>
        </w:tc>
        <w:tc>
          <w:tcPr>
            <w:tcW w:w="3402" w:type="dxa"/>
            <w:shd w:val="clear" w:color="auto" w:fill="D9E2F3" w:themeFill="accent1" w:themeFillTint="33"/>
          </w:tcPr>
          <w:p w14:paraId="46D1417F" w14:textId="77777777" w:rsidR="00812A72" w:rsidRPr="00CB4E89" w:rsidRDefault="00812A72" w:rsidP="0002297E">
            <w:pPr>
              <w:widowControl/>
              <w:spacing w:before="40" w:after="40" w:line="240" w:lineRule="auto"/>
              <w:rPr>
                <w:rFonts w:asciiTheme="majorHAnsi" w:eastAsia="Times New Roman" w:hAnsiTheme="majorHAnsi" w:cstheme="majorHAnsi"/>
                <w:color w:val="000000"/>
                <w:sz w:val="16"/>
                <w:szCs w:val="16"/>
                <w:lang w:val="lv-LV" w:eastAsia="lv-LV"/>
              </w:rPr>
            </w:pPr>
            <w:r w:rsidRPr="00CB4E89">
              <w:rPr>
                <w:rFonts w:asciiTheme="majorHAnsi" w:hAnsiTheme="majorHAnsi" w:cstheme="majorHAnsi"/>
                <w:b/>
                <w:bCs/>
                <w:sz w:val="16"/>
                <w:szCs w:val="16"/>
                <w:lang w:val="lv-LV"/>
              </w:rPr>
              <w:t>100 %</w:t>
            </w:r>
            <w:r>
              <w:rPr>
                <w:rFonts w:asciiTheme="majorHAnsi" w:hAnsiTheme="majorHAnsi" w:cstheme="majorHAnsi"/>
                <w:sz w:val="16"/>
                <w:szCs w:val="16"/>
                <w:lang w:val="lv-LV"/>
              </w:rPr>
              <w:t xml:space="preserve"> – </w:t>
            </w:r>
            <w:r w:rsidRPr="00CB4E89">
              <w:rPr>
                <w:rFonts w:asciiTheme="majorHAnsi" w:hAnsiTheme="majorHAnsi" w:cstheme="majorHAnsi"/>
                <w:sz w:val="16"/>
                <w:szCs w:val="16"/>
                <w:lang w:val="lv-LV"/>
              </w:rPr>
              <w:t xml:space="preserve">Latvijas privāto uzņēmumu finansējums. </w:t>
            </w:r>
          </w:p>
        </w:tc>
      </w:tr>
      <w:tr w:rsidR="00812A72" w:rsidRPr="00D24F07" w14:paraId="6B8D0EAA" w14:textId="77777777" w:rsidTr="0002297E">
        <w:trPr>
          <w:jc w:val="center"/>
        </w:trPr>
        <w:tc>
          <w:tcPr>
            <w:tcW w:w="2835" w:type="dxa"/>
            <w:shd w:val="clear" w:color="auto" w:fill="B4C6E7" w:themeFill="accent1" w:themeFillTint="66"/>
          </w:tcPr>
          <w:p w14:paraId="486783A1" w14:textId="77777777" w:rsidR="00812A72" w:rsidRPr="00CB4E89" w:rsidRDefault="00812A72" w:rsidP="0002297E">
            <w:pPr>
              <w:widowControl/>
              <w:spacing w:before="40" w:after="40" w:line="240" w:lineRule="auto"/>
              <w:rPr>
                <w:rFonts w:asciiTheme="majorHAnsi" w:hAnsiTheme="majorHAnsi" w:cstheme="majorHAnsi"/>
                <w:sz w:val="16"/>
                <w:szCs w:val="16"/>
                <w:lang w:val="lv-LV"/>
              </w:rPr>
            </w:pPr>
            <w:r w:rsidRPr="00CB4E89">
              <w:rPr>
                <w:rFonts w:asciiTheme="majorHAnsi" w:hAnsiTheme="majorHAnsi" w:cstheme="majorHAnsi"/>
                <w:sz w:val="16"/>
                <w:szCs w:val="16"/>
                <w:lang w:val="lv-LV"/>
              </w:rPr>
              <w:t>3.1.6.15. Jaunaudžu kopšanas ciršu platības pieaugums</w:t>
            </w:r>
          </w:p>
        </w:tc>
        <w:tc>
          <w:tcPr>
            <w:tcW w:w="1417" w:type="dxa"/>
            <w:shd w:val="clear" w:color="auto" w:fill="B4C6E7" w:themeFill="accent1" w:themeFillTint="66"/>
          </w:tcPr>
          <w:p w14:paraId="46318FFB" w14:textId="77777777" w:rsidR="00812A72" w:rsidRPr="006B7AB1" w:rsidRDefault="00812A72" w:rsidP="0002297E">
            <w:pPr>
              <w:widowControl/>
              <w:spacing w:before="40" w:after="40" w:line="240" w:lineRule="auto"/>
              <w:jc w:val="center"/>
              <w:rPr>
                <w:rFonts w:asciiTheme="majorHAnsi" w:hAnsiTheme="majorHAnsi" w:cstheme="majorHAnsi"/>
                <w:color w:val="000000" w:themeColor="text1"/>
                <w:sz w:val="16"/>
                <w:szCs w:val="16"/>
                <w:lang w:val="lv-LV"/>
              </w:rPr>
            </w:pPr>
            <w:r w:rsidRPr="006B7AB1">
              <w:rPr>
                <w:rFonts w:asciiTheme="majorHAnsi" w:hAnsiTheme="majorHAnsi" w:cstheme="majorHAnsi"/>
                <w:color w:val="000000" w:themeColor="text1"/>
                <w:sz w:val="16"/>
                <w:szCs w:val="16"/>
                <w:lang w:val="lv-LV"/>
              </w:rPr>
              <w:t xml:space="preserve">Lauksaimniecība </w:t>
            </w:r>
          </w:p>
        </w:tc>
        <w:tc>
          <w:tcPr>
            <w:tcW w:w="1984" w:type="dxa"/>
            <w:shd w:val="clear" w:color="auto" w:fill="B4C6E7" w:themeFill="accent1" w:themeFillTint="66"/>
          </w:tcPr>
          <w:p w14:paraId="766D5783" w14:textId="77777777" w:rsidR="00812A72" w:rsidRPr="00CB4E89" w:rsidRDefault="00812A72" w:rsidP="0002297E">
            <w:pPr>
              <w:widowControl/>
              <w:spacing w:before="40" w:after="40" w:line="240" w:lineRule="auto"/>
              <w:rPr>
                <w:rFonts w:asciiTheme="majorHAnsi" w:hAnsiTheme="majorHAnsi" w:cstheme="majorHAnsi"/>
                <w:sz w:val="16"/>
                <w:szCs w:val="16"/>
                <w:lang w:val="lv-LV"/>
              </w:rPr>
            </w:pPr>
            <w:r w:rsidRPr="00CB4E89">
              <w:rPr>
                <w:rFonts w:asciiTheme="majorHAnsi" w:hAnsiTheme="majorHAnsi" w:cstheme="majorHAnsi"/>
                <w:sz w:val="16"/>
                <w:szCs w:val="16"/>
                <w:lang w:val="lv-LV"/>
              </w:rPr>
              <w:t xml:space="preserve">17 milj.eiro 2026.-2030. gadā: 3,4 milj. eiro katru gadu. </w:t>
            </w:r>
          </w:p>
        </w:tc>
        <w:tc>
          <w:tcPr>
            <w:tcW w:w="3402" w:type="dxa"/>
            <w:shd w:val="clear" w:color="auto" w:fill="B4C6E7" w:themeFill="accent1" w:themeFillTint="66"/>
          </w:tcPr>
          <w:p w14:paraId="5BC339CB" w14:textId="77777777" w:rsidR="00812A72" w:rsidRPr="00CB4E89" w:rsidRDefault="00812A72" w:rsidP="0002297E">
            <w:pPr>
              <w:widowControl/>
              <w:spacing w:before="40" w:after="40" w:line="240" w:lineRule="auto"/>
              <w:rPr>
                <w:rFonts w:asciiTheme="majorHAnsi" w:eastAsia="Times New Roman" w:hAnsiTheme="majorHAnsi" w:cstheme="majorHAnsi"/>
                <w:color w:val="000000"/>
                <w:sz w:val="16"/>
                <w:szCs w:val="16"/>
                <w:lang w:val="lv-LV" w:eastAsia="lv-LV"/>
              </w:rPr>
            </w:pPr>
            <w:r w:rsidRPr="00CB4E89">
              <w:rPr>
                <w:rFonts w:asciiTheme="majorHAnsi" w:hAnsiTheme="majorHAnsi" w:cstheme="majorHAnsi"/>
                <w:b/>
                <w:bCs/>
                <w:sz w:val="16"/>
                <w:szCs w:val="16"/>
                <w:lang w:val="lv-LV"/>
              </w:rPr>
              <w:t>100 %</w:t>
            </w:r>
            <w:r>
              <w:rPr>
                <w:rFonts w:asciiTheme="majorHAnsi" w:hAnsiTheme="majorHAnsi" w:cstheme="majorHAnsi"/>
                <w:sz w:val="16"/>
                <w:szCs w:val="16"/>
                <w:lang w:val="lv-LV"/>
              </w:rPr>
              <w:t xml:space="preserve"> – </w:t>
            </w:r>
            <w:r w:rsidRPr="00CB4E89">
              <w:rPr>
                <w:rFonts w:asciiTheme="majorHAnsi" w:hAnsiTheme="majorHAnsi" w:cstheme="majorHAnsi"/>
                <w:sz w:val="16"/>
                <w:szCs w:val="16"/>
                <w:lang w:val="lv-LV"/>
              </w:rPr>
              <w:t>nacionālais publiskais finansējums, kas</w:t>
            </w:r>
            <w:r>
              <w:rPr>
                <w:rFonts w:asciiTheme="majorHAnsi" w:hAnsiTheme="majorHAnsi" w:cstheme="majorHAnsi"/>
                <w:sz w:val="16"/>
                <w:szCs w:val="16"/>
                <w:lang w:val="lv-LV"/>
              </w:rPr>
              <w:t xml:space="preserve"> </w:t>
            </w:r>
            <w:r w:rsidRPr="00CB4E89">
              <w:rPr>
                <w:rFonts w:asciiTheme="majorHAnsi" w:hAnsiTheme="majorHAnsi" w:cstheme="majorHAnsi"/>
                <w:sz w:val="16"/>
                <w:szCs w:val="16"/>
                <w:lang w:val="lv-LV"/>
              </w:rPr>
              <w:t xml:space="preserve">aizstāj citus budžeta izdevumus. </w:t>
            </w:r>
          </w:p>
        </w:tc>
      </w:tr>
      <w:tr w:rsidR="00812A72" w:rsidRPr="00D24F07" w14:paraId="3080C534" w14:textId="77777777" w:rsidTr="0002297E">
        <w:trPr>
          <w:jc w:val="center"/>
        </w:trPr>
        <w:tc>
          <w:tcPr>
            <w:tcW w:w="2835" w:type="dxa"/>
            <w:shd w:val="clear" w:color="auto" w:fill="D9E2F3" w:themeFill="accent1" w:themeFillTint="33"/>
          </w:tcPr>
          <w:p w14:paraId="1D787B82" w14:textId="77777777" w:rsidR="00812A72" w:rsidRPr="00CB4E89" w:rsidRDefault="00812A72" w:rsidP="0002297E">
            <w:pPr>
              <w:widowControl/>
              <w:spacing w:before="40" w:after="40" w:line="240" w:lineRule="auto"/>
              <w:rPr>
                <w:rFonts w:asciiTheme="majorHAnsi" w:hAnsiTheme="majorHAnsi" w:cstheme="majorHAnsi"/>
                <w:sz w:val="16"/>
                <w:szCs w:val="16"/>
                <w:lang w:val="lv-LV"/>
              </w:rPr>
            </w:pPr>
            <w:r w:rsidRPr="00CB4E89">
              <w:rPr>
                <w:rFonts w:asciiTheme="majorHAnsi" w:hAnsiTheme="majorHAnsi" w:cstheme="majorHAnsi"/>
                <w:sz w:val="16"/>
                <w:szCs w:val="16"/>
                <w:lang w:val="lv-LV"/>
              </w:rPr>
              <w:t xml:space="preserve">3.1.6.16. Mērķtiecīgi atjaunotu meža platību pieaugums </w:t>
            </w:r>
          </w:p>
        </w:tc>
        <w:tc>
          <w:tcPr>
            <w:tcW w:w="1417" w:type="dxa"/>
            <w:shd w:val="clear" w:color="auto" w:fill="D9E2F3" w:themeFill="accent1" w:themeFillTint="33"/>
          </w:tcPr>
          <w:p w14:paraId="3226E57F" w14:textId="77777777" w:rsidR="00812A72" w:rsidRPr="006B7AB1" w:rsidRDefault="00812A72" w:rsidP="0002297E">
            <w:pPr>
              <w:widowControl/>
              <w:spacing w:before="40" w:after="40" w:line="240" w:lineRule="auto"/>
              <w:jc w:val="center"/>
              <w:rPr>
                <w:rFonts w:asciiTheme="majorHAnsi" w:hAnsiTheme="majorHAnsi" w:cstheme="majorHAnsi"/>
                <w:color w:val="000000" w:themeColor="text1"/>
                <w:sz w:val="16"/>
                <w:szCs w:val="16"/>
                <w:lang w:val="lv-LV"/>
              </w:rPr>
            </w:pPr>
            <w:r w:rsidRPr="006B7AB1">
              <w:rPr>
                <w:rFonts w:asciiTheme="majorHAnsi" w:hAnsiTheme="majorHAnsi" w:cstheme="majorHAnsi"/>
                <w:color w:val="000000" w:themeColor="text1"/>
                <w:sz w:val="16"/>
                <w:szCs w:val="16"/>
                <w:lang w:val="lv-LV"/>
              </w:rPr>
              <w:t xml:space="preserve">Lauksaimniecība </w:t>
            </w:r>
          </w:p>
        </w:tc>
        <w:tc>
          <w:tcPr>
            <w:tcW w:w="1984" w:type="dxa"/>
            <w:shd w:val="clear" w:color="auto" w:fill="D9E2F3" w:themeFill="accent1" w:themeFillTint="33"/>
          </w:tcPr>
          <w:p w14:paraId="193F069E" w14:textId="77777777" w:rsidR="00812A72" w:rsidRPr="00CB4E89" w:rsidRDefault="00812A72" w:rsidP="0002297E">
            <w:pPr>
              <w:widowControl/>
              <w:spacing w:before="40" w:after="40" w:line="240" w:lineRule="auto"/>
              <w:rPr>
                <w:rFonts w:asciiTheme="majorHAnsi" w:hAnsiTheme="majorHAnsi" w:cstheme="majorHAnsi"/>
                <w:sz w:val="16"/>
                <w:szCs w:val="16"/>
                <w:lang w:val="lv-LV"/>
              </w:rPr>
            </w:pPr>
            <w:r w:rsidRPr="00CB4E89">
              <w:rPr>
                <w:rFonts w:asciiTheme="majorHAnsi" w:hAnsiTheme="majorHAnsi" w:cstheme="majorHAnsi"/>
                <w:sz w:val="16"/>
                <w:szCs w:val="16"/>
                <w:lang w:val="lv-LV"/>
              </w:rPr>
              <w:t xml:space="preserve">22 milj.eiro 2026.-2030. gadā: 4,4 milj. eiro katru gadu. </w:t>
            </w:r>
          </w:p>
        </w:tc>
        <w:tc>
          <w:tcPr>
            <w:tcW w:w="3402" w:type="dxa"/>
            <w:shd w:val="clear" w:color="auto" w:fill="D9E2F3" w:themeFill="accent1" w:themeFillTint="33"/>
          </w:tcPr>
          <w:p w14:paraId="21ED87D5" w14:textId="77777777" w:rsidR="00812A72" w:rsidRPr="00CB4E89" w:rsidRDefault="00812A72" w:rsidP="0002297E">
            <w:pPr>
              <w:widowControl/>
              <w:spacing w:before="40" w:after="40" w:line="240" w:lineRule="auto"/>
              <w:rPr>
                <w:rFonts w:asciiTheme="majorHAnsi" w:eastAsia="Times New Roman" w:hAnsiTheme="majorHAnsi" w:cstheme="majorHAnsi"/>
                <w:color w:val="000000"/>
                <w:sz w:val="16"/>
                <w:szCs w:val="16"/>
                <w:lang w:val="lv-LV" w:eastAsia="lv-LV"/>
              </w:rPr>
            </w:pPr>
            <w:r w:rsidRPr="00CB4E89">
              <w:rPr>
                <w:rFonts w:asciiTheme="majorHAnsi" w:hAnsiTheme="majorHAnsi" w:cstheme="majorHAnsi"/>
                <w:b/>
                <w:bCs/>
                <w:sz w:val="16"/>
                <w:szCs w:val="16"/>
                <w:lang w:val="lv-LV"/>
              </w:rPr>
              <w:t>100 %</w:t>
            </w:r>
            <w:r>
              <w:rPr>
                <w:rFonts w:asciiTheme="majorHAnsi" w:hAnsiTheme="majorHAnsi" w:cstheme="majorHAnsi"/>
                <w:sz w:val="16"/>
                <w:szCs w:val="16"/>
                <w:lang w:val="lv-LV"/>
              </w:rPr>
              <w:t xml:space="preserve"> – </w:t>
            </w:r>
            <w:r w:rsidRPr="00CB4E89">
              <w:rPr>
                <w:rFonts w:asciiTheme="majorHAnsi" w:hAnsiTheme="majorHAnsi" w:cstheme="majorHAnsi"/>
                <w:sz w:val="16"/>
                <w:szCs w:val="16"/>
                <w:lang w:val="lv-LV"/>
              </w:rPr>
              <w:t>nacionālais publiskais finansējums, kas</w:t>
            </w:r>
            <w:r>
              <w:rPr>
                <w:rFonts w:asciiTheme="majorHAnsi" w:hAnsiTheme="majorHAnsi" w:cstheme="majorHAnsi"/>
                <w:sz w:val="16"/>
                <w:szCs w:val="16"/>
                <w:lang w:val="lv-LV"/>
              </w:rPr>
              <w:t xml:space="preserve"> </w:t>
            </w:r>
            <w:r w:rsidRPr="00CB4E89">
              <w:rPr>
                <w:rFonts w:asciiTheme="majorHAnsi" w:hAnsiTheme="majorHAnsi" w:cstheme="majorHAnsi"/>
                <w:sz w:val="16"/>
                <w:szCs w:val="16"/>
                <w:lang w:val="lv-LV"/>
              </w:rPr>
              <w:t xml:space="preserve">aizstāj citus budžeta izdevumus. </w:t>
            </w:r>
          </w:p>
        </w:tc>
      </w:tr>
      <w:tr w:rsidR="00812A72" w:rsidRPr="00AB3438" w14:paraId="08DD6D9B" w14:textId="77777777" w:rsidTr="0002297E">
        <w:trPr>
          <w:jc w:val="center"/>
        </w:trPr>
        <w:tc>
          <w:tcPr>
            <w:tcW w:w="2835" w:type="dxa"/>
            <w:shd w:val="clear" w:color="auto" w:fill="B4C6E7" w:themeFill="accent1" w:themeFillTint="66"/>
          </w:tcPr>
          <w:p w14:paraId="571A3907" w14:textId="77777777" w:rsidR="00812A72" w:rsidRPr="00CB4E89" w:rsidRDefault="00812A72" w:rsidP="0002297E">
            <w:pPr>
              <w:widowControl/>
              <w:spacing w:before="40" w:after="40" w:line="240" w:lineRule="auto"/>
              <w:rPr>
                <w:rFonts w:asciiTheme="majorHAnsi" w:hAnsiTheme="majorHAnsi" w:cstheme="majorHAnsi"/>
                <w:sz w:val="16"/>
                <w:szCs w:val="16"/>
                <w:lang w:val="lv-LV"/>
              </w:rPr>
            </w:pPr>
            <w:r w:rsidRPr="00CB4E89">
              <w:rPr>
                <w:rFonts w:asciiTheme="majorHAnsi" w:hAnsiTheme="majorHAnsi" w:cstheme="majorHAnsi"/>
                <w:sz w:val="16"/>
                <w:szCs w:val="16"/>
                <w:lang w:val="lv-LV"/>
              </w:rPr>
              <w:t>Papildus pasākums</w:t>
            </w:r>
            <w:r>
              <w:rPr>
                <w:rFonts w:asciiTheme="majorHAnsi" w:hAnsiTheme="majorHAnsi" w:cstheme="majorHAnsi"/>
                <w:sz w:val="16"/>
                <w:szCs w:val="16"/>
                <w:lang w:val="lv-LV"/>
              </w:rPr>
              <w:t xml:space="preserve"> – </w:t>
            </w:r>
            <w:r w:rsidRPr="00CB4E89">
              <w:rPr>
                <w:rFonts w:asciiTheme="majorHAnsi" w:hAnsiTheme="majorHAnsi" w:cstheme="majorHAnsi"/>
                <w:sz w:val="16"/>
                <w:szCs w:val="16"/>
                <w:lang w:val="lv-LV"/>
              </w:rPr>
              <w:t>bioogles rūpnīcas</w:t>
            </w:r>
            <w:r>
              <w:rPr>
                <w:rFonts w:asciiTheme="majorHAnsi" w:hAnsiTheme="majorHAnsi" w:cstheme="majorHAnsi"/>
                <w:sz w:val="16"/>
                <w:szCs w:val="16"/>
                <w:lang w:val="lv-LV"/>
              </w:rPr>
              <w:t xml:space="preserve"> </w:t>
            </w:r>
            <w:r w:rsidRPr="00CB4E89">
              <w:rPr>
                <w:rFonts w:asciiTheme="majorHAnsi" w:hAnsiTheme="majorHAnsi" w:cstheme="majorHAnsi"/>
                <w:sz w:val="16"/>
                <w:szCs w:val="16"/>
                <w:lang w:val="lv-LV"/>
              </w:rPr>
              <w:t xml:space="preserve">būvniecība </w:t>
            </w:r>
          </w:p>
        </w:tc>
        <w:tc>
          <w:tcPr>
            <w:tcW w:w="1417" w:type="dxa"/>
            <w:shd w:val="clear" w:color="auto" w:fill="B4C6E7" w:themeFill="accent1" w:themeFillTint="66"/>
          </w:tcPr>
          <w:p w14:paraId="240A92EB" w14:textId="77777777" w:rsidR="00812A72" w:rsidRPr="006B7AB1" w:rsidRDefault="00812A72" w:rsidP="0002297E">
            <w:pPr>
              <w:widowControl/>
              <w:spacing w:before="40" w:after="40" w:line="240" w:lineRule="auto"/>
              <w:jc w:val="center"/>
              <w:rPr>
                <w:rFonts w:asciiTheme="majorHAnsi" w:hAnsiTheme="majorHAnsi" w:cstheme="majorHAnsi"/>
                <w:color w:val="000000" w:themeColor="text1"/>
                <w:sz w:val="16"/>
                <w:szCs w:val="16"/>
                <w:lang w:val="lv-LV"/>
              </w:rPr>
            </w:pPr>
            <w:r w:rsidRPr="006B7AB1">
              <w:rPr>
                <w:rFonts w:asciiTheme="majorHAnsi" w:hAnsiTheme="majorHAnsi" w:cstheme="majorHAnsi"/>
                <w:color w:val="000000" w:themeColor="text1"/>
                <w:sz w:val="16"/>
                <w:szCs w:val="16"/>
                <w:lang w:val="lv-LV"/>
              </w:rPr>
              <w:t>Kokrūpniecība</w:t>
            </w:r>
          </w:p>
        </w:tc>
        <w:tc>
          <w:tcPr>
            <w:tcW w:w="1984" w:type="dxa"/>
            <w:shd w:val="clear" w:color="auto" w:fill="B4C6E7" w:themeFill="accent1" w:themeFillTint="66"/>
          </w:tcPr>
          <w:p w14:paraId="44B2FEE3" w14:textId="77777777" w:rsidR="00812A72" w:rsidRPr="00CB4E89" w:rsidRDefault="00812A72" w:rsidP="0002297E">
            <w:pPr>
              <w:widowControl/>
              <w:spacing w:before="40" w:after="40" w:line="240" w:lineRule="auto"/>
              <w:rPr>
                <w:rFonts w:asciiTheme="majorHAnsi" w:hAnsiTheme="majorHAnsi" w:cstheme="majorHAnsi"/>
                <w:sz w:val="16"/>
                <w:szCs w:val="16"/>
                <w:lang w:val="lv-LV"/>
              </w:rPr>
            </w:pPr>
            <w:r w:rsidRPr="00CB4E89">
              <w:rPr>
                <w:rFonts w:asciiTheme="majorHAnsi" w:hAnsiTheme="majorHAnsi" w:cstheme="majorHAnsi"/>
                <w:sz w:val="16"/>
                <w:szCs w:val="16"/>
                <w:lang w:val="lv-LV"/>
              </w:rPr>
              <w:t xml:space="preserve">400 milj.eiro, t.sk.: </w:t>
            </w:r>
            <w:r>
              <w:rPr>
                <w:rFonts w:asciiTheme="majorHAnsi" w:hAnsiTheme="majorHAnsi" w:cstheme="majorHAnsi"/>
                <w:sz w:val="16"/>
                <w:szCs w:val="16"/>
                <w:lang w:val="lv-LV"/>
              </w:rPr>
              <w:br/>
            </w:r>
            <w:r w:rsidRPr="00CB4E89">
              <w:rPr>
                <w:rFonts w:asciiTheme="majorHAnsi" w:hAnsiTheme="majorHAnsi" w:cstheme="majorHAnsi"/>
                <w:sz w:val="16"/>
                <w:szCs w:val="16"/>
                <w:lang w:val="lv-LV"/>
              </w:rPr>
              <w:t xml:space="preserve">50 milj. eiro 2026. gadā, </w:t>
            </w:r>
            <w:r>
              <w:rPr>
                <w:rFonts w:asciiTheme="majorHAnsi" w:hAnsiTheme="majorHAnsi" w:cstheme="majorHAnsi"/>
                <w:sz w:val="16"/>
                <w:szCs w:val="16"/>
                <w:lang w:val="lv-LV"/>
              </w:rPr>
              <w:br/>
            </w:r>
            <w:r w:rsidRPr="00CB4E89">
              <w:rPr>
                <w:rFonts w:asciiTheme="majorHAnsi" w:hAnsiTheme="majorHAnsi" w:cstheme="majorHAnsi"/>
                <w:sz w:val="16"/>
                <w:szCs w:val="16"/>
                <w:lang w:val="lv-LV"/>
              </w:rPr>
              <w:t xml:space="preserve">150 milj. eiro 2027. gadā, </w:t>
            </w:r>
            <w:r>
              <w:rPr>
                <w:rFonts w:asciiTheme="majorHAnsi" w:hAnsiTheme="majorHAnsi" w:cstheme="majorHAnsi"/>
                <w:sz w:val="16"/>
                <w:szCs w:val="16"/>
                <w:lang w:val="lv-LV"/>
              </w:rPr>
              <w:br/>
            </w:r>
            <w:r w:rsidRPr="00CB4E89">
              <w:rPr>
                <w:rFonts w:asciiTheme="majorHAnsi" w:hAnsiTheme="majorHAnsi" w:cstheme="majorHAnsi"/>
                <w:sz w:val="16"/>
                <w:szCs w:val="16"/>
                <w:lang w:val="lv-LV"/>
              </w:rPr>
              <w:t>200 milj. eiro 2028. gadā.</w:t>
            </w:r>
          </w:p>
        </w:tc>
        <w:tc>
          <w:tcPr>
            <w:tcW w:w="3402" w:type="dxa"/>
            <w:shd w:val="clear" w:color="auto" w:fill="B4C6E7" w:themeFill="accent1" w:themeFillTint="66"/>
          </w:tcPr>
          <w:p w14:paraId="21E9292D" w14:textId="77777777" w:rsidR="00812A72" w:rsidRPr="00CB4E89" w:rsidRDefault="00812A72" w:rsidP="0002297E">
            <w:pPr>
              <w:widowControl/>
              <w:spacing w:before="40" w:after="40" w:line="240" w:lineRule="auto"/>
              <w:rPr>
                <w:rFonts w:asciiTheme="majorHAnsi" w:eastAsia="Times New Roman" w:hAnsiTheme="majorHAnsi" w:cstheme="majorHAnsi"/>
                <w:color w:val="000000"/>
                <w:sz w:val="16"/>
                <w:szCs w:val="16"/>
                <w:lang w:val="lv-LV" w:eastAsia="lv-LV"/>
              </w:rPr>
            </w:pPr>
            <w:r w:rsidRPr="00CB4E89">
              <w:rPr>
                <w:rFonts w:asciiTheme="majorHAnsi" w:hAnsiTheme="majorHAnsi" w:cstheme="majorHAnsi"/>
                <w:b/>
                <w:bCs/>
                <w:sz w:val="16"/>
                <w:szCs w:val="16"/>
                <w:lang w:val="lv-LV"/>
              </w:rPr>
              <w:t>100 %</w:t>
            </w:r>
            <w:r>
              <w:rPr>
                <w:rFonts w:asciiTheme="majorHAnsi" w:hAnsiTheme="majorHAnsi" w:cstheme="majorHAnsi"/>
                <w:sz w:val="16"/>
                <w:szCs w:val="16"/>
                <w:lang w:val="lv-LV"/>
              </w:rPr>
              <w:t xml:space="preserve"> – </w:t>
            </w:r>
            <w:r w:rsidRPr="00CB4E89">
              <w:rPr>
                <w:rFonts w:asciiTheme="majorHAnsi" w:hAnsiTheme="majorHAnsi" w:cstheme="majorHAnsi"/>
                <w:sz w:val="16"/>
                <w:szCs w:val="16"/>
                <w:lang w:val="lv-LV"/>
              </w:rPr>
              <w:t xml:space="preserve">Latvijas privāto uzņēmumu finansējums. </w:t>
            </w:r>
          </w:p>
        </w:tc>
      </w:tr>
    </w:tbl>
    <w:p w14:paraId="31C28703" w14:textId="77777777" w:rsidR="00812A72" w:rsidRPr="00D04AE4" w:rsidRDefault="00812A72" w:rsidP="00812A72">
      <w:pPr>
        <w:widowControl/>
        <w:spacing w:before="120" w:after="120" w:line="240" w:lineRule="auto"/>
        <w:jc w:val="both"/>
        <w:rPr>
          <w:rFonts w:ascii="Arial Nova Cond Light" w:eastAsia="Times New Roman" w:hAnsi="Arial Nova Cond Light"/>
          <w:sz w:val="16"/>
          <w:szCs w:val="24"/>
          <w:lang w:eastAsia="lv-LV"/>
        </w:rPr>
      </w:pPr>
      <w:r w:rsidRPr="00D04AE4">
        <w:rPr>
          <w:rFonts w:ascii="Arial Nova Cond Light" w:eastAsia="Times New Roman" w:hAnsi="Arial Nova Cond Light"/>
          <w:sz w:val="16"/>
          <w:szCs w:val="24"/>
          <w:lang w:eastAsia="lv-LV"/>
        </w:rPr>
        <w:t>Avots: autoru veidotā tabula pēc Zemkopības ministrijas nepublicētiem datiem.</w:t>
      </w:r>
    </w:p>
    <w:p w14:paraId="321035BD" w14:textId="20193D2D" w:rsidR="00ED3083" w:rsidRDefault="00ED3083">
      <w:pPr>
        <w:widowControl/>
        <w:spacing w:after="160" w:line="259" w:lineRule="auto"/>
        <w:rPr>
          <w:rFonts w:ascii="Verdana Pro Cond Light" w:eastAsiaTheme="majorEastAsia" w:hAnsi="Verdana Pro Cond Light" w:cstheme="majorBidi"/>
          <w:b/>
          <w:caps/>
          <w:color w:val="2F5496" w:themeColor="accent1" w:themeShade="BF"/>
          <w:sz w:val="28"/>
          <w:szCs w:val="26"/>
          <w:lang w:val="lv-LV"/>
        </w:rPr>
      </w:pPr>
      <w:bookmarkStart w:id="43" w:name="_Toc176185145"/>
      <w:bookmarkStart w:id="44" w:name="_Toc176778154"/>
      <w:bookmarkStart w:id="45" w:name="_Toc177395395"/>
      <w:bookmarkStart w:id="46" w:name="_Toc178327880"/>
    </w:p>
    <w:p w14:paraId="034CB98C" w14:textId="77777777" w:rsidR="003A2F64" w:rsidRDefault="003A2F64">
      <w:pPr>
        <w:widowControl/>
        <w:spacing w:after="160" w:line="259" w:lineRule="auto"/>
        <w:rPr>
          <w:rFonts w:ascii="Verdana Pro Cond Light" w:eastAsiaTheme="majorEastAsia" w:hAnsi="Verdana Pro Cond Light" w:cstheme="majorBidi"/>
          <w:b/>
          <w:caps/>
          <w:color w:val="2F5496" w:themeColor="accent1" w:themeShade="BF"/>
          <w:sz w:val="28"/>
          <w:szCs w:val="26"/>
          <w:lang w:val="lv-LV"/>
        </w:rPr>
      </w:pPr>
    </w:p>
    <w:p w14:paraId="55D6D622" w14:textId="1581DD37" w:rsidR="00812A72" w:rsidRPr="00537DE7" w:rsidRDefault="00812A72" w:rsidP="00812A72">
      <w:pPr>
        <w:pStyle w:val="Heading2"/>
        <w:spacing w:after="120"/>
        <w:rPr>
          <w:lang w:val="lv-LV"/>
        </w:rPr>
      </w:pPr>
      <w:bookmarkStart w:id="47" w:name="_Toc183697489"/>
      <w:r w:rsidRPr="00537DE7">
        <w:rPr>
          <w:lang w:val="lv-LV"/>
        </w:rPr>
        <w:t xml:space="preserve">Otrais scenārijs </w:t>
      </w:r>
      <w:r>
        <w:rPr>
          <w:lang w:val="lv-LV"/>
        </w:rPr>
        <w:t xml:space="preserve">– </w:t>
      </w:r>
      <w:r w:rsidRPr="00537DE7">
        <w:rPr>
          <w:lang w:val="lv-LV"/>
        </w:rPr>
        <w:t>transporta pasākumi</w:t>
      </w:r>
      <w:bookmarkEnd w:id="43"/>
      <w:bookmarkEnd w:id="44"/>
      <w:bookmarkEnd w:id="45"/>
      <w:bookmarkEnd w:id="46"/>
      <w:bookmarkEnd w:id="47"/>
    </w:p>
    <w:p w14:paraId="2DE1BDE7" w14:textId="4D7903EE" w:rsidR="00812A72" w:rsidRDefault="00812A72" w:rsidP="00812A72">
      <w:pPr>
        <w:widowControl/>
        <w:spacing w:after="120" w:line="240" w:lineRule="auto"/>
        <w:rPr>
          <w:rFonts w:ascii="Verdana Pro Cond Light" w:hAnsi="Verdana Pro Cond Light"/>
          <w:bCs/>
          <w:lang w:val="lv-LV"/>
        </w:rPr>
      </w:pPr>
      <w:r w:rsidRPr="00D04AE4">
        <w:rPr>
          <w:rFonts w:ascii="Verdana Pro Cond Light" w:hAnsi="Verdana Pro Cond Light"/>
          <w:bCs/>
          <w:lang w:val="lv-LV"/>
        </w:rPr>
        <w:t>Transporta pasākumu grupā tika modelēta 3.1.1.11. – 3.1.1.27. pasākumu sociālekonomiskā ietekme – kā investīciju palielinājums sauszemes transportā (6.2. tabula). Savukārt pasākuma 3.1.1.28. (</w:t>
      </w:r>
      <w:r w:rsidRPr="00D04AE4">
        <w:rPr>
          <w:rFonts w:ascii="Verdana Pro Cond Light" w:hAnsi="Verdana Pro Cond Light"/>
          <w:lang w:val="lv-LV"/>
        </w:rPr>
        <w:t>Rīgas pašvaldībai īstenot “dienu bez auto” vismaz 1 reizi gadā</w:t>
      </w:r>
      <w:r w:rsidRPr="00D04AE4">
        <w:rPr>
          <w:rFonts w:ascii="Verdana Pro Cond Light" w:hAnsi="Verdana Pro Cond Light"/>
          <w:bCs/>
          <w:lang w:val="lv-LV"/>
        </w:rPr>
        <w:t>) ietekme tika modelēta kā investīciju palielinājums privāto pakalpojumu nozarē. Turklāt pasākuma 3.1.1.7. (</w:t>
      </w:r>
      <w:r w:rsidRPr="00D04AE4">
        <w:rPr>
          <w:rFonts w:ascii="Verdana Pro Cond Light" w:hAnsi="Verdana Pro Cond Light"/>
          <w:lang w:val="lv-LV"/>
        </w:rPr>
        <w:t>Bezemisiju transportlīdzekļu skaita palielināšana</w:t>
      </w:r>
      <w:r w:rsidRPr="00D04AE4">
        <w:rPr>
          <w:rFonts w:ascii="Verdana Pro Cond Light" w:hAnsi="Verdana Pro Cond Light"/>
          <w:bCs/>
          <w:lang w:val="lv-LV"/>
        </w:rPr>
        <w:t>) ietekme tika modelēta (50</w:t>
      </w:r>
      <w:r>
        <w:rPr>
          <w:rFonts w:ascii="Verdana Pro Cond Light" w:hAnsi="Verdana Pro Cond Light"/>
          <w:bCs/>
          <w:lang w:val="lv-LV"/>
        </w:rPr>
        <w:t> </w:t>
      </w:r>
      <w:r w:rsidRPr="00D04AE4">
        <w:rPr>
          <w:rFonts w:ascii="Verdana Pro Cond Light" w:hAnsi="Verdana Pro Cond Light"/>
          <w:bCs/>
          <w:lang w:val="lv-LV"/>
        </w:rPr>
        <w:t>% no nepieciešamā finansējuma apjomā) kā pieprasījuma palielinājums sauszemes transportā. Netika modelēta pasākumu 3.1.1.1. – 3.1.1.6, kā arī 3.1.1.10 ietekme, jo tie pārsvarā finansēti no esošā ES fondu plānošanas perioda un tādējādi iekļauti EM makroekonomisko prognožu bāzes scenārijā. Modelēšanas pieņēmumi saskaņoti ar EM ekspertiem.</w:t>
      </w:r>
      <w:bookmarkStart w:id="48" w:name="_Hlk183680042"/>
      <w:r w:rsidR="005F4D7C">
        <w:rPr>
          <w:rFonts w:ascii="Verdana Pro Cond Light" w:hAnsi="Verdana Pro Cond Light"/>
          <w:bCs/>
          <w:lang w:val="lv-LV"/>
        </w:rPr>
        <w:t xml:space="preserve"> </w:t>
      </w:r>
      <w:bookmarkStart w:id="49" w:name="_Hlk183681627"/>
      <w:r w:rsidR="005F4D7C">
        <w:rPr>
          <w:rFonts w:ascii="Verdana Pro Cond Light" w:hAnsi="Verdana Pro Cond Light"/>
          <w:bCs/>
          <w:lang w:val="lv-LV"/>
        </w:rPr>
        <w:t xml:space="preserve">Jāatzīmē, ka šobrīd nav precīzi zināms </w:t>
      </w:r>
      <w:r w:rsidR="005F4D7C" w:rsidRPr="00242ACB">
        <w:rPr>
          <w:rFonts w:ascii="Verdana Pro Cond Light" w:hAnsi="Verdana Pro Cond Light"/>
          <w:bCs/>
          <w:lang w:val="lv-LV"/>
        </w:rPr>
        <w:t xml:space="preserve">cik liela nauda tiks iztērēta </w:t>
      </w:r>
      <w:r w:rsidR="005F4D7C">
        <w:rPr>
          <w:rFonts w:ascii="Verdana Pro Cond Light" w:hAnsi="Verdana Pro Cond Light"/>
          <w:bCs/>
          <w:lang w:val="lv-LV"/>
        </w:rPr>
        <w:t xml:space="preserve">tieši </w:t>
      </w:r>
      <w:r w:rsidR="005F4D7C" w:rsidRPr="00242ACB">
        <w:rPr>
          <w:rFonts w:ascii="Verdana Pro Cond Light" w:hAnsi="Verdana Pro Cond Light"/>
          <w:bCs/>
          <w:lang w:val="lv-LV"/>
        </w:rPr>
        <w:t>uz importētiem transportlīdzekļiem</w:t>
      </w:r>
      <w:r w:rsidR="005F4D7C">
        <w:rPr>
          <w:rFonts w:ascii="Verdana Pro Cond Light" w:hAnsi="Verdana Pro Cond Light"/>
          <w:bCs/>
          <w:lang w:val="lv-LV"/>
        </w:rPr>
        <w:t xml:space="preserve"> un </w:t>
      </w:r>
      <w:r w:rsidR="005F4D7C" w:rsidRPr="00242ACB">
        <w:rPr>
          <w:rFonts w:ascii="Verdana Pro Cond Light" w:hAnsi="Verdana Pro Cond Light"/>
          <w:bCs/>
          <w:lang w:val="lv-LV"/>
        </w:rPr>
        <w:t>iekārtām</w:t>
      </w:r>
      <w:r w:rsidR="005F4D7C">
        <w:rPr>
          <w:rFonts w:ascii="Verdana Pro Cond Light" w:hAnsi="Verdana Pro Cond Light"/>
          <w:bCs/>
          <w:lang w:val="lv-LV"/>
        </w:rPr>
        <w:t xml:space="preserve">, jo, atbilstoši Satiksmes ministrijas (SM) ekspertu sniegtajai informācijai, </w:t>
      </w:r>
      <w:r w:rsidR="005F4D7C" w:rsidRPr="00242ACB">
        <w:rPr>
          <w:rFonts w:ascii="Verdana Pro Cond Light" w:hAnsi="Verdana Pro Cond Light"/>
          <w:bCs/>
          <w:lang w:val="lv-LV"/>
        </w:rPr>
        <w:t>vairākos pasākumos vēl nav uzsākti iepirkumi</w:t>
      </w:r>
      <w:r w:rsidR="005F4D7C">
        <w:rPr>
          <w:rFonts w:ascii="Verdana Pro Cond Light" w:hAnsi="Verdana Pro Cond Light"/>
          <w:bCs/>
          <w:lang w:val="lv-LV"/>
        </w:rPr>
        <w:t xml:space="preserve"> vai arī </w:t>
      </w:r>
      <w:r w:rsidR="005F4D7C" w:rsidRPr="00242ACB">
        <w:rPr>
          <w:rFonts w:ascii="Verdana Pro Cond Light" w:hAnsi="Verdana Pro Cond Light"/>
          <w:bCs/>
          <w:lang w:val="lv-LV"/>
        </w:rPr>
        <w:t>nav noslēdzies iepirkumu process</w:t>
      </w:r>
      <w:r w:rsidR="005F4D7C">
        <w:rPr>
          <w:rFonts w:ascii="Verdana Pro Cond Light" w:hAnsi="Verdana Pro Cond Light"/>
          <w:bCs/>
          <w:lang w:val="lv-LV"/>
        </w:rPr>
        <w:t>.</w:t>
      </w:r>
      <w:bookmarkEnd w:id="48"/>
      <w:r w:rsidR="005F4D7C">
        <w:rPr>
          <w:rFonts w:ascii="Verdana Pro Cond Light" w:hAnsi="Verdana Pro Cond Light"/>
          <w:bCs/>
          <w:lang w:val="lv-LV"/>
        </w:rPr>
        <w:t xml:space="preserve"> </w:t>
      </w:r>
    </w:p>
    <w:bookmarkEnd w:id="49"/>
    <w:p w14:paraId="483F21CE" w14:textId="77777777" w:rsidR="00812A72" w:rsidRDefault="00812A72" w:rsidP="00812A72">
      <w:pPr>
        <w:widowControl/>
        <w:spacing w:after="120" w:line="240" w:lineRule="auto"/>
        <w:rPr>
          <w:rFonts w:ascii="Verdana Pro Cond Light" w:hAnsi="Verdana Pro Cond Light"/>
          <w:bCs/>
          <w:lang w:val="lv-LV"/>
        </w:rPr>
      </w:pPr>
      <w:r w:rsidRPr="00D04AE4">
        <w:rPr>
          <w:rFonts w:ascii="Verdana Pro Cond Light" w:hAnsi="Verdana Pro Cond Light"/>
          <w:bCs/>
          <w:lang w:val="lv-LV"/>
        </w:rPr>
        <w:t>Modelēto transporta pasākumu ieguldījumu kopapjoms ir 1603,9 milj. eiro, no tiem 94,1</w:t>
      </w:r>
      <w:r>
        <w:rPr>
          <w:rFonts w:ascii="Verdana Pro Cond Light" w:hAnsi="Verdana Pro Cond Light"/>
          <w:bCs/>
          <w:lang w:val="lv-LV"/>
        </w:rPr>
        <w:t> </w:t>
      </w:r>
      <w:r w:rsidRPr="00D04AE4">
        <w:rPr>
          <w:rFonts w:ascii="Verdana Pro Cond Light" w:hAnsi="Verdana Pro Cond Light"/>
          <w:bCs/>
          <w:lang w:val="lv-LV"/>
        </w:rPr>
        <w:t>% ir jaunā nauda (ārvalstu finansējums – galvenokārt ES fondu jaunās programmas, kā arī nacionālais publiskais finansējums papildu izdevumu veidā), bet 5,9</w:t>
      </w:r>
      <w:r>
        <w:rPr>
          <w:rFonts w:ascii="Verdana Pro Cond Light" w:hAnsi="Verdana Pro Cond Light"/>
          <w:bCs/>
          <w:lang w:val="lv-LV"/>
        </w:rPr>
        <w:t> </w:t>
      </w:r>
      <w:r w:rsidRPr="00D04AE4">
        <w:rPr>
          <w:rFonts w:ascii="Verdana Pro Cond Light" w:hAnsi="Verdana Pro Cond Light"/>
          <w:bCs/>
          <w:lang w:val="lv-LV"/>
        </w:rPr>
        <w:t>% ir Latvijas privāto uzņēmumu un mājsaimniecību finansējums, kas aizvieto citus izdevumus.</w:t>
      </w:r>
    </w:p>
    <w:p w14:paraId="3900C257" w14:textId="5E330C40" w:rsidR="003A2F64" w:rsidRDefault="00812A72" w:rsidP="00812A72">
      <w:pPr>
        <w:widowControl/>
        <w:spacing w:after="120" w:line="240" w:lineRule="auto"/>
        <w:rPr>
          <w:rFonts w:ascii="Verdana Pro Cond Light" w:hAnsi="Verdana Pro Cond Light"/>
          <w:lang w:val="lv-LV"/>
        </w:rPr>
      </w:pPr>
      <w:r w:rsidRPr="00D04AE4">
        <w:rPr>
          <w:rFonts w:ascii="Verdana Pro Cond Light" w:hAnsi="Verdana Pro Cond Light"/>
          <w:lang w:val="lv-LV"/>
        </w:rPr>
        <w:t>Tā kā transporta pasākumi ietver papildu investīcijas, kas palielina fiziskā kapitāla apjomu (un tādējādi arī ražošanas potenciālu) tautsaimniecībā, tiem ir pozitīva ietekme uz iekšzemes kopproduktu (IKP)</w:t>
      </w:r>
      <w:r>
        <w:rPr>
          <w:rFonts w:ascii="Verdana Pro Cond Light" w:hAnsi="Verdana Pro Cond Light"/>
          <w:lang w:val="lv-LV"/>
        </w:rPr>
        <w:t xml:space="preserve"> – </w:t>
      </w:r>
      <w:r w:rsidRPr="00D04AE4">
        <w:rPr>
          <w:rFonts w:ascii="Verdana Pro Cond Light" w:hAnsi="Verdana Pro Cond Light"/>
          <w:lang w:val="lv-LV"/>
        </w:rPr>
        <w:t xml:space="preserve">ne tikai īstermiņā (t.i., investīciju veikšanas periodā </w:t>
      </w:r>
      <w:r>
        <w:rPr>
          <w:rFonts w:ascii="Verdana Pro Cond Light" w:hAnsi="Verdana Pro Cond Light"/>
          <w:lang w:val="lv-LV"/>
        </w:rPr>
        <w:t xml:space="preserve">– </w:t>
      </w:r>
      <w:r w:rsidRPr="00D04AE4">
        <w:rPr>
          <w:rFonts w:ascii="Verdana Pro Cond Light" w:hAnsi="Verdana Pro Cond Light"/>
          <w:lang w:val="lv-LV"/>
        </w:rPr>
        <w:t>līdz 2030. gadam), bet arī ilgtermiņā. Reālā IKP līmenis 2050. gadā ir par 1,6</w:t>
      </w:r>
      <w:r>
        <w:rPr>
          <w:rFonts w:ascii="Verdana Pro Cond Light" w:hAnsi="Verdana Pro Cond Light"/>
          <w:lang w:val="lv-LV"/>
        </w:rPr>
        <w:t> </w:t>
      </w:r>
      <w:r w:rsidRPr="00D04AE4">
        <w:rPr>
          <w:rFonts w:ascii="Verdana Pro Cond Light" w:hAnsi="Verdana Pro Cond Light"/>
          <w:lang w:val="lv-LV"/>
        </w:rPr>
        <w:t>% lielāks nekā neīstenojot transporta pasākumus. No IKP komponentēm visvairāk palielinās investīcijas, pozitīva ietekme ir arī uz privāto patēriņu (6.</w:t>
      </w:r>
      <w:r>
        <w:rPr>
          <w:rFonts w:ascii="Verdana Pro Cond Light" w:hAnsi="Verdana Pro Cond Light"/>
          <w:lang w:val="lv-LV"/>
        </w:rPr>
        <w:t>8</w:t>
      </w:r>
      <w:r w:rsidRPr="00D04AE4">
        <w:rPr>
          <w:rFonts w:ascii="Verdana Pro Cond Light" w:hAnsi="Verdana Pro Cond Light"/>
          <w:lang w:val="lv-LV"/>
        </w:rPr>
        <w:t>. attēls).</w:t>
      </w:r>
    </w:p>
    <w:p w14:paraId="6769EAC2" w14:textId="77777777" w:rsidR="003A2F64" w:rsidRDefault="003A2F64">
      <w:pPr>
        <w:widowControl/>
        <w:spacing w:after="160" w:line="259" w:lineRule="auto"/>
        <w:rPr>
          <w:rFonts w:ascii="Verdana Pro Cond Light" w:hAnsi="Verdana Pro Cond Light"/>
          <w:lang w:val="lv-LV"/>
        </w:rPr>
      </w:pPr>
      <w:r>
        <w:rPr>
          <w:rFonts w:ascii="Verdana Pro Cond Light" w:hAnsi="Verdana Pro Cond Light"/>
          <w:lang w:val="lv-LV"/>
        </w:rPr>
        <w:br w:type="page"/>
      </w:r>
    </w:p>
    <w:p w14:paraId="56ADD0A6" w14:textId="77777777" w:rsidR="00812A72" w:rsidRPr="00D04AE4" w:rsidRDefault="00812A72" w:rsidP="00812A72">
      <w:pPr>
        <w:widowControl/>
        <w:spacing w:before="120" w:after="120" w:line="240" w:lineRule="auto"/>
        <w:jc w:val="right"/>
        <w:rPr>
          <w:rFonts w:ascii="Verdana Pro Cond Light" w:eastAsia="Times New Roman" w:hAnsi="Verdana Pro Cond Light" w:cstheme="minorHAnsi"/>
          <w:bCs/>
          <w:lang w:val="lv-LV" w:eastAsia="lv-LV"/>
        </w:rPr>
      </w:pPr>
      <w:r w:rsidRPr="00D04AE4">
        <w:rPr>
          <w:rFonts w:ascii="Verdana Pro Cond Light" w:eastAsia="Times New Roman" w:hAnsi="Verdana Pro Cond Light" w:cstheme="minorHAnsi"/>
          <w:bCs/>
          <w:lang w:val="lv-LV" w:eastAsia="lv-LV"/>
        </w:rPr>
        <w:lastRenderedPageBreak/>
        <w:t>6.</w:t>
      </w:r>
      <w:r>
        <w:rPr>
          <w:rFonts w:ascii="Verdana Pro Cond Light" w:eastAsia="Times New Roman" w:hAnsi="Verdana Pro Cond Light" w:cstheme="minorHAnsi"/>
          <w:bCs/>
          <w:lang w:val="lv-LV" w:eastAsia="lv-LV"/>
        </w:rPr>
        <w:t>8</w:t>
      </w:r>
      <w:r w:rsidRPr="00D04AE4">
        <w:rPr>
          <w:rFonts w:ascii="Verdana Pro Cond Light" w:eastAsia="Times New Roman" w:hAnsi="Verdana Pro Cond Light" w:cstheme="minorHAnsi"/>
          <w:bCs/>
          <w:lang w:val="lv-LV" w:eastAsia="lv-LV"/>
        </w:rPr>
        <w:t>. attēls</w:t>
      </w:r>
    </w:p>
    <w:p w14:paraId="230C37E0" w14:textId="3DD7030D" w:rsidR="00812A72" w:rsidRDefault="00812A72" w:rsidP="000A5D3D">
      <w:pPr>
        <w:widowControl/>
        <w:spacing w:after="120" w:line="240" w:lineRule="auto"/>
        <w:jc w:val="center"/>
        <w:rPr>
          <w:rFonts w:ascii="Verdana Pro Cond Light" w:eastAsia="Times New Roman" w:hAnsi="Verdana Pro Cond Light"/>
          <w:sz w:val="18"/>
          <w:szCs w:val="18"/>
          <w:lang w:val="lv-LV" w:eastAsia="lv-LV"/>
        </w:rPr>
      </w:pPr>
      <w:r w:rsidRPr="00D04AE4">
        <w:rPr>
          <w:rFonts w:ascii="Verdana Pro Cond Light" w:eastAsia="Times New Roman" w:hAnsi="Verdana Pro Cond Light"/>
          <w:b/>
          <w:bCs/>
          <w:lang w:val="lv-LV" w:eastAsia="lv-LV"/>
        </w:rPr>
        <w:t>Transporta pasākumu ietekme uz Latvijas iekšzemes kopprodukta līmeni un tā iekšzemes komponentēm</w:t>
      </w:r>
      <w:r>
        <w:rPr>
          <w:rFonts w:ascii="Verdana Pro Cond Light" w:eastAsia="Times New Roman" w:hAnsi="Verdana Pro Cond Light"/>
          <w:b/>
          <w:bCs/>
          <w:lang w:val="lv-LV" w:eastAsia="lv-LV"/>
        </w:rPr>
        <w:br/>
      </w:r>
      <w:r w:rsidRPr="00D04AE4">
        <w:rPr>
          <w:rFonts w:ascii="Verdana Pro Cond Light" w:eastAsia="Times New Roman" w:hAnsi="Verdana Pro Cond Light"/>
          <w:sz w:val="18"/>
          <w:szCs w:val="18"/>
          <w:lang w:val="lv-LV" w:eastAsia="lv-LV"/>
        </w:rPr>
        <w:t>%; salīdzinot ar bāzes scenāriju; 2015. gada cenās; 2025. – 2050. gadā</w:t>
      </w:r>
    </w:p>
    <w:p w14:paraId="26C83ECE" w14:textId="77777777" w:rsidR="00812A72" w:rsidRDefault="00812A72" w:rsidP="00812A72">
      <w:pPr>
        <w:widowControl/>
        <w:tabs>
          <w:tab w:val="center" w:pos="2410"/>
          <w:tab w:val="center" w:pos="7230"/>
        </w:tabs>
        <w:spacing w:after="120" w:line="240" w:lineRule="auto"/>
        <w:rPr>
          <w:rFonts w:ascii="Verdana Pro Cond Light" w:hAnsi="Verdana Pro Cond Light"/>
          <w:b/>
          <w:bCs/>
          <w:sz w:val="18"/>
          <w:szCs w:val="18"/>
          <w:lang w:val="lv-LV"/>
        </w:rPr>
      </w:pPr>
      <w:r>
        <w:rPr>
          <w:rFonts w:ascii="Verdana Pro Cond Light" w:hAnsi="Verdana Pro Cond Light"/>
          <w:b/>
          <w:bCs/>
          <w:sz w:val="18"/>
          <w:szCs w:val="18"/>
          <w:lang w:val="lv-LV"/>
        </w:rPr>
        <w:tab/>
      </w:r>
      <w:r w:rsidRPr="00D04AE4">
        <w:rPr>
          <w:rFonts w:ascii="Verdana Pro Cond Light" w:hAnsi="Verdana Pro Cond Light"/>
          <w:b/>
          <w:bCs/>
          <w:sz w:val="18"/>
          <w:szCs w:val="18"/>
          <w:lang w:val="lv-LV"/>
        </w:rPr>
        <w:t>Ietekme uz iekšzemes kopprodukta līmeni</w:t>
      </w:r>
      <w:r w:rsidRPr="00D04AE4">
        <w:rPr>
          <w:rFonts w:ascii="Verdana Pro Cond Light" w:hAnsi="Verdana Pro Cond Light"/>
          <w:b/>
          <w:bCs/>
          <w:sz w:val="18"/>
          <w:szCs w:val="18"/>
          <w:lang w:val="lv-LV"/>
        </w:rPr>
        <w:tab/>
        <w:t>Ietekme uz investīcijām un patēriņu</w:t>
      </w:r>
    </w:p>
    <w:p w14:paraId="6B1E21AD" w14:textId="77777777" w:rsidR="00812A72" w:rsidRPr="00D04AE4" w:rsidRDefault="00812A72" w:rsidP="00812A72">
      <w:pPr>
        <w:widowControl/>
        <w:tabs>
          <w:tab w:val="center" w:pos="2410"/>
          <w:tab w:val="center" w:pos="7230"/>
        </w:tabs>
        <w:spacing w:after="120" w:line="240" w:lineRule="auto"/>
        <w:ind w:right="-143"/>
        <w:rPr>
          <w:rFonts w:ascii="Verdana Pro Cond Light" w:hAnsi="Verdana Pro Cond Light"/>
          <w:b/>
          <w:bCs/>
          <w:sz w:val="18"/>
          <w:szCs w:val="18"/>
          <w:lang w:val="lv-LV"/>
        </w:rPr>
      </w:pPr>
      <w:r w:rsidRPr="003C4B3C">
        <w:rPr>
          <w:rFonts w:ascii="Minion Pro" w:hAnsi="Minion Pro" w:cstheme="minorHAnsi"/>
          <w:noProof/>
          <w:sz w:val="24"/>
          <w:szCs w:val="24"/>
        </w:rPr>
        <w:drawing>
          <wp:inline distT="0" distB="0" distL="0" distR="0" wp14:anchorId="257B18CD" wp14:editId="7E7347E9">
            <wp:extent cx="3060000" cy="2160000"/>
            <wp:effectExtent l="0" t="0" r="0" b="0"/>
            <wp:docPr id="915894245" name="Chart 915894245">
              <a:extLst xmlns:a="http://schemas.openxmlformats.org/drawingml/2006/main">
                <a:ext uri="{FF2B5EF4-FFF2-40B4-BE49-F238E27FC236}">
                  <a16:creationId xmlns:a16="http://schemas.microsoft.com/office/drawing/2014/main" id="{C0B412E0-20D9-9C02-797F-E1BB76C514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r w:rsidRPr="003C4B3C">
        <w:rPr>
          <w:rFonts w:ascii="Minion Pro" w:hAnsi="Minion Pro" w:cstheme="minorHAnsi"/>
          <w:noProof/>
          <w:sz w:val="24"/>
          <w:szCs w:val="24"/>
        </w:rPr>
        <w:drawing>
          <wp:inline distT="0" distB="0" distL="0" distR="0" wp14:anchorId="279AB4E0" wp14:editId="7519B955">
            <wp:extent cx="3060000" cy="2160000"/>
            <wp:effectExtent l="0" t="0" r="0" b="0"/>
            <wp:docPr id="1616691050" name="Chart 1616691050">
              <a:extLst xmlns:a="http://schemas.openxmlformats.org/drawingml/2006/main">
                <a:ext uri="{FF2B5EF4-FFF2-40B4-BE49-F238E27FC236}">
                  <a16:creationId xmlns:a16="http://schemas.microsoft.com/office/drawing/2014/main" id="{DA49B370-F5C9-6939-A1AB-36EBEF097AC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7DFED691" w14:textId="77777777" w:rsidR="00812A72" w:rsidRPr="00097491" w:rsidRDefault="00812A72" w:rsidP="00812A72">
      <w:pPr>
        <w:widowControl/>
        <w:spacing w:before="120" w:after="120" w:line="240" w:lineRule="auto"/>
        <w:jc w:val="both"/>
        <w:rPr>
          <w:rFonts w:ascii="Arial Nova Cond Light" w:eastAsia="Times New Roman" w:hAnsi="Arial Nova Cond Light"/>
          <w:sz w:val="16"/>
          <w:szCs w:val="24"/>
          <w:lang w:val="lv-LV" w:eastAsia="lv-LV"/>
        </w:rPr>
      </w:pPr>
      <w:r w:rsidRPr="00097491">
        <w:rPr>
          <w:rFonts w:ascii="Arial Nova Cond Light" w:eastAsia="Times New Roman" w:hAnsi="Arial Nova Cond Light"/>
          <w:sz w:val="16"/>
          <w:szCs w:val="24"/>
          <w:lang w:val="lv-LV" w:eastAsia="lv-LV"/>
        </w:rPr>
        <w:t>Avots: autoru aprēķins, izmantojot VLA modeli.</w:t>
      </w:r>
    </w:p>
    <w:p w14:paraId="75F385D8" w14:textId="77777777" w:rsidR="00ED3083" w:rsidRPr="00097491" w:rsidRDefault="00ED3083" w:rsidP="00812A72">
      <w:pPr>
        <w:widowControl/>
        <w:spacing w:before="120" w:after="120" w:line="240" w:lineRule="auto"/>
        <w:jc w:val="right"/>
        <w:rPr>
          <w:rFonts w:ascii="Verdana Pro Cond Light" w:eastAsia="Times New Roman" w:hAnsi="Verdana Pro Cond Light" w:cstheme="minorHAnsi"/>
          <w:bCs/>
          <w:lang w:val="lv-LV" w:eastAsia="lv-LV"/>
        </w:rPr>
      </w:pPr>
    </w:p>
    <w:p w14:paraId="7F9D6C6F" w14:textId="77777777" w:rsidR="00ED3083" w:rsidRPr="00D04AE4" w:rsidRDefault="00ED3083" w:rsidP="00ED3083">
      <w:pPr>
        <w:widowControl/>
        <w:spacing w:after="120" w:line="240" w:lineRule="auto"/>
        <w:rPr>
          <w:rFonts w:ascii="Verdana Pro Cond Light" w:hAnsi="Verdana Pro Cond Light"/>
          <w:lang w:val="lv-LV"/>
        </w:rPr>
      </w:pPr>
      <w:r w:rsidRPr="00D04AE4">
        <w:rPr>
          <w:rFonts w:ascii="Verdana Pro Cond Light" w:hAnsi="Verdana Pro Cond Light"/>
          <w:lang w:val="lv-LV"/>
        </w:rPr>
        <w:t>Īstermiņā investīciju pieaugums izspiež eksportu un palielina importu, tādējādi pasliktinot tirdzniecības bilanci par 0,5 procentu punktiem no IKP. Ilgtermiņā eksports tomēr pieaug nedaudz vairāk par importu, uzlabojot tirdzniecības bilanci par 0,4 procentu punktiem no IKP (6.</w:t>
      </w:r>
      <w:r>
        <w:rPr>
          <w:rFonts w:ascii="Verdana Pro Cond Light" w:hAnsi="Verdana Pro Cond Light"/>
          <w:lang w:val="lv-LV"/>
        </w:rPr>
        <w:t>9</w:t>
      </w:r>
      <w:r w:rsidRPr="00D04AE4">
        <w:rPr>
          <w:rFonts w:ascii="Verdana Pro Cond Light" w:hAnsi="Verdana Pro Cond Light"/>
          <w:lang w:val="lv-LV"/>
        </w:rPr>
        <w:t>. attēls).</w:t>
      </w:r>
    </w:p>
    <w:p w14:paraId="5555E246" w14:textId="77777777" w:rsidR="00ED3083" w:rsidRPr="00D04AE4" w:rsidRDefault="00ED3083" w:rsidP="00ED3083">
      <w:pPr>
        <w:widowControl/>
        <w:spacing w:after="120" w:line="240" w:lineRule="auto"/>
        <w:rPr>
          <w:rFonts w:ascii="Verdana Pro Cond Light" w:hAnsi="Verdana Pro Cond Light"/>
          <w:lang w:val="lv-LV"/>
        </w:rPr>
      </w:pPr>
      <w:r w:rsidRPr="00D04AE4">
        <w:rPr>
          <w:rFonts w:ascii="Verdana Pro Cond Light" w:hAnsi="Verdana Pro Cond Light"/>
          <w:lang w:val="lv-LV"/>
        </w:rPr>
        <w:t>Transporta pasākumu īstenošanai ir pozitīva ietekme uz produktivitāti, palielinās arī nodarbinātība. Nodarbināto skaits 2050. gadā ir par 1,0</w:t>
      </w:r>
      <w:r>
        <w:rPr>
          <w:rFonts w:ascii="Verdana Pro Cond Light" w:hAnsi="Verdana Pro Cond Light"/>
          <w:lang w:val="lv-LV"/>
        </w:rPr>
        <w:t> </w:t>
      </w:r>
      <w:r w:rsidRPr="00D04AE4">
        <w:rPr>
          <w:rFonts w:ascii="Verdana Pro Cond Light" w:hAnsi="Verdana Pro Cond Light"/>
          <w:lang w:val="lv-LV"/>
        </w:rPr>
        <w:t>% lielāks nekā bāzes scenārijā, kas samazina bezdarba līmeni par 0,6 procentu punktiem no ekonomiski aktīvajiem iedzīvotājiem (6.</w:t>
      </w:r>
      <w:r>
        <w:rPr>
          <w:rFonts w:ascii="Verdana Pro Cond Light" w:hAnsi="Verdana Pro Cond Light"/>
          <w:lang w:val="lv-LV"/>
        </w:rPr>
        <w:t>10</w:t>
      </w:r>
      <w:r w:rsidRPr="00D04AE4">
        <w:rPr>
          <w:rFonts w:ascii="Verdana Pro Cond Light" w:hAnsi="Verdana Pro Cond Light"/>
          <w:lang w:val="lv-LV"/>
        </w:rPr>
        <w:t>. attēls).</w:t>
      </w:r>
    </w:p>
    <w:p w14:paraId="5AD66C52" w14:textId="77777777" w:rsidR="00ED3083" w:rsidRDefault="00ED3083" w:rsidP="00ED3083">
      <w:pPr>
        <w:widowControl/>
        <w:spacing w:after="120" w:line="240" w:lineRule="auto"/>
        <w:rPr>
          <w:rFonts w:ascii="Verdana Pro Cond Light" w:hAnsi="Verdana Pro Cond Light"/>
          <w:lang w:val="lv-LV"/>
        </w:rPr>
      </w:pPr>
      <w:r w:rsidRPr="00D04AE4">
        <w:rPr>
          <w:rFonts w:ascii="Verdana Pro Cond Light" w:hAnsi="Verdana Pro Cond Light"/>
          <w:lang w:val="lv-LV"/>
        </w:rPr>
        <w:t>Lielāks darbaspēka pieprasījums nosaka arī augstākas algas. Vidējā alga nominālā izteiksmē 2025. – 2029. gadā ir par 0,6</w:t>
      </w:r>
      <w:r>
        <w:rPr>
          <w:rFonts w:ascii="Verdana Pro Cond Light" w:hAnsi="Verdana Pro Cond Light"/>
          <w:lang w:val="lv-LV"/>
        </w:rPr>
        <w:t> </w:t>
      </w:r>
      <w:r w:rsidRPr="00D04AE4">
        <w:rPr>
          <w:rFonts w:ascii="Verdana Pro Cond Light" w:hAnsi="Verdana Pro Cond Light"/>
          <w:lang w:val="lv-LV"/>
        </w:rPr>
        <w:t>% lielāka nekā bāzes scenārijā. Īstermiņā gandrīz visu algas pieaugumu kompensē augstāka inflācija (tautsaimniecības augšupejas ietekmē), taču ilgtermiņā ietekme uz cenu līmeni ir negatīva, jo papildu investīcijas vairo tautsaimniecības kapacitāti jeb potenciālo IKP (6.1</w:t>
      </w:r>
      <w:r>
        <w:rPr>
          <w:rFonts w:ascii="Verdana Pro Cond Light" w:hAnsi="Verdana Pro Cond Light"/>
          <w:lang w:val="lv-LV"/>
        </w:rPr>
        <w:t>1</w:t>
      </w:r>
      <w:r w:rsidRPr="00D04AE4">
        <w:rPr>
          <w:rFonts w:ascii="Verdana Pro Cond Light" w:hAnsi="Verdana Pro Cond Light"/>
          <w:lang w:val="lv-LV"/>
        </w:rPr>
        <w:t>. attēls). Tādējādi ietekme uz reālo algu (t.i., vidējās algas pirktspēju) ilgtermiņā ir pozitīva.</w:t>
      </w:r>
    </w:p>
    <w:p w14:paraId="6F067E45" w14:textId="77777777" w:rsidR="00ED3083" w:rsidRPr="00D04AE4" w:rsidRDefault="00ED3083" w:rsidP="00ED3083">
      <w:pPr>
        <w:widowControl/>
        <w:spacing w:after="120" w:line="240" w:lineRule="auto"/>
        <w:rPr>
          <w:rFonts w:ascii="Verdana Pro Cond Light" w:hAnsi="Verdana Pro Cond Light"/>
          <w:lang w:val="lv-LV"/>
        </w:rPr>
      </w:pPr>
      <w:r w:rsidRPr="00D04AE4">
        <w:rPr>
          <w:rFonts w:ascii="Verdana Pro Cond Light" w:hAnsi="Verdana Pro Cond Light"/>
          <w:lang w:val="lv-LV"/>
        </w:rPr>
        <w:t>Augstāks IKP un īstermiņā arī lielāks cenu līmenis nosaka pozitīvu transporta pasākumu ietekmi uz valsts budžeta ieņēmumiem, t.sk. uz nodokļu ieņēmumiem. Tādējādi valsts budžeta ieņēmumi 2050. gadā ir par 1,1</w:t>
      </w:r>
      <w:r>
        <w:rPr>
          <w:rFonts w:ascii="Verdana Pro Cond Light" w:hAnsi="Verdana Pro Cond Light"/>
          <w:lang w:val="lv-LV"/>
        </w:rPr>
        <w:t> </w:t>
      </w:r>
      <w:r w:rsidRPr="00D04AE4">
        <w:rPr>
          <w:rFonts w:ascii="Verdana Pro Cond Light" w:hAnsi="Verdana Pro Cond Light"/>
          <w:lang w:val="lv-LV"/>
        </w:rPr>
        <w:t>% lielāki nekā bāzes scenārijā (6.1</w:t>
      </w:r>
      <w:r>
        <w:rPr>
          <w:rFonts w:ascii="Verdana Pro Cond Light" w:hAnsi="Verdana Pro Cond Light"/>
          <w:lang w:val="lv-LV"/>
        </w:rPr>
        <w:t>2</w:t>
      </w:r>
      <w:r w:rsidRPr="00D04AE4">
        <w:rPr>
          <w:rFonts w:ascii="Verdana Pro Cond Light" w:hAnsi="Verdana Pro Cond Light"/>
          <w:lang w:val="lv-LV"/>
        </w:rPr>
        <w:t>. attēls).</w:t>
      </w:r>
    </w:p>
    <w:p w14:paraId="67272044" w14:textId="4B1C84A8" w:rsidR="003A2F64" w:rsidRDefault="00ED3083" w:rsidP="00ED3083">
      <w:pPr>
        <w:widowControl/>
        <w:spacing w:after="120" w:line="240" w:lineRule="auto"/>
        <w:rPr>
          <w:rFonts w:ascii="Verdana Pro Cond Light" w:hAnsi="Verdana Pro Cond Light"/>
          <w:lang w:val="lv-LV"/>
        </w:rPr>
      </w:pPr>
      <w:r w:rsidRPr="00D04AE4">
        <w:rPr>
          <w:rFonts w:ascii="Verdana Pro Cond Light" w:hAnsi="Verdana Pro Cond Light"/>
          <w:lang w:val="lv-LV"/>
        </w:rPr>
        <w:t>Nozaru dalījumā vislielākā pozitīva ietekme vidējā termiņā ir uz pievienoto vērtību sauszemes transportā, atspoguļojot faktu, ka tiešī šajā nozarē novirzīti lielākie ieguldījumi NEKP transporta pasākumu ietvaros (6.1</w:t>
      </w:r>
      <w:r>
        <w:rPr>
          <w:rFonts w:ascii="Verdana Pro Cond Light" w:hAnsi="Verdana Pro Cond Light"/>
          <w:lang w:val="lv-LV"/>
        </w:rPr>
        <w:t>3</w:t>
      </w:r>
      <w:r w:rsidRPr="00D04AE4">
        <w:rPr>
          <w:rFonts w:ascii="Verdana Pro Cond Light" w:hAnsi="Verdana Pro Cond Light"/>
          <w:lang w:val="lv-LV"/>
        </w:rPr>
        <w:t>. attēls).</w:t>
      </w:r>
    </w:p>
    <w:p w14:paraId="201A00CB" w14:textId="77777777" w:rsidR="003A2F64" w:rsidRDefault="003A2F64">
      <w:pPr>
        <w:widowControl/>
        <w:spacing w:after="160" w:line="259" w:lineRule="auto"/>
        <w:rPr>
          <w:rFonts w:ascii="Verdana Pro Cond Light" w:hAnsi="Verdana Pro Cond Light"/>
          <w:lang w:val="lv-LV"/>
        </w:rPr>
      </w:pPr>
      <w:r>
        <w:rPr>
          <w:rFonts w:ascii="Verdana Pro Cond Light" w:hAnsi="Verdana Pro Cond Light"/>
          <w:lang w:val="lv-LV"/>
        </w:rPr>
        <w:br w:type="page"/>
      </w:r>
    </w:p>
    <w:p w14:paraId="347A6818" w14:textId="1A62B2BF" w:rsidR="00812A72" w:rsidRPr="00097491" w:rsidRDefault="00812A72" w:rsidP="00812A72">
      <w:pPr>
        <w:widowControl/>
        <w:spacing w:before="120" w:after="120" w:line="240" w:lineRule="auto"/>
        <w:jc w:val="right"/>
        <w:rPr>
          <w:rFonts w:ascii="Verdana Pro Cond Light" w:eastAsia="Times New Roman" w:hAnsi="Verdana Pro Cond Light" w:cstheme="minorHAnsi"/>
          <w:lang w:val="lv-LV" w:eastAsia="lv-LV"/>
        </w:rPr>
      </w:pPr>
      <w:r w:rsidRPr="00097491">
        <w:rPr>
          <w:rFonts w:ascii="Verdana Pro Cond Light" w:eastAsia="Times New Roman" w:hAnsi="Verdana Pro Cond Light" w:cstheme="minorHAnsi"/>
          <w:bCs/>
          <w:lang w:val="lv-LV" w:eastAsia="lv-LV"/>
        </w:rPr>
        <w:lastRenderedPageBreak/>
        <w:t>6.9. attēls</w:t>
      </w:r>
    </w:p>
    <w:p w14:paraId="0C80CAE6" w14:textId="3A111ECA" w:rsidR="00812A72" w:rsidRPr="00097491" w:rsidRDefault="00812A72" w:rsidP="000A5D3D">
      <w:pPr>
        <w:widowControl/>
        <w:spacing w:after="120" w:line="240" w:lineRule="auto"/>
        <w:jc w:val="center"/>
        <w:rPr>
          <w:rFonts w:ascii="Verdana Pro Cond Light" w:eastAsia="Times New Roman" w:hAnsi="Verdana Pro Cond Light"/>
          <w:sz w:val="18"/>
          <w:szCs w:val="18"/>
          <w:lang w:val="lv-LV" w:eastAsia="lv-LV"/>
        </w:rPr>
      </w:pPr>
      <w:r w:rsidRPr="00097491">
        <w:rPr>
          <w:rFonts w:ascii="Verdana Pro Cond Light" w:eastAsia="Times New Roman" w:hAnsi="Verdana Pro Cond Light"/>
          <w:b/>
          <w:bCs/>
          <w:lang w:val="lv-LV" w:eastAsia="lv-LV"/>
        </w:rPr>
        <w:t>Transporta pasākumu ietekme uz Latvijas eksportu, importu un tirdzniecības bilanci</w:t>
      </w:r>
      <w:r w:rsidRPr="00097491">
        <w:rPr>
          <w:rFonts w:ascii="Verdana Pro Cond Light" w:eastAsia="Times New Roman" w:hAnsi="Verdana Pro Cond Light"/>
          <w:b/>
          <w:bCs/>
          <w:lang w:val="lv-LV" w:eastAsia="lv-LV"/>
        </w:rPr>
        <w:br/>
      </w:r>
      <w:r w:rsidRPr="00097491">
        <w:rPr>
          <w:rFonts w:ascii="Verdana Pro Cond Light" w:eastAsia="Times New Roman" w:hAnsi="Verdana Pro Cond Light"/>
          <w:sz w:val="18"/>
          <w:szCs w:val="18"/>
          <w:lang w:val="lv-LV" w:eastAsia="lv-LV"/>
        </w:rPr>
        <w:t>salīdzinot ar bāzes scenāriju; 2025. – 2050. gadā</w:t>
      </w:r>
    </w:p>
    <w:p w14:paraId="43F49C77" w14:textId="77777777" w:rsidR="00812A72" w:rsidRPr="00097491" w:rsidRDefault="00812A72" w:rsidP="00812A72">
      <w:pPr>
        <w:widowControl/>
        <w:tabs>
          <w:tab w:val="center" w:pos="2410"/>
          <w:tab w:val="center" w:pos="7230"/>
        </w:tabs>
        <w:spacing w:after="120" w:line="240" w:lineRule="auto"/>
        <w:rPr>
          <w:rFonts w:ascii="Verdana Pro Cond Light" w:eastAsia="Times New Roman" w:hAnsi="Verdana Pro Cond Light"/>
          <w:b/>
          <w:bCs/>
          <w:sz w:val="18"/>
          <w:szCs w:val="18"/>
          <w:lang w:val="lv-LV" w:eastAsia="lv-LV"/>
        </w:rPr>
      </w:pPr>
      <w:r w:rsidRPr="00097491">
        <w:rPr>
          <w:rFonts w:ascii="Verdana Pro Cond Light" w:eastAsia="Times New Roman" w:hAnsi="Verdana Pro Cond Light"/>
          <w:b/>
          <w:bCs/>
          <w:sz w:val="18"/>
          <w:szCs w:val="18"/>
          <w:lang w:val="lv-LV" w:eastAsia="lv-LV"/>
        </w:rPr>
        <w:tab/>
        <w:t>Ietekme uz Latvijas eksportu un importu (%)</w:t>
      </w:r>
      <w:r w:rsidRPr="00097491">
        <w:rPr>
          <w:rFonts w:ascii="Verdana Pro Cond Light" w:eastAsia="Times New Roman" w:hAnsi="Verdana Pro Cond Light"/>
          <w:b/>
          <w:bCs/>
          <w:sz w:val="18"/>
          <w:szCs w:val="18"/>
          <w:lang w:val="lv-LV" w:eastAsia="lv-LV"/>
        </w:rPr>
        <w:tab/>
        <w:t>Ietekme uz Latvijas tirdzniecības bilanci (pp. no IKP)</w:t>
      </w:r>
    </w:p>
    <w:p w14:paraId="1A2362F1" w14:textId="77777777" w:rsidR="00812A72" w:rsidRPr="00D04AE4" w:rsidRDefault="00812A72" w:rsidP="00812A72">
      <w:pPr>
        <w:widowControl/>
        <w:tabs>
          <w:tab w:val="center" w:pos="2410"/>
          <w:tab w:val="center" w:pos="7230"/>
        </w:tabs>
        <w:spacing w:after="120" w:line="240" w:lineRule="auto"/>
        <w:ind w:right="-143"/>
        <w:rPr>
          <w:rFonts w:ascii="Verdana Pro Cond Light" w:eastAsia="Times New Roman" w:hAnsi="Verdana Pro Cond Light"/>
          <w:b/>
          <w:bCs/>
          <w:sz w:val="18"/>
          <w:szCs w:val="18"/>
          <w:lang w:eastAsia="lv-LV"/>
        </w:rPr>
      </w:pPr>
      <w:r w:rsidRPr="003C4B3C">
        <w:rPr>
          <w:rFonts w:ascii="Minion Pro" w:hAnsi="Minion Pro" w:cstheme="minorHAnsi"/>
          <w:noProof/>
          <w:sz w:val="24"/>
          <w:szCs w:val="24"/>
        </w:rPr>
        <w:drawing>
          <wp:inline distT="0" distB="0" distL="0" distR="0" wp14:anchorId="76E7E86A" wp14:editId="39CC1222">
            <wp:extent cx="3060000" cy="2160000"/>
            <wp:effectExtent l="0" t="0" r="0" b="0"/>
            <wp:docPr id="902677652" name="Chart 902677652">
              <a:extLst xmlns:a="http://schemas.openxmlformats.org/drawingml/2006/main">
                <a:ext uri="{FF2B5EF4-FFF2-40B4-BE49-F238E27FC236}">
                  <a16:creationId xmlns:a16="http://schemas.microsoft.com/office/drawing/2014/main" id="{013AA65C-5627-335A-2509-D049CDF1205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r w:rsidRPr="003C4B3C">
        <w:rPr>
          <w:rFonts w:ascii="Minion Pro" w:hAnsi="Minion Pro" w:cstheme="minorHAnsi"/>
          <w:noProof/>
          <w:sz w:val="24"/>
          <w:szCs w:val="24"/>
        </w:rPr>
        <w:drawing>
          <wp:inline distT="0" distB="0" distL="0" distR="0" wp14:anchorId="64E08448" wp14:editId="143FA782">
            <wp:extent cx="3060000" cy="2160000"/>
            <wp:effectExtent l="0" t="0" r="7620" b="0"/>
            <wp:docPr id="1677844669" name="Chart 1677844669">
              <a:extLst xmlns:a="http://schemas.openxmlformats.org/drawingml/2006/main">
                <a:ext uri="{FF2B5EF4-FFF2-40B4-BE49-F238E27FC236}">
                  <a16:creationId xmlns:a16="http://schemas.microsoft.com/office/drawing/2014/main" id="{C0B412E0-20D9-9C02-797F-E1BB76C514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5A9765A1" w14:textId="77777777" w:rsidR="00812A72" w:rsidRDefault="00812A72" w:rsidP="00812A72">
      <w:pPr>
        <w:widowControl/>
        <w:spacing w:before="120" w:after="120" w:line="240" w:lineRule="auto"/>
        <w:jc w:val="both"/>
        <w:rPr>
          <w:rFonts w:ascii="Arial Nova Cond Light" w:eastAsia="Times New Roman" w:hAnsi="Arial Nova Cond Light"/>
          <w:sz w:val="16"/>
          <w:szCs w:val="24"/>
          <w:lang w:eastAsia="lv-LV"/>
        </w:rPr>
      </w:pPr>
      <w:r w:rsidRPr="004270A6">
        <w:rPr>
          <w:rFonts w:ascii="Arial Nova Cond Light" w:eastAsia="Times New Roman" w:hAnsi="Arial Nova Cond Light"/>
          <w:sz w:val="16"/>
          <w:szCs w:val="24"/>
          <w:lang w:eastAsia="lv-LV"/>
        </w:rPr>
        <w:t>Avots: autoru aprēķins, izmantojot VLA modeli.</w:t>
      </w:r>
    </w:p>
    <w:p w14:paraId="7D22C686" w14:textId="77777777" w:rsidR="00812A72" w:rsidRDefault="00812A72" w:rsidP="00812A72">
      <w:pPr>
        <w:widowControl/>
        <w:spacing w:after="160" w:line="240" w:lineRule="auto"/>
        <w:rPr>
          <w:rFonts w:ascii="Minion Pro" w:eastAsia="Times New Roman" w:hAnsi="Minion Pro" w:cstheme="minorHAnsi"/>
          <w:sz w:val="16"/>
          <w:szCs w:val="24"/>
          <w:lang w:eastAsia="lv-LV"/>
        </w:rPr>
      </w:pPr>
    </w:p>
    <w:p w14:paraId="3A26F83E" w14:textId="77777777" w:rsidR="00812A72" w:rsidRPr="004270A6" w:rsidRDefault="00812A72" w:rsidP="00812A72">
      <w:pPr>
        <w:widowControl/>
        <w:spacing w:after="120" w:line="240" w:lineRule="auto"/>
        <w:jc w:val="right"/>
        <w:rPr>
          <w:rFonts w:ascii="Verdana Pro Cond Light" w:eastAsia="Times New Roman" w:hAnsi="Verdana Pro Cond Light" w:cstheme="minorHAnsi"/>
          <w:bCs/>
          <w:lang w:eastAsia="lv-LV"/>
        </w:rPr>
      </w:pPr>
      <w:r w:rsidRPr="004270A6">
        <w:rPr>
          <w:rFonts w:ascii="Verdana Pro Cond Light" w:eastAsia="Times New Roman" w:hAnsi="Verdana Pro Cond Light" w:cstheme="minorHAnsi"/>
          <w:bCs/>
          <w:lang w:eastAsia="lv-LV"/>
        </w:rPr>
        <w:t>6.</w:t>
      </w:r>
      <w:r>
        <w:rPr>
          <w:rFonts w:ascii="Verdana Pro Cond Light" w:eastAsia="Times New Roman" w:hAnsi="Verdana Pro Cond Light" w:cstheme="minorHAnsi"/>
          <w:bCs/>
          <w:lang w:eastAsia="lv-LV"/>
        </w:rPr>
        <w:t>10</w:t>
      </w:r>
      <w:r w:rsidRPr="004270A6">
        <w:rPr>
          <w:rFonts w:ascii="Verdana Pro Cond Light" w:eastAsia="Times New Roman" w:hAnsi="Verdana Pro Cond Light" w:cstheme="minorHAnsi"/>
          <w:bCs/>
          <w:lang w:eastAsia="lv-LV"/>
        </w:rPr>
        <w:t>. attēls</w:t>
      </w:r>
    </w:p>
    <w:p w14:paraId="3128CDB8" w14:textId="3E4A0E3D" w:rsidR="00812A72" w:rsidRPr="000A5D3D" w:rsidRDefault="00812A72" w:rsidP="000A5D3D">
      <w:pPr>
        <w:widowControl/>
        <w:spacing w:after="120" w:line="240" w:lineRule="auto"/>
        <w:jc w:val="center"/>
        <w:rPr>
          <w:rFonts w:ascii="Verdana Pro Cond Light" w:eastAsia="Times New Roman" w:hAnsi="Verdana Pro Cond Light"/>
          <w:sz w:val="18"/>
          <w:szCs w:val="18"/>
          <w:lang w:eastAsia="lv-LV"/>
        </w:rPr>
      </w:pPr>
      <w:r w:rsidRPr="004270A6">
        <w:rPr>
          <w:rFonts w:ascii="Verdana Pro Cond Light" w:eastAsia="Times New Roman" w:hAnsi="Verdana Pro Cond Light"/>
          <w:b/>
          <w:bCs/>
          <w:lang w:eastAsia="lv-LV"/>
        </w:rPr>
        <w:t>Transporta pasākumu ietekme uz nodarbināto skaitu un bezdarba līmeni Latvijā</w:t>
      </w:r>
      <w:r>
        <w:rPr>
          <w:rFonts w:ascii="Verdana Pro Cond Light" w:eastAsia="Times New Roman" w:hAnsi="Verdana Pro Cond Light"/>
          <w:b/>
          <w:bCs/>
          <w:lang w:eastAsia="lv-LV"/>
        </w:rPr>
        <w:br/>
      </w:r>
      <w:r w:rsidRPr="004270A6">
        <w:rPr>
          <w:rFonts w:ascii="Verdana Pro Cond Light" w:eastAsia="Times New Roman" w:hAnsi="Verdana Pro Cond Light"/>
          <w:sz w:val="18"/>
          <w:szCs w:val="18"/>
          <w:lang w:eastAsia="lv-LV"/>
        </w:rPr>
        <w:t>salīdzinot ar bāzes scenāriju; 2025. – 2050. gadā</w:t>
      </w:r>
    </w:p>
    <w:p w14:paraId="0568C71E" w14:textId="77777777" w:rsidR="00812A72" w:rsidRDefault="00812A72" w:rsidP="00812A72">
      <w:pPr>
        <w:widowControl/>
        <w:tabs>
          <w:tab w:val="center" w:pos="2410"/>
          <w:tab w:val="center" w:pos="7230"/>
        </w:tabs>
        <w:spacing w:after="120" w:line="240" w:lineRule="auto"/>
        <w:rPr>
          <w:rFonts w:ascii="Verdana Pro Cond Light" w:eastAsia="Times New Roman" w:hAnsi="Verdana Pro Cond Light"/>
          <w:b/>
          <w:bCs/>
          <w:sz w:val="18"/>
          <w:szCs w:val="18"/>
          <w:lang w:eastAsia="lv-LV"/>
        </w:rPr>
      </w:pPr>
      <w:r w:rsidRPr="004270A6">
        <w:rPr>
          <w:rFonts w:ascii="Verdana Pro Cond Light" w:eastAsia="Times New Roman" w:hAnsi="Verdana Pro Cond Light"/>
          <w:b/>
          <w:bCs/>
          <w:sz w:val="18"/>
          <w:szCs w:val="18"/>
          <w:lang w:eastAsia="lv-LV"/>
        </w:rPr>
        <w:tab/>
        <w:t xml:space="preserve">Ietekme uz nodarbināto skaitu (%) </w:t>
      </w:r>
      <w:r w:rsidRPr="004270A6">
        <w:rPr>
          <w:rFonts w:ascii="Verdana Pro Cond Light" w:eastAsia="Times New Roman" w:hAnsi="Verdana Pro Cond Light"/>
          <w:b/>
          <w:bCs/>
          <w:sz w:val="18"/>
          <w:szCs w:val="18"/>
          <w:lang w:eastAsia="lv-LV"/>
        </w:rPr>
        <w:tab/>
        <w:t xml:space="preserve">Ietekme uz bezdarba līmeni </w:t>
      </w:r>
      <w:r w:rsidRPr="004270A6">
        <w:rPr>
          <w:rFonts w:ascii="Verdana Pro Cond Light" w:eastAsia="Times New Roman" w:hAnsi="Verdana Pro Cond Light"/>
          <w:b/>
          <w:bCs/>
          <w:sz w:val="18"/>
          <w:szCs w:val="18"/>
          <w:lang w:eastAsia="lv-LV"/>
        </w:rPr>
        <w:br/>
      </w:r>
      <w:r w:rsidRPr="004270A6">
        <w:rPr>
          <w:rFonts w:ascii="Verdana Pro Cond Light" w:eastAsia="Times New Roman" w:hAnsi="Verdana Pro Cond Light"/>
          <w:b/>
          <w:bCs/>
          <w:sz w:val="18"/>
          <w:szCs w:val="18"/>
          <w:lang w:eastAsia="lv-LV"/>
        </w:rPr>
        <w:tab/>
      </w:r>
      <w:r w:rsidRPr="004270A6">
        <w:rPr>
          <w:rFonts w:ascii="Verdana Pro Cond Light" w:eastAsia="Times New Roman" w:hAnsi="Verdana Pro Cond Light"/>
          <w:b/>
          <w:bCs/>
          <w:sz w:val="18"/>
          <w:szCs w:val="18"/>
          <w:lang w:eastAsia="lv-LV"/>
        </w:rPr>
        <w:tab/>
        <w:t>(pp. no ekonomiski aktīvajiem iedzīvotājiem)</w:t>
      </w:r>
    </w:p>
    <w:p w14:paraId="1FAB7103" w14:textId="77777777" w:rsidR="00812A72" w:rsidRPr="004270A6" w:rsidRDefault="00812A72" w:rsidP="00812A72">
      <w:pPr>
        <w:widowControl/>
        <w:tabs>
          <w:tab w:val="center" w:pos="2410"/>
          <w:tab w:val="center" w:pos="7230"/>
        </w:tabs>
        <w:spacing w:after="120" w:line="240" w:lineRule="auto"/>
        <w:ind w:right="-143"/>
        <w:rPr>
          <w:rFonts w:ascii="Verdana Pro Cond Light" w:eastAsia="Times New Roman" w:hAnsi="Verdana Pro Cond Light"/>
          <w:b/>
          <w:bCs/>
          <w:sz w:val="18"/>
          <w:szCs w:val="18"/>
          <w:lang w:eastAsia="lv-LV"/>
        </w:rPr>
      </w:pPr>
      <w:r w:rsidRPr="004270A6">
        <w:rPr>
          <w:rFonts w:ascii="Verdana Pro Cond Light" w:hAnsi="Verdana Pro Cond Light" w:cstheme="minorHAnsi"/>
          <w:noProof/>
        </w:rPr>
        <w:drawing>
          <wp:inline distT="0" distB="0" distL="0" distR="0" wp14:anchorId="6909E889" wp14:editId="3C2AC675">
            <wp:extent cx="3060000" cy="2160000"/>
            <wp:effectExtent l="0" t="0" r="0" b="0"/>
            <wp:docPr id="1161833745" name="Chart 1161833745">
              <a:extLst xmlns:a="http://schemas.openxmlformats.org/drawingml/2006/main">
                <a:ext uri="{FF2B5EF4-FFF2-40B4-BE49-F238E27FC236}">
                  <a16:creationId xmlns:a16="http://schemas.microsoft.com/office/drawing/2014/main" id="{C0B412E0-20D9-9C02-797F-E1BB76C514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r w:rsidRPr="004270A6">
        <w:rPr>
          <w:rFonts w:ascii="Verdana Pro Cond Light" w:hAnsi="Verdana Pro Cond Light" w:cstheme="minorHAnsi"/>
          <w:noProof/>
        </w:rPr>
        <w:drawing>
          <wp:inline distT="0" distB="0" distL="0" distR="0" wp14:anchorId="500C458D" wp14:editId="01D52445">
            <wp:extent cx="3060000" cy="2160000"/>
            <wp:effectExtent l="0" t="0" r="7620" b="0"/>
            <wp:docPr id="1082560083" name="Chart 1082560083">
              <a:extLst xmlns:a="http://schemas.openxmlformats.org/drawingml/2006/main">
                <a:ext uri="{FF2B5EF4-FFF2-40B4-BE49-F238E27FC236}">
                  <a16:creationId xmlns:a16="http://schemas.microsoft.com/office/drawing/2014/main" id="{C0B412E0-20D9-9C02-797F-E1BB76C514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14:paraId="0F1B52E4" w14:textId="77777777" w:rsidR="00812A72" w:rsidRDefault="00812A72" w:rsidP="00812A72">
      <w:pPr>
        <w:widowControl/>
        <w:spacing w:before="120" w:after="120" w:line="240" w:lineRule="auto"/>
        <w:jc w:val="both"/>
        <w:rPr>
          <w:rFonts w:ascii="Arial Nova Cond Light" w:eastAsia="Times New Roman" w:hAnsi="Arial Nova Cond Light"/>
          <w:sz w:val="16"/>
          <w:szCs w:val="24"/>
          <w:lang w:eastAsia="lv-LV"/>
        </w:rPr>
      </w:pPr>
      <w:r w:rsidRPr="004270A6">
        <w:rPr>
          <w:rFonts w:ascii="Arial Nova Cond Light" w:eastAsia="Times New Roman" w:hAnsi="Arial Nova Cond Light"/>
          <w:sz w:val="16"/>
          <w:szCs w:val="24"/>
          <w:lang w:eastAsia="lv-LV"/>
        </w:rPr>
        <w:t>Avots: autoru aprēķins, izmantojot VLA modeli.</w:t>
      </w:r>
    </w:p>
    <w:p w14:paraId="26479D4B" w14:textId="77777777" w:rsidR="00812A72" w:rsidRPr="004270A6" w:rsidRDefault="00812A72" w:rsidP="00812A72">
      <w:pPr>
        <w:widowControl/>
        <w:spacing w:after="120" w:line="240" w:lineRule="auto"/>
        <w:jc w:val="both"/>
        <w:rPr>
          <w:rFonts w:ascii="Verdana Pro Cond Light" w:eastAsia="Times New Roman" w:hAnsi="Verdana Pro Cond Light" w:cstheme="minorHAnsi"/>
          <w:b/>
          <w:bCs/>
          <w:lang w:eastAsia="lv-LV"/>
        </w:rPr>
      </w:pPr>
    </w:p>
    <w:p w14:paraId="2469FD05" w14:textId="77777777" w:rsidR="00812A72" w:rsidRDefault="00812A72" w:rsidP="00812A72">
      <w:pPr>
        <w:widowControl/>
        <w:spacing w:after="160" w:line="259" w:lineRule="auto"/>
        <w:rPr>
          <w:rFonts w:ascii="Verdana Pro Cond Light" w:eastAsia="Times New Roman" w:hAnsi="Verdana Pro Cond Light" w:cstheme="minorHAnsi"/>
          <w:bCs/>
          <w:lang w:eastAsia="lv-LV"/>
        </w:rPr>
      </w:pPr>
      <w:r>
        <w:rPr>
          <w:rFonts w:ascii="Verdana Pro Cond Light" w:eastAsia="Times New Roman" w:hAnsi="Verdana Pro Cond Light" w:cstheme="minorHAnsi"/>
          <w:bCs/>
          <w:lang w:eastAsia="lv-LV"/>
        </w:rPr>
        <w:br w:type="page"/>
      </w:r>
    </w:p>
    <w:p w14:paraId="111C7A31" w14:textId="77777777" w:rsidR="00812A72" w:rsidRPr="004270A6" w:rsidRDefault="00812A72" w:rsidP="00812A72">
      <w:pPr>
        <w:widowControl/>
        <w:spacing w:after="120" w:line="240" w:lineRule="auto"/>
        <w:jc w:val="right"/>
        <w:rPr>
          <w:rFonts w:ascii="Verdana Pro Cond Light" w:eastAsia="Times New Roman" w:hAnsi="Verdana Pro Cond Light" w:cstheme="minorHAnsi"/>
          <w:bCs/>
          <w:lang w:eastAsia="lv-LV"/>
        </w:rPr>
      </w:pPr>
      <w:r w:rsidRPr="004270A6">
        <w:rPr>
          <w:rFonts w:ascii="Verdana Pro Cond Light" w:eastAsia="Times New Roman" w:hAnsi="Verdana Pro Cond Light" w:cstheme="minorHAnsi"/>
          <w:bCs/>
          <w:lang w:eastAsia="lv-LV"/>
        </w:rPr>
        <w:lastRenderedPageBreak/>
        <w:t>6.1</w:t>
      </w:r>
      <w:r>
        <w:rPr>
          <w:rFonts w:ascii="Verdana Pro Cond Light" w:eastAsia="Times New Roman" w:hAnsi="Verdana Pro Cond Light" w:cstheme="minorHAnsi"/>
          <w:bCs/>
          <w:lang w:eastAsia="lv-LV"/>
        </w:rPr>
        <w:t>1</w:t>
      </w:r>
      <w:r w:rsidRPr="004270A6">
        <w:rPr>
          <w:rFonts w:ascii="Verdana Pro Cond Light" w:eastAsia="Times New Roman" w:hAnsi="Verdana Pro Cond Light" w:cstheme="minorHAnsi"/>
          <w:bCs/>
          <w:lang w:eastAsia="lv-LV"/>
        </w:rPr>
        <w:t>. attēls</w:t>
      </w:r>
    </w:p>
    <w:p w14:paraId="0C886752" w14:textId="77777777" w:rsidR="00812A72" w:rsidRPr="004270A6" w:rsidRDefault="00812A72" w:rsidP="00812A72">
      <w:pPr>
        <w:widowControl/>
        <w:spacing w:after="120" w:line="240" w:lineRule="auto"/>
        <w:jc w:val="center"/>
        <w:rPr>
          <w:rFonts w:ascii="Verdana Pro Cond Light" w:eastAsia="Times New Roman" w:hAnsi="Verdana Pro Cond Light"/>
          <w:sz w:val="18"/>
          <w:szCs w:val="18"/>
          <w:lang w:eastAsia="lv-LV"/>
        </w:rPr>
      </w:pPr>
      <w:r w:rsidRPr="004270A6">
        <w:rPr>
          <w:rFonts w:ascii="Verdana Pro Cond Light" w:eastAsia="Times New Roman" w:hAnsi="Verdana Pro Cond Light"/>
          <w:b/>
          <w:bCs/>
          <w:lang w:eastAsia="lv-LV"/>
        </w:rPr>
        <w:t xml:space="preserve">Transporta pasākumu ietekme uz vidējo algu un patēriņa cenām Latvijā </w:t>
      </w:r>
      <w:r>
        <w:rPr>
          <w:rFonts w:ascii="Verdana Pro Cond Light" w:eastAsia="Times New Roman" w:hAnsi="Verdana Pro Cond Light"/>
          <w:b/>
          <w:bCs/>
          <w:lang w:eastAsia="lv-LV"/>
        </w:rPr>
        <w:br/>
      </w:r>
      <w:r w:rsidRPr="004270A6">
        <w:rPr>
          <w:rFonts w:ascii="Verdana Pro Cond Light" w:eastAsia="Times New Roman" w:hAnsi="Verdana Pro Cond Light"/>
          <w:sz w:val="18"/>
          <w:szCs w:val="18"/>
          <w:lang w:eastAsia="lv-LV"/>
        </w:rPr>
        <w:t>salīdzinot ar bāzes scenāriju; 2025. – 2050. gadā</w:t>
      </w:r>
    </w:p>
    <w:p w14:paraId="67F06D22" w14:textId="77777777" w:rsidR="00812A72" w:rsidRDefault="00812A72" w:rsidP="00812A72">
      <w:pPr>
        <w:widowControl/>
        <w:spacing w:after="120" w:line="240" w:lineRule="auto"/>
        <w:jc w:val="center"/>
        <w:rPr>
          <w:rFonts w:ascii="Verdana Pro Cond Light" w:eastAsia="Times New Roman" w:hAnsi="Verdana Pro Cond Light"/>
          <w:b/>
          <w:bCs/>
          <w:lang w:eastAsia="lv-LV"/>
        </w:rPr>
      </w:pPr>
    </w:p>
    <w:p w14:paraId="0D97A1F9" w14:textId="77777777" w:rsidR="00812A72" w:rsidRDefault="00812A72" w:rsidP="00812A72">
      <w:pPr>
        <w:widowControl/>
        <w:spacing w:after="120" w:line="240" w:lineRule="auto"/>
        <w:jc w:val="center"/>
        <w:rPr>
          <w:rFonts w:ascii="Verdana Pro Cond Light" w:eastAsia="Times New Roman" w:hAnsi="Verdana Pro Cond Light"/>
          <w:b/>
          <w:bCs/>
          <w:sz w:val="18"/>
          <w:szCs w:val="18"/>
          <w:lang w:eastAsia="lv-LV"/>
        </w:rPr>
      </w:pPr>
      <w:r w:rsidRPr="004270A6">
        <w:rPr>
          <w:rFonts w:ascii="Verdana Pro Cond Light" w:eastAsia="Times New Roman" w:hAnsi="Verdana Pro Cond Light"/>
          <w:b/>
          <w:bCs/>
          <w:sz w:val="18"/>
          <w:szCs w:val="18"/>
          <w:lang w:eastAsia="lv-LV"/>
        </w:rPr>
        <w:t>Ietekme uz vidējo algu (%; nominālā izteiksmē)</w:t>
      </w:r>
      <w:r w:rsidRPr="004270A6">
        <w:rPr>
          <w:rFonts w:ascii="Verdana Pro Cond Light" w:eastAsia="Times New Roman" w:hAnsi="Verdana Pro Cond Light"/>
          <w:b/>
          <w:bCs/>
          <w:sz w:val="18"/>
          <w:szCs w:val="18"/>
          <w:lang w:eastAsia="lv-LV"/>
        </w:rPr>
        <w:tab/>
        <w:t>Ietekme uz patēriņa cenu līmeni (%)</w:t>
      </w:r>
    </w:p>
    <w:p w14:paraId="0D2D8129" w14:textId="77777777" w:rsidR="00812A72" w:rsidRPr="004270A6" w:rsidRDefault="00812A72" w:rsidP="00812A72">
      <w:pPr>
        <w:widowControl/>
        <w:spacing w:after="120" w:line="240" w:lineRule="auto"/>
        <w:ind w:right="-143"/>
        <w:jc w:val="center"/>
        <w:rPr>
          <w:rFonts w:ascii="Verdana Pro Cond Light" w:eastAsia="Times New Roman" w:hAnsi="Verdana Pro Cond Light"/>
          <w:b/>
          <w:bCs/>
          <w:sz w:val="18"/>
          <w:szCs w:val="18"/>
          <w:lang w:eastAsia="lv-LV"/>
        </w:rPr>
      </w:pPr>
      <w:r w:rsidRPr="004270A6">
        <w:rPr>
          <w:rFonts w:ascii="Verdana Pro Cond Light" w:hAnsi="Verdana Pro Cond Light" w:cstheme="minorHAnsi"/>
          <w:noProof/>
        </w:rPr>
        <w:drawing>
          <wp:inline distT="0" distB="0" distL="0" distR="0" wp14:anchorId="68DD09B6" wp14:editId="02CA7020">
            <wp:extent cx="3060000" cy="2160000"/>
            <wp:effectExtent l="0" t="0" r="0" b="0"/>
            <wp:docPr id="111868644" name="Chart 111868644">
              <a:extLst xmlns:a="http://schemas.openxmlformats.org/drawingml/2006/main">
                <a:ext uri="{FF2B5EF4-FFF2-40B4-BE49-F238E27FC236}">
                  <a16:creationId xmlns:a16="http://schemas.microsoft.com/office/drawing/2014/main" id="{C0B412E0-20D9-9C02-797F-E1BB76C514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r w:rsidRPr="004270A6">
        <w:rPr>
          <w:rFonts w:ascii="Verdana Pro Cond Light" w:hAnsi="Verdana Pro Cond Light" w:cstheme="minorHAnsi"/>
          <w:noProof/>
        </w:rPr>
        <w:drawing>
          <wp:inline distT="0" distB="0" distL="0" distR="0" wp14:anchorId="2B3C4069" wp14:editId="417FCC3F">
            <wp:extent cx="3060000" cy="2160000"/>
            <wp:effectExtent l="0" t="0" r="7620" b="0"/>
            <wp:docPr id="1382273348" name="Chart 1382273348">
              <a:extLst xmlns:a="http://schemas.openxmlformats.org/drawingml/2006/main">
                <a:ext uri="{FF2B5EF4-FFF2-40B4-BE49-F238E27FC236}">
                  <a16:creationId xmlns:a16="http://schemas.microsoft.com/office/drawing/2014/main" id="{C0B412E0-20D9-9C02-797F-E1BB76C514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14:paraId="25C0C21C" w14:textId="77777777" w:rsidR="00812A72" w:rsidRDefault="00812A72" w:rsidP="00812A72">
      <w:pPr>
        <w:widowControl/>
        <w:spacing w:before="120" w:after="120" w:line="240" w:lineRule="auto"/>
        <w:jc w:val="both"/>
        <w:rPr>
          <w:rFonts w:ascii="Arial Nova Cond Light" w:eastAsia="Times New Roman" w:hAnsi="Arial Nova Cond Light"/>
          <w:sz w:val="16"/>
          <w:szCs w:val="24"/>
          <w:lang w:eastAsia="lv-LV"/>
        </w:rPr>
      </w:pPr>
      <w:r w:rsidRPr="004270A6">
        <w:rPr>
          <w:rFonts w:ascii="Arial Nova Cond Light" w:eastAsia="Times New Roman" w:hAnsi="Arial Nova Cond Light"/>
          <w:sz w:val="16"/>
          <w:szCs w:val="24"/>
          <w:lang w:eastAsia="lv-LV"/>
        </w:rPr>
        <w:t>Avots: autoru aprēķins, izmantojot VLA modeli.</w:t>
      </w:r>
    </w:p>
    <w:p w14:paraId="6EE37932" w14:textId="77777777" w:rsidR="00812A72" w:rsidRPr="004270A6" w:rsidRDefault="00812A72" w:rsidP="00812A72">
      <w:pPr>
        <w:widowControl/>
        <w:spacing w:after="120" w:line="240" w:lineRule="auto"/>
        <w:rPr>
          <w:rFonts w:ascii="Verdana Pro Cond Light" w:eastAsia="Times New Roman" w:hAnsi="Verdana Pro Cond Light" w:cstheme="minorHAnsi"/>
          <w:lang w:eastAsia="lv-LV"/>
        </w:rPr>
      </w:pPr>
    </w:p>
    <w:p w14:paraId="27AD68E1" w14:textId="77777777" w:rsidR="00812A72" w:rsidRPr="004270A6" w:rsidRDefault="00812A72" w:rsidP="00812A72">
      <w:pPr>
        <w:widowControl/>
        <w:spacing w:after="120" w:line="240" w:lineRule="auto"/>
        <w:jc w:val="right"/>
        <w:rPr>
          <w:rFonts w:ascii="Verdana Pro Cond Light" w:eastAsia="Times New Roman" w:hAnsi="Verdana Pro Cond Light" w:cstheme="minorHAnsi"/>
          <w:bCs/>
          <w:lang w:eastAsia="lv-LV"/>
        </w:rPr>
      </w:pPr>
      <w:r w:rsidRPr="004270A6">
        <w:rPr>
          <w:rFonts w:ascii="Verdana Pro Cond Light" w:eastAsia="Times New Roman" w:hAnsi="Verdana Pro Cond Light" w:cstheme="minorHAnsi"/>
          <w:bCs/>
          <w:lang w:eastAsia="lv-LV"/>
        </w:rPr>
        <w:t>6.1</w:t>
      </w:r>
      <w:r>
        <w:rPr>
          <w:rFonts w:ascii="Verdana Pro Cond Light" w:eastAsia="Times New Roman" w:hAnsi="Verdana Pro Cond Light" w:cstheme="minorHAnsi"/>
          <w:bCs/>
          <w:lang w:eastAsia="lv-LV"/>
        </w:rPr>
        <w:t>2</w:t>
      </w:r>
      <w:r w:rsidRPr="004270A6">
        <w:rPr>
          <w:rFonts w:ascii="Verdana Pro Cond Light" w:eastAsia="Times New Roman" w:hAnsi="Verdana Pro Cond Light" w:cstheme="minorHAnsi"/>
          <w:bCs/>
          <w:lang w:eastAsia="lv-LV"/>
        </w:rPr>
        <w:t>. attēls</w:t>
      </w:r>
    </w:p>
    <w:p w14:paraId="429D4100" w14:textId="77777777" w:rsidR="00812A72" w:rsidRDefault="00812A72" w:rsidP="00812A72">
      <w:pPr>
        <w:widowControl/>
        <w:spacing w:after="120" w:line="240" w:lineRule="auto"/>
        <w:jc w:val="center"/>
        <w:rPr>
          <w:rFonts w:ascii="Verdana Pro Cond Light" w:eastAsia="Times New Roman" w:hAnsi="Verdana Pro Cond Light"/>
          <w:sz w:val="18"/>
          <w:szCs w:val="18"/>
          <w:lang w:eastAsia="lv-LV"/>
        </w:rPr>
      </w:pPr>
      <w:r w:rsidRPr="004270A6">
        <w:rPr>
          <w:rFonts w:ascii="Verdana Pro Cond Light" w:eastAsia="Times New Roman" w:hAnsi="Verdana Pro Cond Light"/>
          <w:b/>
          <w:bCs/>
          <w:lang w:eastAsia="lv-LV"/>
        </w:rPr>
        <w:t xml:space="preserve">Transporta pasākumu ietekme uz Latvijas vispārējā konsolidētā kopbudžeta </w:t>
      </w:r>
      <w:r>
        <w:rPr>
          <w:rFonts w:ascii="Verdana Pro Cond Light" w:eastAsia="Times New Roman" w:hAnsi="Verdana Pro Cond Light"/>
          <w:b/>
          <w:bCs/>
          <w:lang w:eastAsia="lv-LV"/>
        </w:rPr>
        <w:br/>
      </w:r>
      <w:r w:rsidRPr="004270A6">
        <w:rPr>
          <w:rFonts w:ascii="Verdana Pro Cond Light" w:eastAsia="Times New Roman" w:hAnsi="Verdana Pro Cond Light"/>
          <w:b/>
          <w:bCs/>
          <w:lang w:eastAsia="lv-LV"/>
        </w:rPr>
        <w:t xml:space="preserve">ieņēmumiem un atsevišķu nodokļu ieņēmumiem </w:t>
      </w:r>
      <w:r>
        <w:rPr>
          <w:rFonts w:ascii="Verdana Pro Cond Light" w:eastAsia="Times New Roman" w:hAnsi="Verdana Pro Cond Light"/>
          <w:b/>
          <w:bCs/>
          <w:lang w:eastAsia="lv-LV"/>
        </w:rPr>
        <w:br/>
      </w:r>
      <w:r w:rsidRPr="004270A6">
        <w:rPr>
          <w:rFonts w:ascii="Verdana Pro Cond Light" w:eastAsia="Times New Roman" w:hAnsi="Verdana Pro Cond Light"/>
          <w:sz w:val="18"/>
          <w:szCs w:val="18"/>
          <w:lang w:eastAsia="lv-LV"/>
        </w:rPr>
        <w:t xml:space="preserve">%; salīdzinot ar bāzes scenāriju; 2025. – 2050. </w:t>
      </w:r>
      <w:r>
        <w:rPr>
          <w:rFonts w:ascii="Verdana Pro Cond Light" w:eastAsia="Times New Roman" w:hAnsi="Verdana Pro Cond Light"/>
          <w:sz w:val="18"/>
          <w:szCs w:val="18"/>
          <w:lang w:eastAsia="lv-LV"/>
        </w:rPr>
        <w:t>g</w:t>
      </w:r>
      <w:r w:rsidRPr="004270A6">
        <w:rPr>
          <w:rFonts w:ascii="Verdana Pro Cond Light" w:eastAsia="Times New Roman" w:hAnsi="Verdana Pro Cond Light"/>
          <w:sz w:val="18"/>
          <w:szCs w:val="18"/>
          <w:lang w:eastAsia="lv-LV"/>
        </w:rPr>
        <w:t>adā</w:t>
      </w:r>
    </w:p>
    <w:p w14:paraId="25D37EDC" w14:textId="77777777" w:rsidR="00812A72" w:rsidRDefault="00812A72" w:rsidP="00812A72">
      <w:pPr>
        <w:widowControl/>
        <w:spacing w:after="120" w:line="240" w:lineRule="auto"/>
        <w:jc w:val="center"/>
        <w:rPr>
          <w:rFonts w:ascii="Verdana Pro Cond Light" w:eastAsia="Times New Roman" w:hAnsi="Verdana Pro Cond Light"/>
          <w:sz w:val="18"/>
          <w:szCs w:val="18"/>
          <w:lang w:eastAsia="lv-LV"/>
        </w:rPr>
      </w:pPr>
    </w:p>
    <w:p w14:paraId="3DB679F1" w14:textId="77777777" w:rsidR="00812A72" w:rsidRDefault="00812A72" w:rsidP="00812A72">
      <w:pPr>
        <w:widowControl/>
        <w:tabs>
          <w:tab w:val="center" w:pos="2410"/>
          <w:tab w:val="center" w:pos="7230"/>
        </w:tabs>
        <w:spacing w:after="120" w:line="240" w:lineRule="auto"/>
        <w:rPr>
          <w:rFonts w:ascii="Verdana Pro Cond Light" w:eastAsia="Times New Roman" w:hAnsi="Verdana Pro Cond Light"/>
          <w:b/>
          <w:bCs/>
          <w:sz w:val="18"/>
          <w:szCs w:val="18"/>
          <w:lang w:eastAsia="lv-LV"/>
        </w:rPr>
      </w:pPr>
      <w:r>
        <w:rPr>
          <w:rFonts w:ascii="Verdana Pro Cond Light" w:eastAsia="Times New Roman" w:hAnsi="Verdana Pro Cond Light"/>
          <w:b/>
          <w:bCs/>
          <w:sz w:val="18"/>
          <w:szCs w:val="18"/>
          <w:lang w:eastAsia="lv-LV"/>
        </w:rPr>
        <w:tab/>
      </w:r>
      <w:r w:rsidRPr="004270A6">
        <w:rPr>
          <w:rFonts w:ascii="Verdana Pro Cond Light" w:eastAsia="Times New Roman" w:hAnsi="Verdana Pro Cond Light"/>
          <w:b/>
          <w:bCs/>
          <w:sz w:val="18"/>
          <w:szCs w:val="18"/>
          <w:lang w:eastAsia="lv-LV"/>
        </w:rPr>
        <w:t>Ietekme uz vispārējā konsolidētā kopbudžeta ieņēmumiem (%)</w:t>
      </w:r>
      <w:r w:rsidRPr="004270A6">
        <w:rPr>
          <w:rFonts w:ascii="Verdana Pro Cond Light" w:eastAsia="Times New Roman" w:hAnsi="Verdana Pro Cond Light"/>
          <w:b/>
          <w:bCs/>
          <w:sz w:val="18"/>
          <w:szCs w:val="18"/>
          <w:lang w:eastAsia="lv-LV"/>
        </w:rPr>
        <w:tab/>
        <w:t>Ietekme uz atsevišķu nodokļu ieņēmumiem (%)</w:t>
      </w:r>
    </w:p>
    <w:p w14:paraId="1C70D8FC" w14:textId="77777777" w:rsidR="00812A72" w:rsidRPr="004270A6" w:rsidRDefault="00812A72" w:rsidP="00812A72">
      <w:pPr>
        <w:widowControl/>
        <w:tabs>
          <w:tab w:val="center" w:pos="2410"/>
          <w:tab w:val="center" w:pos="7230"/>
        </w:tabs>
        <w:spacing w:after="120" w:line="240" w:lineRule="auto"/>
        <w:rPr>
          <w:rFonts w:ascii="Verdana Pro Cond Light" w:eastAsia="Times New Roman" w:hAnsi="Verdana Pro Cond Light"/>
          <w:b/>
          <w:bCs/>
          <w:sz w:val="18"/>
          <w:szCs w:val="18"/>
          <w:lang w:eastAsia="lv-LV"/>
        </w:rPr>
      </w:pPr>
      <w:r w:rsidRPr="004270A6">
        <w:rPr>
          <w:rFonts w:ascii="Verdana Pro Cond Light" w:hAnsi="Verdana Pro Cond Light" w:cstheme="minorHAnsi"/>
          <w:noProof/>
        </w:rPr>
        <w:drawing>
          <wp:inline distT="0" distB="0" distL="0" distR="0" wp14:anchorId="5ECB5E08" wp14:editId="3AE34E3F">
            <wp:extent cx="3060000" cy="2160000"/>
            <wp:effectExtent l="0" t="0" r="0" b="0"/>
            <wp:docPr id="1498914013" name="Chart 1498914013">
              <a:extLst xmlns:a="http://schemas.openxmlformats.org/drawingml/2006/main">
                <a:ext uri="{FF2B5EF4-FFF2-40B4-BE49-F238E27FC236}">
                  <a16:creationId xmlns:a16="http://schemas.microsoft.com/office/drawing/2014/main" id="{2DCBF45D-DE3F-2971-5D7A-6034F91B2D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r w:rsidRPr="004270A6">
        <w:rPr>
          <w:rFonts w:ascii="Verdana Pro Cond Light" w:hAnsi="Verdana Pro Cond Light" w:cstheme="minorHAnsi"/>
          <w:noProof/>
        </w:rPr>
        <w:drawing>
          <wp:inline distT="0" distB="0" distL="0" distR="0" wp14:anchorId="3D3D8B99" wp14:editId="46433F28">
            <wp:extent cx="3060000" cy="2160000"/>
            <wp:effectExtent l="0" t="0" r="0" b="0"/>
            <wp:docPr id="1216080683" name="Chart 1216080683">
              <a:extLst xmlns:a="http://schemas.openxmlformats.org/drawingml/2006/main">
                <a:ext uri="{FF2B5EF4-FFF2-40B4-BE49-F238E27FC236}">
                  <a16:creationId xmlns:a16="http://schemas.microsoft.com/office/drawing/2014/main" id="{E8729AA3-B962-A2D9-7C5A-6B606779FF6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14:paraId="30410B7F" w14:textId="77777777" w:rsidR="00812A72" w:rsidRDefault="00812A72" w:rsidP="00812A72">
      <w:pPr>
        <w:widowControl/>
        <w:spacing w:before="120" w:after="120" w:line="240" w:lineRule="auto"/>
        <w:jc w:val="both"/>
        <w:rPr>
          <w:rFonts w:ascii="Arial Nova Cond Light" w:eastAsia="Times New Roman" w:hAnsi="Arial Nova Cond Light"/>
          <w:sz w:val="16"/>
          <w:szCs w:val="24"/>
          <w:lang w:eastAsia="lv-LV"/>
        </w:rPr>
      </w:pPr>
      <w:r w:rsidRPr="004270A6">
        <w:rPr>
          <w:rFonts w:ascii="Arial Nova Cond Light" w:eastAsia="Times New Roman" w:hAnsi="Arial Nova Cond Light"/>
          <w:sz w:val="16"/>
          <w:szCs w:val="24"/>
          <w:lang w:eastAsia="lv-LV"/>
        </w:rPr>
        <w:t>Avots: autoru aprēķins, izmantojot VLA modeli.</w:t>
      </w:r>
    </w:p>
    <w:p w14:paraId="4A62D9B5" w14:textId="77777777" w:rsidR="00812A72" w:rsidRPr="004270A6" w:rsidRDefault="00812A72" w:rsidP="00812A72">
      <w:pPr>
        <w:widowControl/>
        <w:spacing w:after="120" w:line="240" w:lineRule="auto"/>
        <w:jc w:val="both"/>
        <w:rPr>
          <w:rFonts w:ascii="Verdana Pro Cond Light" w:eastAsia="Times New Roman" w:hAnsi="Verdana Pro Cond Light" w:cstheme="minorHAnsi"/>
          <w:b/>
          <w:bCs/>
          <w:lang w:eastAsia="lv-LV"/>
        </w:rPr>
      </w:pPr>
    </w:p>
    <w:p w14:paraId="4D46D509" w14:textId="77777777" w:rsidR="00812A72" w:rsidRDefault="00812A72" w:rsidP="00812A72">
      <w:pPr>
        <w:widowControl/>
        <w:spacing w:after="160" w:line="259" w:lineRule="auto"/>
        <w:rPr>
          <w:rFonts w:ascii="Verdana Pro Cond Light" w:eastAsia="Times New Roman" w:hAnsi="Verdana Pro Cond Light" w:cstheme="minorHAnsi"/>
          <w:bCs/>
          <w:lang w:eastAsia="lv-LV"/>
        </w:rPr>
      </w:pPr>
      <w:r>
        <w:rPr>
          <w:rFonts w:ascii="Verdana Pro Cond Light" w:eastAsia="Times New Roman" w:hAnsi="Verdana Pro Cond Light" w:cstheme="minorHAnsi"/>
          <w:bCs/>
          <w:lang w:eastAsia="lv-LV"/>
        </w:rPr>
        <w:br w:type="page"/>
      </w:r>
    </w:p>
    <w:p w14:paraId="3167A3C5" w14:textId="77777777" w:rsidR="00812A72" w:rsidRPr="004270A6" w:rsidRDefault="00812A72" w:rsidP="00812A72">
      <w:pPr>
        <w:widowControl/>
        <w:spacing w:after="120" w:line="240" w:lineRule="auto"/>
        <w:jc w:val="right"/>
        <w:rPr>
          <w:rFonts w:ascii="Verdana Pro Cond Light" w:eastAsia="Times New Roman" w:hAnsi="Verdana Pro Cond Light" w:cstheme="minorHAnsi"/>
          <w:bCs/>
          <w:lang w:eastAsia="lv-LV"/>
        </w:rPr>
      </w:pPr>
      <w:r w:rsidRPr="004270A6">
        <w:rPr>
          <w:rFonts w:ascii="Verdana Pro Cond Light" w:eastAsia="Times New Roman" w:hAnsi="Verdana Pro Cond Light" w:cstheme="minorHAnsi"/>
          <w:bCs/>
          <w:lang w:eastAsia="lv-LV"/>
        </w:rPr>
        <w:lastRenderedPageBreak/>
        <w:t>6.1</w:t>
      </w:r>
      <w:r>
        <w:rPr>
          <w:rFonts w:ascii="Verdana Pro Cond Light" w:eastAsia="Times New Roman" w:hAnsi="Verdana Pro Cond Light" w:cstheme="minorHAnsi"/>
          <w:bCs/>
          <w:lang w:eastAsia="lv-LV"/>
        </w:rPr>
        <w:t>3</w:t>
      </w:r>
      <w:r w:rsidRPr="004270A6">
        <w:rPr>
          <w:rFonts w:ascii="Verdana Pro Cond Light" w:eastAsia="Times New Roman" w:hAnsi="Verdana Pro Cond Light" w:cstheme="minorHAnsi"/>
          <w:bCs/>
          <w:lang w:eastAsia="lv-LV"/>
        </w:rPr>
        <w:t>. attēls</w:t>
      </w:r>
    </w:p>
    <w:p w14:paraId="70028CD0" w14:textId="77777777" w:rsidR="00812A72" w:rsidRPr="004270A6" w:rsidRDefault="00812A72" w:rsidP="00812A72">
      <w:pPr>
        <w:widowControl/>
        <w:spacing w:after="120" w:line="240" w:lineRule="auto"/>
        <w:jc w:val="center"/>
        <w:rPr>
          <w:rFonts w:ascii="Verdana Pro Cond Light" w:eastAsia="Times New Roman" w:hAnsi="Verdana Pro Cond Light"/>
          <w:sz w:val="18"/>
          <w:szCs w:val="18"/>
          <w:lang w:eastAsia="lv-LV"/>
        </w:rPr>
      </w:pPr>
      <w:r w:rsidRPr="004270A6">
        <w:rPr>
          <w:rFonts w:ascii="Verdana Pro Cond Light" w:eastAsia="Times New Roman" w:hAnsi="Verdana Pro Cond Light"/>
          <w:b/>
          <w:bCs/>
          <w:lang w:eastAsia="lv-LV"/>
        </w:rPr>
        <w:t>Transporta pasākumu ietekme uz pievienoto vērtību nozaru dalījumā</w:t>
      </w:r>
      <w:r>
        <w:rPr>
          <w:rFonts w:ascii="Verdana Pro Cond Light" w:eastAsia="Times New Roman" w:hAnsi="Verdana Pro Cond Light"/>
          <w:b/>
          <w:bCs/>
          <w:lang w:eastAsia="lv-LV"/>
        </w:rPr>
        <w:br/>
      </w:r>
      <w:r w:rsidRPr="004270A6">
        <w:rPr>
          <w:rFonts w:ascii="Verdana Pro Cond Light" w:eastAsia="Times New Roman" w:hAnsi="Verdana Pro Cond Light"/>
          <w:sz w:val="18"/>
          <w:szCs w:val="18"/>
          <w:lang w:eastAsia="lv-LV"/>
        </w:rPr>
        <w:t>%; 2035. – 2039. gadā; salīdzinot ar bāzes scenāriju; 2015. gada cenās</w:t>
      </w:r>
    </w:p>
    <w:p w14:paraId="2CE0F602" w14:textId="77777777" w:rsidR="00812A72" w:rsidRPr="004270A6" w:rsidRDefault="00812A72" w:rsidP="00812A72">
      <w:pPr>
        <w:widowControl/>
        <w:spacing w:after="120" w:line="240" w:lineRule="auto"/>
        <w:jc w:val="center"/>
        <w:rPr>
          <w:rFonts w:ascii="Verdana Pro Cond Light" w:hAnsi="Verdana Pro Cond Light" w:cstheme="minorHAnsi"/>
          <w:b/>
          <w:bCs/>
        </w:rPr>
      </w:pPr>
      <w:r w:rsidRPr="004270A6">
        <w:rPr>
          <w:rFonts w:ascii="Verdana Pro Cond Light" w:hAnsi="Verdana Pro Cond Light" w:cstheme="minorHAnsi"/>
          <w:b/>
          <w:bCs/>
          <w:noProof/>
        </w:rPr>
        <w:drawing>
          <wp:inline distT="0" distB="0" distL="0" distR="0" wp14:anchorId="7E166BBE" wp14:editId="3D305621">
            <wp:extent cx="6120000" cy="3600000"/>
            <wp:effectExtent l="0" t="0" r="0" b="0"/>
            <wp:docPr id="119337588" name="Chart 119337588">
              <a:extLst xmlns:a="http://schemas.openxmlformats.org/drawingml/2006/main">
                <a:ext uri="{FF2B5EF4-FFF2-40B4-BE49-F238E27FC236}">
                  <a16:creationId xmlns:a16="http://schemas.microsoft.com/office/drawing/2014/main" id="{9CA58CAF-2A31-E6CF-FFCA-A031A940653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14:paraId="4D4A7AAD" w14:textId="77777777" w:rsidR="00812A72" w:rsidRPr="00097491" w:rsidRDefault="00812A72" w:rsidP="00812A72">
      <w:pPr>
        <w:widowControl/>
        <w:spacing w:before="120" w:after="120" w:line="240" w:lineRule="auto"/>
        <w:jc w:val="both"/>
        <w:rPr>
          <w:rFonts w:ascii="Arial Nova Cond Light" w:eastAsia="Times New Roman" w:hAnsi="Arial Nova Cond Light"/>
          <w:sz w:val="16"/>
          <w:szCs w:val="24"/>
          <w:lang w:val="sv-SE" w:eastAsia="lv-LV"/>
        </w:rPr>
      </w:pPr>
      <w:r w:rsidRPr="00097491">
        <w:rPr>
          <w:rFonts w:ascii="Arial Nova Cond Light" w:eastAsia="Times New Roman" w:hAnsi="Arial Nova Cond Light"/>
          <w:sz w:val="16"/>
          <w:szCs w:val="24"/>
          <w:lang w:val="sv-SE" w:eastAsia="lv-LV"/>
        </w:rPr>
        <w:t>Avots: autoru aprēķins, izmantojot VLA modeli.</w:t>
      </w:r>
    </w:p>
    <w:p w14:paraId="3D51116B" w14:textId="77777777" w:rsidR="00812A72" w:rsidRPr="00097491" w:rsidRDefault="00812A72" w:rsidP="00812A72">
      <w:pPr>
        <w:widowControl/>
        <w:spacing w:after="120" w:line="240" w:lineRule="auto"/>
        <w:rPr>
          <w:rFonts w:ascii="Verdana Pro Cond Light" w:eastAsia="Times New Roman" w:hAnsi="Verdana Pro Cond Light" w:cstheme="minorHAnsi"/>
          <w:lang w:val="sv-SE" w:eastAsia="lv-LV"/>
        </w:rPr>
      </w:pPr>
    </w:p>
    <w:p w14:paraId="6A161627" w14:textId="77777777" w:rsidR="00812A72" w:rsidRPr="00097491" w:rsidRDefault="00812A72" w:rsidP="00812A72">
      <w:pPr>
        <w:widowControl/>
        <w:spacing w:after="120" w:line="240" w:lineRule="auto"/>
        <w:jc w:val="right"/>
        <w:rPr>
          <w:rFonts w:ascii="Verdana Pro Cond Light" w:hAnsi="Verdana Pro Cond Light"/>
          <w:bCs/>
          <w:lang w:val="sv-SE"/>
        </w:rPr>
      </w:pPr>
      <w:r w:rsidRPr="00097491">
        <w:rPr>
          <w:rFonts w:ascii="Verdana Pro Cond Light" w:hAnsi="Verdana Pro Cond Light"/>
          <w:bCs/>
          <w:lang w:val="sv-SE"/>
        </w:rPr>
        <w:t>6.2. tabula</w:t>
      </w:r>
    </w:p>
    <w:p w14:paraId="6C5CBFAA" w14:textId="77777777" w:rsidR="00812A72" w:rsidRPr="00097491" w:rsidRDefault="00812A72" w:rsidP="00812A72">
      <w:pPr>
        <w:widowControl/>
        <w:spacing w:after="120" w:line="240" w:lineRule="auto"/>
        <w:jc w:val="center"/>
        <w:rPr>
          <w:rFonts w:ascii="Verdana Pro Cond Light" w:hAnsi="Verdana Pro Cond Light"/>
          <w:b/>
          <w:bCs/>
          <w:lang w:val="sv-SE"/>
        </w:rPr>
      </w:pPr>
      <w:r w:rsidRPr="00097491">
        <w:rPr>
          <w:rFonts w:ascii="Verdana Pro Cond Light" w:hAnsi="Verdana Pro Cond Light"/>
          <w:b/>
          <w:bCs/>
          <w:lang w:val="sv-SE"/>
        </w:rPr>
        <w:t>Transporta pasākumu kopsavilkums</w:t>
      </w:r>
    </w:p>
    <w:tbl>
      <w:tblPr>
        <w:tblStyle w:val="TableGrid"/>
        <w:tblW w:w="963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8"/>
        <w:gridCol w:w="1020"/>
        <w:gridCol w:w="2381"/>
        <w:gridCol w:w="3288"/>
      </w:tblGrid>
      <w:tr w:rsidR="00812A72" w:rsidRPr="00CB4E89" w14:paraId="02914E82" w14:textId="77777777" w:rsidTr="0002297E">
        <w:trPr>
          <w:cantSplit/>
          <w:trHeight w:val="20"/>
          <w:tblHeader/>
          <w:jc w:val="center"/>
        </w:trPr>
        <w:tc>
          <w:tcPr>
            <w:tcW w:w="2948" w:type="dxa"/>
            <w:shd w:val="clear" w:color="auto" w:fill="4472C4" w:themeFill="accent1"/>
          </w:tcPr>
          <w:p w14:paraId="3D31D35F" w14:textId="77777777" w:rsidR="00812A72" w:rsidRPr="00CB4E89" w:rsidRDefault="00812A72" w:rsidP="0002297E">
            <w:pPr>
              <w:widowControl/>
              <w:spacing w:before="40" w:after="40" w:line="240" w:lineRule="auto"/>
              <w:jc w:val="center"/>
              <w:rPr>
                <w:rFonts w:asciiTheme="majorHAnsi" w:hAnsiTheme="majorHAnsi" w:cstheme="majorHAnsi"/>
                <w:b/>
                <w:bCs/>
                <w:color w:val="FFFFFF" w:themeColor="background1"/>
                <w:sz w:val="16"/>
                <w:szCs w:val="16"/>
                <w:lang w:val="lv-LV"/>
              </w:rPr>
            </w:pPr>
            <w:r w:rsidRPr="00CB4E89">
              <w:rPr>
                <w:rFonts w:asciiTheme="majorHAnsi" w:hAnsiTheme="majorHAnsi" w:cstheme="majorHAnsi"/>
                <w:b/>
                <w:bCs/>
                <w:color w:val="FFFFFF" w:themeColor="background1"/>
                <w:sz w:val="16"/>
                <w:szCs w:val="16"/>
                <w:lang w:val="lv-LV"/>
              </w:rPr>
              <w:t>Pasākums</w:t>
            </w:r>
          </w:p>
        </w:tc>
        <w:tc>
          <w:tcPr>
            <w:tcW w:w="1020" w:type="dxa"/>
            <w:shd w:val="clear" w:color="auto" w:fill="4472C4" w:themeFill="accent1"/>
          </w:tcPr>
          <w:p w14:paraId="3B86ABAB" w14:textId="77777777" w:rsidR="00812A72" w:rsidRPr="006B7AB1" w:rsidRDefault="00812A72" w:rsidP="0002297E">
            <w:pPr>
              <w:widowControl/>
              <w:spacing w:before="40" w:after="40" w:line="240" w:lineRule="auto"/>
              <w:jc w:val="center"/>
              <w:rPr>
                <w:rFonts w:asciiTheme="majorHAnsi" w:hAnsiTheme="majorHAnsi" w:cstheme="majorHAnsi"/>
                <w:b/>
                <w:bCs/>
                <w:color w:val="FFFFFF" w:themeColor="background1"/>
                <w:sz w:val="16"/>
                <w:szCs w:val="16"/>
                <w:lang w:val="lv-LV"/>
              </w:rPr>
            </w:pPr>
            <w:r w:rsidRPr="006B7AB1">
              <w:rPr>
                <w:rFonts w:asciiTheme="majorHAnsi" w:hAnsiTheme="majorHAnsi" w:cstheme="majorHAnsi"/>
                <w:b/>
                <w:bCs/>
                <w:color w:val="FFFFFF" w:themeColor="background1"/>
                <w:sz w:val="16"/>
                <w:szCs w:val="16"/>
                <w:lang w:val="lv-LV"/>
              </w:rPr>
              <w:t>Nozare</w:t>
            </w:r>
          </w:p>
        </w:tc>
        <w:tc>
          <w:tcPr>
            <w:tcW w:w="2381" w:type="dxa"/>
            <w:shd w:val="clear" w:color="auto" w:fill="4472C4" w:themeFill="accent1"/>
          </w:tcPr>
          <w:p w14:paraId="387495E4" w14:textId="77777777" w:rsidR="00812A72" w:rsidRPr="006B7AB1" w:rsidRDefault="00812A72" w:rsidP="0002297E">
            <w:pPr>
              <w:widowControl/>
              <w:spacing w:before="40" w:after="40" w:line="240" w:lineRule="auto"/>
              <w:jc w:val="center"/>
              <w:rPr>
                <w:rFonts w:asciiTheme="majorHAnsi" w:hAnsiTheme="majorHAnsi" w:cstheme="majorHAnsi"/>
                <w:b/>
                <w:bCs/>
                <w:color w:val="FFFFFF" w:themeColor="background1"/>
                <w:sz w:val="16"/>
                <w:szCs w:val="16"/>
                <w:lang w:val="lv-LV"/>
              </w:rPr>
            </w:pPr>
            <w:r w:rsidRPr="006B7AB1">
              <w:rPr>
                <w:rFonts w:asciiTheme="majorHAnsi" w:hAnsiTheme="majorHAnsi" w:cstheme="majorHAnsi"/>
                <w:b/>
                <w:bCs/>
                <w:color w:val="FFFFFF" w:themeColor="background1"/>
                <w:sz w:val="16"/>
                <w:szCs w:val="16"/>
                <w:lang w:val="lv-LV"/>
              </w:rPr>
              <w:t>Finansējums</w:t>
            </w:r>
          </w:p>
        </w:tc>
        <w:tc>
          <w:tcPr>
            <w:tcW w:w="3288" w:type="dxa"/>
            <w:shd w:val="clear" w:color="auto" w:fill="4472C4" w:themeFill="accent1"/>
          </w:tcPr>
          <w:p w14:paraId="6BA70C57" w14:textId="77777777" w:rsidR="00812A72" w:rsidRPr="00CB4E89" w:rsidRDefault="00812A72" w:rsidP="0002297E">
            <w:pPr>
              <w:widowControl/>
              <w:spacing w:before="40" w:after="40" w:line="240" w:lineRule="auto"/>
              <w:jc w:val="center"/>
              <w:rPr>
                <w:rFonts w:asciiTheme="majorHAnsi" w:hAnsiTheme="majorHAnsi" w:cstheme="majorHAnsi"/>
                <w:b/>
                <w:bCs/>
                <w:color w:val="FFFFFF" w:themeColor="background1"/>
                <w:sz w:val="16"/>
                <w:szCs w:val="16"/>
                <w:lang w:val="lv-LV"/>
              </w:rPr>
            </w:pPr>
            <w:r w:rsidRPr="00CB4E89">
              <w:rPr>
                <w:rFonts w:asciiTheme="majorHAnsi" w:hAnsiTheme="majorHAnsi" w:cstheme="majorHAnsi"/>
                <w:b/>
                <w:bCs/>
                <w:color w:val="FFFFFF" w:themeColor="background1"/>
                <w:sz w:val="16"/>
                <w:szCs w:val="16"/>
                <w:lang w:val="lv-LV"/>
              </w:rPr>
              <w:t>Finansējuma avots</w:t>
            </w:r>
          </w:p>
        </w:tc>
      </w:tr>
      <w:tr w:rsidR="00812A72" w:rsidRPr="00D24F07" w14:paraId="10A2EE2D" w14:textId="77777777" w:rsidTr="0002297E">
        <w:trPr>
          <w:jc w:val="center"/>
        </w:trPr>
        <w:tc>
          <w:tcPr>
            <w:tcW w:w="2948" w:type="dxa"/>
            <w:shd w:val="clear" w:color="auto" w:fill="D9E2F3" w:themeFill="accent1" w:themeFillTint="33"/>
          </w:tcPr>
          <w:p w14:paraId="1B7D9018" w14:textId="77777777" w:rsidR="00812A72" w:rsidRPr="006C5241" w:rsidRDefault="00812A72" w:rsidP="0002297E">
            <w:pPr>
              <w:widowControl/>
              <w:spacing w:before="40" w:after="40" w:line="240" w:lineRule="auto"/>
              <w:rPr>
                <w:rFonts w:asciiTheme="majorHAnsi" w:hAnsiTheme="majorHAnsi" w:cstheme="majorHAnsi"/>
                <w:b/>
                <w:bCs/>
                <w:sz w:val="16"/>
                <w:szCs w:val="16"/>
                <w:lang w:val="lv-LV"/>
              </w:rPr>
            </w:pPr>
            <w:r w:rsidRPr="006C5241">
              <w:rPr>
                <w:rFonts w:asciiTheme="majorHAnsi" w:hAnsiTheme="majorHAnsi" w:cstheme="majorHAnsi"/>
                <w:sz w:val="16"/>
                <w:szCs w:val="16"/>
              </w:rPr>
              <w:t xml:space="preserve">3.1.1.1. Dzelzceļa infrastruktūras modernizācija un zaļināšana. </w:t>
            </w:r>
          </w:p>
        </w:tc>
        <w:tc>
          <w:tcPr>
            <w:tcW w:w="1020" w:type="dxa"/>
            <w:shd w:val="clear" w:color="auto" w:fill="D9E2F3" w:themeFill="accent1" w:themeFillTint="33"/>
          </w:tcPr>
          <w:p w14:paraId="3B0DAB68" w14:textId="77777777" w:rsidR="00812A72" w:rsidRPr="00B34993" w:rsidRDefault="00812A72" w:rsidP="0002297E">
            <w:pPr>
              <w:widowControl/>
              <w:spacing w:before="40" w:after="40" w:line="240" w:lineRule="auto"/>
              <w:rPr>
                <w:rFonts w:asciiTheme="majorHAnsi" w:hAnsiTheme="majorHAnsi" w:cstheme="majorHAnsi"/>
                <w:b/>
                <w:bCs/>
                <w:color w:val="000000" w:themeColor="text1"/>
                <w:sz w:val="16"/>
                <w:szCs w:val="16"/>
                <w:lang w:val="lv-LV"/>
              </w:rPr>
            </w:pPr>
            <w:r w:rsidRPr="00B34993">
              <w:rPr>
                <w:rFonts w:asciiTheme="majorHAnsi" w:hAnsiTheme="majorHAnsi" w:cstheme="majorHAnsi"/>
                <w:color w:val="000000" w:themeColor="text1"/>
                <w:sz w:val="16"/>
                <w:szCs w:val="16"/>
              </w:rPr>
              <w:t xml:space="preserve">Sauszemes transports </w:t>
            </w:r>
          </w:p>
        </w:tc>
        <w:tc>
          <w:tcPr>
            <w:tcW w:w="2381" w:type="dxa"/>
            <w:shd w:val="clear" w:color="auto" w:fill="D9E2F3" w:themeFill="accent1" w:themeFillTint="33"/>
          </w:tcPr>
          <w:p w14:paraId="16759897" w14:textId="77777777" w:rsidR="00812A72" w:rsidRPr="006C5241" w:rsidRDefault="00812A72" w:rsidP="0002297E">
            <w:pPr>
              <w:widowControl/>
              <w:spacing w:before="40" w:after="40" w:line="240" w:lineRule="auto"/>
              <w:rPr>
                <w:rFonts w:asciiTheme="majorHAnsi" w:hAnsiTheme="majorHAnsi" w:cstheme="majorHAnsi"/>
                <w:b/>
                <w:bCs/>
                <w:sz w:val="16"/>
                <w:szCs w:val="16"/>
                <w:lang w:val="lv-LV"/>
              </w:rPr>
            </w:pPr>
            <w:r w:rsidRPr="00097491">
              <w:rPr>
                <w:rFonts w:asciiTheme="majorHAnsi" w:hAnsiTheme="majorHAnsi" w:cstheme="majorHAnsi"/>
                <w:sz w:val="16"/>
                <w:szCs w:val="16"/>
                <w:lang w:val="sv-SE"/>
              </w:rPr>
              <w:t>434,45 milj. eiro 2025. – 2029. gadā: 86,89 milj. eiro katru gadu.</w:t>
            </w:r>
          </w:p>
        </w:tc>
        <w:tc>
          <w:tcPr>
            <w:tcW w:w="3288" w:type="dxa"/>
            <w:shd w:val="clear" w:color="auto" w:fill="D9E2F3" w:themeFill="accent1" w:themeFillTint="33"/>
          </w:tcPr>
          <w:p w14:paraId="386B8A3C" w14:textId="77777777" w:rsidR="00812A72" w:rsidRPr="006C5241" w:rsidRDefault="00812A72" w:rsidP="0002297E">
            <w:pPr>
              <w:widowControl/>
              <w:spacing w:before="40" w:after="40" w:line="240" w:lineRule="auto"/>
              <w:rPr>
                <w:rFonts w:asciiTheme="majorHAnsi" w:eastAsia="Times New Roman" w:hAnsiTheme="majorHAnsi" w:cstheme="majorHAnsi"/>
                <w:b/>
                <w:bCs/>
                <w:color w:val="000000"/>
                <w:sz w:val="16"/>
                <w:szCs w:val="16"/>
                <w:lang w:val="lv-LV" w:eastAsia="lv-LV"/>
              </w:rPr>
            </w:pPr>
            <w:r w:rsidRPr="00097491">
              <w:rPr>
                <w:rFonts w:asciiTheme="majorHAnsi" w:hAnsiTheme="majorHAnsi" w:cstheme="majorHAnsi"/>
                <w:b/>
                <w:bCs/>
                <w:sz w:val="16"/>
                <w:szCs w:val="16"/>
                <w:lang w:val="lv-LV"/>
              </w:rPr>
              <w:t>85 %</w:t>
            </w:r>
            <w:r w:rsidRPr="00097491">
              <w:rPr>
                <w:rFonts w:asciiTheme="majorHAnsi" w:hAnsiTheme="majorHAnsi" w:cstheme="majorHAnsi"/>
                <w:sz w:val="16"/>
                <w:szCs w:val="16"/>
                <w:lang w:val="lv-LV"/>
              </w:rPr>
              <w:t xml:space="preserve"> – jaunais ES fondu finansējums. </w:t>
            </w:r>
            <w:r w:rsidRPr="00097491">
              <w:rPr>
                <w:rFonts w:asciiTheme="majorHAnsi" w:hAnsiTheme="majorHAnsi" w:cstheme="majorHAnsi"/>
                <w:sz w:val="16"/>
                <w:szCs w:val="16"/>
                <w:lang w:val="lv-LV"/>
              </w:rPr>
              <w:br/>
            </w:r>
            <w:r w:rsidRPr="00097491">
              <w:rPr>
                <w:rFonts w:asciiTheme="majorHAnsi" w:hAnsiTheme="majorHAnsi" w:cstheme="majorHAnsi"/>
                <w:b/>
                <w:bCs/>
                <w:sz w:val="16"/>
                <w:szCs w:val="16"/>
                <w:lang w:val="lv-LV"/>
              </w:rPr>
              <w:t>15 %</w:t>
            </w:r>
            <w:r w:rsidRPr="00097491">
              <w:rPr>
                <w:rFonts w:asciiTheme="majorHAnsi" w:hAnsiTheme="majorHAnsi" w:cstheme="majorHAnsi"/>
                <w:sz w:val="16"/>
                <w:szCs w:val="16"/>
                <w:lang w:val="lv-LV"/>
              </w:rPr>
              <w:t xml:space="preserve"> – Latvijas privāto uzņēmumu finansējums. </w:t>
            </w:r>
          </w:p>
        </w:tc>
      </w:tr>
      <w:tr w:rsidR="00812A72" w:rsidRPr="00D24F07" w14:paraId="3E3CC839" w14:textId="77777777" w:rsidTr="0002297E">
        <w:trPr>
          <w:jc w:val="center"/>
        </w:trPr>
        <w:tc>
          <w:tcPr>
            <w:tcW w:w="2948" w:type="dxa"/>
            <w:shd w:val="clear" w:color="auto" w:fill="B4C6E7" w:themeFill="accent1" w:themeFillTint="66"/>
          </w:tcPr>
          <w:p w14:paraId="5597E7AC" w14:textId="77777777" w:rsidR="00812A72" w:rsidRPr="006C5241"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sv-SE"/>
              </w:rPr>
              <w:t xml:space="preserve">3.1.1.2. Jaunu elektrovilcienu un akumulatoru vilcienu iegāde </w:t>
            </w:r>
          </w:p>
        </w:tc>
        <w:tc>
          <w:tcPr>
            <w:tcW w:w="1020" w:type="dxa"/>
            <w:shd w:val="clear" w:color="auto" w:fill="B4C6E7" w:themeFill="accent1" w:themeFillTint="66"/>
          </w:tcPr>
          <w:p w14:paraId="3F9F9B95" w14:textId="77777777" w:rsidR="00812A72" w:rsidRPr="00B34993" w:rsidRDefault="00812A72" w:rsidP="0002297E">
            <w:pPr>
              <w:widowControl/>
              <w:spacing w:before="40" w:after="40" w:line="240" w:lineRule="auto"/>
              <w:rPr>
                <w:rFonts w:asciiTheme="majorHAnsi" w:hAnsiTheme="majorHAnsi" w:cstheme="majorHAnsi"/>
                <w:color w:val="000000" w:themeColor="text1"/>
                <w:sz w:val="16"/>
                <w:szCs w:val="16"/>
                <w:lang w:val="lv-LV"/>
              </w:rPr>
            </w:pPr>
            <w:r w:rsidRPr="00B34993">
              <w:rPr>
                <w:rFonts w:asciiTheme="majorHAnsi" w:hAnsiTheme="majorHAnsi" w:cstheme="majorHAnsi"/>
                <w:color w:val="000000" w:themeColor="text1"/>
                <w:sz w:val="16"/>
                <w:szCs w:val="16"/>
              </w:rPr>
              <w:t xml:space="preserve">Sauszemes transports </w:t>
            </w:r>
          </w:p>
        </w:tc>
        <w:tc>
          <w:tcPr>
            <w:tcW w:w="2381" w:type="dxa"/>
            <w:shd w:val="clear" w:color="auto" w:fill="B4C6E7" w:themeFill="accent1" w:themeFillTint="66"/>
          </w:tcPr>
          <w:p w14:paraId="692084C2" w14:textId="77777777" w:rsidR="00812A72" w:rsidRPr="006C5241"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sv-SE"/>
              </w:rPr>
              <w:t>421,70 milj. eiro 2020. – 2024. gadā: 84,34 milj. eiro katru gadu.</w:t>
            </w:r>
          </w:p>
        </w:tc>
        <w:tc>
          <w:tcPr>
            <w:tcW w:w="3288" w:type="dxa"/>
            <w:shd w:val="clear" w:color="auto" w:fill="B4C6E7" w:themeFill="accent1" w:themeFillTint="66"/>
          </w:tcPr>
          <w:p w14:paraId="1F91FA51" w14:textId="77777777" w:rsidR="00812A72" w:rsidRPr="006C5241" w:rsidRDefault="00812A72" w:rsidP="0002297E">
            <w:pPr>
              <w:widowControl/>
              <w:spacing w:before="40" w:after="40" w:line="240" w:lineRule="auto"/>
              <w:rPr>
                <w:rFonts w:asciiTheme="majorHAnsi" w:eastAsia="Times New Roman" w:hAnsiTheme="majorHAnsi" w:cstheme="majorHAnsi"/>
                <w:color w:val="000000"/>
                <w:sz w:val="16"/>
                <w:szCs w:val="16"/>
                <w:lang w:val="lv-LV" w:eastAsia="lv-LV"/>
              </w:rPr>
            </w:pPr>
            <w:r w:rsidRPr="00097491">
              <w:rPr>
                <w:rFonts w:asciiTheme="majorHAnsi" w:hAnsiTheme="majorHAnsi" w:cstheme="majorHAnsi"/>
                <w:b/>
                <w:bCs/>
                <w:sz w:val="16"/>
                <w:szCs w:val="16"/>
                <w:lang w:val="lv-LV"/>
              </w:rPr>
              <w:t>53,4 %</w:t>
            </w:r>
            <w:r w:rsidRPr="00097491">
              <w:rPr>
                <w:rFonts w:asciiTheme="majorHAnsi" w:hAnsiTheme="majorHAnsi" w:cstheme="majorHAnsi"/>
                <w:sz w:val="16"/>
                <w:szCs w:val="16"/>
                <w:lang w:val="lv-LV"/>
              </w:rPr>
              <w:t xml:space="preserve"> – jaunais ES fondu finansējums.</w:t>
            </w:r>
            <w:r w:rsidRPr="00097491">
              <w:rPr>
                <w:rFonts w:asciiTheme="majorHAnsi" w:hAnsiTheme="majorHAnsi" w:cstheme="majorHAnsi"/>
                <w:sz w:val="16"/>
                <w:szCs w:val="16"/>
                <w:lang w:val="lv-LV"/>
              </w:rPr>
              <w:br/>
            </w:r>
            <w:r w:rsidRPr="00097491">
              <w:rPr>
                <w:rFonts w:asciiTheme="majorHAnsi" w:hAnsiTheme="majorHAnsi" w:cstheme="majorHAnsi"/>
                <w:b/>
                <w:bCs/>
                <w:sz w:val="16"/>
                <w:szCs w:val="16"/>
                <w:lang w:val="lv-LV"/>
              </w:rPr>
              <w:t>46,6 %</w:t>
            </w:r>
            <w:r w:rsidRPr="00097491">
              <w:rPr>
                <w:rFonts w:asciiTheme="majorHAnsi" w:hAnsiTheme="majorHAnsi" w:cstheme="majorHAnsi"/>
                <w:sz w:val="16"/>
                <w:szCs w:val="16"/>
                <w:lang w:val="lv-LV"/>
              </w:rPr>
              <w:t xml:space="preserve"> – nacionālais publiskais finansējums papildu izdevumu veidā.</w:t>
            </w:r>
          </w:p>
        </w:tc>
      </w:tr>
      <w:tr w:rsidR="00812A72" w:rsidRPr="00D24F07" w14:paraId="328935C1" w14:textId="77777777" w:rsidTr="0002297E">
        <w:trPr>
          <w:jc w:val="center"/>
        </w:trPr>
        <w:tc>
          <w:tcPr>
            <w:tcW w:w="2948" w:type="dxa"/>
            <w:shd w:val="clear" w:color="auto" w:fill="D9E2F3" w:themeFill="accent1" w:themeFillTint="33"/>
          </w:tcPr>
          <w:p w14:paraId="3CDA0188" w14:textId="77777777" w:rsidR="00812A72" w:rsidRPr="006C5241"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lv-LV"/>
              </w:rPr>
              <w:t xml:space="preserve">3.1.1.3. Modernizētas un piekļūstamas dzelzceļa pasažieru infrastruktūras izveidošanas </w:t>
            </w:r>
          </w:p>
        </w:tc>
        <w:tc>
          <w:tcPr>
            <w:tcW w:w="1020" w:type="dxa"/>
            <w:shd w:val="clear" w:color="auto" w:fill="D9E2F3" w:themeFill="accent1" w:themeFillTint="33"/>
          </w:tcPr>
          <w:p w14:paraId="12799B8C" w14:textId="77777777" w:rsidR="00812A72" w:rsidRPr="00B34993" w:rsidRDefault="00812A72" w:rsidP="0002297E">
            <w:pPr>
              <w:widowControl/>
              <w:spacing w:before="40" w:after="40" w:line="240" w:lineRule="auto"/>
              <w:rPr>
                <w:rFonts w:asciiTheme="majorHAnsi" w:hAnsiTheme="majorHAnsi" w:cstheme="majorHAnsi"/>
                <w:color w:val="000000" w:themeColor="text1"/>
                <w:sz w:val="16"/>
                <w:szCs w:val="16"/>
                <w:lang w:val="lv-LV"/>
              </w:rPr>
            </w:pPr>
            <w:r w:rsidRPr="00B34993">
              <w:rPr>
                <w:rFonts w:asciiTheme="majorHAnsi" w:hAnsiTheme="majorHAnsi" w:cstheme="majorHAnsi"/>
                <w:color w:val="000000" w:themeColor="text1"/>
                <w:sz w:val="16"/>
                <w:szCs w:val="16"/>
              </w:rPr>
              <w:t xml:space="preserve">Sauszemes transports </w:t>
            </w:r>
          </w:p>
        </w:tc>
        <w:tc>
          <w:tcPr>
            <w:tcW w:w="2381" w:type="dxa"/>
            <w:shd w:val="clear" w:color="auto" w:fill="D9E2F3" w:themeFill="accent1" w:themeFillTint="33"/>
          </w:tcPr>
          <w:p w14:paraId="5E50F4DE" w14:textId="77777777" w:rsidR="00812A72" w:rsidRPr="006C5241"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sv-SE"/>
              </w:rPr>
              <w:t>89,40 milj. eiro 2025. – 2029. gadā: 17,88 milj. eiro katru gadu.</w:t>
            </w:r>
          </w:p>
        </w:tc>
        <w:tc>
          <w:tcPr>
            <w:tcW w:w="3288" w:type="dxa"/>
            <w:shd w:val="clear" w:color="auto" w:fill="D9E2F3" w:themeFill="accent1" w:themeFillTint="33"/>
          </w:tcPr>
          <w:p w14:paraId="62CECC87" w14:textId="77777777" w:rsidR="00812A72" w:rsidRPr="006C5241" w:rsidRDefault="00812A72" w:rsidP="0002297E">
            <w:pPr>
              <w:widowControl/>
              <w:spacing w:before="40" w:after="40" w:line="240" w:lineRule="auto"/>
              <w:rPr>
                <w:rFonts w:asciiTheme="majorHAnsi" w:eastAsia="Times New Roman" w:hAnsiTheme="majorHAnsi" w:cstheme="majorHAnsi"/>
                <w:color w:val="000000"/>
                <w:sz w:val="16"/>
                <w:szCs w:val="16"/>
                <w:lang w:val="lv-LV" w:eastAsia="lv-LV"/>
              </w:rPr>
            </w:pPr>
            <w:r w:rsidRPr="00097491">
              <w:rPr>
                <w:rFonts w:asciiTheme="majorHAnsi" w:hAnsiTheme="majorHAnsi" w:cstheme="majorHAnsi"/>
                <w:b/>
                <w:bCs/>
                <w:sz w:val="16"/>
                <w:szCs w:val="16"/>
                <w:lang w:val="lv-LV"/>
              </w:rPr>
              <w:t>85 %</w:t>
            </w:r>
            <w:r w:rsidRPr="00097491">
              <w:rPr>
                <w:rFonts w:asciiTheme="majorHAnsi" w:hAnsiTheme="majorHAnsi" w:cstheme="majorHAnsi"/>
                <w:sz w:val="16"/>
                <w:szCs w:val="16"/>
                <w:lang w:val="lv-LV"/>
              </w:rPr>
              <w:t xml:space="preserve"> – jaunais ES fondu finansējums. </w:t>
            </w:r>
            <w:r w:rsidRPr="00097491">
              <w:rPr>
                <w:rFonts w:asciiTheme="majorHAnsi" w:hAnsiTheme="majorHAnsi" w:cstheme="majorHAnsi"/>
                <w:sz w:val="16"/>
                <w:szCs w:val="16"/>
                <w:lang w:val="lv-LV"/>
              </w:rPr>
              <w:br/>
            </w:r>
            <w:r w:rsidRPr="00097491">
              <w:rPr>
                <w:rFonts w:asciiTheme="majorHAnsi" w:hAnsiTheme="majorHAnsi" w:cstheme="majorHAnsi"/>
                <w:b/>
                <w:bCs/>
                <w:sz w:val="16"/>
                <w:szCs w:val="16"/>
                <w:lang w:val="lv-LV"/>
              </w:rPr>
              <w:t>15 %</w:t>
            </w:r>
            <w:r w:rsidRPr="00097491">
              <w:rPr>
                <w:rFonts w:asciiTheme="majorHAnsi" w:hAnsiTheme="majorHAnsi" w:cstheme="majorHAnsi"/>
                <w:sz w:val="16"/>
                <w:szCs w:val="16"/>
                <w:lang w:val="lv-LV"/>
              </w:rPr>
              <w:t xml:space="preserve"> – Latvijas privāto uzņēmumu finansējums. </w:t>
            </w:r>
          </w:p>
        </w:tc>
      </w:tr>
      <w:tr w:rsidR="00812A72" w:rsidRPr="00D24F07" w14:paraId="63D72B26" w14:textId="77777777" w:rsidTr="0002297E">
        <w:trPr>
          <w:jc w:val="center"/>
        </w:trPr>
        <w:tc>
          <w:tcPr>
            <w:tcW w:w="2948" w:type="dxa"/>
            <w:shd w:val="clear" w:color="auto" w:fill="B4C6E7" w:themeFill="accent1" w:themeFillTint="66"/>
          </w:tcPr>
          <w:p w14:paraId="54DFF75E" w14:textId="77777777" w:rsidR="00812A72" w:rsidRPr="006C5241"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lv-LV"/>
              </w:rPr>
              <w:t xml:space="preserve">3.1.1.4. Kravu “pārneses” uz dzelzceļu veicināšana </w:t>
            </w:r>
          </w:p>
        </w:tc>
        <w:tc>
          <w:tcPr>
            <w:tcW w:w="1020" w:type="dxa"/>
            <w:shd w:val="clear" w:color="auto" w:fill="B4C6E7" w:themeFill="accent1" w:themeFillTint="66"/>
          </w:tcPr>
          <w:p w14:paraId="2F21AB37" w14:textId="77777777" w:rsidR="00812A72" w:rsidRPr="00B34993" w:rsidRDefault="00812A72" w:rsidP="0002297E">
            <w:pPr>
              <w:widowControl/>
              <w:spacing w:before="40" w:after="40" w:line="240" w:lineRule="auto"/>
              <w:rPr>
                <w:rFonts w:asciiTheme="majorHAnsi" w:hAnsiTheme="majorHAnsi" w:cstheme="majorHAnsi"/>
                <w:color w:val="000000" w:themeColor="text1"/>
                <w:sz w:val="16"/>
                <w:szCs w:val="16"/>
                <w:lang w:val="lv-LV"/>
              </w:rPr>
            </w:pPr>
            <w:r w:rsidRPr="00B34993">
              <w:rPr>
                <w:rFonts w:asciiTheme="majorHAnsi" w:hAnsiTheme="majorHAnsi" w:cstheme="majorHAnsi"/>
                <w:color w:val="000000" w:themeColor="text1"/>
                <w:sz w:val="16"/>
                <w:szCs w:val="16"/>
              </w:rPr>
              <w:t xml:space="preserve">Sauszemes transports </w:t>
            </w:r>
          </w:p>
        </w:tc>
        <w:tc>
          <w:tcPr>
            <w:tcW w:w="2381" w:type="dxa"/>
            <w:shd w:val="clear" w:color="auto" w:fill="B4C6E7" w:themeFill="accent1" w:themeFillTint="66"/>
          </w:tcPr>
          <w:p w14:paraId="39B21D32" w14:textId="77777777" w:rsidR="00812A72" w:rsidRPr="006C5241"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sv-SE"/>
              </w:rPr>
              <w:t>4,50 milj. eiro 2025. – 2027. gadā: 1,50 milj. eiro katru gadu.</w:t>
            </w:r>
          </w:p>
        </w:tc>
        <w:tc>
          <w:tcPr>
            <w:tcW w:w="3288" w:type="dxa"/>
            <w:shd w:val="clear" w:color="auto" w:fill="B4C6E7" w:themeFill="accent1" w:themeFillTint="66"/>
          </w:tcPr>
          <w:p w14:paraId="0116D432" w14:textId="77777777" w:rsidR="00812A72" w:rsidRPr="006C5241" w:rsidRDefault="00812A72" w:rsidP="0002297E">
            <w:pPr>
              <w:widowControl/>
              <w:spacing w:before="40" w:after="40" w:line="240" w:lineRule="auto"/>
              <w:rPr>
                <w:rFonts w:asciiTheme="majorHAnsi" w:eastAsia="Times New Roman" w:hAnsiTheme="majorHAnsi" w:cstheme="majorHAnsi"/>
                <w:color w:val="000000"/>
                <w:sz w:val="16"/>
                <w:szCs w:val="16"/>
                <w:lang w:val="lv-LV" w:eastAsia="lv-LV"/>
              </w:rPr>
            </w:pPr>
            <w:r w:rsidRPr="00097491">
              <w:rPr>
                <w:rFonts w:asciiTheme="majorHAnsi" w:hAnsiTheme="majorHAnsi" w:cstheme="majorHAnsi"/>
                <w:b/>
                <w:bCs/>
                <w:sz w:val="16"/>
                <w:szCs w:val="16"/>
                <w:lang w:val="lv-LV"/>
              </w:rPr>
              <w:t>50 %</w:t>
            </w:r>
            <w:r w:rsidRPr="00097491">
              <w:rPr>
                <w:rFonts w:asciiTheme="majorHAnsi" w:hAnsiTheme="majorHAnsi" w:cstheme="majorHAnsi"/>
                <w:sz w:val="16"/>
                <w:szCs w:val="16"/>
                <w:lang w:val="lv-LV"/>
              </w:rPr>
              <w:t xml:space="preserve"> – jaunais ES fondu finansējums.</w:t>
            </w:r>
            <w:r w:rsidRPr="00097491">
              <w:rPr>
                <w:rFonts w:asciiTheme="majorHAnsi" w:hAnsiTheme="majorHAnsi" w:cstheme="majorHAnsi"/>
                <w:sz w:val="16"/>
                <w:szCs w:val="16"/>
                <w:lang w:val="lv-LV"/>
              </w:rPr>
              <w:br/>
            </w:r>
            <w:r w:rsidRPr="00097491">
              <w:rPr>
                <w:rFonts w:asciiTheme="majorHAnsi" w:hAnsiTheme="majorHAnsi" w:cstheme="majorHAnsi"/>
                <w:b/>
                <w:bCs/>
                <w:sz w:val="16"/>
                <w:szCs w:val="16"/>
                <w:lang w:val="lv-LV"/>
              </w:rPr>
              <w:t xml:space="preserve">50 % – </w:t>
            </w:r>
            <w:r w:rsidRPr="00097491">
              <w:rPr>
                <w:rFonts w:asciiTheme="majorHAnsi" w:hAnsiTheme="majorHAnsi" w:cstheme="majorHAnsi"/>
                <w:sz w:val="16"/>
                <w:szCs w:val="16"/>
                <w:lang w:val="lv-LV"/>
              </w:rPr>
              <w:t>nacionālais publiskais finansējums papildu izdevumu veidā.</w:t>
            </w:r>
          </w:p>
        </w:tc>
      </w:tr>
      <w:tr w:rsidR="00812A72" w:rsidRPr="00D24F07" w14:paraId="512465F4" w14:textId="77777777" w:rsidTr="0002297E">
        <w:trPr>
          <w:jc w:val="center"/>
        </w:trPr>
        <w:tc>
          <w:tcPr>
            <w:tcW w:w="2948" w:type="dxa"/>
            <w:shd w:val="clear" w:color="auto" w:fill="D9E2F3" w:themeFill="accent1" w:themeFillTint="33"/>
          </w:tcPr>
          <w:p w14:paraId="509F385B" w14:textId="77777777" w:rsidR="00812A72" w:rsidRPr="006C5241" w:rsidRDefault="00812A72" w:rsidP="0002297E">
            <w:pPr>
              <w:widowControl/>
              <w:spacing w:before="40" w:after="40" w:line="240" w:lineRule="auto"/>
              <w:rPr>
                <w:rFonts w:asciiTheme="majorHAnsi" w:hAnsiTheme="majorHAnsi" w:cstheme="majorHAnsi"/>
                <w:sz w:val="16"/>
                <w:szCs w:val="16"/>
                <w:lang w:val="lv-LV"/>
              </w:rPr>
            </w:pPr>
            <w:r w:rsidRPr="006C5241">
              <w:rPr>
                <w:rFonts w:asciiTheme="majorHAnsi" w:hAnsiTheme="majorHAnsi" w:cstheme="majorHAnsi"/>
                <w:sz w:val="16"/>
                <w:szCs w:val="16"/>
              </w:rPr>
              <w:t xml:space="preserve">3.1.1.5. Smagā transporta zaļināšanas programma </w:t>
            </w:r>
          </w:p>
        </w:tc>
        <w:tc>
          <w:tcPr>
            <w:tcW w:w="1020" w:type="dxa"/>
            <w:shd w:val="clear" w:color="auto" w:fill="D9E2F3" w:themeFill="accent1" w:themeFillTint="33"/>
          </w:tcPr>
          <w:p w14:paraId="0741E16A" w14:textId="77777777" w:rsidR="00812A72" w:rsidRPr="00B34993" w:rsidRDefault="00812A72" w:rsidP="0002297E">
            <w:pPr>
              <w:widowControl/>
              <w:spacing w:before="40" w:after="40" w:line="240" w:lineRule="auto"/>
              <w:rPr>
                <w:rFonts w:asciiTheme="majorHAnsi" w:hAnsiTheme="majorHAnsi" w:cstheme="majorHAnsi"/>
                <w:color w:val="000000" w:themeColor="text1"/>
                <w:sz w:val="16"/>
                <w:szCs w:val="16"/>
                <w:lang w:val="lv-LV"/>
              </w:rPr>
            </w:pPr>
            <w:r w:rsidRPr="00B34993">
              <w:rPr>
                <w:rFonts w:asciiTheme="majorHAnsi" w:hAnsiTheme="majorHAnsi" w:cstheme="majorHAnsi"/>
                <w:color w:val="000000" w:themeColor="text1"/>
                <w:sz w:val="16"/>
                <w:szCs w:val="16"/>
              </w:rPr>
              <w:t xml:space="preserve">Sauszemes transports </w:t>
            </w:r>
          </w:p>
        </w:tc>
        <w:tc>
          <w:tcPr>
            <w:tcW w:w="2381" w:type="dxa"/>
            <w:shd w:val="clear" w:color="auto" w:fill="D9E2F3" w:themeFill="accent1" w:themeFillTint="33"/>
          </w:tcPr>
          <w:p w14:paraId="057157A2" w14:textId="77777777" w:rsidR="00812A72" w:rsidRPr="006C5241"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sv-SE"/>
              </w:rPr>
              <w:t>0,15 milj. eiro 2025. – 2027. gadā: 0,05 milj. eiro katru gadu.</w:t>
            </w:r>
          </w:p>
        </w:tc>
        <w:tc>
          <w:tcPr>
            <w:tcW w:w="3288" w:type="dxa"/>
            <w:shd w:val="clear" w:color="auto" w:fill="D9E2F3" w:themeFill="accent1" w:themeFillTint="33"/>
          </w:tcPr>
          <w:p w14:paraId="683B9733" w14:textId="77777777" w:rsidR="00812A72" w:rsidRPr="006C5241" w:rsidRDefault="00812A72" w:rsidP="0002297E">
            <w:pPr>
              <w:widowControl/>
              <w:spacing w:before="40" w:after="40" w:line="240" w:lineRule="auto"/>
              <w:rPr>
                <w:rFonts w:asciiTheme="majorHAnsi" w:eastAsia="Times New Roman" w:hAnsiTheme="majorHAnsi" w:cstheme="majorHAnsi"/>
                <w:color w:val="000000"/>
                <w:sz w:val="16"/>
                <w:szCs w:val="16"/>
                <w:lang w:val="lv-LV" w:eastAsia="lv-LV"/>
              </w:rPr>
            </w:pPr>
            <w:r w:rsidRPr="00097491">
              <w:rPr>
                <w:rFonts w:asciiTheme="majorHAnsi" w:hAnsiTheme="majorHAnsi" w:cstheme="majorHAnsi"/>
                <w:b/>
                <w:bCs/>
                <w:sz w:val="16"/>
                <w:szCs w:val="16"/>
                <w:lang w:val="lv-LV"/>
              </w:rPr>
              <w:t>100 %</w:t>
            </w:r>
            <w:r w:rsidRPr="00097491">
              <w:rPr>
                <w:rFonts w:asciiTheme="majorHAnsi" w:hAnsiTheme="majorHAnsi" w:cstheme="majorHAnsi"/>
                <w:sz w:val="16"/>
                <w:szCs w:val="16"/>
                <w:lang w:val="lv-LV"/>
              </w:rPr>
              <w:t xml:space="preserve"> – nacionālais publiskais finansējums papildu izdevumu veidā.</w:t>
            </w:r>
          </w:p>
        </w:tc>
      </w:tr>
      <w:tr w:rsidR="00812A72" w:rsidRPr="00D24F07" w14:paraId="3AEA0B34" w14:textId="77777777" w:rsidTr="0002297E">
        <w:trPr>
          <w:jc w:val="center"/>
        </w:trPr>
        <w:tc>
          <w:tcPr>
            <w:tcW w:w="2948" w:type="dxa"/>
            <w:shd w:val="clear" w:color="auto" w:fill="B4C6E7" w:themeFill="accent1" w:themeFillTint="66"/>
          </w:tcPr>
          <w:p w14:paraId="7C682717" w14:textId="77777777" w:rsidR="00812A72" w:rsidRPr="006C5241"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sv-SE"/>
              </w:rPr>
              <w:t xml:space="preserve">3.1.1.6. AE vidējas un lielas noslodzes transportlīdzekļu skaita palielināšana </w:t>
            </w:r>
          </w:p>
        </w:tc>
        <w:tc>
          <w:tcPr>
            <w:tcW w:w="1020" w:type="dxa"/>
            <w:shd w:val="clear" w:color="auto" w:fill="B4C6E7" w:themeFill="accent1" w:themeFillTint="66"/>
          </w:tcPr>
          <w:p w14:paraId="42B09B4F" w14:textId="77777777" w:rsidR="00812A72" w:rsidRPr="00B34993" w:rsidRDefault="00812A72" w:rsidP="0002297E">
            <w:pPr>
              <w:widowControl/>
              <w:spacing w:before="40" w:after="40" w:line="240" w:lineRule="auto"/>
              <w:rPr>
                <w:rFonts w:asciiTheme="majorHAnsi" w:hAnsiTheme="majorHAnsi" w:cstheme="majorHAnsi"/>
                <w:color w:val="000000" w:themeColor="text1"/>
                <w:sz w:val="16"/>
                <w:szCs w:val="16"/>
                <w:lang w:val="lv-LV"/>
              </w:rPr>
            </w:pPr>
            <w:r w:rsidRPr="00B34993">
              <w:rPr>
                <w:rFonts w:asciiTheme="majorHAnsi" w:hAnsiTheme="majorHAnsi" w:cstheme="majorHAnsi"/>
                <w:color w:val="000000" w:themeColor="text1"/>
                <w:sz w:val="16"/>
                <w:szCs w:val="16"/>
              </w:rPr>
              <w:t xml:space="preserve">Sauszemes transports </w:t>
            </w:r>
          </w:p>
        </w:tc>
        <w:tc>
          <w:tcPr>
            <w:tcW w:w="2381" w:type="dxa"/>
            <w:shd w:val="clear" w:color="auto" w:fill="B4C6E7" w:themeFill="accent1" w:themeFillTint="66"/>
          </w:tcPr>
          <w:p w14:paraId="0C430C94" w14:textId="77777777" w:rsidR="00812A72" w:rsidRPr="006C5241"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sv-SE"/>
              </w:rPr>
              <w:t>50 milj. eiro 2025. – 2030. gadā: 8,33 milj. eiro katru gadu.</w:t>
            </w:r>
          </w:p>
        </w:tc>
        <w:tc>
          <w:tcPr>
            <w:tcW w:w="3288" w:type="dxa"/>
            <w:shd w:val="clear" w:color="auto" w:fill="B4C6E7" w:themeFill="accent1" w:themeFillTint="66"/>
          </w:tcPr>
          <w:p w14:paraId="03464C4E" w14:textId="77777777" w:rsidR="00812A72" w:rsidRPr="006C5241" w:rsidRDefault="00812A72" w:rsidP="0002297E">
            <w:pPr>
              <w:widowControl/>
              <w:spacing w:before="40" w:after="40" w:line="240" w:lineRule="auto"/>
              <w:rPr>
                <w:rFonts w:asciiTheme="majorHAnsi" w:eastAsia="Times New Roman" w:hAnsiTheme="majorHAnsi" w:cstheme="majorHAnsi"/>
                <w:color w:val="000000"/>
                <w:sz w:val="16"/>
                <w:szCs w:val="16"/>
                <w:lang w:val="lv-LV" w:eastAsia="lv-LV"/>
              </w:rPr>
            </w:pPr>
            <w:r w:rsidRPr="00097491">
              <w:rPr>
                <w:rFonts w:asciiTheme="majorHAnsi" w:hAnsiTheme="majorHAnsi" w:cstheme="majorHAnsi"/>
                <w:b/>
                <w:bCs/>
                <w:sz w:val="16"/>
                <w:szCs w:val="16"/>
                <w:lang w:val="lv-LV"/>
              </w:rPr>
              <w:t>83,3 %</w:t>
            </w:r>
            <w:r w:rsidRPr="00097491">
              <w:rPr>
                <w:rFonts w:asciiTheme="majorHAnsi" w:hAnsiTheme="majorHAnsi" w:cstheme="majorHAnsi"/>
                <w:sz w:val="16"/>
                <w:szCs w:val="16"/>
                <w:lang w:val="lv-LV"/>
              </w:rPr>
              <w:t xml:space="preserve"> – jaunais ES fondu finansējums. </w:t>
            </w:r>
            <w:r w:rsidRPr="00097491">
              <w:rPr>
                <w:rFonts w:asciiTheme="majorHAnsi" w:hAnsiTheme="majorHAnsi" w:cstheme="majorHAnsi"/>
                <w:sz w:val="16"/>
                <w:szCs w:val="16"/>
                <w:lang w:val="lv-LV"/>
              </w:rPr>
              <w:br/>
            </w:r>
            <w:r w:rsidRPr="00097491">
              <w:rPr>
                <w:rFonts w:asciiTheme="majorHAnsi" w:hAnsiTheme="majorHAnsi" w:cstheme="majorHAnsi"/>
                <w:b/>
                <w:bCs/>
                <w:sz w:val="16"/>
                <w:szCs w:val="16"/>
                <w:lang w:val="lv-LV"/>
              </w:rPr>
              <w:t>16,7 %</w:t>
            </w:r>
            <w:r w:rsidRPr="00097491">
              <w:rPr>
                <w:rFonts w:asciiTheme="majorHAnsi" w:hAnsiTheme="majorHAnsi" w:cstheme="majorHAnsi"/>
                <w:sz w:val="16"/>
                <w:szCs w:val="16"/>
                <w:lang w:val="lv-LV"/>
              </w:rPr>
              <w:t xml:space="preserve"> – Latvijas mājsaimniecību finansējums.</w:t>
            </w:r>
          </w:p>
        </w:tc>
      </w:tr>
      <w:tr w:rsidR="00812A72" w:rsidRPr="00D24F07" w14:paraId="60767098" w14:textId="77777777" w:rsidTr="0002297E">
        <w:trPr>
          <w:jc w:val="center"/>
        </w:trPr>
        <w:tc>
          <w:tcPr>
            <w:tcW w:w="2948" w:type="dxa"/>
            <w:shd w:val="clear" w:color="auto" w:fill="D9E2F3" w:themeFill="accent1" w:themeFillTint="33"/>
          </w:tcPr>
          <w:p w14:paraId="3FBC8C94" w14:textId="77777777" w:rsidR="00812A72" w:rsidRPr="006C5241" w:rsidRDefault="00812A72" w:rsidP="0002297E">
            <w:pPr>
              <w:widowControl/>
              <w:spacing w:before="40" w:after="40" w:line="240" w:lineRule="auto"/>
              <w:rPr>
                <w:rFonts w:asciiTheme="majorHAnsi" w:hAnsiTheme="majorHAnsi" w:cstheme="majorHAnsi"/>
                <w:sz w:val="16"/>
                <w:szCs w:val="16"/>
                <w:lang w:val="lv-LV"/>
              </w:rPr>
            </w:pPr>
            <w:r w:rsidRPr="006C5241">
              <w:rPr>
                <w:rFonts w:asciiTheme="majorHAnsi" w:hAnsiTheme="majorHAnsi" w:cstheme="majorHAnsi"/>
                <w:sz w:val="16"/>
                <w:szCs w:val="16"/>
              </w:rPr>
              <w:t xml:space="preserve">3.1.1.7. Bezemisiju transportlīdzekļu skaita palielināšana </w:t>
            </w:r>
          </w:p>
        </w:tc>
        <w:tc>
          <w:tcPr>
            <w:tcW w:w="1020" w:type="dxa"/>
            <w:shd w:val="clear" w:color="auto" w:fill="D9E2F3" w:themeFill="accent1" w:themeFillTint="33"/>
          </w:tcPr>
          <w:p w14:paraId="3F69ED92" w14:textId="77777777" w:rsidR="00812A72" w:rsidRPr="00B34993" w:rsidRDefault="00812A72" w:rsidP="0002297E">
            <w:pPr>
              <w:widowControl/>
              <w:spacing w:before="40" w:after="40" w:line="240" w:lineRule="auto"/>
              <w:rPr>
                <w:rFonts w:asciiTheme="majorHAnsi" w:hAnsiTheme="majorHAnsi" w:cstheme="majorHAnsi"/>
                <w:color w:val="000000" w:themeColor="text1"/>
                <w:sz w:val="16"/>
                <w:szCs w:val="16"/>
                <w:lang w:val="lv-LV"/>
              </w:rPr>
            </w:pPr>
            <w:r w:rsidRPr="00B34993">
              <w:rPr>
                <w:rFonts w:asciiTheme="majorHAnsi" w:hAnsiTheme="majorHAnsi" w:cstheme="majorHAnsi"/>
                <w:color w:val="000000" w:themeColor="text1"/>
                <w:sz w:val="16"/>
                <w:szCs w:val="16"/>
              </w:rPr>
              <w:t xml:space="preserve">Sauszemes transports </w:t>
            </w:r>
          </w:p>
        </w:tc>
        <w:tc>
          <w:tcPr>
            <w:tcW w:w="2381" w:type="dxa"/>
            <w:shd w:val="clear" w:color="auto" w:fill="D9E2F3" w:themeFill="accent1" w:themeFillTint="33"/>
          </w:tcPr>
          <w:p w14:paraId="5DCBD1C7" w14:textId="77777777" w:rsidR="00812A72" w:rsidRPr="006C5241"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sv-SE"/>
              </w:rPr>
              <w:t>600 milj. eiro 2025. – 2030. gadā: 100 milj. eiro katru gadu.</w:t>
            </w:r>
          </w:p>
        </w:tc>
        <w:tc>
          <w:tcPr>
            <w:tcW w:w="3288" w:type="dxa"/>
            <w:shd w:val="clear" w:color="auto" w:fill="D9E2F3" w:themeFill="accent1" w:themeFillTint="33"/>
          </w:tcPr>
          <w:p w14:paraId="6F3BB407" w14:textId="77777777" w:rsidR="00812A72" w:rsidRPr="006C5241" w:rsidRDefault="00812A72" w:rsidP="0002297E">
            <w:pPr>
              <w:widowControl/>
              <w:spacing w:before="40" w:after="40" w:line="240" w:lineRule="auto"/>
              <w:rPr>
                <w:rFonts w:asciiTheme="majorHAnsi" w:eastAsia="Times New Roman" w:hAnsiTheme="majorHAnsi" w:cstheme="majorHAnsi"/>
                <w:color w:val="000000"/>
                <w:sz w:val="16"/>
                <w:szCs w:val="16"/>
                <w:lang w:val="lv-LV" w:eastAsia="lv-LV"/>
              </w:rPr>
            </w:pPr>
            <w:r w:rsidRPr="00097491">
              <w:rPr>
                <w:rFonts w:asciiTheme="majorHAnsi" w:hAnsiTheme="majorHAnsi" w:cstheme="majorHAnsi"/>
                <w:b/>
                <w:bCs/>
                <w:sz w:val="16"/>
                <w:szCs w:val="16"/>
                <w:lang w:val="lv-LV"/>
              </w:rPr>
              <w:t>83,3 %</w:t>
            </w:r>
            <w:r w:rsidRPr="00097491">
              <w:rPr>
                <w:rFonts w:asciiTheme="majorHAnsi" w:hAnsiTheme="majorHAnsi" w:cstheme="majorHAnsi"/>
                <w:sz w:val="16"/>
                <w:szCs w:val="16"/>
                <w:lang w:val="lv-LV"/>
              </w:rPr>
              <w:t xml:space="preserve"> – jaunais ES fondu finansējums. </w:t>
            </w:r>
            <w:r w:rsidRPr="00097491">
              <w:rPr>
                <w:rFonts w:asciiTheme="majorHAnsi" w:hAnsiTheme="majorHAnsi" w:cstheme="majorHAnsi"/>
                <w:sz w:val="16"/>
                <w:szCs w:val="16"/>
                <w:lang w:val="lv-LV"/>
              </w:rPr>
              <w:br/>
            </w:r>
            <w:r w:rsidRPr="00097491">
              <w:rPr>
                <w:rFonts w:asciiTheme="majorHAnsi" w:hAnsiTheme="majorHAnsi" w:cstheme="majorHAnsi"/>
                <w:b/>
                <w:bCs/>
                <w:sz w:val="16"/>
                <w:szCs w:val="16"/>
                <w:lang w:val="lv-LV"/>
              </w:rPr>
              <w:t>16,7 %</w:t>
            </w:r>
            <w:r w:rsidRPr="00097491">
              <w:rPr>
                <w:rFonts w:asciiTheme="majorHAnsi" w:hAnsiTheme="majorHAnsi" w:cstheme="majorHAnsi"/>
                <w:sz w:val="16"/>
                <w:szCs w:val="16"/>
                <w:lang w:val="lv-LV"/>
              </w:rPr>
              <w:t xml:space="preserve"> – Latvijas mājsaimniecību finansējums.</w:t>
            </w:r>
          </w:p>
        </w:tc>
      </w:tr>
      <w:tr w:rsidR="00812A72" w:rsidRPr="00D24F07" w14:paraId="3C74F6E3" w14:textId="77777777" w:rsidTr="0002297E">
        <w:trPr>
          <w:jc w:val="center"/>
        </w:trPr>
        <w:tc>
          <w:tcPr>
            <w:tcW w:w="2948" w:type="dxa"/>
            <w:shd w:val="clear" w:color="auto" w:fill="B4C6E7" w:themeFill="accent1" w:themeFillTint="66"/>
          </w:tcPr>
          <w:p w14:paraId="3ACA6165" w14:textId="77777777" w:rsidR="00812A72" w:rsidRPr="006C5241"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sv-SE"/>
              </w:rPr>
              <w:t xml:space="preserve">3.1.1.10. Uzlādes staciju/punktu skaita palielināšana </w:t>
            </w:r>
          </w:p>
        </w:tc>
        <w:tc>
          <w:tcPr>
            <w:tcW w:w="1020" w:type="dxa"/>
            <w:shd w:val="clear" w:color="auto" w:fill="B4C6E7" w:themeFill="accent1" w:themeFillTint="66"/>
          </w:tcPr>
          <w:p w14:paraId="010721EF" w14:textId="77777777" w:rsidR="00812A72" w:rsidRPr="00B34993" w:rsidRDefault="00812A72" w:rsidP="0002297E">
            <w:pPr>
              <w:widowControl/>
              <w:spacing w:before="40" w:after="40" w:line="240" w:lineRule="auto"/>
              <w:rPr>
                <w:rFonts w:asciiTheme="majorHAnsi" w:hAnsiTheme="majorHAnsi" w:cstheme="majorHAnsi"/>
                <w:color w:val="000000" w:themeColor="text1"/>
                <w:sz w:val="16"/>
                <w:szCs w:val="16"/>
                <w:lang w:val="lv-LV"/>
              </w:rPr>
            </w:pPr>
            <w:r w:rsidRPr="00B34993">
              <w:rPr>
                <w:rFonts w:asciiTheme="majorHAnsi" w:hAnsiTheme="majorHAnsi" w:cstheme="majorHAnsi"/>
                <w:color w:val="000000" w:themeColor="text1"/>
                <w:sz w:val="16"/>
                <w:szCs w:val="16"/>
              </w:rPr>
              <w:t xml:space="preserve">Sauszemes transports </w:t>
            </w:r>
          </w:p>
        </w:tc>
        <w:tc>
          <w:tcPr>
            <w:tcW w:w="2381" w:type="dxa"/>
            <w:shd w:val="clear" w:color="auto" w:fill="B4C6E7" w:themeFill="accent1" w:themeFillTint="66"/>
          </w:tcPr>
          <w:p w14:paraId="09AD70D2" w14:textId="77777777" w:rsidR="00812A72" w:rsidRPr="006C5241"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sv-SE"/>
              </w:rPr>
              <w:t>37,76 milj. eiro 2025. – 2030. gadā: 6,29 milj. eiro katru gadu.</w:t>
            </w:r>
          </w:p>
        </w:tc>
        <w:tc>
          <w:tcPr>
            <w:tcW w:w="3288" w:type="dxa"/>
            <w:shd w:val="clear" w:color="auto" w:fill="B4C6E7" w:themeFill="accent1" w:themeFillTint="66"/>
          </w:tcPr>
          <w:p w14:paraId="5DCDD519" w14:textId="77777777" w:rsidR="00812A72" w:rsidRPr="006C5241" w:rsidRDefault="00812A72" w:rsidP="0002297E">
            <w:pPr>
              <w:widowControl/>
              <w:spacing w:before="40" w:after="40" w:line="240" w:lineRule="auto"/>
              <w:rPr>
                <w:rFonts w:asciiTheme="majorHAnsi" w:eastAsia="Times New Roman" w:hAnsiTheme="majorHAnsi" w:cstheme="majorHAnsi"/>
                <w:color w:val="000000"/>
                <w:sz w:val="16"/>
                <w:szCs w:val="16"/>
                <w:lang w:val="lv-LV" w:eastAsia="lv-LV"/>
              </w:rPr>
            </w:pPr>
            <w:r w:rsidRPr="00097491">
              <w:rPr>
                <w:rFonts w:asciiTheme="majorHAnsi" w:hAnsiTheme="majorHAnsi" w:cstheme="majorHAnsi"/>
                <w:b/>
                <w:bCs/>
                <w:sz w:val="16"/>
                <w:szCs w:val="16"/>
                <w:lang w:val="lv-LV"/>
              </w:rPr>
              <w:t>67 %</w:t>
            </w:r>
            <w:r w:rsidRPr="00097491">
              <w:rPr>
                <w:rFonts w:asciiTheme="majorHAnsi" w:hAnsiTheme="majorHAnsi" w:cstheme="majorHAnsi"/>
                <w:sz w:val="16"/>
                <w:szCs w:val="16"/>
                <w:lang w:val="lv-LV"/>
              </w:rPr>
              <w:t xml:space="preserve"> – jaunais ES fondu finansējums.</w:t>
            </w:r>
            <w:r w:rsidRPr="00097491">
              <w:rPr>
                <w:rFonts w:asciiTheme="majorHAnsi" w:hAnsiTheme="majorHAnsi" w:cstheme="majorHAnsi"/>
                <w:sz w:val="16"/>
                <w:szCs w:val="16"/>
                <w:lang w:val="lv-LV"/>
              </w:rPr>
              <w:br/>
            </w:r>
            <w:r w:rsidRPr="00097491">
              <w:rPr>
                <w:rFonts w:asciiTheme="majorHAnsi" w:hAnsiTheme="majorHAnsi" w:cstheme="majorHAnsi"/>
                <w:b/>
                <w:bCs/>
                <w:sz w:val="16"/>
                <w:szCs w:val="16"/>
                <w:lang w:val="lv-LV"/>
              </w:rPr>
              <w:t>33 %</w:t>
            </w:r>
            <w:r w:rsidRPr="00097491">
              <w:rPr>
                <w:rFonts w:asciiTheme="majorHAnsi" w:hAnsiTheme="majorHAnsi" w:cstheme="majorHAnsi"/>
                <w:sz w:val="16"/>
                <w:szCs w:val="16"/>
                <w:lang w:val="lv-LV"/>
              </w:rPr>
              <w:t xml:space="preserve"> – Latvijas privāto uzņēmumu finansējums.</w:t>
            </w:r>
          </w:p>
        </w:tc>
      </w:tr>
      <w:tr w:rsidR="00812A72" w:rsidRPr="00AB3438" w14:paraId="0501E45B" w14:textId="77777777" w:rsidTr="0002297E">
        <w:trPr>
          <w:jc w:val="center"/>
        </w:trPr>
        <w:tc>
          <w:tcPr>
            <w:tcW w:w="2948" w:type="dxa"/>
            <w:shd w:val="clear" w:color="auto" w:fill="D9E2F3" w:themeFill="accent1" w:themeFillTint="33"/>
          </w:tcPr>
          <w:p w14:paraId="6E3039AE" w14:textId="77777777" w:rsidR="00812A72" w:rsidRPr="006C5241" w:rsidRDefault="00812A72" w:rsidP="0002297E">
            <w:pPr>
              <w:widowControl/>
              <w:spacing w:before="40" w:after="40" w:line="240" w:lineRule="auto"/>
              <w:rPr>
                <w:rFonts w:asciiTheme="majorHAnsi" w:hAnsiTheme="majorHAnsi" w:cstheme="majorHAnsi"/>
                <w:sz w:val="16"/>
                <w:szCs w:val="16"/>
                <w:lang w:val="lv-LV"/>
              </w:rPr>
            </w:pPr>
            <w:r w:rsidRPr="006C5241">
              <w:rPr>
                <w:rFonts w:asciiTheme="majorHAnsi" w:hAnsiTheme="majorHAnsi" w:cstheme="majorHAnsi"/>
                <w:sz w:val="16"/>
                <w:szCs w:val="16"/>
              </w:rPr>
              <w:t xml:space="preserve">3.1.1.11. Veco transportlīdzekļu norakstīšana </w:t>
            </w:r>
          </w:p>
        </w:tc>
        <w:tc>
          <w:tcPr>
            <w:tcW w:w="1020" w:type="dxa"/>
            <w:shd w:val="clear" w:color="auto" w:fill="D9E2F3" w:themeFill="accent1" w:themeFillTint="33"/>
          </w:tcPr>
          <w:p w14:paraId="4B21B289" w14:textId="77777777" w:rsidR="00812A72" w:rsidRPr="00B34993" w:rsidRDefault="00812A72" w:rsidP="0002297E">
            <w:pPr>
              <w:widowControl/>
              <w:spacing w:before="40" w:after="40" w:line="240" w:lineRule="auto"/>
              <w:rPr>
                <w:rFonts w:asciiTheme="majorHAnsi" w:hAnsiTheme="majorHAnsi" w:cstheme="majorHAnsi"/>
                <w:color w:val="000000" w:themeColor="text1"/>
                <w:sz w:val="16"/>
                <w:szCs w:val="16"/>
                <w:lang w:val="lv-LV"/>
              </w:rPr>
            </w:pPr>
            <w:r w:rsidRPr="00B34993">
              <w:rPr>
                <w:rFonts w:asciiTheme="majorHAnsi" w:hAnsiTheme="majorHAnsi" w:cstheme="majorHAnsi"/>
                <w:color w:val="000000" w:themeColor="text1"/>
                <w:sz w:val="16"/>
                <w:szCs w:val="16"/>
              </w:rPr>
              <w:t xml:space="preserve">Sauszemes transports </w:t>
            </w:r>
          </w:p>
        </w:tc>
        <w:tc>
          <w:tcPr>
            <w:tcW w:w="2381" w:type="dxa"/>
            <w:shd w:val="clear" w:color="auto" w:fill="D9E2F3" w:themeFill="accent1" w:themeFillTint="33"/>
          </w:tcPr>
          <w:p w14:paraId="66CB0204" w14:textId="77777777" w:rsidR="00812A72" w:rsidRPr="006C5241"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sv-SE"/>
              </w:rPr>
              <w:t>3,60 milj. eiro 2025. – 2030. gadā: 0,60 milj. eiro katru gadu.</w:t>
            </w:r>
          </w:p>
        </w:tc>
        <w:tc>
          <w:tcPr>
            <w:tcW w:w="3288" w:type="dxa"/>
            <w:shd w:val="clear" w:color="auto" w:fill="D9E2F3" w:themeFill="accent1" w:themeFillTint="33"/>
          </w:tcPr>
          <w:p w14:paraId="151941E6" w14:textId="77777777" w:rsidR="00812A72" w:rsidRPr="006C5241" w:rsidRDefault="00812A72" w:rsidP="0002297E">
            <w:pPr>
              <w:widowControl/>
              <w:spacing w:before="40" w:after="40" w:line="240" w:lineRule="auto"/>
              <w:rPr>
                <w:rFonts w:asciiTheme="majorHAnsi" w:eastAsia="Times New Roman" w:hAnsiTheme="majorHAnsi" w:cstheme="majorHAnsi"/>
                <w:color w:val="000000"/>
                <w:sz w:val="16"/>
                <w:szCs w:val="16"/>
                <w:lang w:val="lv-LV" w:eastAsia="lv-LV"/>
              </w:rPr>
            </w:pPr>
            <w:r w:rsidRPr="006C5241">
              <w:rPr>
                <w:rFonts w:asciiTheme="majorHAnsi" w:hAnsiTheme="majorHAnsi" w:cstheme="majorHAnsi"/>
                <w:b/>
                <w:bCs/>
                <w:sz w:val="16"/>
                <w:szCs w:val="16"/>
              </w:rPr>
              <w:t>100 %</w:t>
            </w:r>
            <w:r>
              <w:rPr>
                <w:rFonts w:asciiTheme="majorHAnsi" w:hAnsiTheme="majorHAnsi" w:cstheme="majorHAnsi"/>
                <w:sz w:val="16"/>
                <w:szCs w:val="16"/>
              </w:rPr>
              <w:t xml:space="preserve"> – </w:t>
            </w:r>
            <w:r w:rsidRPr="006C5241">
              <w:rPr>
                <w:rFonts w:asciiTheme="majorHAnsi" w:hAnsiTheme="majorHAnsi" w:cstheme="majorHAnsi"/>
                <w:sz w:val="16"/>
                <w:szCs w:val="16"/>
              </w:rPr>
              <w:t>ārvalstu papildus finansējums.</w:t>
            </w:r>
          </w:p>
        </w:tc>
      </w:tr>
      <w:tr w:rsidR="00812A72" w:rsidRPr="00AB3438" w14:paraId="3356CF1F" w14:textId="77777777" w:rsidTr="0002297E">
        <w:trPr>
          <w:jc w:val="center"/>
        </w:trPr>
        <w:tc>
          <w:tcPr>
            <w:tcW w:w="2948" w:type="dxa"/>
            <w:shd w:val="clear" w:color="auto" w:fill="B4C6E7" w:themeFill="accent1" w:themeFillTint="66"/>
          </w:tcPr>
          <w:p w14:paraId="34A23BB2" w14:textId="77777777" w:rsidR="00812A72" w:rsidRPr="006C5241" w:rsidRDefault="00812A72" w:rsidP="0002297E">
            <w:pPr>
              <w:widowControl/>
              <w:spacing w:before="40" w:after="40" w:line="240" w:lineRule="auto"/>
              <w:rPr>
                <w:rFonts w:asciiTheme="majorHAnsi" w:hAnsiTheme="majorHAnsi" w:cstheme="majorHAnsi"/>
                <w:sz w:val="16"/>
                <w:szCs w:val="16"/>
                <w:lang w:val="lv-LV"/>
              </w:rPr>
            </w:pPr>
            <w:r w:rsidRPr="006C5241">
              <w:rPr>
                <w:rFonts w:asciiTheme="majorHAnsi" w:hAnsiTheme="majorHAnsi" w:cstheme="majorHAnsi"/>
                <w:sz w:val="16"/>
                <w:szCs w:val="16"/>
              </w:rPr>
              <w:t xml:space="preserve">3.1.1.12. Bezemisiju mikromobilitātes rīku skaita palielināšana </w:t>
            </w:r>
          </w:p>
        </w:tc>
        <w:tc>
          <w:tcPr>
            <w:tcW w:w="1020" w:type="dxa"/>
            <w:shd w:val="clear" w:color="auto" w:fill="B4C6E7" w:themeFill="accent1" w:themeFillTint="66"/>
          </w:tcPr>
          <w:p w14:paraId="4ED8DDD3" w14:textId="77777777" w:rsidR="00812A72" w:rsidRPr="00B34993" w:rsidRDefault="00812A72" w:rsidP="0002297E">
            <w:pPr>
              <w:widowControl/>
              <w:spacing w:before="40" w:after="40" w:line="240" w:lineRule="auto"/>
              <w:rPr>
                <w:rFonts w:asciiTheme="majorHAnsi" w:hAnsiTheme="majorHAnsi" w:cstheme="majorHAnsi"/>
                <w:color w:val="000000" w:themeColor="text1"/>
                <w:sz w:val="16"/>
                <w:szCs w:val="16"/>
                <w:lang w:val="lv-LV"/>
              </w:rPr>
            </w:pPr>
            <w:r w:rsidRPr="00B34993">
              <w:rPr>
                <w:rFonts w:asciiTheme="majorHAnsi" w:hAnsiTheme="majorHAnsi" w:cstheme="majorHAnsi"/>
                <w:color w:val="000000" w:themeColor="text1"/>
                <w:sz w:val="16"/>
                <w:szCs w:val="16"/>
              </w:rPr>
              <w:t xml:space="preserve">Sauszemes transports </w:t>
            </w:r>
          </w:p>
        </w:tc>
        <w:tc>
          <w:tcPr>
            <w:tcW w:w="2381" w:type="dxa"/>
            <w:shd w:val="clear" w:color="auto" w:fill="B4C6E7" w:themeFill="accent1" w:themeFillTint="66"/>
          </w:tcPr>
          <w:p w14:paraId="70C2D066" w14:textId="77777777" w:rsidR="00812A72" w:rsidRPr="006C5241"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sv-SE"/>
              </w:rPr>
              <w:t>15 milj. eiro 2025. – 2030. gadā: 2,50 milj. eiro katru gadu.</w:t>
            </w:r>
          </w:p>
        </w:tc>
        <w:tc>
          <w:tcPr>
            <w:tcW w:w="3288" w:type="dxa"/>
            <w:shd w:val="clear" w:color="auto" w:fill="B4C6E7" w:themeFill="accent1" w:themeFillTint="66"/>
          </w:tcPr>
          <w:p w14:paraId="7CC1D6B5" w14:textId="77777777" w:rsidR="00812A72" w:rsidRPr="006C5241" w:rsidRDefault="00812A72" w:rsidP="0002297E">
            <w:pPr>
              <w:widowControl/>
              <w:spacing w:before="40" w:after="40" w:line="240" w:lineRule="auto"/>
              <w:rPr>
                <w:rFonts w:asciiTheme="majorHAnsi" w:eastAsia="Times New Roman" w:hAnsiTheme="majorHAnsi" w:cstheme="majorHAnsi"/>
                <w:color w:val="000000"/>
                <w:sz w:val="16"/>
                <w:szCs w:val="16"/>
                <w:lang w:val="lv-LV" w:eastAsia="lv-LV"/>
              </w:rPr>
            </w:pPr>
            <w:r w:rsidRPr="00097491">
              <w:rPr>
                <w:rFonts w:asciiTheme="majorHAnsi" w:hAnsiTheme="majorHAnsi" w:cstheme="majorHAnsi"/>
                <w:b/>
                <w:bCs/>
                <w:sz w:val="16"/>
                <w:szCs w:val="16"/>
                <w:lang w:val="lv-LV"/>
              </w:rPr>
              <w:t>50 %</w:t>
            </w:r>
            <w:r w:rsidRPr="00097491">
              <w:rPr>
                <w:rFonts w:asciiTheme="majorHAnsi" w:hAnsiTheme="majorHAnsi" w:cstheme="majorHAnsi"/>
                <w:sz w:val="16"/>
                <w:szCs w:val="16"/>
                <w:lang w:val="lv-LV"/>
              </w:rPr>
              <w:t xml:space="preserve"> – nacionālais publiskais finansējums papildu izdevumu veidā.</w:t>
            </w:r>
            <w:r w:rsidRPr="00097491">
              <w:rPr>
                <w:rFonts w:asciiTheme="majorHAnsi" w:hAnsiTheme="majorHAnsi" w:cstheme="majorHAnsi"/>
                <w:sz w:val="16"/>
                <w:szCs w:val="16"/>
                <w:lang w:val="lv-LV"/>
              </w:rPr>
              <w:br/>
            </w:r>
            <w:r w:rsidRPr="006C5241">
              <w:rPr>
                <w:rFonts w:asciiTheme="majorHAnsi" w:hAnsiTheme="majorHAnsi" w:cstheme="majorHAnsi"/>
                <w:b/>
                <w:bCs/>
                <w:sz w:val="16"/>
                <w:szCs w:val="16"/>
              </w:rPr>
              <w:t>50 %</w:t>
            </w:r>
            <w:r>
              <w:rPr>
                <w:rFonts w:asciiTheme="majorHAnsi" w:hAnsiTheme="majorHAnsi" w:cstheme="majorHAnsi"/>
                <w:sz w:val="16"/>
                <w:szCs w:val="16"/>
              </w:rPr>
              <w:t xml:space="preserve"> – </w:t>
            </w:r>
            <w:r w:rsidRPr="006C5241">
              <w:rPr>
                <w:rFonts w:asciiTheme="majorHAnsi" w:hAnsiTheme="majorHAnsi" w:cstheme="majorHAnsi"/>
                <w:sz w:val="16"/>
                <w:szCs w:val="16"/>
              </w:rPr>
              <w:t>jaunais ES fondu finansējums.</w:t>
            </w:r>
          </w:p>
        </w:tc>
      </w:tr>
      <w:tr w:rsidR="00812A72" w:rsidRPr="00AB3438" w14:paraId="48D674B8" w14:textId="77777777" w:rsidTr="0002297E">
        <w:trPr>
          <w:jc w:val="center"/>
        </w:trPr>
        <w:tc>
          <w:tcPr>
            <w:tcW w:w="2948" w:type="dxa"/>
            <w:shd w:val="clear" w:color="auto" w:fill="D9E2F3" w:themeFill="accent1" w:themeFillTint="33"/>
          </w:tcPr>
          <w:p w14:paraId="2454AB5C" w14:textId="77777777" w:rsidR="00812A72" w:rsidRPr="006C5241" w:rsidRDefault="00812A72" w:rsidP="0002297E">
            <w:pPr>
              <w:widowControl/>
              <w:spacing w:before="40" w:after="40" w:line="240" w:lineRule="auto"/>
              <w:rPr>
                <w:rFonts w:asciiTheme="majorHAnsi" w:hAnsiTheme="majorHAnsi" w:cstheme="majorHAnsi"/>
                <w:sz w:val="16"/>
                <w:szCs w:val="16"/>
                <w:lang w:val="lv-LV"/>
              </w:rPr>
            </w:pPr>
            <w:r w:rsidRPr="006C5241">
              <w:rPr>
                <w:rFonts w:asciiTheme="majorHAnsi" w:hAnsiTheme="majorHAnsi" w:cstheme="majorHAnsi"/>
                <w:sz w:val="16"/>
                <w:szCs w:val="16"/>
              </w:rPr>
              <w:t xml:space="preserve">3.1.1.13. Mikromobilitātes infrastruktūras attīstīšana </w:t>
            </w:r>
          </w:p>
        </w:tc>
        <w:tc>
          <w:tcPr>
            <w:tcW w:w="1020" w:type="dxa"/>
            <w:shd w:val="clear" w:color="auto" w:fill="D9E2F3" w:themeFill="accent1" w:themeFillTint="33"/>
          </w:tcPr>
          <w:p w14:paraId="5F3EACC1" w14:textId="77777777" w:rsidR="00812A72" w:rsidRPr="00B34993" w:rsidRDefault="00812A72" w:rsidP="0002297E">
            <w:pPr>
              <w:widowControl/>
              <w:spacing w:before="40" w:after="40" w:line="240" w:lineRule="auto"/>
              <w:rPr>
                <w:rFonts w:asciiTheme="majorHAnsi" w:hAnsiTheme="majorHAnsi" w:cstheme="majorHAnsi"/>
                <w:color w:val="000000" w:themeColor="text1"/>
                <w:sz w:val="16"/>
                <w:szCs w:val="16"/>
                <w:lang w:val="lv-LV"/>
              </w:rPr>
            </w:pPr>
            <w:r w:rsidRPr="00B34993">
              <w:rPr>
                <w:rFonts w:asciiTheme="majorHAnsi" w:hAnsiTheme="majorHAnsi" w:cstheme="majorHAnsi"/>
                <w:color w:val="000000" w:themeColor="text1"/>
                <w:sz w:val="16"/>
                <w:szCs w:val="16"/>
              </w:rPr>
              <w:t xml:space="preserve">Sauszemes transports </w:t>
            </w:r>
          </w:p>
        </w:tc>
        <w:tc>
          <w:tcPr>
            <w:tcW w:w="2381" w:type="dxa"/>
            <w:shd w:val="clear" w:color="auto" w:fill="D9E2F3" w:themeFill="accent1" w:themeFillTint="33"/>
          </w:tcPr>
          <w:p w14:paraId="02765B22" w14:textId="77777777" w:rsidR="00812A72" w:rsidRPr="006C5241"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sv-SE"/>
              </w:rPr>
              <w:t>415 milj. eiro 2025. – 2030. gadā: 69,16 milj. eiro katru gadu.</w:t>
            </w:r>
          </w:p>
        </w:tc>
        <w:tc>
          <w:tcPr>
            <w:tcW w:w="3288" w:type="dxa"/>
            <w:shd w:val="clear" w:color="auto" w:fill="D9E2F3" w:themeFill="accent1" w:themeFillTint="33"/>
          </w:tcPr>
          <w:p w14:paraId="1192D3DD" w14:textId="77777777" w:rsidR="00812A72" w:rsidRPr="006C5241" w:rsidRDefault="00812A72" w:rsidP="0002297E">
            <w:pPr>
              <w:widowControl/>
              <w:spacing w:before="40" w:after="40" w:line="240" w:lineRule="auto"/>
              <w:rPr>
                <w:rFonts w:asciiTheme="majorHAnsi" w:eastAsia="Times New Roman" w:hAnsiTheme="majorHAnsi" w:cstheme="majorHAnsi"/>
                <w:color w:val="000000"/>
                <w:sz w:val="16"/>
                <w:szCs w:val="16"/>
                <w:lang w:val="lv-LV" w:eastAsia="lv-LV"/>
              </w:rPr>
            </w:pPr>
            <w:r w:rsidRPr="006C5241">
              <w:rPr>
                <w:rFonts w:asciiTheme="majorHAnsi" w:hAnsiTheme="majorHAnsi" w:cstheme="majorHAnsi"/>
                <w:b/>
                <w:bCs/>
                <w:sz w:val="16"/>
                <w:szCs w:val="16"/>
              </w:rPr>
              <w:t>100 %</w:t>
            </w:r>
            <w:r>
              <w:rPr>
                <w:rFonts w:asciiTheme="majorHAnsi" w:hAnsiTheme="majorHAnsi" w:cstheme="majorHAnsi"/>
                <w:sz w:val="16"/>
                <w:szCs w:val="16"/>
              </w:rPr>
              <w:t xml:space="preserve"> – </w:t>
            </w:r>
            <w:r w:rsidRPr="006C5241">
              <w:rPr>
                <w:rFonts w:asciiTheme="majorHAnsi" w:hAnsiTheme="majorHAnsi" w:cstheme="majorHAnsi"/>
                <w:sz w:val="16"/>
                <w:szCs w:val="16"/>
              </w:rPr>
              <w:t>jaunais ES fondu finansējums.</w:t>
            </w:r>
          </w:p>
        </w:tc>
      </w:tr>
      <w:tr w:rsidR="00812A72" w:rsidRPr="00AB3438" w14:paraId="11731EDE" w14:textId="77777777" w:rsidTr="0002297E">
        <w:trPr>
          <w:jc w:val="center"/>
        </w:trPr>
        <w:tc>
          <w:tcPr>
            <w:tcW w:w="2948" w:type="dxa"/>
            <w:shd w:val="clear" w:color="auto" w:fill="B4C6E7" w:themeFill="accent1" w:themeFillTint="66"/>
          </w:tcPr>
          <w:p w14:paraId="6648807F" w14:textId="77777777" w:rsidR="00812A72" w:rsidRPr="006C5241" w:rsidRDefault="00812A72" w:rsidP="0002297E">
            <w:pPr>
              <w:widowControl/>
              <w:spacing w:before="40" w:after="40" w:line="240" w:lineRule="auto"/>
              <w:rPr>
                <w:rFonts w:asciiTheme="majorHAnsi" w:hAnsiTheme="majorHAnsi" w:cstheme="majorHAnsi"/>
                <w:sz w:val="16"/>
                <w:szCs w:val="16"/>
                <w:lang w:val="lv-LV"/>
              </w:rPr>
            </w:pPr>
            <w:r w:rsidRPr="006C5241">
              <w:rPr>
                <w:rFonts w:asciiTheme="majorHAnsi" w:hAnsiTheme="majorHAnsi" w:cstheme="majorHAnsi"/>
                <w:sz w:val="16"/>
                <w:szCs w:val="16"/>
              </w:rPr>
              <w:lastRenderedPageBreak/>
              <w:t>3.1.1.14. Lēnas uzlādes punktu, t.sk. e-velosipēdiem, pie daudzdzīvokļu namiem, autostāvvietās izbūvēšana</w:t>
            </w:r>
          </w:p>
        </w:tc>
        <w:tc>
          <w:tcPr>
            <w:tcW w:w="1020" w:type="dxa"/>
            <w:shd w:val="clear" w:color="auto" w:fill="B4C6E7" w:themeFill="accent1" w:themeFillTint="66"/>
          </w:tcPr>
          <w:p w14:paraId="0676772F" w14:textId="77777777" w:rsidR="00812A72" w:rsidRPr="00B34993" w:rsidRDefault="00812A72" w:rsidP="0002297E">
            <w:pPr>
              <w:widowControl/>
              <w:spacing w:before="40" w:after="40" w:line="240" w:lineRule="auto"/>
              <w:rPr>
                <w:rFonts w:asciiTheme="majorHAnsi" w:hAnsiTheme="majorHAnsi" w:cstheme="majorHAnsi"/>
                <w:color w:val="000000" w:themeColor="text1"/>
                <w:sz w:val="16"/>
                <w:szCs w:val="16"/>
                <w:lang w:val="lv-LV"/>
              </w:rPr>
            </w:pPr>
            <w:r w:rsidRPr="00B34993">
              <w:rPr>
                <w:rFonts w:asciiTheme="majorHAnsi" w:hAnsiTheme="majorHAnsi" w:cstheme="majorHAnsi"/>
                <w:color w:val="000000" w:themeColor="text1"/>
                <w:sz w:val="16"/>
                <w:szCs w:val="16"/>
              </w:rPr>
              <w:t xml:space="preserve">Sauszemes transports </w:t>
            </w:r>
          </w:p>
        </w:tc>
        <w:tc>
          <w:tcPr>
            <w:tcW w:w="2381" w:type="dxa"/>
            <w:shd w:val="clear" w:color="auto" w:fill="B4C6E7" w:themeFill="accent1" w:themeFillTint="66"/>
          </w:tcPr>
          <w:p w14:paraId="09C700E6" w14:textId="77777777" w:rsidR="00812A72" w:rsidRPr="006C5241"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sv-SE"/>
              </w:rPr>
              <w:t>3 milj. eiro 2025. – 2027. gadā: 1 milj. eiro katru gadu.</w:t>
            </w:r>
          </w:p>
        </w:tc>
        <w:tc>
          <w:tcPr>
            <w:tcW w:w="3288" w:type="dxa"/>
            <w:shd w:val="clear" w:color="auto" w:fill="B4C6E7" w:themeFill="accent1" w:themeFillTint="66"/>
          </w:tcPr>
          <w:p w14:paraId="327A1B39" w14:textId="77777777" w:rsidR="00812A72" w:rsidRPr="006C5241" w:rsidRDefault="00812A72" w:rsidP="0002297E">
            <w:pPr>
              <w:widowControl/>
              <w:spacing w:before="40" w:after="40" w:line="240" w:lineRule="auto"/>
              <w:rPr>
                <w:rFonts w:asciiTheme="majorHAnsi" w:eastAsia="Times New Roman" w:hAnsiTheme="majorHAnsi" w:cstheme="majorHAnsi"/>
                <w:color w:val="000000"/>
                <w:sz w:val="16"/>
                <w:szCs w:val="16"/>
                <w:lang w:val="lv-LV" w:eastAsia="lv-LV"/>
              </w:rPr>
            </w:pPr>
            <w:r w:rsidRPr="00097491">
              <w:rPr>
                <w:rFonts w:asciiTheme="majorHAnsi" w:hAnsiTheme="majorHAnsi" w:cstheme="majorHAnsi"/>
                <w:b/>
                <w:bCs/>
                <w:sz w:val="16"/>
                <w:szCs w:val="16"/>
                <w:lang w:val="lv-LV"/>
              </w:rPr>
              <w:t>50 %</w:t>
            </w:r>
            <w:r w:rsidRPr="00097491">
              <w:rPr>
                <w:rFonts w:asciiTheme="majorHAnsi" w:hAnsiTheme="majorHAnsi" w:cstheme="majorHAnsi"/>
                <w:sz w:val="16"/>
                <w:szCs w:val="16"/>
                <w:lang w:val="lv-LV"/>
              </w:rPr>
              <w:t xml:space="preserve"> – nacionālais publiskais finansējums papildu izdevumu veidā.</w:t>
            </w:r>
            <w:r w:rsidRPr="00097491">
              <w:rPr>
                <w:rFonts w:asciiTheme="majorHAnsi" w:hAnsiTheme="majorHAnsi" w:cstheme="majorHAnsi"/>
                <w:sz w:val="16"/>
                <w:szCs w:val="16"/>
                <w:lang w:val="lv-LV"/>
              </w:rPr>
              <w:br/>
            </w:r>
            <w:r w:rsidRPr="006C5241">
              <w:rPr>
                <w:rFonts w:asciiTheme="majorHAnsi" w:hAnsiTheme="majorHAnsi" w:cstheme="majorHAnsi"/>
                <w:b/>
                <w:bCs/>
                <w:sz w:val="16"/>
                <w:szCs w:val="16"/>
              </w:rPr>
              <w:t>25 %</w:t>
            </w:r>
            <w:r>
              <w:rPr>
                <w:rFonts w:asciiTheme="majorHAnsi" w:hAnsiTheme="majorHAnsi" w:cstheme="majorHAnsi"/>
                <w:b/>
                <w:bCs/>
                <w:sz w:val="16"/>
                <w:szCs w:val="16"/>
              </w:rPr>
              <w:t xml:space="preserve"> – </w:t>
            </w:r>
            <w:r w:rsidRPr="006C5241">
              <w:rPr>
                <w:rFonts w:asciiTheme="majorHAnsi" w:hAnsiTheme="majorHAnsi" w:cstheme="majorHAnsi"/>
                <w:sz w:val="16"/>
                <w:szCs w:val="16"/>
              </w:rPr>
              <w:t>Latvijas privāto uzņēmumu finansējums.</w:t>
            </w:r>
            <w:r>
              <w:rPr>
                <w:rFonts w:asciiTheme="majorHAnsi" w:hAnsiTheme="majorHAnsi" w:cstheme="majorHAnsi"/>
                <w:sz w:val="16"/>
                <w:szCs w:val="16"/>
              </w:rPr>
              <w:br/>
            </w:r>
            <w:r w:rsidRPr="006C5241">
              <w:rPr>
                <w:rFonts w:asciiTheme="majorHAnsi" w:hAnsiTheme="majorHAnsi" w:cstheme="majorHAnsi"/>
                <w:b/>
                <w:bCs/>
                <w:sz w:val="16"/>
                <w:szCs w:val="16"/>
              </w:rPr>
              <w:t>25 %</w:t>
            </w:r>
            <w:r>
              <w:rPr>
                <w:rFonts w:asciiTheme="majorHAnsi" w:hAnsiTheme="majorHAnsi" w:cstheme="majorHAnsi"/>
                <w:b/>
                <w:bCs/>
                <w:sz w:val="16"/>
                <w:szCs w:val="16"/>
              </w:rPr>
              <w:t xml:space="preserve"> – </w:t>
            </w:r>
            <w:r w:rsidRPr="006C5241">
              <w:rPr>
                <w:rFonts w:asciiTheme="majorHAnsi" w:hAnsiTheme="majorHAnsi" w:cstheme="majorHAnsi"/>
                <w:sz w:val="16"/>
                <w:szCs w:val="16"/>
              </w:rPr>
              <w:t>jaunais ES fondu finansējums.</w:t>
            </w:r>
          </w:p>
        </w:tc>
      </w:tr>
      <w:tr w:rsidR="00812A72" w:rsidRPr="00D24F07" w14:paraId="25C55B70" w14:textId="77777777" w:rsidTr="0002297E">
        <w:trPr>
          <w:jc w:val="center"/>
        </w:trPr>
        <w:tc>
          <w:tcPr>
            <w:tcW w:w="2948" w:type="dxa"/>
            <w:shd w:val="clear" w:color="auto" w:fill="D9E2F3" w:themeFill="accent1" w:themeFillTint="33"/>
          </w:tcPr>
          <w:p w14:paraId="0873F73B" w14:textId="77777777" w:rsidR="00812A72" w:rsidRPr="006C5241"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sv-SE"/>
              </w:rPr>
              <w:t>3.1.1.16. Elektrificēt sabiedrisko transportu un uzlabot sabiedriskā transporta elektroenerģijas infrastruktūru</w:t>
            </w:r>
          </w:p>
        </w:tc>
        <w:tc>
          <w:tcPr>
            <w:tcW w:w="1020" w:type="dxa"/>
            <w:shd w:val="clear" w:color="auto" w:fill="D9E2F3" w:themeFill="accent1" w:themeFillTint="33"/>
          </w:tcPr>
          <w:p w14:paraId="63E037F9" w14:textId="77777777" w:rsidR="00812A72" w:rsidRPr="00B34993" w:rsidRDefault="00812A72" w:rsidP="0002297E">
            <w:pPr>
              <w:widowControl/>
              <w:spacing w:before="40" w:after="40" w:line="240" w:lineRule="auto"/>
              <w:rPr>
                <w:rFonts w:asciiTheme="majorHAnsi" w:hAnsiTheme="majorHAnsi" w:cstheme="majorHAnsi"/>
                <w:color w:val="000000" w:themeColor="text1"/>
                <w:sz w:val="16"/>
                <w:szCs w:val="16"/>
                <w:lang w:val="lv-LV"/>
              </w:rPr>
            </w:pPr>
            <w:r w:rsidRPr="00B34993">
              <w:rPr>
                <w:rFonts w:asciiTheme="majorHAnsi" w:hAnsiTheme="majorHAnsi" w:cstheme="majorHAnsi"/>
                <w:color w:val="000000" w:themeColor="text1"/>
                <w:sz w:val="16"/>
                <w:szCs w:val="16"/>
              </w:rPr>
              <w:t xml:space="preserve">Sauszemes transports </w:t>
            </w:r>
          </w:p>
        </w:tc>
        <w:tc>
          <w:tcPr>
            <w:tcW w:w="2381" w:type="dxa"/>
            <w:shd w:val="clear" w:color="auto" w:fill="D9E2F3" w:themeFill="accent1" w:themeFillTint="33"/>
          </w:tcPr>
          <w:p w14:paraId="2BD0255F" w14:textId="77777777" w:rsidR="00812A72" w:rsidRPr="006C5241"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sv-SE"/>
              </w:rPr>
              <w:t>416,50 milj. eiro 2025. – 2030. gadā: 69,41 milj. eiro katru gadu.</w:t>
            </w:r>
          </w:p>
        </w:tc>
        <w:tc>
          <w:tcPr>
            <w:tcW w:w="3288" w:type="dxa"/>
            <w:shd w:val="clear" w:color="auto" w:fill="D9E2F3" w:themeFill="accent1" w:themeFillTint="33"/>
          </w:tcPr>
          <w:p w14:paraId="6B368626" w14:textId="77777777" w:rsidR="00812A72" w:rsidRPr="006C5241" w:rsidRDefault="00812A72" w:rsidP="0002297E">
            <w:pPr>
              <w:widowControl/>
              <w:spacing w:before="40" w:after="40" w:line="240" w:lineRule="auto"/>
              <w:rPr>
                <w:rFonts w:asciiTheme="majorHAnsi" w:eastAsia="Times New Roman" w:hAnsiTheme="majorHAnsi" w:cstheme="majorHAnsi"/>
                <w:color w:val="000000"/>
                <w:sz w:val="16"/>
                <w:szCs w:val="16"/>
                <w:lang w:val="lv-LV" w:eastAsia="lv-LV"/>
              </w:rPr>
            </w:pPr>
            <w:r w:rsidRPr="00097491">
              <w:rPr>
                <w:rFonts w:asciiTheme="majorHAnsi" w:hAnsiTheme="majorHAnsi" w:cstheme="majorHAnsi"/>
                <w:b/>
                <w:bCs/>
                <w:sz w:val="16"/>
                <w:szCs w:val="16"/>
                <w:lang w:val="lv-LV"/>
              </w:rPr>
              <w:t>50 %</w:t>
            </w:r>
            <w:r w:rsidRPr="00097491">
              <w:rPr>
                <w:rFonts w:asciiTheme="majorHAnsi" w:hAnsiTheme="majorHAnsi" w:cstheme="majorHAnsi"/>
                <w:sz w:val="16"/>
                <w:szCs w:val="16"/>
                <w:lang w:val="lv-LV"/>
              </w:rPr>
              <w:t xml:space="preserve"> – jaunais ES fondu finansējums.</w:t>
            </w:r>
            <w:r w:rsidRPr="00097491">
              <w:rPr>
                <w:rFonts w:asciiTheme="majorHAnsi" w:hAnsiTheme="majorHAnsi" w:cstheme="majorHAnsi"/>
                <w:b/>
                <w:bCs/>
                <w:sz w:val="16"/>
                <w:szCs w:val="16"/>
                <w:lang w:val="lv-LV"/>
              </w:rPr>
              <w:br/>
              <w:t>50 %</w:t>
            </w:r>
            <w:r w:rsidRPr="00097491">
              <w:rPr>
                <w:rFonts w:asciiTheme="majorHAnsi" w:hAnsiTheme="majorHAnsi" w:cstheme="majorHAnsi"/>
                <w:sz w:val="16"/>
                <w:szCs w:val="16"/>
                <w:lang w:val="lv-LV"/>
              </w:rPr>
              <w:t xml:space="preserve"> – nacionālais publiskais finansējums papildu izdevumu veidā.</w:t>
            </w:r>
          </w:p>
        </w:tc>
      </w:tr>
      <w:tr w:rsidR="00812A72" w:rsidRPr="00D24F07" w14:paraId="57D70C4D" w14:textId="77777777" w:rsidTr="0002297E">
        <w:trPr>
          <w:jc w:val="center"/>
        </w:trPr>
        <w:tc>
          <w:tcPr>
            <w:tcW w:w="2948" w:type="dxa"/>
            <w:shd w:val="clear" w:color="auto" w:fill="B4C6E7" w:themeFill="accent1" w:themeFillTint="66"/>
          </w:tcPr>
          <w:p w14:paraId="1F51A671" w14:textId="77777777" w:rsidR="00812A72" w:rsidRPr="006C5241"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lv-LV"/>
              </w:rPr>
              <w:t>3.1.1.17. Atbalsta pašvaldībām metāna sabiedriskā transporta transportlīdzekļu iegādei vai pārbūvei sniegšana</w:t>
            </w:r>
          </w:p>
        </w:tc>
        <w:tc>
          <w:tcPr>
            <w:tcW w:w="1020" w:type="dxa"/>
            <w:shd w:val="clear" w:color="auto" w:fill="B4C6E7" w:themeFill="accent1" w:themeFillTint="66"/>
          </w:tcPr>
          <w:p w14:paraId="1A6AECDC" w14:textId="77777777" w:rsidR="00812A72" w:rsidRPr="00B34993" w:rsidRDefault="00812A72" w:rsidP="0002297E">
            <w:pPr>
              <w:widowControl/>
              <w:spacing w:before="40" w:after="40" w:line="240" w:lineRule="auto"/>
              <w:rPr>
                <w:rFonts w:asciiTheme="majorHAnsi" w:hAnsiTheme="majorHAnsi" w:cstheme="majorHAnsi"/>
                <w:color w:val="000000" w:themeColor="text1"/>
                <w:sz w:val="16"/>
                <w:szCs w:val="16"/>
                <w:lang w:val="lv-LV"/>
              </w:rPr>
            </w:pPr>
            <w:r w:rsidRPr="00B34993">
              <w:rPr>
                <w:rFonts w:asciiTheme="majorHAnsi" w:hAnsiTheme="majorHAnsi" w:cstheme="majorHAnsi"/>
                <w:color w:val="000000" w:themeColor="text1"/>
                <w:sz w:val="16"/>
                <w:szCs w:val="16"/>
              </w:rPr>
              <w:t xml:space="preserve">Sauszemes transports </w:t>
            </w:r>
          </w:p>
        </w:tc>
        <w:tc>
          <w:tcPr>
            <w:tcW w:w="2381" w:type="dxa"/>
            <w:shd w:val="clear" w:color="auto" w:fill="B4C6E7" w:themeFill="accent1" w:themeFillTint="66"/>
          </w:tcPr>
          <w:p w14:paraId="130D630E" w14:textId="77777777" w:rsidR="00812A72" w:rsidRPr="006C5241"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sv-SE"/>
              </w:rPr>
              <w:t>12,50 milj. eiro 2025. – 2030. gadā: 2,08 milj. eiro katru gadu.</w:t>
            </w:r>
          </w:p>
        </w:tc>
        <w:tc>
          <w:tcPr>
            <w:tcW w:w="3288" w:type="dxa"/>
            <w:shd w:val="clear" w:color="auto" w:fill="B4C6E7" w:themeFill="accent1" w:themeFillTint="66"/>
          </w:tcPr>
          <w:p w14:paraId="039DCD3B" w14:textId="77777777" w:rsidR="00812A72" w:rsidRPr="006C5241" w:rsidRDefault="00812A72" w:rsidP="0002297E">
            <w:pPr>
              <w:widowControl/>
              <w:spacing w:before="40" w:after="40" w:line="240" w:lineRule="auto"/>
              <w:rPr>
                <w:rFonts w:asciiTheme="majorHAnsi" w:eastAsia="Times New Roman" w:hAnsiTheme="majorHAnsi" w:cstheme="majorHAnsi"/>
                <w:color w:val="000000"/>
                <w:sz w:val="16"/>
                <w:szCs w:val="16"/>
                <w:lang w:val="lv-LV" w:eastAsia="lv-LV"/>
              </w:rPr>
            </w:pPr>
            <w:r w:rsidRPr="00097491">
              <w:rPr>
                <w:rFonts w:asciiTheme="majorHAnsi" w:hAnsiTheme="majorHAnsi" w:cstheme="majorHAnsi"/>
                <w:b/>
                <w:bCs/>
                <w:sz w:val="16"/>
                <w:szCs w:val="16"/>
                <w:lang w:val="lv-LV"/>
              </w:rPr>
              <w:t>100 %</w:t>
            </w:r>
            <w:r w:rsidRPr="00097491">
              <w:rPr>
                <w:rFonts w:asciiTheme="majorHAnsi" w:hAnsiTheme="majorHAnsi" w:cstheme="majorHAnsi"/>
                <w:sz w:val="16"/>
                <w:szCs w:val="16"/>
                <w:lang w:val="lv-LV"/>
              </w:rPr>
              <w:t xml:space="preserve"> – nacionālais publiskais finansējums papildu izdevumu veidā.</w:t>
            </w:r>
          </w:p>
        </w:tc>
      </w:tr>
      <w:tr w:rsidR="00812A72" w:rsidRPr="00D24F07" w14:paraId="02AB5F21" w14:textId="77777777" w:rsidTr="0002297E">
        <w:trPr>
          <w:jc w:val="center"/>
        </w:trPr>
        <w:tc>
          <w:tcPr>
            <w:tcW w:w="2948" w:type="dxa"/>
            <w:shd w:val="clear" w:color="auto" w:fill="D9E2F3" w:themeFill="accent1" w:themeFillTint="33"/>
          </w:tcPr>
          <w:p w14:paraId="6FFFC4D4" w14:textId="77777777" w:rsidR="00812A72" w:rsidRPr="006C5241"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lv-LV"/>
              </w:rPr>
              <w:t>3.1.1.18. Publiski pieejamu sašķidrināta vai saspiesta metāna uzpildes punktu izbūve</w:t>
            </w:r>
          </w:p>
        </w:tc>
        <w:tc>
          <w:tcPr>
            <w:tcW w:w="1020" w:type="dxa"/>
            <w:shd w:val="clear" w:color="auto" w:fill="D9E2F3" w:themeFill="accent1" w:themeFillTint="33"/>
          </w:tcPr>
          <w:p w14:paraId="422EF792" w14:textId="77777777" w:rsidR="00812A72" w:rsidRPr="00B34993" w:rsidRDefault="00812A72" w:rsidP="0002297E">
            <w:pPr>
              <w:widowControl/>
              <w:spacing w:before="40" w:after="40" w:line="240" w:lineRule="auto"/>
              <w:rPr>
                <w:rFonts w:asciiTheme="majorHAnsi" w:hAnsiTheme="majorHAnsi" w:cstheme="majorHAnsi"/>
                <w:color w:val="000000" w:themeColor="text1"/>
                <w:sz w:val="16"/>
                <w:szCs w:val="16"/>
                <w:lang w:val="lv-LV"/>
              </w:rPr>
            </w:pPr>
            <w:r w:rsidRPr="00B34993">
              <w:rPr>
                <w:rFonts w:asciiTheme="majorHAnsi" w:hAnsiTheme="majorHAnsi" w:cstheme="majorHAnsi"/>
                <w:color w:val="000000" w:themeColor="text1"/>
                <w:sz w:val="16"/>
                <w:szCs w:val="16"/>
              </w:rPr>
              <w:t xml:space="preserve">Sauszemes transports </w:t>
            </w:r>
          </w:p>
        </w:tc>
        <w:tc>
          <w:tcPr>
            <w:tcW w:w="2381" w:type="dxa"/>
            <w:shd w:val="clear" w:color="auto" w:fill="D9E2F3" w:themeFill="accent1" w:themeFillTint="33"/>
          </w:tcPr>
          <w:p w14:paraId="1EDC6DF0" w14:textId="77777777" w:rsidR="00812A72" w:rsidRPr="006C5241"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sv-SE"/>
              </w:rPr>
              <w:t>10 milj. eiro 2025. – 2030. gadā: 1,66 milj. eiro katru gadu.</w:t>
            </w:r>
          </w:p>
        </w:tc>
        <w:tc>
          <w:tcPr>
            <w:tcW w:w="3288" w:type="dxa"/>
            <w:shd w:val="clear" w:color="auto" w:fill="D9E2F3" w:themeFill="accent1" w:themeFillTint="33"/>
          </w:tcPr>
          <w:p w14:paraId="0972581F" w14:textId="77777777" w:rsidR="00812A72" w:rsidRPr="006C5241" w:rsidRDefault="00812A72" w:rsidP="0002297E">
            <w:pPr>
              <w:widowControl/>
              <w:spacing w:before="40" w:after="40" w:line="240" w:lineRule="auto"/>
              <w:rPr>
                <w:rFonts w:asciiTheme="majorHAnsi" w:eastAsia="Times New Roman" w:hAnsiTheme="majorHAnsi" w:cstheme="majorHAnsi"/>
                <w:color w:val="000000"/>
                <w:sz w:val="16"/>
                <w:szCs w:val="16"/>
                <w:lang w:val="lv-LV" w:eastAsia="lv-LV"/>
              </w:rPr>
            </w:pPr>
            <w:r w:rsidRPr="00097491">
              <w:rPr>
                <w:rFonts w:asciiTheme="majorHAnsi" w:hAnsiTheme="majorHAnsi" w:cstheme="majorHAnsi"/>
                <w:b/>
                <w:bCs/>
                <w:sz w:val="16"/>
                <w:szCs w:val="16"/>
                <w:lang w:val="lv-LV"/>
              </w:rPr>
              <w:t>67 %</w:t>
            </w:r>
            <w:r w:rsidRPr="00097491">
              <w:rPr>
                <w:rFonts w:asciiTheme="majorHAnsi" w:hAnsiTheme="majorHAnsi" w:cstheme="majorHAnsi"/>
                <w:sz w:val="16"/>
                <w:szCs w:val="16"/>
                <w:lang w:val="lv-LV"/>
              </w:rPr>
              <w:t xml:space="preserve"> – jaunais ES fondu finansējums.</w:t>
            </w:r>
            <w:r w:rsidRPr="00097491">
              <w:rPr>
                <w:rFonts w:asciiTheme="majorHAnsi" w:hAnsiTheme="majorHAnsi" w:cstheme="majorHAnsi"/>
                <w:sz w:val="16"/>
                <w:szCs w:val="16"/>
                <w:lang w:val="lv-LV"/>
              </w:rPr>
              <w:br/>
            </w:r>
            <w:r w:rsidRPr="00097491">
              <w:rPr>
                <w:rFonts w:asciiTheme="majorHAnsi" w:hAnsiTheme="majorHAnsi" w:cstheme="majorHAnsi"/>
                <w:b/>
                <w:bCs/>
                <w:sz w:val="16"/>
                <w:szCs w:val="16"/>
                <w:lang w:val="lv-LV"/>
              </w:rPr>
              <w:t>33 %</w:t>
            </w:r>
            <w:r w:rsidRPr="00097491">
              <w:rPr>
                <w:rFonts w:asciiTheme="majorHAnsi" w:hAnsiTheme="majorHAnsi" w:cstheme="majorHAnsi"/>
                <w:sz w:val="16"/>
                <w:szCs w:val="16"/>
                <w:lang w:val="lv-LV"/>
              </w:rPr>
              <w:t xml:space="preserve"> – Latvijas privāto uzņēmumu finansējums.</w:t>
            </w:r>
          </w:p>
        </w:tc>
      </w:tr>
      <w:tr w:rsidR="00812A72" w:rsidRPr="00D24F07" w14:paraId="0010DD3A" w14:textId="77777777" w:rsidTr="0002297E">
        <w:trPr>
          <w:jc w:val="center"/>
        </w:trPr>
        <w:tc>
          <w:tcPr>
            <w:tcW w:w="2948" w:type="dxa"/>
            <w:shd w:val="clear" w:color="auto" w:fill="B4C6E7" w:themeFill="accent1" w:themeFillTint="66"/>
          </w:tcPr>
          <w:p w14:paraId="036D1B81" w14:textId="77777777" w:rsidR="00812A72" w:rsidRPr="006C5241"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lv-LV"/>
              </w:rPr>
              <w:t>3.1.1.19. Atbalsta pašvaldībām, kurās tiek izbūvētas H2 uzpildes stacijas, H2 sabiedriskā transporta iegādei sniegšana</w:t>
            </w:r>
          </w:p>
        </w:tc>
        <w:tc>
          <w:tcPr>
            <w:tcW w:w="1020" w:type="dxa"/>
            <w:shd w:val="clear" w:color="auto" w:fill="B4C6E7" w:themeFill="accent1" w:themeFillTint="66"/>
          </w:tcPr>
          <w:p w14:paraId="0BC4E548" w14:textId="77777777" w:rsidR="00812A72" w:rsidRPr="00B34993" w:rsidRDefault="00812A72" w:rsidP="0002297E">
            <w:pPr>
              <w:widowControl/>
              <w:spacing w:before="40" w:after="40" w:line="240" w:lineRule="auto"/>
              <w:rPr>
                <w:rFonts w:asciiTheme="majorHAnsi" w:hAnsiTheme="majorHAnsi" w:cstheme="majorHAnsi"/>
                <w:color w:val="000000" w:themeColor="text1"/>
                <w:sz w:val="16"/>
                <w:szCs w:val="16"/>
                <w:lang w:val="lv-LV"/>
              </w:rPr>
            </w:pPr>
            <w:r w:rsidRPr="00B34993">
              <w:rPr>
                <w:rFonts w:asciiTheme="majorHAnsi" w:hAnsiTheme="majorHAnsi" w:cstheme="majorHAnsi"/>
                <w:color w:val="000000" w:themeColor="text1"/>
                <w:sz w:val="16"/>
                <w:szCs w:val="16"/>
              </w:rPr>
              <w:t xml:space="preserve">Sauszemes transports </w:t>
            </w:r>
          </w:p>
        </w:tc>
        <w:tc>
          <w:tcPr>
            <w:tcW w:w="2381" w:type="dxa"/>
            <w:shd w:val="clear" w:color="auto" w:fill="B4C6E7" w:themeFill="accent1" w:themeFillTint="66"/>
          </w:tcPr>
          <w:p w14:paraId="1B9CB538" w14:textId="77777777" w:rsidR="00812A72" w:rsidRPr="006C5241"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sv-SE"/>
              </w:rPr>
              <w:t>7 milj. eiro 2025. – 2030. gadā: 1,16 milj. eiro katru gadu.</w:t>
            </w:r>
          </w:p>
        </w:tc>
        <w:tc>
          <w:tcPr>
            <w:tcW w:w="3288" w:type="dxa"/>
            <w:shd w:val="clear" w:color="auto" w:fill="B4C6E7" w:themeFill="accent1" w:themeFillTint="66"/>
          </w:tcPr>
          <w:p w14:paraId="65E0E728" w14:textId="77777777" w:rsidR="00812A72" w:rsidRPr="006C5241" w:rsidRDefault="00812A72" w:rsidP="0002297E">
            <w:pPr>
              <w:widowControl/>
              <w:spacing w:before="40" w:after="40" w:line="240" w:lineRule="auto"/>
              <w:rPr>
                <w:rFonts w:asciiTheme="majorHAnsi" w:eastAsia="Times New Roman" w:hAnsiTheme="majorHAnsi" w:cstheme="majorHAnsi"/>
                <w:color w:val="000000"/>
                <w:sz w:val="16"/>
                <w:szCs w:val="16"/>
                <w:lang w:val="lv-LV" w:eastAsia="lv-LV"/>
              </w:rPr>
            </w:pPr>
            <w:r w:rsidRPr="00097491">
              <w:rPr>
                <w:rFonts w:asciiTheme="majorHAnsi" w:hAnsiTheme="majorHAnsi" w:cstheme="majorHAnsi"/>
                <w:b/>
                <w:bCs/>
                <w:sz w:val="16"/>
                <w:szCs w:val="16"/>
                <w:lang w:val="lv-LV"/>
              </w:rPr>
              <w:t>100 %</w:t>
            </w:r>
            <w:r w:rsidRPr="00097491">
              <w:rPr>
                <w:rFonts w:asciiTheme="majorHAnsi" w:hAnsiTheme="majorHAnsi" w:cstheme="majorHAnsi"/>
                <w:sz w:val="16"/>
                <w:szCs w:val="16"/>
                <w:lang w:val="lv-LV"/>
              </w:rPr>
              <w:t xml:space="preserve"> – nacionālais publiskais finansējums papildu izdevumu veidā.</w:t>
            </w:r>
          </w:p>
        </w:tc>
      </w:tr>
      <w:tr w:rsidR="00812A72" w:rsidRPr="00D24F07" w14:paraId="1DCEEAA6" w14:textId="77777777" w:rsidTr="0002297E">
        <w:trPr>
          <w:jc w:val="center"/>
        </w:trPr>
        <w:tc>
          <w:tcPr>
            <w:tcW w:w="2948" w:type="dxa"/>
            <w:shd w:val="clear" w:color="auto" w:fill="D9E2F3" w:themeFill="accent1" w:themeFillTint="33"/>
          </w:tcPr>
          <w:p w14:paraId="22039891" w14:textId="77777777" w:rsidR="00812A72" w:rsidRPr="006C5241"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lv-LV"/>
              </w:rPr>
              <w:t>3.1.1.20. Publiski pieejamu ūdeņraža uzpildes punktu uzstādīšanas darbības ietvaros</w:t>
            </w:r>
          </w:p>
        </w:tc>
        <w:tc>
          <w:tcPr>
            <w:tcW w:w="1020" w:type="dxa"/>
            <w:shd w:val="clear" w:color="auto" w:fill="D9E2F3" w:themeFill="accent1" w:themeFillTint="33"/>
          </w:tcPr>
          <w:p w14:paraId="7F00C9BE" w14:textId="77777777" w:rsidR="00812A72" w:rsidRPr="00B34993" w:rsidRDefault="00812A72" w:rsidP="0002297E">
            <w:pPr>
              <w:widowControl/>
              <w:spacing w:before="40" w:after="40" w:line="240" w:lineRule="auto"/>
              <w:rPr>
                <w:rFonts w:asciiTheme="majorHAnsi" w:hAnsiTheme="majorHAnsi" w:cstheme="majorHAnsi"/>
                <w:color w:val="000000" w:themeColor="text1"/>
                <w:sz w:val="16"/>
                <w:szCs w:val="16"/>
                <w:lang w:val="lv-LV"/>
              </w:rPr>
            </w:pPr>
            <w:r w:rsidRPr="00B34993">
              <w:rPr>
                <w:rFonts w:asciiTheme="majorHAnsi" w:hAnsiTheme="majorHAnsi" w:cstheme="majorHAnsi"/>
                <w:color w:val="000000" w:themeColor="text1"/>
                <w:sz w:val="16"/>
                <w:szCs w:val="16"/>
              </w:rPr>
              <w:t xml:space="preserve">Sauszemes transports </w:t>
            </w:r>
          </w:p>
        </w:tc>
        <w:tc>
          <w:tcPr>
            <w:tcW w:w="2381" w:type="dxa"/>
            <w:shd w:val="clear" w:color="auto" w:fill="D9E2F3" w:themeFill="accent1" w:themeFillTint="33"/>
          </w:tcPr>
          <w:p w14:paraId="5C48680C" w14:textId="77777777" w:rsidR="00812A72" w:rsidRPr="006C5241"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sv-SE"/>
              </w:rPr>
              <w:t>10 milj. eiro 2025. – 2030. gadā: 1,66 milj. eiro katru gadu.</w:t>
            </w:r>
          </w:p>
        </w:tc>
        <w:tc>
          <w:tcPr>
            <w:tcW w:w="3288" w:type="dxa"/>
            <w:shd w:val="clear" w:color="auto" w:fill="D9E2F3" w:themeFill="accent1" w:themeFillTint="33"/>
          </w:tcPr>
          <w:p w14:paraId="60CC6F19" w14:textId="77777777" w:rsidR="00812A72" w:rsidRPr="006C5241" w:rsidRDefault="00812A72" w:rsidP="0002297E">
            <w:pPr>
              <w:widowControl/>
              <w:spacing w:before="40" w:after="40" w:line="240" w:lineRule="auto"/>
              <w:rPr>
                <w:rFonts w:asciiTheme="majorHAnsi" w:eastAsia="Times New Roman" w:hAnsiTheme="majorHAnsi" w:cstheme="majorHAnsi"/>
                <w:color w:val="000000"/>
                <w:sz w:val="16"/>
                <w:szCs w:val="16"/>
                <w:lang w:val="lv-LV" w:eastAsia="lv-LV"/>
              </w:rPr>
            </w:pPr>
            <w:r w:rsidRPr="00097491">
              <w:rPr>
                <w:rFonts w:asciiTheme="majorHAnsi" w:hAnsiTheme="majorHAnsi" w:cstheme="majorHAnsi"/>
                <w:b/>
                <w:bCs/>
                <w:sz w:val="16"/>
                <w:szCs w:val="16"/>
                <w:lang w:val="lv-LV"/>
              </w:rPr>
              <w:t>67 %</w:t>
            </w:r>
            <w:r w:rsidRPr="00097491">
              <w:rPr>
                <w:rFonts w:asciiTheme="majorHAnsi" w:hAnsiTheme="majorHAnsi" w:cstheme="majorHAnsi"/>
                <w:sz w:val="16"/>
                <w:szCs w:val="16"/>
                <w:lang w:val="lv-LV"/>
              </w:rPr>
              <w:t xml:space="preserve"> – jaunais ES fondu finansējums.</w:t>
            </w:r>
            <w:r w:rsidRPr="00097491">
              <w:rPr>
                <w:rFonts w:asciiTheme="majorHAnsi" w:hAnsiTheme="majorHAnsi" w:cstheme="majorHAnsi"/>
                <w:sz w:val="16"/>
                <w:szCs w:val="16"/>
                <w:lang w:val="lv-LV"/>
              </w:rPr>
              <w:br/>
            </w:r>
            <w:r w:rsidRPr="00097491">
              <w:rPr>
                <w:rFonts w:asciiTheme="majorHAnsi" w:hAnsiTheme="majorHAnsi" w:cstheme="majorHAnsi"/>
                <w:b/>
                <w:bCs/>
                <w:sz w:val="16"/>
                <w:szCs w:val="16"/>
                <w:lang w:val="lv-LV"/>
              </w:rPr>
              <w:t>33 %</w:t>
            </w:r>
            <w:r w:rsidRPr="00097491">
              <w:rPr>
                <w:rFonts w:asciiTheme="majorHAnsi" w:hAnsiTheme="majorHAnsi" w:cstheme="majorHAnsi"/>
                <w:sz w:val="16"/>
                <w:szCs w:val="16"/>
                <w:lang w:val="lv-LV"/>
              </w:rPr>
              <w:t xml:space="preserve"> – Latvijas privāto uzņēmumu finansējums.</w:t>
            </w:r>
          </w:p>
        </w:tc>
      </w:tr>
      <w:tr w:rsidR="00812A72" w:rsidRPr="00D24F07" w14:paraId="62CB3D14" w14:textId="77777777" w:rsidTr="0002297E">
        <w:trPr>
          <w:jc w:val="center"/>
        </w:trPr>
        <w:tc>
          <w:tcPr>
            <w:tcW w:w="2948" w:type="dxa"/>
            <w:shd w:val="clear" w:color="auto" w:fill="B4C6E7" w:themeFill="accent1" w:themeFillTint="66"/>
          </w:tcPr>
          <w:p w14:paraId="260CB09B" w14:textId="77777777" w:rsidR="00812A72" w:rsidRPr="006C5241"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lv-LV"/>
              </w:rPr>
              <w:t>3.1.1.22. Pierīgas sliežu transporta (tramvajs) un autobusu maršrutu tīkla paplašināšana</w:t>
            </w:r>
          </w:p>
        </w:tc>
        <w:tc>
          <w:tcPr>
            <w:tcW w:w="1020" w:type="dxa"/>
            <w:shd w:val="clear" w:color="auto" w:fill="B4C6E7" w:themeFill="accent1" w:themeFillTint="66"/>
          </w:tcPr>
          <w:p w14:paraId="4FDFFD07" w14:textId="77777777" w:rsidR="00812A72" w:rsidRPr="00B34993" w:rsidRDefault="00812A72" w:rsidP="0002297E">
            <w:pPr>
              <w:widowControl/>
              <w:spacing w:before="40" w:after="40" w:line="240" w:lineRule="auto"/>
              <w:rPr>
                <w:rFonts w:asciiTheme="majorHAnsi" w:hAnsiTheme="majorHAnsi" w:cstheme="majorHAnsi"/>
                <w:color w:val="000000" w:themeColor="text1"/>
                <w:sz w:val="16"/>
                <w:szCs w:val="16"/>
                <w:lang w:val="lv-LV"/>
              </w:rPr>
            </w:pPr>
            <w:r w:rsidRPr="00B34993">
              <w:rPr>
                <w:rFonts w:asciiTheme="majorHAnsi" w:hAnsiTheme="majorHAnsi" w:cstheme="majorHAnsi"/>
                <w:color w:val="000000" w:themeColor="text1"/>
                <w:sz w:val="16"/>
                <w:szCs w:val="16"/>
              </w:rPr>
              <w:t xml:space="preserve">Sauszemes transports </w:t>
            </w:r>
          </w:p>
        </w:tc>
        <w:tc>
          <w:tcPr>
            <w:tcW w:w="2381" w:type="dxa"/>
            <w:shd w:val="clear" w:color="auto" w:fill="B4C6E7" w:themeFill="accent1" w:themeFillTint="66"/>
          </w:tcPr>
          <w:p w14:paraId="5EFAE3C3" w14:textId="77777777" w:rsidR="00812A72" w:rsidRPr="006C5241"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sv-SE"/>
              </w:rPr>
              <w:t>122 milj. eiro 2025. – 2030. gadā: 20,33 milj. eiro katru gadu.</w:t>
            </w:r>
          </w:p>
        </w:tc>
        <w:tc>
          <w:tcPr>
            <w:tcW w:w="3288" w:type="dxa"/>
            <w:shd w:val="clear" w:color="auto" w:fill="B4C6E7" w:themeFill="accent1" w:themeFillTint="66"/>
          </w:tcPr>
          <w:p w14:paraId="5A009118" w14:textId="77777777" w:rsidR="00812A72" w:rsidRPr="006C5241" w:rsidRDefault="00812A72" w:rsidP="0002297E">
            <w:pPr>
              <w:widowControl/>
              <w:spacing w:before="40" w:after="40" w:line="240" w:lineRule="auto"/>
              <w:rPr>
                <w:rFonts w:asciiTheme="majorHAnsi" w:eastAsia="Times New Roman" w:hAnsiTheme="majorHAnsi" w:cstheme="majorHAnsi"/>
                <w:color w:val="000000"/>
                <w:sz w:val="16"/>
                <w:szCs w:val="16"/>
                <w:lang w:val="lv-LV" w:eastAsia="lv-LV"/>
              </w:rPr>
            </w:pPr>
            <w:r w:rsidRPr="00097491">
              <w:rPr>
                <w:rFonts w:asciiTheme="majorHAnsi" w:hAnsiTheme="majorHAnsi" w:cstheme="majorHAnsi"/>
                <w:b/>
                <w:bCs/>
                <w:sz w:val="16"/>
                <w:szCs w:val="16"/>
                <w:lang w:val="lv-LV"/>
              </w:rPr>
              <w:t>100 %</w:t>
            </w:r>
            <w:r w:rsidRPr="00097491">
              <w:rPr>
                <w:rFonts w:asciiTheme="majorHAnsi" w:hAnsiTheme="majorHAnsi" w:cstheme="majorHAnsi"/>
                <w:sz w:val="16"/>
                <w:szCs w:val="16"/>
                <w:lang w:val="lv-LV"/>
              </w:rPr>
              <w:t xml:space="preserve"> – nacionālais publiskais finansējums papildu izdevumu veidā.</w:t>
            </w:r>
          </w:p>
        </w:tc>
      </w:tr>
      <w:tr w:rsidR="00812A72" w:rsidRPr="00AB3438" w14:paraId="2E2FE946" w14:textId="77777777" w:rsidTr="0002297E">
        <w:trPr>
          <w:jc w:val="center"/>
        </w:trPr>
        <w:tc>
          <w:tcPr>
            <w:tcW w:w="2948" w:type="dxa"/>
            <w:shd w:val="clear" w:color="auto" w:fill="D9E2F3" w:themeFill="accent1" w:themeFillTint="33"/>
          </w:tcPr>
          <w:p w14:paraId="29F30FAB" w14:textId="77777777" w:rsidR="00812A72" w:rsidRPr="006C5241" w:rsidRDefault="00812A72" w:rsidP="0002297E">
            <w:pPr>
              <w:widowControl/>
              <w:spacing w:before="40" w:after="40" w:line="240" w:lineRule="auto"/>
              <w:rPr>
                <w:rFonts w:asciiTheme="majorHAnsi" w:hAnsiTheme="majorHAnsi" w:cstheme="majorHAnsi"/>
                <w:sz w:val="16"/>
                <w:szCs w:val="16"/>
                <w:lang w:val="lv-LV"/>
              </w:rPr>
            </w:pPr>
            <w:r w:rsidRPr="006C5241">
              <w:rPr>
                <w:rFonts w:asciiTheme="majorHAnsi" w:hAnsiTheme="majorHAnsi" w:cstheme="majorHAnsi"/>
                <w:sz w:val="16"/>
                <w:szCs w:val="16"/>
              </w:rPr>
              <w:t>3.1.1.25. Mobilitātes punktu izveidošana.</w:t>
            </w:r>
          </w:p>
        </w:tc>
        <w:tc>
          <w:tcPr>
            <w:tcW w:w="1020" w:type="dxa"/>
            <w:shd w:val="clear" w:color="auto" w:fill="D9E2F3" w:themeFill="accent1" w:themeFillTint="33"/>
          </w:tcPr>
          <w:p w14:paraId="6CACE012" w14:textId="77777777" w:rsidR="00812A72" w:rsidRPr="00B34993" w:rsidRDefault="00812A72" w:rsidP="0002297E">
            <w:pPr>
              <w:widowControl/>
              <w:spacing w:before="40" w:after="40" w:line="240" w:lineRule="auto"/>
              <w:rPr>
                <w:rFonts w:asciiTheme="majorHAnsi" w:hAnsiTheme="majorHAnsi" w:cstheme="majorHAnsi"/>
                <w:color w:val="000000" w:themeColor="text1"/>
                <w:sz w:val="16"/>
                <w:szCs w:val="16"/>
                <w:lang w:val="lv-LV"/>
              </w:rPr>
            </w:pPr>
            <w:r w:rsidRPr="00B34993">
              <w:rPr>
                <w:rFonts w:asciiTheme="majorHAnsi" w:hAnsiTheme="majorHAnsi" w:cstheme="majorHAnsi"/>
                <w:color w:val="000000" w:themeColor="text1"/>
                <w:sz w:val="16"/>
                <w:szCs w:val="16"/>
              </w:rPr>
              <w:t xml:space="preserve">Sauszemes transports </w:t>
            </w:r>
          </w:p>
        </w:tc>
        <w:tc>
          <w:tcPr>
            <w:tcW w:w="2381" w:type="dxa"/>
            <w:shd w:val="clear" w:color="auto" w:fill="D9E2F3" w:themeFill="accent1" w:themeFillTint="33"/>
          </w:tcPr>
          <w:p w14:paraId="3F1D0149" w14:textId="77777777" w:rsidR="00812A72" w:rsidRPr="006C5241"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sv-SE"/>
              </w:rPr>
              <w:t>188,30 milj. eiro 2025. – 2030. gadā: 31,38 milj. eiro katru gadu.</w:t>
            </w:r>
          </w:p>
        </w:tc>
        <w:tc>
          <w:tcPr>
            <w:tcW w:w="3288" w:type="dxa"/>
            <w:shd w:val="clear" w:color="auto" w:fill="D9E2F3" w:themeFill="accent1" w:themeFillTint="33"/>
          </w:tcPr>
          <w:p w14:paraId="56C712FA" w14:textId="77777777" w:rsidR="00812A72" w:rsidRPr="006C5241" w:rsidRDefault="00812A72" w:rsidP="0002297E">
            <w:pPr>
              <w:widowControl/>
              <w:spacing w:before="40" w:after="40" w:line="240" w:lineRule="auto"/>
              <w:rPr>
                <w:rFonts w:asciiTheme="majorHAnsi" w:eastAsia="Times New Roman" w:hAnsiTheme="majorHAnsi" w:cstheme="majorHAnsi"/>
                <w:color w:val="000000"/>
                <w:sz w:val="16"/>
                <w:szCs w:val="16"/>
                <w:lang w:val="lv-LV" w:eastAsia="lv-LV"/>
              </w:rPr>
            </w:pPr>
            <w:r w:rsidRPr="00097491">
              <w:rPr>
                <w:rFonts w:asciiTheme="majorHAnsi" w:hAnsiTheme="majorHAnsi" w:cstheme="majorHAnsi"/>
                <w:b/>
                <w:bCs/>
                <w:sz w:val="16"/>
                <w:szCs w:val="16"/>
                <w:lang w:val="lv-LV"/>
              </w:rPr>
              <w:t>40 %</w:t>
            </w:r>
            <w:r w:rsidRPr="00097491">
              <w:rPr>
                <w:rFonts w:asciiTheme="majorHAnsi" w:hAnsiTheme="majorHAnsi" w:cstheme="majorHAnsi"/>
                <w:sz w:val="16"/>
                <w:szCs w:val="16"/>
                <w:lang w:val="lv-LV"/>
              </w:rPr>
              <w:t xml:space="preserve"> – jaunais ES fondu finansējums.</w:t>
            </w:r>
            <w:r w:rsidRPr="00097491">
              <w:rPr>
                <w:rFonts w:asciiTheme="majorHAnsi" w:hAnsiTheme="majorHAnsi" w:cstheme="majorHAnsi"/>
                <w:sz w:val="16"/>
                <w:szCs w:val="16"/>
                <w:lang w:val="lv-LV"/>
              </w:rPr>
              <w:br/>
            </w:r>
            <w:r w:rsidRPr="00097491">
              <w:rPr>
                <w:rFonts w:asciiTheme="majorHAnsi" w:hAnsiTheme="majorHAnsi" w:cstheme="majorHAnsi"/>
                <w:b/>
                <w:bCs/>
                <w:sz w:val="16"/>
                <w:szCs w:val="16"/>
                <w:lang w:val="lv-LV"/>
              </w:rPr>
              <w:t>40 %</w:t>
            </w:r>
            <w:r w:rsidRPr="00097491">
              <w:rPr>
                <w:rFonts w:asciiTheme="majorHAnsi" w:hAnsiTheme="majorHAnsi" w:cstheme="majorHAnsi"/>
                <w:sz w:val="16"/>
                <w:szCs w:val="16"/>
                <w:lang w:val="lv-LV"/>
              </w:rPr>
              <w:t xml:space="preserve"> – nacionālais publiskais finansējums papildu izdevumu veidā.</w:t>
            </w:r>
            <w:r w:rsidRPr="00097491">
              <w:rPr>
                <w:rFonts w:asciiTheme="majorHAnsi" w:hAnsiTheme="majorHAnsi" w:cstheme="majorHAnsi"/>
                <w:sz w:val="16"/>
                <w:szCs w:val="16"/>
                <w:lang w:val="lv-LV"/>
              </w:rPr>
              <w:br/>
            </w:r>
            <w:r w:rsidRPr="006C5241">
              <w:rPr>
                <w:rFonts w:asciiTheme="majorHAnsi" w:hAnsiTheme="majorHAnsi" w:cstheme="majorHAnsi"/>
                <w:b/>
                <w:bCs/>
                <w:sz w:val="16"/>
                <w:szCs w:val="16"/>
              </w:rPr>
              <w:t>20 %</w:t>
            </w:r>
            <w:r>
              <w:rPr>
                <w:rFonts w:asciiTheme="majorHAnsi" w:hAnsiTheme="majorHAnsi" w:cstheme="majorHAnsi"/>
                <w:sz w:val="16"/>
                <w:szCs w:val="16"/>
              </w:rPr>
              <w:t xml:space="preserve"> – </w:t>
            </w:r>
            <w:r w:rsidRPr="006C5241">
              <w:rPr>
                <w:rFonts w:asciiTheme="majorHAnsi" w:hAnsiTheme="majorHAnsi" w:cstheme="majorHAnsi"/>
                <w:sz w:val="16"/>
                <w:szCs w:val="16"/>
              </w:rPr>
              <w:t>Latvijas privāto uzņēmumu finansējums.</w:t>
            </w:r>
          </w:p>
        </w:tc>
      </w:tr>
      <w:tr w:rsidR="00812A72" w:rsidRPr="00D24F07" w14:paraId="72007637" w14:textId="77777777" w:rsidTr="0002297E">
        <w:trPr>
          <w:jc w:val="center"/>
        </w:trPr>
        <w:tc>
          <w:tcPr>
            <w:tcW w:w="2948" w:type="dxa"/>
            <w:shd w:val="clear" w:color="auto" w:fill="B4C6E7" w:themeFill="accent1" w:themeFillTint="66"/>
          </w:tcPr>
          <w:p w14:paraId="7F14DDD8" w14:textId="77777777" w:rsidR="00812A72" w:rsidRPr="006C5241" w:rsidRDefault="00812A72" w:rsidP="0002297E">
            <w:pPr>
              <w:widowControl/>
              <w:spacing w:before="40" w:after="40" w:line="240" w:lineRule="auto"/>
              <w:rPr>
                <w:rFonts w:asciiTheme="majorHAnsi" w:hAnsiTheme="majorHAnsi" w:cstheme="majorHAnsi"/>
                <w:sz w:val="16"/>
                <w:szCs w:val="16"/>
                <w:lang w:val="lv-LV"/>
              </w:rPr>
            </w:pPr>
            <w:r w:rsidRPr="006C5241">
              <w:rPr>
                <w:rFonts w:asciiTheme="majorHAnsi" w:hAnsiTheme="majorHAnsi" w:cstheme="majorHAnsi"/>
                <w:sz w:val="16"/>
                <w:szCs w:val="16"/>
              </w:rPr>
              <w:t>3.1.1.27. Attīstīt tranzīta koridorus un pieslēgumus tiem, novirzot intensīvas satiksmes plūsmas no dzīvojamām teritorijām</w:t>
            </w:r>
          </w:p>
        </w:tc>
        <w:tc>
          <w:tcPr>
            <w:tcW w:w="1020" w:type="dxa"/>
            <w:shd w:val="clear" w:color="auto" w:fill="B4C6E7" w:themeFill="accent1" w:themeFillTint="66"/>
          </w:tcPr>
          <w:p w14:paraId="5E8FA93E" w14:textId="77777777" w:rsidR="00812A72" w:rsidRPr="00B34993" w:rsidRDefault="00812A72" w:rsidP="0002297E">
            <w:pPr>
              <w:widowControl/>
              <w:spacing w:before="40" w:after="40" w:line="240" w:lineRule="auto"/>
              <w:rPr>
                <w:rFonts w:asciiTheme="majorHAnsi" w:hAnsiTheme="majorHAnsi" w:cstheme="majorHAnsi"/>
                <w:color w:val="000000" w:themeColor="text1"/>
                <w:sz w:val="16"/>
                <w:szCs w:val="16"/>
                <w:lang w:val="lv-LV"/>
              </w:rPr>
            </w:pPr>
            <w:r w:rsidRPr="00B34993">
              <w:rPr>
                <w:rFonts w:asciiTheme="majorHAnsi" w:hAnsiTheme="majorHAnsi" w:cstheme="majorHAnsi"/>
                <w:color w:val="000000" w:themeColor="text1"/>
                <w:sz w:val="16"/>
                <w:szCs w:val="16"/>
              </w:rPr>
              <w:t xml:space="preserve">Sauszemes transports </w:t>
            </w:r>
          </w:p>
        </w:tc>
        <w:tc>
          <w:tcPr>
            <w:tcW w:w="2381" w:type="dxa"/>
            <w:shd w:val="clear" w:color="auto" w:fill="B4C6E7" w:themeFill="accent1" w:themeFillTint="66"/>
          </w:tcPr>
          <w:p w14:paraId="485CA071" w14:textId="77777777" w:rsidR="00812A72" w:rsidRPr="006C5241"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sv-SE"/>
              </w:rPr>
              <w:t>100 milj: eiro 2025. – 2030. gadā. 16,66 milj. eiro katru gadu.</w:t>
            </w:r>
          </w:p>
        </w:tc>
        <w:tc>
          <w:tcPr>
            <w:tcW w:w="3288" w:type="dxa"/>
            <w:shd w:val="clear" w:color="auto" w:fill="B4C6E7" w:themeFill="accent1" w:themeFillTint="66"/>
          </w:tcPr>
          <w:p w14:paraId="2483DEA0" w14:textId="77777777" w:rsidR="00812A72" w:rsidRPr="006C5241" w:rsidRDefault="00812A72" w:rsidP="0002297E">
            <w:pPr>
              <w:widowControl/>
              <w:spacing w:before="40" w:after="40" w:line="240" w:lineRule="auto"/>
              <w:rPr>
                <w:rFonts w:asciiTheme="majorHAnsi" w:eastAsia="Times New Roman" w:hAnsiTheme="majorHAnsi" w:cstheme="majorHAnsi"/>
                <w:color w:val="000000"/>
                <w:sz w:val="16"/>
                <w:szCs w:val="16"/>
                <w:lang w:val="lv-LV" w:eastAsia="lv-LV"/>
              </w:rPr>
            </w:pPr>
            <w:r w:rsidRPr="00097491">
              <w:rPr>
                <w:rFonts w:asciiTheme="majorHAnsi" w:hAnsiTheme="majorHAnsi" w:cstheme="majorHAnsi"/>
                <w:b/>
                <w:bCs/>
                <w:sz w:val="16"/>
                <w:szCs w:val="16"/>
                <w:lang w:val="lv-LV"/>
              </w:rPr>
              <w:t>100 %</w:t>
            </w:r>
            <w:r w:rsidRPr="00097491">
              <w:rPr>
                <w:rFonts w:asciiTheme="majorHAnsi" w:hAnsiTheme="majorHAnsi" w:cstheme="majorHAnsi"/>
                <w:sz w:val="16"/>
                <w:szCs w:val="16"/>
                <w:lang w:val="lv-LV"/>
              </w:rPr>
              <w:t xml:space="preserve"> – nacionālais publiskais finansējums papildu izdevumu veidā.</w:t>
            </w:r>
          </w:p>
        </w:tc>
      </w:tr>
      <w:tr w:rsidR="00812A72" w:rsidRPr="00D24F07" w14:paraId="3A4CF118" w14:textId="77777777" w:rsidTr="0002297E">
        <w:trPr>
          <w:jc w:val="center"/>
        </w:trPr>
        <w:tc>
          <w:tcPr>
            <w:tcW w:w="2948" w:type="dxa"/>
            <w:shd w:val="clear" w:color="auto" w:fill="D9E2F3" w:themeFill="accent1" w:themeFillTint="33"/>
          </w:tcPr>
          <w:p w14:paraId="16C410DF" w14:textId="77777777" w:rsidR="00812A72" w:rsidRPr="006C5241"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lv-LV"/>
              </w:rPr>
              <w:t>3.1.1.28. Rīgas pašvaldībai īstenot “dienu bez auto” vismaz 1 reizi gadā</w:t>
            </w:r>
          </w:p>
        </w:tc>
        <w:tc>
          <w:tcPr>
            <w:tcW w:w="1020" w:type="dxa"/>
            <w:shd w:val="clear" w:color="auto" w:fill="D9E2F3" w:themeFill="accent1" w:themeFillTint="33"/>
          </w:tcPr>
          <w:p w14:paraId="7AC7FC45" w14:textId="77777777" w:rsidR="00812A72" w:rsidRPr="00B34993" w:rsidRDefault="00812A72" w:rsidP="0002297E">
            <w:pPr>
              <w:widowControl/>
              <w:spacing w:before="40" w:after="40" w:line="240" w:lineRule="auto"/>
              <w:rPr>
                <w:rFonts w:asciiTheme="majorHAnsi" w:hAnsiTheme="majorHAnsi" w:cstheme="majorHAnsi"/>
                <w:color w:val="000000" w:themeColor="text1"/>
                <w:sz w:val="16"/>
                <w:szCs w:val="16"/>
                <w:lang w:val="lv-LV"/>
              </w:rPr>
            </w:pPr>
            <w:r w:rsidRPr="00B34993">
              <w:rPr>
                <w:rFonts w:asciiTheme="majorHAnsi" w:hAnsiTheme="majorHAnsi" w:cstheme="majorHAnsi"/>
                <w:color w:val="000000" w:themeColor="text1"/>
                <w:sz w:val="16"/>
                <w:szCs w:val="16"/>
              </w:rPr>
              <w:t>Privātie pakalpojumi</w:t>
            </w:r>
          </w:p>
        </w:tc>
        <w:tc>
          <w:tcPr>
            <w:tcW w:w="2381" w:type="dxa"/>
            <w:shd w:val="clear" w:color="auto" w:fill="D9E2F3" w:themeFill="accent1" w:themeFillTint="33"/>
          </w:tcPr>
          <w:p w14:paraId="6525EB49" w14:textId="77777777" w:rsidR="00812A72" w:rsidRPr="006C5241"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sv-SE"/>
              </w:rPr>
              <w:t>1 milj. eiro 2025. – 2030. gadā: 0,16 milj. eiro katru gadu.</w:t>
            </w:r>
          </w:p>
        </w:tc>
        <w:tc>
          <w:tcPr>
            <w:tcW w:w="3288" w:type="dxa"/>
            <w:shd w:val="clear" w:color="auto" w:fill="D9E2F3" w:themeFill="accent1" w:themeFillTint="33"/>
          </w:tcPr>
          <w:p w14:paraId="7AC0320C" w14:textId="77777777" w:rsidR="00812A72" w:rsidRPr="006C5241" w:rsidRDefault="00812A72" w:rsidP="0002297E">
            <w:pPr>
              <w:widowControl/>
              <w:spacing w:before="40" w:after="40" w:line="240" w:lineRule="auto"/>
              <w:rPr>
                <w:rFonts w:asciiTheme="majorHAnsi" w:eastAsia="Times New Roman" w:hAnsiTheme="majorHAnsi" w:cstheme="majorHAnsi"/>
                <w:color w:val="000000"/>
                <w:sz w:val="16"/>
                <w:szCs w:val="16"/>
                <w:lang w:val="lv-LV" w:eastAsia="lv-LV"/>
              </w:rPr>
            </w:pPr>
            <w:r w:rsidRPr="00097491">
              <w:rPr>
                <w:rFonts w:asciiTheme="majorHAnsi" w:hAnsiTheme="majorHAnsi" w:cstheme="majorHAnsi"/>
                <w:b/>
                <w:bCs/>
                <w:sz w:val="16"/>
                <w:szCs w:val="16"/>
                <w:lang w:val="lv-LV"/>
              </w:rPr>
              <w:t>100 %</w:t>
            </w:r>
            <w:r w:rsidRPr="00097491">
              <w:rPr>
                <w:rFonts w:asciiTheme="majorHAnsi" w:hAnsiTheme="majorHAnsi" w:cstheme="majorHAnsi"/>
                <w:sz w:val="16"/>
                <w:szCs w:val="16"/>
                <w:lang w:val="lv-LV"/>
              </w:rPr>
              <w:t xml:space="preserve"> – nacionālais publiskais finansējums papildu izdevumu veidā.</w:t>
            </w:r>
          </w:p>
        </w:tc>
      </w:tr>
    </w:tbl>
    <w:p w14:paraId="4735A425" w14:textId="77777777" w:rsidR="00ED3083" w:rsidRPr="00097491" w:rsidRDefault="00812A72" w:rsidP="00812A72">
      <w:pPr>
        <w:widowControl/>
        <w:spacing w:before="120" w:after="120" w:line="240" w:lineRule="auto"/>
        <w:jc w:val="both"/>
        <w:rPr>
          <w:rFonts w:ascii="Arial Nova Cond Light" w:eastAsia="Times New Roman" w:hAnsi="Arial Nova Cond Light"/>
          <w:sz w:val="16"/>
          <w:szCs w:val="24"/>
          <w:lang w:val="lv-LV" w:eastAsia="lv-LV"/>
        </w:rPr>
      </w:pPr>
      <w:r w:rsidRPr="00097491">
        <w:rPr>
          <w:rFonts w:ascii="Arial Nova Cond Light" w:eastAsia="Times New Roman" w:hAnsi="Arial Nova Cond Light"/>
          <w:sz w:val="16"/>
          <w:szCs w:val="24"/>
          <w:lang w:val="lv-LV" w:eastAsia="lv-LV"/>
        </w:rPr>
        <w:t xml:space="preserve">Avots: autoru veidotā tabula pēc NEKP, kā arī Satiksmes ministrijas un Ekonomikas ministrijas nepublicētiem datiem. </w:t>
      </w:r>
    </w:p>
    <w:p w14:paraId="5F48CAE4" w14:textId="77777777" w:rsidR="00ED3083" w:rsidRPr="00ED3083" w:rsidRDefault="00ED3083" w:rsidP="00ED3083">
      <w:pPr>
        <w:widowControl/>
        <w:spacing w:after="120" w:line="240" w:lineRule="auto"/>
        <w:rPr>
          <w:rFonts w:ascii="Verdana Pro Cond Light" w:hAnsi="Verdana Pro Cond Light"/>
          <w:bCs/>
          <w:lang w:val="lv-LV"/>
        </w:rPr>
      </w:pPr>
    </w:p>
    <w:p w14:paraId="34C9ED93" w14:textId="069C6938" w:rsidR="00812A72" w:rsidRPr="00ED3083" w:rsidRDefault="00812A72" w:rsidP="00ED3083">
      <w:pPr>
        <w:widowControl/>
        <w:spacing w:after="120" w:line="240" w:lineRule="auto"/>
        <w:rPr>
          <w:rFonts w:ascii="Verdana Pro Cond Light" w:hAnsi="Verdana Pro Cond Light"/>
          <w:bCs/>
          <w:lang w:val="lv-LV"/>
        </w:rPr>
      </w:pPr>
    </w:p>
    <w:p w14:paraId="41AC01A9" w14:textId="77777777" w:rsidR="00812A72" w:rsidRPr="00537DE7" w:rsidRDefault="00812A72" w:rsidP="00812A72">
      <w:pPr>
        <w:pStyle w:val="Heading2"/>
        <w:rPr>
          <w:lang w:val="lv-LV"/>
        </w:rPr>
      </w:pPr>
      <w:bookmarkStart w:id="50" w:name="_Toc176185146"/>
      <w:bookmarkStart w:id="51" w:name="_Toc176778155"/>
      <w:bookmarkStart w:id="52" w:name="_Toc177395396"/>
      <w:bookmarkStart w:id="53" w:name="_Toc178327881"/>
      <w:bookmarkStart w:id="54" w:name="_Toc183697490"/>
      <w:r w:rsidRPr="00537DE7">
        <w:rPr>
          <w:lang w:val="lv-LV"/>
        </w:rPr>
        <w:t>Trešais scenārijs – RPPI sektora pasākumi</w:t>
      </w:r>
      <w:bookmarkEnd w:id="50"/>
      <w:bookmarkEnd w:id="51"/>
      <w:bookmarkEnd w:id="52"/>
      <w:bookmarkEnd w:id="53"/>
      <w:bookmarkEnd w:id="54"/>
    </w:p>
    <w:p w14:paraId="7EC88163" w14:textId="77777777" w:rsidR="00812A72" w:rsidRDefault="00812A72" w:rsidP="00812A72">
      <w:pPr>
        <w:widowControl/>
        <w:spacing w:after="120" w:line="240" w:lineRule="auto"/>
        <w:rPr>
          <w:rFonts w:ascii="Verdana Pro Cond Light" w:hAnsi="Verdana Pro Cond Light"/>
          <w:lang w:val="lv-LV"/>
        </w:rPr>
      </w:pPr>
      <w:r w:rsidRPr="006C5241">
        <w:rPr>
          <w:rFonts w:ascii="Verdana Pro Cond Light" w:hAnsi="Verdana Pro Cond Light"/>
          <w:bCs/>
          <w:lang w:val="lv-LV"/>
        </w:rPr>
        <w:t>RPPI sektora pasākumu grupā tika modelēta 3.1.5.2., kā arī 3.1.5.4. – 3.1.5.6 pasākumu sociālekonomiskā ietekme – kā investīciju palielinājums attiecīgajās nozarēs (6.3. tabula). Modelēto RPPI sektora pasākumu ieguldījumu kopapjoms ir 284,2 milj. eiro, no tiem 50,3</w:t>
      </w:r>
      <w:r>
        <w:rPr>
          <w:rFonts w:ascii="Verdana Pro Cond Light" w:hAnsi="Verdana Pro Cond Light"/>
          <w:bCs/>
          <w:lang w:val="lv-LV"/>
        </w:rPr>
        <w:t> </w:t>
      </w:r>
      <w:r w:rsidRPr="006C5241">
        <w:rPr>
          <w:rFonts w:ascii="Verdana Pro Cond Light" w:hAnsi="Verdana Pro Cond Light"/>
          <w:bCs/>
          <w:lang w:val="lv-LV"/>
        </w:rPr>
        <w:t>% ir jaunā nauda (</w:t>
      </w:r>
      <w:r w:rsidRPr="006C5241">
        <w:rPr>
          <w:rFonts w:ascii="Verdana Pro Cond Light" w:hAnsi="Verdana Pro Cond Light"/>
          <w:lang w:val="lv-LV"/>
        </w:rPr>
        <w:t>nacionālais publiskais finansējums papildu izdevumu veidā), bet 49,7</w:t>
      </w:r>
      <w:r>
        <w:rPr>
          <w:rFonts w:ascii="Verdana Pro Cond Light" w:hAnsi="Verdana Pro Cond Light"/>
          <w:lang w:val="lv-LV"/>
        </w:rPr>
        <w:t> </w:t>
      </w:r>
      <w:r w:rsidRPr="006C5241">
        <w:rPr>
          <w:rFonts w:ascii="Verdana Pro Cond Light" w:hAnsi="Verdana Pro Cond Light"/>
          <w:lang w:val="lv-LV"/>
        </w:rPr>
        <w:t>% ir finansējuma pārdale (Latvijas privāto uzņēmumu finansējums).</w:t>
      </w:r>
    </w:p>
    <w:p w14:paraId="6D18C0BA" w14:textId="77777777" w:rsidR="00812A72" w:rsidRPr="006C5241" w:rsidRDefault="00812A72" w:rsidP="00812A72">
      <w:pPr>
        <w:widowControl/>
        <w:spacing w:after="120" w:line="240" w:lineRule="auto"/>
        <w:rPr>
          <w:rFonts w:ascii="Verdana Pro Cond Light" w:hAnsi="Verdana Pro Cond Light"/>
          <w:lang w:val="lv-LV"/>
        </w:rPr>
      </w:pPr>
      <w:r w:rsidRPr="006C5241">
        <w:rPr>
          <w:rFonts w:ascii="Verdana Pro Cond Light" w:hAnsi="Verdana Pro Cond Light"/>
          <w:lang w:val="lv-LV"/>
        </w:rPr>
        <w:t>Tā kā RPPI sektora pasākumi ietver papildu investīcijas, tiem ir pozitīva ietekme uz IKP – gan</w:t>
      </w:r>
      <w:r>
        <w:rPr>
          <w:rFonts w:ascii="Verdana Pro Cond Light" w:hAnsi="Verdana Pro Cond Light"/>
          <w:lang w:val="lv-LV"/>
        </w:rPr>
        <w:t xml:space="preserve"> </w:t>
      </w:r>
      <w:r w:rsidRPr="006C5241">
        <w:rPr>
          <w:rFonts w:ascii="Verdana Pro Cond Light" w:hAnsi="Verdana Pro Cond Light"/>
          <w:lang w:val="lv-LV"/>
        </w:rPr>
        <w:t>īstermiņā, gan ilgtermiņā. Reālā IKP līmenis 2050. gadā ir par 0,2</w:t>
      </w:r>
      <w:r>
        <w:rPr>
          <w:rFonts w:ascii="Verdana Pro Cond Light" w:hAnsi="Verdana Pro Cond Light"/>
          <w:lang w:val="lv-LV"/>
        </w:rPr>
        <w:t> </w:t>
      </w:r>
      <w:r w:rsidRPr="006C5241">
        <w:rPr>
          <w:rFonts w:ascii="Verdana Pro Cond Light" w:hAnsi="Verdana Pro Cond Light"/>
          <w:lang w:val="lv-LV"/>
        </w:rPr>
        <w:t>% lielāks nekā neīstenojot RPPI pasākumus. No IKP komponentēm visvairāk palielinās investīcijas, pozitīva ietekme ir arī uz privāto patēriņu (6.1</w:t>
      </w:r>
      <w:r>
        <w:rPr>
          <w:rFonts w:ascii="Verdana Pro Cond Light" w:hAnsi="Verdana Pro Cond Light"/>
          <w:lang w:val="lv-LV"/>
        </w:rPr>
        <w:t>4</w:t>
      </w:r>
      <w:r w:rsidRPr="006C5241">
        <w:rPr>
          <w:rFonts w:ascii="Verdana Pro Cond Light" w:hAnsi="Verdana Pro Cond Light"/>
          <w:lang w:val="lv-LV"/>
        </w:rPr>
        <w:t>.</w:t>
      </w:r>
      <w:r>
        <w:rPr>
          <w:rFonts w:ascii="Verdana Pro Cond Light" w:hAnsi="Verdana Pro Cond Light"/>
          <w:lang w:val="lv-LV"/>
        </w:rPr>
        <w:t> </w:t>
      </w:r>
      <w:r w:rsidRPr="006C5241">
        <w:rPr>
          <w:rFonts w:ascii="Verdana Pro Cond Light" w:hAnsi="Verdana Pro Cond Light"/>
          <w:lang w:val="lv-LV"/>
        </w:rPr>
        <w:t>attēls). Īstermiņā investīciju pieaugums izspiež eksportu un palielina importu, taču ilgtermiņa tirdzniecības bilance nedaudz uzlabojas (6.1</w:t>
      </w:r>
      <w:r>
        <w:rPr>
          <w:rFonts w:ascii="Verdana Pro Cond Light" w:hAnsi="Verdana Pro Cond Light"/>
          <w:lang w:val="lv-LV"/>
        </w:rPr>
        <w:t>5</w:t>
      </w:r>
      <w:r w:rsidRPr="006C5241">
        <w:rPr>
          <w:rFonts w:ascii="Verdana Pro Cond Light" w:hAnsi="Verdana Pro Cond Light"/>
          <w:lang w:val="lv-LV"/>
        </w:rPr>
        <w:t>. attēls).</w:t>
      </w:r>
    </w:p>
    <w:p w14:paraId="69A692E2" w14:textId="77777777" w:rsidR="00812A72" w:rsidRDefault="00812A72" w:rsidP="00812A72">
      <w:pPr>
        <w:widowControl/>
        <w:spacing w:after="120" w:line="240" w:lineRule="auto"/>
        <w:rPr>
          <w:rFonts w:ascii="Verdana Pro Cond Light" w:hAnsi="Verdana Pro Cond Light"/>
          <w:lang w:val="lv-LV"/>
        </w:rPr>
      </w:pPr>
      <w:r w:rsidRPr="006C5241">
        <w:rPr>
          <w:rFonts w:ascii="Verdana Pro Cond Light" w:hAnsi="Verdana Pro Cond Light"/>
          <w:lang w:val="lv-LV"/>
        </w:rPr>
        <w:t>RPPI sektora pasākumu īstenošana palielina gan produktivitāti, gan nodarbinātību; taču ietekme nav liela, ko nosaka pasākumu salīdzinoši mazs apjoms. Piemēram, nodarbināto skaits 2050. gadā ir tikai par 0,1</w:t>
      </w:r>
      <w:r>
        <w:rPr>
          <w:rFonts w:ascii="Verdana Pro Cond Light" w:hAnsi="Verdana Pro Cond Light"/>
          <w:lang w:val="lv-LV"/>
        </w:rPr>
        <w:t> </w:t>
      </w:r>
      <w:r w:rsidRPr="006C5241">
        <w:rPr>
          <w:rFonts w:ascii="Verdana Pro Cond Light" w:hAnsi="Verdana Pro Cond Light"/>
          <w:lang w:val="lv-LV"/>
        </w:rPr>
        <w:t>% lielāks nekā bāzes scenārijā (6.1</w:t>
      </w:r>
      <w:r>
        <w:rPr>
          <w:rFonts w:ascii="Verdana Pro Cond Light" w:hAnsi="Verdana Pro Cond Light"/>
          <w:lang w:val="lv-LV"/>
        </w:rPr>
        <w:t>6</w:t>
      </w:r>
      <w:r w:rsidRPr="006C5241">
        <w:rPr>
          <w:rFonts w:ascii="Verdana Pro Cond Light" w:hAnsi="Verdana Pro Cond Light"/>
          <w:lang w:val="lv-LV"/>
        </w:rPr>
        <w:t>. attēls). Lielāks darbaspēka pieprasījums nosaka arī augstākas algas. Lai gan ilgtermiņā ietekme uz nominālām algām sarūk, ietekme uz reālo algu ir pozitīva, samazinoties cenu līmenim (6.1</w:t>
      </w:r>
      <w:r>
        <w:rPr>
          <w:rFonts w:ascii="Verdana Pro Cond Light" w:hAnsi="Verdana Pro Cond Light"/>
          <w:lang w:val="lv-LV"/>
        </w:rPr>
        <w:t>7</w:t>
      </w:r>
      <w:r w:rsidRPr="006C5241">
        <w:rPr>
          <w:rFonts w:ascii="Verdana Pro Cond Light" w:hAnsi="Verdana Pro Cond Light"/>
          <w:lang w:val="lv-LV"/>
        </w:rPr>
        <w:t>. attēls).</w:t>
      </w:r>
    </w:p>
    <w:p w14:paraId="365DD6EC" w14:textId="77777777" w:rsidR="00812A72" w:rsidRPr="006C5241" w:rsidRDefault="00812A72" w:rsidP="00812A72">
      <w:pPr>
        <w:widowControl/>
        <w:spacing w:after="120" w:line="240" w:lineRule="auto"/>
        <w:rPr>
          <w:rFonts w:ascii="Verdana Pro Cond Light" w:hAnsi="Verdana Pro Cond Light"/>
          <w:lang w:val="lv-LV"/>
        </w:rPr>
      </w:pPr>
      <w:r w:rsidRPr="006C5241">
        <w:rPr>
          <w:rFonts w:ascii="Verdana Pro Cond Light" w:hAnsi="Verdana Pro Cond Light"/>
          <w:lang w:val="lv-LV"/>
        </w:rPr>
        <w:t>RPPI sektora pasākumi nedaudz palielina valsts budžeta ieņēmumus (6.1</w:t>
      </w:r>
      <w:r>
        <w:rPr>
          <w:rFonts w:ascii="Verdana Pro Cond Light" w:hAnsi="Verdana Pro Cond Light"/>
          <w:lang w:val="lv-LV"/>
        </w:rPr>
        <w:t>8</w:t>
      </w:r>
      <w:r w:rsidRPr="006C5241">
        <w:rPr>
          <w:rFonts w:ascii="Verdana Pro Cond Light" w:hAnsi="Verdana Pro Cond Light"/>
          <w:lang w:val="lv-LV"/>
        </w:rPr>
        <w:t xml:space="preserve">. attēls). Nozaru dalījumā </w:t>
      </w:r>
      <w:r>
        <w:rPr>
          <w:rFonts w:ascii="Verdana Pro Cond Light" w:hAnsi="Verdana Pro Cond Light"/>
          <w:lang w:val="lv-LV"/>
        </w:rPr>
        <w:t xml:space="preserve">– </w:t>
      </w:r>
      <w:r w:rsidRPr="006C5241">
        <w:rPr>
          <w:rFonts w:ascii="Verdana Pro Cond Light" w:hAnsi="Verdana Pro Cond Light"/>
          <w:lang w:val="lv-LV"/>
        </w:rPr>
        <w:t>pozitīva ietekme uz pievienoto vērtību vienmērīgi sadalīta uz visām privātā sektora nozarēm (6.1</w:t>
      </w:r>
      <w:r>
        <w:rPr>
          <w:rFonts w:ascii="Verdana Pro Cond Light" w:hAnsi="Verdana Pro Cond Light"/>
          <w:lang w:val="lv-LV"/>
        </w:rPr>
        <w:t>9</w:t>
      </w:r>
      <w:r w:rsidRPr="006C5241">
        <w:rPr>
          <w:rFonts w:ascii="Verdana Pro Cond Light" w:hAnsi="Verdana Pro Cond Light"/>
          <w:lang w:val="lv-LV"/>
        </w:rPr>
        <w:t>.</w:t>
      </w:r>
      <w:r>
        <w:rPr>
          <w:rFonts w:ascii="Verdana Pro Cond Light" w:hAnsi="Verdana Pro Cond Light"/>
          <w:lang w:val="lv-LV"/>
        </w:rPr>
        <w:t> </w:t>
      </w:r>
      <w:r w:rsidRPr="006C5241">
        <w:rPr>
          <w:rFonts w:ascii="Verdana Pro Cond Light" w:hAnsi="Verdana Pro Cond Light"/>
          <w:lang w:val="lv-LV"/>
        </w:rPr>
        <w:t>attēls).</w:t>
      </w:r>
    </w:p>
    <w:p w14:paraId="490AE803" w14:textId="77777777" w:rsidR="00812A72" w:rsidRPr="006C5241" w:rsidRDefault="00812A72" w:rsidP="00812A72">
      <w:pPr>
        <w:widowControl/>
        <w:spacing w:before="120" w:after="120" w:line="240" w:lineRule="auto"/>
        <w:jc w:val="right"/>
        <w:rPr>
          <w:rFonts w:ascii="Verdana Pro Cond Light" w:hAnsi="Verdana Pro Cond Light"/>
          <w:bCs/>
        </w:rPr>
      </w:pPr>
      <w:r w:rsidRPr="006C5241">
        <w:rPr>
          <w:rFonts w:ascii="Verdana Pro Cond Light" w:hAnsi="Verdana Pro Cond Light"/>
          <w:bCs/>
        </w:rPr>
        <w:t>6.3. tabula</w:t>
      </w:r>
    </w:p>
    <w:p w14:paraId="4273917B" w14:textId="77777777" w:rsidR="00812A72" w:rsidRDefault="00812A72" w:rsidP="00812A72">
      <w:pPr>
        <w:widowControl/>
        <w:spacing w:after="120" w:line="240" w:lineRule="auto"/>
        <w:jc w:val="center"/>
        <w:rPr>
          <w:rFonts w:ascii="Verdana Pro Cond Light" w:hAnsi="Verdana Pro Cond Light"/>
          <w:b/>
          <w:bCs/>
        </w:rPr>
      </w:pPr>
      <w:r w:rsidRPr="006C5241">
        <w:rPr>
          <w:rFonts w:ascii="Verdana Pro Cond Light" w:hAnsi="Verdana Pro Cond Light"/>
          <w:b/>
          <w:bCs/>
        </w:rPr>
        <w:lastRenderedPageBreak/>
        <w:t>RPPI sektora pasākumu kopsavilkums</w:t>
      </w:r>
    </w:p>
    <w:tbl>
      <w:tblPr>
        <w:tblStyle w:val="TableGrid"/>
        <w:tblW w:w="963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1"/>
        <w:gridCol w:w="1020"/>
        <w:gridCol w:w="2381"/>
        <w:gridCol w:w="3005"/>
      </w:tblGrid>
      <w:tr w:rsidR="00812A72" w:rsidRPr="00CB4E89" w14:paraId="691F97A4" w14:textId="77777777" w:rsidTr="0002297E">
        <w:trPr>
          <w:cantSplit/>
          <w:trHeight w:val="20"/>
          <w:jc w:val="center"/>
        </w:trPr>
        <w:tc>
          <w:tcPr>
            <w:tcW w:w="3231" w:type="dxa"/>
            <w:shd w:val="clear" w:color="auto" w:fill="4472C4" w:themeFill="accent1"/>
          </w:tcPr>
          <w:p w14:paraId="66A10614" w14:textId="77777777" w:rsidR="00812A72" w:rsidRPr="00CB4E89" w:rsidRDefault="00812A72" w:rsidP="0002297E">
            <w:pPr>
              <w:widowControl/>
              <w:spacing w:before="40" w:after="40" w:line="240" w:lineRule="auto"/>
              <w:jc w:val="center"/>
              <w:rPr>
                <w:rFonts w:asciiTheme="majorHAnsi" w:hAnsiTheme="majorHAnsi" w:cstheme="majorHAnsi"/>
                <w:b/>
                <w:bCs/>
                <w:color w:val="FFFFFF" w:themeColor="background1"/>
                <w:sz w:val="16"/>
                <w:szCs w:val="16"/>
                <w:lang w:val="lv-LV"/>
              </w:rPr>
            </w:pPr>
            <w:r w:rsidRPr="00CB4E89">
              <w:rPr>
                <w:rFonts w:asciiTheme="majorHAnsi" w:hAnsiTheme="majorHAnsi" w:cstheme="majorHAnsi"/>
                <w:b/>
                <w:bCs/>
                <w:color w:val="FFFFFF" w:themeColor="background1"/>
                <w:sz w:val="16"/>
                <w:szCs w:val="16"/>
                <w:lang w:val="lv-LV"/>
              </w:rPr>
              <w:t>Pasākums</w:t>
            </w:r>
          </w:p>
        </w:tc>
        <w:tc>
          <w:tcPr>
            <w:tcW w:w="1020" w:type="dxa"/>
            <w:shd w:val="clear" w:color="auto" w:fill="4472C4" w:themeFill="accent1"/>
          </w:tcPr>
          <w:p w14:paraId="4A732AC5" w14:textId="77777777" w:rsidR="00812A72" w:rsidRPr="006B7AB1" w:rsidRDefault="00812A72" w:rsidP="0002297E">
            <w:pPr>
              <w:widowControl/>
              <w:spacing w:before="40" w:after="40" w:line="240" w:lineRule="auto"/>
              <w:jc w:val="center"/>
              <w:rPr>
                <w:rFonts w:asciiTheme="majorHAnsi" w:hAnsiTheme="majorHAnsi" w:cstheme="majorHAnsi"/>
                <w:b/>
                <w:bCs/>
                <w:color w:val="FFFFFF" w:themeColor="background1"/>
                <w:sz w:val="16"/>
                <w:szCs w:val="16"/>
                <w:lang w:val="lv-LV"/>
              </w:rPr>
            </w:pPr>
            <w:r w:rsidRPr="006B7AB1">
              <w:rPr>
                <w:rFonts w:asciiTheme="majorHAnsi" w:hAnsiTheme="majorHAnsi" w:cstheme="majorHAnsi"/>
                <w:b/>
                <w:bCs/>
                <w:color w:val="FFFFFF" w:themeColor="background1"/>
                <w:sz w:val="16"/>
                <w:szCs w:val="16"/>
                <w:lang w:val="lv-LV"/>
              </w:rPr>
              <w:t>Nozare</w:t>
            </w:r>
          </w:p>
        </w:tc>
        <w:tc>
          <w:tcPr>
            <w:tcW w:w="2381" w:type="dxa"/>
            <w:shd w:val="clear" w:color="auto" w:fill="4472C4" w:themeFill="accent1"/>
          </w:tcPr>
          <w:p w14:paraId="3F3CAAEC" w14:textId="77777777" w:rsidR="00812A72" w:rsidRPr="006B7AB1" w:rsidRDefault="00812A72" w:rsidP="0002297E">
            <w:pPr>
              <w:widowControl/>
              <w:spacing w:before="40" w:after="40" w:line="240" w:lineRule="auto"/>
              <w:jc w:val="center"/>
              <w:rPr>
                <w:rFonts w:asciiTheme="majorHAnsi" w:hAnsiTheme="majorHAnsi" w:cstheme="majorHAnsi"/>
                <w:b/>
                <w:bCs/>
                <w:color w:val="FFFFFF" w:themeColor="background1"/>
                <w:sz w:val="16"/>
                <w:szCs w:val="16"/>
                <w:lang w:val="lv-LV"/>
              </w:rPr>
            </w:pPr>
            <w:r w:rsidRPr="006B7AB1">
              <w:rPr>
                <w:rFonts w:asciiTheme="majorHAnsi" w:hAnsiTheme="majorHAnsi" w:cstheme="majorHAnsi"/>
                <w:b/>
                <w:bCs/>
                <w:color w:val="FFFFFF" w:themeColor="background1"/>
                <w:sz w:val="16"/>
                <w:szCs w:val="16"/>
                <w:lang w:val="lv-LV"/>
              </w:rPr>
              <w:t>Finansējums</w:t>
            </w:r>
          </w:p>
        </w:tc>
        <w:tc>
          <w:tcPr>
            <w:tcW w:w="3005" w:type="dxa"/>
            <w:shd w:val="clear" w:color="auto" w:fill="4472C4" w:themeFill="accent1"/>
          </w:tcPr>
          <w:p w14:paraId="1575F408" w14:textId="77777777" w:rsidR="00812A72" w:rsidRPr="00CB4E89" w:rsidRDefault="00812A72" w:rsidP="0002297E">
            <w:pPr>
              <w:widowControl/>
              <w:spacing w:before="40" w:after="40" w:line="240" w:lineRule="auto"/>
              <w:jc w:val="center"/>
              <w:rPr>
                <w:rFonts w:asciiTheme="majorHAnsi" w:hAnsiTheme="majorHAnsi" w:cstheme="majorHAnsi"/>
                <w:b/>
                <w:bCs/>
                <w:color w:val="FFFFFF" w:themeColor="background1"/>
                <w:sz w:val="16"/>
                <w:szCs w:val="16"/>
                <w:lang w:val="lv-LV"/>
              </w:rPr>
            </w:pPr>
            <w:r w:rsidRPr="00CB4E89">
              <w:rPr>
                <w:rFonts w:asciiTheme="majorHAnsi" w:hAnsiTheme="majorHAnsi" w:cstheme="majorHAnsi"/>
                <w:b/>
                <w:bCs/>
                <w:color w:val="FFFFFF" w:themeColor="background1"/>
                <w:sz w:val="16"/>
                <w:szCs w:val="16"/>
                <w:lang w:val="lv-LV"/>
              </w:rPr>
              <w:t>Finansējuma avots</w:t>
            </w:r>
          </w:p>
        </w:tc>
      </w:tr>
      <w:tr w:rsidR="00812A72" w:rsidRPr="006B7AB1" w14:paraId="350C201A" w14:textId="77777777" w:rsidTr="0002297E">
        <w:trPr>
          <w:jc w:val="center"/>
        </w:trPr>
        <w:tc>
          <w:tcPr>
            <w:tcW w:w="3231" w:type="dxa"/>
            <w:shd w:val="clear" w:color="auto" w:fill="D9E2F3" w:themeFill="accent1" w:themeFillTint="33"/>
          </w:tcPr>
          <w:p w14:paraId="7C096C61" w14:textId="77777777" w:rsidR="00812A72" w:rsidRPr="007A5C8E" w:rsidRDefault="00812A72" w:rsidP="0002297E">
            <w:pPr>
              <w:widowControl/>
              <w:spacing w:before="40" w:after="40" w:line="240" w:lineRule="auto"/>
              <w:rPr>
                <w:rFonts w:asciiTheme="majorHAnsi" w:hAnsiTheme="majorHAnsi" w:cstheme="majorHAnsi"/>
                <w:b/>
                <w:bCs/>
                <w:sz w:val="16"/>
                <w:szCs w:val="16"/>
                <w:lang w:val="lv-LV"/>
              </w:rPr>
            </w:pPr>
            <w:r w:rsidRPr="007A5C8E">
              <w:rPr>
                <w:rFonts w:asciiTheme="majorHAnsi" w:hAnsiTheme="majorHAnsi" w:cstheme="majorHAnsi"/>
                <w:sz w:val="16"/>
                <w:szCs w:val="16"/>
              </w:rPr>
              <w:t>3.1.5.2. Lielo investīciju projektu atbalsta jaunu «zaļo» produktu un darba vietu attīstība</w:t>
            </w:r>
          </w:p>
        </w:tc>
        <w:tc>
          <w:tcPr>
            <w:tcW w:w="1020" w:type="dxa"/>
            <w:shd w:val="clear" w:color="auto" w:fill="D9E2F3" w:themeFill="accent1" w:themeFillTint="33"/>
          </w:tcPr>
          <w:p w14:paraId="108FC478" w14:textId="77777777" w:rsidR="00812A72" w:rsidRPr="006B7AB1" w:rsidRDefault="00812A72" w:rsidP="0002297E">
            <w:pPr>
              <w:widowControl/>
              <w:spacing w:before="40" w:after="40" w:line="240" w:lineRule="auto"/>
              <w:rPr>
                <w:rFonts w:asciiTheme="majorHAnsi" w:hAnsiTheme="majorHAnsi" w:cstheme="majorHAnsi"/>
                <w:b/>
                <w:bCs/>
                <w:color w:val="000000" w:themeColor="text1"/>
                <w:sz w:val="16"/>
                <w:szCs w:val="16"/>
                <w:lang w:val="lv-LV"/>
              </w:rPr>
            </w:pPr>
            <w:r w:rsidRPr="006B7AB1">
              <w:rPr>
                <w:rFonts w:asciiTheme="majorHAnsi" w:hAnsiTheme="majorHAnsi" w:cstheme="majorHAnsi"/>
                <w:color w:val="000000" w:themeColor="text1"/>
                <w:sz w:val="16"/>
                <w:szCs w:val="16"/>
              </w:rPr>
              <w:t>Visas nozares</w:t>
            </w:r>
          </w:p>
        </w:tc>
        <w:tc>
          <w:tcPr>
            <w:tcW w:w="2381" w:type="dxa"/>
            <w:shd w:val="clear" w:color="auto" w:fill="D9E2F3" w:themeFill="accent1" w:themeFillTint="33"/>
          </w:tcPr>
          <w:p w14:paraId="7670F38D" w14:textId="77777777" w:rsidR="00812A72" w:rsidRPr="007A5C8E" w:rsidRDefault="00812A72" w:rsidP="0002297E">
            <w:pPr>
              <w:widowControl/>
              <w:spacing w:before="40" w:after="40" w:line="240" w:lineRule="auto"/>
              <w:rPr>
                <w:rFonts w:asciiTheme="majorHAnsi" w:hAnsiTheme="majorHAnsi" w:cstheme="majorHAnsi"/>
                <w:b/>
                <w:bCs/>
                <w:sz w:val="16"/>
                <w:szCs w:val="16"/>
                <w:lang w:val="lv-LV"/>
              </w:rPr>
            </w:pPr>
            <w:r w:rsidRPr="007A5C8E">
              <w:rPr>
                <w:rFonts w:asciiTheme="majorHAnsi" w:hAnsiTheme="majorHAnsi" w:cstheme="majorHAnsi"/>
                <w:sz w:val="16"/>
                <w:szCs w:val="16"/>
              </w:rPr>
              <w:t>282,60 milj. eiro 2025. gadā.</w:t>
            </w:r>
          </w:p>
        </w:tc>
        <w:tc>
          <w:tcPr>
            <w:tcW w:w="3005" w:type="dxa"/>
            <w:shd w:val="clear" w:color="auto" w:fill="D9E2F3" w:themeFill="accent1" w:themeFillTint="33"/>
          </w:tcPr>
          <w:p w14:paraId="663C5EC2" w14:textId="77777777" w:rsidR="00812A72" w:rsidRPr="007A5C8E" w:rsidRDefault="00812A72" w:rsidP="0002297E">
            <w:pPr>
              <w:widowControl/>
              <w:spacing w:after="0" w:line="240" w:lineRule="auto"/>
              <w:rPr>
                <w:rFonts w:asciiTheme="majorHAnsi" w:eastAsia="Times New Roman" w:hAnsiTheme="majorHAnsi" w:cstheme="majorHAnsi"/>
                <w:b/>
                <w:bCs/>
                <w:color w:val="000000"/>
                <w:sz w:val="16"/>
                <w:szCs w:val="16"/>
                <w:lang w:val="lv-LV" w:eastAsia="lv-LV"/>
              </w:rPr>
            </w:pPr>
            <w:r w:rsidRPr="006B7AB1">
              <w:rPr>
                <w:rFonts w:asciiTheme="majorHAnsi" w:hAnsiTheme="majorHAnsi" w:cstheme="majorHAnsi"/>
                <w:b/>
                <w:bCs/>
                <w:sz w:val="16"/>
                <w:szCs w:val="16"/>
                <w:lang w:val="lv-LV"/>
              </w:rPr>
              <w:t>50 %</w:t>
            </w:r>
            <w:r w:rsidRPr="006B7AB1">
              <w:rPr>
                <w:rFonts w:asciiTheme="majorHAnsi" w:hAnsiTheme="majorHAnsi" w:cstheme="majorHAnsi"/>
                <w:sz w:val="16"/>
                <w:szCs w:val="16"/>
                <w:lang w:val="lv-LV"/>
              </w:rPr>
              <w:t xml:space="preserve"> </w:t>
            </w:r>
            <w:r>
              <w:rPr>
                <w:rFonts w:asciiTheme="majorHAnsi" w:hAnsiTheme="majorHAnsi" w:cstheme="majorHAnsi"/>
                <w:sz w:val="16"/>
                <w:szCs w:val="16"/>
                <w:lang w:val="lv-LV"/>
              </w:rPr>
              <w:t xml:space="preserve">– </w:t>
            </w:r>
            <w:r w:rsidRPr="006B7AB1">
              <w:rPr>
                <w:rFonts w:asciiTheme="majorHAnsi" w:hAnsiTheme="majorHAnsi" w:cstheme="majorHAnsi"/>
                <w:sz w:val="16"/>
                <w:szCs w:val="16"/>
                <w:lang w:val="lv-LV"/>
              </w:rPr>
              <w:t xml:space="preserve">nacionālais publiskais finansējums papildu izdevumu veidā. </w:t>
            </w:r>
            <w:r w:rsidRPr="006B7AB1">
              <w:rPr>
                <w:rFonts w:asciiTheme="majorHAnsi" w:hAnsiTheme="majorHAnsi" w:cstheme="majorHAnsi"/>
                <w:sz w:val="16"/>
                <w:szCs w:val="16"/>
                <w:lang w:val="lv-LV"/>
              </w:rPr>
              <w:br/>
            </w:r>
            <w:r w:rsidRPr="006B7AB1">
              <w:rPr>
                <w:rFonts w:asciiTheme="majorHAnsi" w:hAnsiTheme="majorHAnsi" w:cstheme="majorHAnsi"/>
                <w:b/>
                <w:bCs/>
                <w:sz w:val="16"/>
                <w:szCs w:val="16"/>
                <w:lang w:val="lv-LV"/>
              </w:rPr>
              <w:t>50</w:t>
            </w:r>
            <w:r>
              <w:rPr>
                <w:rFonts w:asciiTheme="majorHAnsi" w:hAnsiTheme="majorHAnsi" w:cstheme="majorHAnsi"/>
                <w:b/>
                <w:bCs/>
                <w:sz w:val="16"/>
                <w:szCs w:val="16"/>
                <w:lang w:val="lv-LV"/>
              </w:rPr>
              <w:t xml:space="preserve"> </w:t>
            </w:r>
            <w:r w:rsidRPr="006B7AB1">
              <w:rPr>
                <w:rFonts w:asciiTheme="majorHAnsi" w:hAnsiTheme="majorHAnsi" w:cstheme="majorHAnsi"/>
                <w:b/>
                <w:bCs/>
                <w:sz w:val="16"/>
                <w:szCs w:val="16"/>
                <w:lang w:val="lv-LV"/>
              </w:rPr>
              <w:t>%</w:t>
            </w:r>
            <w:r w:rsidRPr="006B7AB1">
              <w:rPr>
                <w:rFonts w:asciiTheme="majorHAnsi" w:hAnsiTheme="majorHAnsi" w:cstheme="majorHAnsi"/>
                <w:sz w:val="16"/>
                <w:szCs w:val="16"/>
                <w:lang w:val="lv-LV"/>
              </w:rPr>
              <w:t xml:space="preserve"> </w:t>
            </w:r>
            <w:r>
              <w:rPr>
                <w:rFonts w:asciiTheme="majorHAnsi" w:hAnsiTheme="majorHAnsi" w:cstheme="majorHAnsi"/>
                <w:sz w:val="16"/>
                <w:szCs w:val="16"/>
                <w:lang w:val="lv-LV"/>
              </w:rPr>
              <w:t>–</w:t>
            </w:r>
            <w:r w:rsidRPr="006B7AB1">
              <w:rPr>
                <w:rFonts w:asciiTheme="majorHAnsi" w:hAnsiTheme="majorHAnsi" w:cstheme="majorHAnsi"/>
                <w:sz w:val="16"/>
                <w:szCs w:val="16"/>
                <w:lang w:val="lv-LV"/>
              </w:rPr>
              <w:t xml:space="preserve"> Latvijas privāto uzņēmumu finansējums.</w:t>
            </w:r>
          </w:p>
        </w:tc>
      </w:tr>
      <w:tr w:rsidR="00812A72" w:rsidRPr="00D24F07" w14:paraId="648A7CC7" w14:textId="77777777" w:rsidTr="0002297E">
        <w:trPr>
          <w:jc w:val="center"/>
        </w:trPr>
        <w:tc>
          <w:tcPr>
            <w:tcW w:w="3231" w:type="dxa"/>
            <w:shd w:val="clear" w:color="auto" w:fill="B4C6E7" w:themeFill="accent1" w:themeFillTint="66"/>
          </w:tcPr>
          <w:p w14:paraId="2D38674E" w14:textId="77777777" w:rsidR="00812A72" w:rsidRPr="007A5C8E" w:rsidRDefault="00812A72" w:rsidP="0002297E">
            <w:pPr>
              <w:widowControl/>
              <w:spacing w:before="40" w:after="40" w:line="240" w:lineRule="auto"/>
              <w:rPr>
                <w:rFonts w:asciiTheme="majorHAnsi" w:hAnsiTheme="majorHAnsi" w:cstheme="majorHAnsi"/>
                <w:sz w:val="16"/>
                <w:szCs w:val="16"/>
                <w:lang w:val="lv-LV"/>
              </w:rPr>
            </w:pPr>
            <w:r w:rsidRPr="007A5C8E">
              <w:rPr>
                <w:rFonts w:asciiTheme="majorHAnsi" w:hAnsiTheme="majorHAnsi" w:cstheme="majorHAnsi"/>
                <w:sz w:val="16"/>
                <w:szCs w:val="16"/>
              </w:rPr>
              <w:t>3.1.5.4. Nodrošināt sabiedrības informēšanu un konsultēšanu par siltumnīcefekta gāzu daudzuma samazināšanu, tostarp F-gāzēm</w:t>
            </w:r>
          </w:p>
        </w:tc>
        <w:tc>
          <w:tcPr>
            <w:tcW w:w="1020" w:type="dxa"/>
            <w:shd w:val="clear" w:color="auto" w:fill="B4C6E7" w:themeFill="accent1" w:themeFillTint="66"/>
          </w:tcPr>
          <w:p w14:paraId="67DFD75A" w14:textId="77777777" w:rsidR="00812A72" w:rsidRPr="006B7AB1" w:rsidRDefault="00812A72" w:rsidP="0002297E">
            <w:pPr>
              <w:widowControl/>
              <w:spacing w:before="40" w:after="40" w:line="240" w:lineRule="auto"/>
              <w:rPr>
                <w:rFonts w:asciiTheme="majorHAnsi" w:hAnsiTheme="majorHAnsi" w:cstheme="majorHAnsi"/>
                <w:color w:val="000000" w:themeColor="text1"/>
                <w:sz w:val="16"/>
                <w:szCs w:val="16"/>
                <w:lang w:val="lv-LV"/>
              </w:rPr>
            </w:pPr>
            <w:r w:rsidRPr="006B7AB1">
              <w:rPr>
                <w:rFonts w:asciiTheme="majorHAnsi" w:hAnsiTheme="majorHAnsi" w:cstheme="majorHAnsi"/>
                <w:color w:val="000000" w:themeColor="text1"/>
                <w:sz w:val="16"/>
                <w:szCs w:val="16"/>
              </w:rPr>
              <w:t>Privātie pakalpojumi</w:t>
            </w:r>
          </w:p>
        </w:tc>
        <w:tc>
          <w:tcPr>
            <w:tcW w:w="2381" w:type="dxa"/>
            <w:shd w:val="clear" w:color="auto" w:fill="B4C6E7" w:themeFill="accent1" w:themeFillTint="66"/>
          </w:tcPr>
          <w:p w14:paraId="1155847F" w14:textId="77777777" w:rsidR="00812A72" w:rsidRPr="007A5C8E"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sv-SE"/>
              </w:rPr>
              <w:t>0,60 milj. eiro 2025. – 2030. gadā: 0,10 milj. eiro katru gadu.</w:t>
            </w:r>
          </w:p>
        </w:tc>
        <w:tc>
          <w:tcPr>
            <w:tcW w:w="3005" w:type="dxa"/>
            <w:shd w:val="clear" w:color="auto" w:fill="B4C6E7" w:themeFill="accent1" w:themeFillTint="66"/>
          </w:tcPr>
          <w:p w14:paraId="18C8A5BA" w14:textId="77777777" w:rsidR="00812A72" w:rsidRPr="007A5C8E" w:rsidRDefault="00812A72" w:rsidP="0002297E">
            <w:pPr>
              <w:widowControl/>
              <w:spacing w:before="40" w:after="40" w:line="240" w:lineRule="auto"/>
              <w:rPr>
                <w:rFonts w:asciiTheme="majorHAnsi" w:eastAsia="Times New Roman" w:hAnsiTheme="majorHAnsi" w:cstheme="majorHAnsi"/>
                <w:color w:val="000000"/>
                <w:sz w:val="16"/>
                <w:szCs w:val="16"/>
                <w:lang w:val="lv-LV" w:eastAsia="lv-LV"/>
              </w:rPr>
            </w:pPr>
            <w:r w:rsidRPr="00097491">
              <w:rPr>
                <w:rFonts w:asciiTheme="majorHAnsi" w:hAnsiTheme="majorHAnsi" w:cstheme="majorHAnsi"/>
                <w:b/>
                <w:bCs/>
                <w:sz w:val="16"/>
                <w:szCs w:val="16"/>
                <w:lang w:val="lv-LV"/>
              </w:rPr>
              <w:t>100 %</w:t>
            </w:r>
            <w:r w:rsidRPr="00097491">
              <w:rPr>
                <w:rFonts w:asciiTheme="majorHAnsi" w:hAnsiTheme="majorHAnsi" w:cstheme="majorHAnsi"/>
                <w:sz w:val="16"/>
                <w:szCs w:val="16"/>
                <w:lang w:val="lv-LV"/>
              </w:rPr>
              <w:t xml:space="preserve"> </w:t>
            </w:r>
            <w:r>
              <w:rPr>
                <w:rFonts w:asciiTheme="majorHAnsi" w:hAnsiTheme="majorHAnsi" w:cstheme="majorHAnsi"/>
                <w:sz w:val="16"/>
                <w:szCs w:val="16"/>
                <w:lang w:val="lv-LV"/>
              </w:rPr>
              <w:t>–</w:t>
            </w:r>
            <w:r w:rsidRPr="00097491">
              <w:rPr>
                <w:rFonts w:asciiTheme="majorHAnsi" w:hAnsiTheme="majorHAnsi" w:cstheme="majorHAnsi"/>
                <w:sz w:val="16"/>
                <w:szCs w:val="16"/>
                <w:lang w:val="lv-LV"/>
              </w:rPr>
              <w:t xml:space="preserve"> nacionālais publiskais finansējums papildu izdevumu veidā.</w:t>
            </w:r>
          </w:p>
        </w:tc>
      </w:tr>
      <w:tr w:rsidR="00812A72" w:rsidRPr="00D24F07" w14:paraId="07F9C132" w14:textId="77777777" w:rsidTr="0002297E">
        <w:trPr>
          <w:jc w:val="center"/>
        </w:trPr>
        <w:tc>
          <w:tcPr>
            <w:tcW w:w="3231" w:type="dxa"/>
            <w:shd w:val="clear" w:color="auto" w:fill="D9E2F3" w:themeFill="accent1" w:themeFillTint="33"/>
          </w:tcPr>
          <w:p w14:paraId="2FE1BE94" w14:textId="77777777" w:rsidR="00812A72" w:rsidRPr="007A5C8E"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lv-LV"/>
              </w:rPr>
              <w:t>3.1.5.5. Mērķētas informācijas sniegšana F-gāzu nozares pārstāvjiem</w:t>
            </w:r>
          </w:p>
        </w:tc>
        <w:tc>
          <w:tcPr>
            <w:tcW w:w="1020" w:type="dxa"/>
            <w:shd w:val="clear" w:color="auto" w:fill="D9E2F3" w:themeFill="accent1" w:themeFillTint="33"/>
          </w:tcPr>
          <w:p w14:paraId="0258F6E8" w14:textId="77777777" w:rsidR="00812A72" w:rsidRPr="006B7AB1" w:rsidRDefault="00812A72" w:rsidP="0002297E">
            <w:pPr>
              <w:widowControl/>
              <w:spacing w:before="40" w:after="40" w:line="240" w:lineRule="auto"/>
              <w:rPr>
                <w:rFonts w:asciiTheme="majorHAnsi" w:hAnsiTheme="majorHAnsi" w:cstheme="majorHAnsi"/>
                <w:color w:val="000000" w:themeColor="text1"/>
                <w:sz w:val="16"/>
                <w:szCs w:val="16"/>
                <w:lang w:val="lv-LV"/>
              </w:rPr>
            </w:pPr>
            <w:r w:rsidRPr="006B7AB1">
              <w:rPr>
                <w:rFonts w:asciiTheme="majorHAnsi" w:hAnsiTheme="majorHAnsi" w:cstheme="majorHAnsi"/>
                <w:color w:val="000000" w:themeColor="text1"/>
                <w:sz w:val="16"/>
                <w:szCs w:val="16"/>
              </w:rPr>
              <w:t>Publiskie pakalpojumi</w:t>
            </w:r>
          </w:p>
        </w:tc>
        <w:tc>
          <w:tcPr>
            <w:tcW w:w="2381" w:type="dxa"/>
            <w:shd w:val="clear" w:color="auto" w:fill="D9E2F3" w:themeFill="accent1" w:themeFillTint="33"/>
          </w:tcPr>
          <w:p w14:paraId="2A04CC2B" w14:textId="77777777" w:rsidR="00812A72" w:rsidRPr="007A5C8E" w:rsidRDefault="00812A72" w:rsidP="0002297E">
            <w:pPr>
              <w:widowControl/>
              <w:spacing w:before="40" w:after="40" w:line="240" w:lineRule="auto"/>
              <w:rPr>
                <w:rFonts w:asciiTheme="majorHAnsi" w:hAnsiTheme="majorHAnsi" w:cstheme="majorHAnsi"/>
                <w:sz w:val="16"/>
                <w:szCs w:val="16"/>
                <w:lang w:val="lv-LV"/>
              </w:rPr>
            </w:pPr>
            <w:r w:rsidRPr="00537DE7">
              <w:rPr>
                <w:rFonts w:asciiTheme="majorHAnsi" w:hAnsiTheme="majorHAnsi" w:cstheme="majorHAnsi"/>
                <w:sz w:val="16"/>
                <w:szCs w:val="16"/>
                <w:lang w:val="lv-LV"/>
              </w:rPr>
              <w:t>0,50 milj. 2025.</w:t>
            </w:r>
            <w:r>
              <w:rPr>
                <w:rFonts w:asciiTheme="majorHAnsi" w:hAnsiTheme="majorHAnsi" w:cstheme="majorHAnsi"/>
                <w:sz w:val="16"/>
                <w:szCs w:val="16"/>
                <w:lang w:val="lv-LV"/>
              </w:rPr>
              <w:t xml:space="preserve"> – </w:t>
            </w:r>
            <w:r w:rsidRPr="00537DE7">
              <w:rPr>
                <w:rFonts w:asciiTheme="majorHAnsi" w:hAnsiTheme="majorHAnsi" w:cstheme="majorHAnsi"/>
                <w:sz w:val="16"/>
                <w:szCs w:val="16"/>
                <w:lang w:val="lv-LV"/>
              </w:rPr>
              <w:t>2030. gadā: 0,083 milj. eiro katru gadu.</w:t>
            </w:r>
          </w:p>
        </w:tc>
        <w:tc>
          <w:tcPr>
            <w:tcW w:w="3005" w:type="dxa"/>
            <w:shd w:val="clear" w:color="auto" w:fill="D9E2F3" w:themeFill="accent1" w:themeFillTint="33"/>
          </w:tcPr>
          <w:p w14:paraId="151955B5" w14:textId="77777777" w:rsidR="00812A72" w:rsidRPr="007A5C8E" w:rsidRDefault="00812A72" w:rsidP="0002297E">
            <w:pPr>
              <w:widowControl/>
              <w:spacing w:before="40" w:after="40" w:line="240" w:lineRule="auto"/>
              <w:rPr>
                <w:rFonts w:asciiTheme="majorHAnsi" w:eastAsia="Times New Roman" w:hAnsiTheme="majorHAnsi" w:cstheme="majorHAnsi"/>
                <w:color w:val="000000"/>
                <w:sz w:val="16"/>
                <w:szCs w:val="16"/>
                <w:lang w:val="lv-LV" w:eastAsia="lv-LV"/>
              </w:rPr>
            </w:pPr>
            <w:r w:rsidRPr="00097491">
              <w:rPr>
                <w:rFonts w:asciiTheme="majorHAnsi" w:hAnsiTheme="majorHAnsi" w:cstheme="majorHAnsi"/>
                <w:b/>
                <w:bCs/>
                <w:sz w:val="16"/>
                <w:szCs w:val="16"/>
                <w:lang w:val="lv-LV"/>
              </w:rPr>
              <w:t>100 %</w:t>
            </w:r>
            <w:r w:rsidRPr="00097491">
              <w:rPr>
                <w:rFonts w:asciiTheme="majorHAnsi" w:hAnsiTheme="majorHAnsi" w:cstheme="majorHAnsi"/>
                <w:sz w:val="16"/>
                <w:szCs w:val="16"/>
                <w:lang w:val="lv-LV"/>
              </w:rPr>
              <w:t xml:space="preserve"> </w:t>
            </w:r>
            <w:r>
              <w:rPr>
                <w:rFonts w:asciiTheme="majorHAnsi" w:hAnsiTheme="majorHAnsi" w:cstheme="majorHAnsi"/>
                <w:sz w:val="16"/>
                <w:szCs w:val="16"/>
                <w:lang w:val="lv-LV"/>
              </w:rPr>
              <w:t>–</w:t>
            </w:r>
            <w:r w:rsidRPr="00097491">
              <w:rPr>
                <w:rFonts w:asciiTheme="majorHAnsi" w:hAnsiTheme="majorHAnsi" w:cstheme="majorHAnsi"/>
                <w:sz w:val="16"/>
                <w:szCs w:val="16"/>
                <w:lang w:val="lv-LV"/>
              </w:rPr>
              <w:t xml:space="preserve"> nacionālais publiskais finansējums papildu izdevumu veidā.</w:t>
            </w:r>
          </w:p>
        </w:tc>
      </w:tr>
      <w:tr w:rsidR="00812A72" w:rsidRPr="00D24F07" w14:paraId="08185A72" w14:textId="77777777" w:rsidTr="0002297E">
        <w:trPr>
          <w:jc w:val="center"/>
        </w:trPr>
        <w:tc>
          <w:tcPr>
            <w:tcW w:w="3231" w:type="dxa"/>
            <w:shd w:val="clear" w:color="auto" w:fill="B4C6E7" w:themeFill="accent1" w:themeFillTint="66"/>
          </w:tcPr>
          <w:p w14:paraId="137556BC" w14:textId="77777777" w:rsidR="00812A72" w:rsidRPr="007A5C8E" w:rsidRDefault="00812A72" w:rsidP="0002297E">
            <w:pPr>
              <w:widowControl/>
              <w:spacing w:before="40" w:after="40" w:line="240" w:lineRule="auto"/>
              <w:rPr>
                <w:rFonts w:asciiTheme="majorHAnsi" w:hAnsiTheme="majorHAnsi" w:cstheme="majorHAnsi"/>
                <w:sz w:val="16"/>
                <w:szCs w:val="16"/>
                <w:lang w:val="lv-LV"/>
              </w:rPr>
            </w:pPr>
            <w:r w:rsidRPr="007A5C8E">
              <w:rPr>
                <w:rFonts w:asciiTheme="majorHAnsi" w:hAnsiTheme="majorHAnsi" w:cstheme="majorHAnsi"/>
                <w:sz w:val="16"/>
                <w:szCs w:val="16"/>
              </w:rPr>
              <w:t>3.1.5.6. Valsts iestāžu kapacitātes stiprināšana</w:t>
            </w:r>
          </w:p>
        </w:tc>
        <w:tc>
          <w:tcPr>
            <w:tcW w:w="1020" w:type="dxa"/>
            <w:shd w:val="clear" w:color="auto" w:fill="B4C6E7" w:themeFill="accent1" w:themeFillTint="66"/>
          </w:tcPr>
          <w:p w14:paraId="178D2D49" w14:textId="77777777" w:rsidR="00812A72" w:rsidRPr="006B7AB1" w:rsidRDefault="00812A72" w:rsidP="0002297E">
            <w:pPr>
              <w:widowControl/>
              <w:spacing w:before="40" w:after="40" w:line="240" w:lineRule="auto"/>
              <w:rPr>
                <w:rFonts w:asciiTheme="majorHAnsi" w:hAnsiTheme="majorHAnsi" w:cstheme="majorHAnsi"/>
                <w:color w:val="000000" w:themeColor="text1"/>
                <w:sz w:val="16"/>
                <w:szCs w:val="16"/>
                <w:lang w:val="lv-LV"/>
              </w:rPr>
            </w:pPr>
            <w:r w:rsidRPr="006B7AB1">
              <w:rPr>
                <w:rFonts w:asciiTheme="majorHAnsi" w:hAnsiTheme="majorHAnsi" w:cstheme="majorHAnsi"/>
                <w:color w:val="000000" w:themeColor="text1"/>
                <w:sz w:val="16"/>
                <w:szCs w:val="16"/>
              </w:rPr>
              <w:t>Publiskie pakalpojumi</w:t>
            </w:r>
          </w:p>
        </w:tc>
        <w:tc>
          <w:tcPr>
            <w:tcW w:w="2381" w:type="dxa"/>
            <w:shd w:val="clear" w:color="auto" w:fill="B4C6E7" w:themeFill="accent1" w:themeFillTint="66"/>
          </w:tcPr>
          <w:p w14:paraId="1E0F0BD5" w14:textId="77777777" w:rsidR="00812A72" w:rsidRPr="007A5C8E"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sv-SE"/>
              </w:rPr>
              <w:t>0,50 milj. eiro 2025. – 2030. gadā: 0,083 milj. eiro katru gadu.</w:t>
            </w:r>
          </w:p>
        </w:tc>
        <w:tc>
          <w:tcPr>
            <w:tcW w:w="3005" w:type="dxa"/>
            <w:shd w:val="clear" w:color="auto" w:fill="B4C6E7" w:themeFill="accent1" w:themeFillTint="66"/>
          </w:tcPr>
          <w:p w14:paraId="4245BAB4" w14:textId="77777777" w:rsidR="00812A72" w:rsidRPr="007A5C8E" w:rsidRDefault="00812A72" w:rsidP="0002297E">
            <w:pPr>
              <w:widowControl/>
              <w:spacing w:before="40" w:after="40" w:line="240" w:lineRule="auto"/>
              <w:rPr>
                <w:rFonts w:asciiTheme="majorHAnsi" w:eastAsia="Times New Roman" w:hAnsiTheme="majorHAnsi" w:cstheme="majorHAnsi"/>
                <w:color w:val="000000"/>
                <w:sz w:val="16"/>
                <w:szCs w:val="16"/>
                <w:lang w:val="lv-LV" w:eastAsia="lv-LV"/>
              </w:rPr>
            </w:pPr>
            <w:r w:rsidRPr="00097491">
              <w:rPr>
                <w:rFonts w:asciiTheme="majorHAnsi" w:hAnsiTheme="majorHAnsi" w:cstheme="majorHAnsi"/>
                <w:b/>
                <w:bCs/>
                <w:sz w:val="16"/>
                <w:szCs w:val="16"/>
                <w:lang w:val="lv-LV"/>
              </w:rPr>
              <w:t>100 %</w:t>
            </w:r>
            <w:r w:rsidRPr="00097491">
              <w:rPr>
                <w:rFonts w:asciiTheme="majorHAnsi" w:hAnsiTheme="majorHAnsi" w:cstheme="majorHAnsi"/>
                <w:sz w:val="16"/>
                <w:szCs w:val="16"/>
                <w:lang w:val="lv-LV"/>
              </w:rPr>
              <w:t xml:space="preserve"> </w:t>
            </w:r>
            <w:r>
              <w:rPr>
                <w:rFonts w:asciiTheme="majorHAnsi" w:hAnsiTheme="majorHAnsi" w:cstheme="majorHAnsi"/>
                <w:sz w:val="16"/>
                <w:szCs w:val="16"/>
                <w:lang w:val="lv-LV"/>
              </w:rPr>
              <w:t>–</w:t>
            </w:r>
            <w:r w:rsidRPr="00097491">
              <w:rPr>
                <w:rFonts w:asciiTheme="majorHAnsi" w:hAnsiTheme="majorHAnsi" w:cstheme="majorHAnsi"/>
                <w:sz w:val="16"/>
                <w:szCs w:val="16"/>
                <w:lang w:val="lv-LV"/>
              </w:rPr>
              <w:t xml:space="preserve"> nacionālais publiskais finansējums papildu izdevumu veidā.</w:t>
            </w:r>
          </w:p>
        </w:tc>
      </w:tr>
    </w:tbl>
    <w:p w14:paraId="29526CBB" w14:textId="77777777" w:rsidR="00812A72" w:rsidRPr="00097491" w:rsidRDefault="00812A72" w:rsidP="00812A72">
      <w:pPr>
        <w:widowControl/>
        <w:spacing w:before="120" w:after="120" w:line="240" w:lineRule="auto"/>
        <w:jc w:val="both"/>
        <w:rPr>
          <w:rFonts w:ascii="Arial Nova Cond Light" w:eastAsia="Times New Roman" w:hAnsi="Arial Nova Cond Light"/>
          <w:sz w:val="16"/>
          <w:szCs w:val="24"/>
          <w:lang w:val="lv-LV" w:eastAsia="lv-LV"/>
        </w:rPr>
      </w:pPr>
      <w:r w:rsidRPr="00097491">
        <w:rPr>
          <w:rFonts w:ascii="Arial Nova Cond Light" w:eastAsia="Times New Roman" w:hAnsi="Arial Nova Cond Light"/>
          <w:sz w:val="16"/>
          <w:szCs w:val="24"/>
          <w:lang w:val="lv-LV" w:eastAsia="lv-LV"/>
        </w:rPr>
        <w:t>Avots: autoru veidotā tabula pēc NEKP, kā arī Ekonomikas ministrijas nepublicētiem datiem.</w:t>
      </w:r>
    </w:p>
    <w:p w14:paraId="5A2206F1" w14:textId="16F742A2" w:rsidR="00812A72" w:rsidRDefault="00812A72" w:rsidP="00812A72">
      <w:pPr>
        <w:widowControl/>
        <w:spacing w:after="160" w:line="259" w:lineRule="auto"/>
        <w:rPr>
          <w:rFonts w:ascii="Verdana Pro Cond Light" w:eastAsia="Times New Roman" w:hAnsi="Verdana Pro Cond Light" w:cstheme="minorHAnsi"/>
          <w:bCs/>
          <w:lang w:val="lv-LV" w:eastAsia="lv-LV"/>
        </w:rPr>
      </w:pPr>
    </w:p>
    <w:p w14:paraId="6671308D" w14:textId="77777777" w:rsidR="00812A72" w:rsidRPr="007A5C8E" w:rsidRDefault="00812A72" w:rsidP="00812A72">
      <w:pPr>
        <w:widowControl/>
        <w:spacing w:line="240" w:lineRule="auto"/>
        <w:jc w:val="right"/>
        <w:rPr>
          <w:rFonts w:ascii="Verdana Pro Cond Light" w:eastAsia="Times New Roman" w:hAnsi="Verdana Pro Cond Light" w:cstheme="minorHAnsi"/>
          <w:bCs/>
          <w:lang w:val="lv-LV" w:eastAsia="lv-LV"/>
        </w:rPr>
      </w:pPr>
      <w:r w:rsidRPr="007A5C8E">
        <w:rPr>
          <w:rFonts w:ascii="Verdana Pro Cond Light" w:eastAsia="Times New Roman" w:hAnsi="Verdana Pro Cond Light" w:cstheme="minorHAnsi"/>
          <w:bCs/>
          <w:lang w:val="lv-LV" w:eastAsia="lv-LV"/>
        </w:rPr>
        <w:t>6.1</w:t>
      </w:r>
      <w:r>
        <w:rPr>
          <w:rFonts w:ascii="Verdana Pro Cond Light" w:eastAsia="Times New Roman" w:hAnsi="Verdana Pro Cond Light" w:cstheme="minorHAnsi"/>
          <w:bCs/>
          <w:lang w:val="lv-LV" w:eastAsia="lv-LV"/>
        </w:rPr>
        <w:t>4</w:t>
      </w:r>
      <w:r w:rsidRPr="007A5C8E">
        <w:rPr>
          <w:rFonts w:ascii="Verdana Pro Cond Light" w:eastAsia="Times New Roman" w:hAnsi="Verdana Pro Cond Light" w:cstheme="minorHAnsi"/>
          <w:bCs/>
          <w:lang w:val="lv-LV" w:eastAsia="lv-LV"/>
        </w:rPr>
        <w:t>. attēls</w:t>
      </w:r>
    </w:p>
    <w:p w14:paraId="1F608BBC" w14:textId="77777777" w:rsidR="00812A72" w:rsidRDefault="00812A72" w:rsidP="00812A72">
      <w:pPr>
        <w:widowControl/>
        <w:spacing w:before="120" w:after="120" w:line="240" w:lineRule="auto"/>
        <w:jc w:val="center"/>
        <w:rPr>
          <w:rFonts w:ascii="Verdana Pro Cond Light" w:eastAsia="Times New Roman" w:hAnsi="Verdana Pro Cond Light"/>
          <w:sz w:val="18"/>
          <w:szCs w:val="18"/>
          <w:lang w:val="lv-LV" w:eastAsia="lv-LV"/>
        </w:rPr>
      </w:pPr>
      <w:r w:rsidRPr="007A5C8E">
        <w:rPr>
          <w:rFonts w:ascii="Verdana Pro Cond Light" w:hAnsi="Verdana Pro Cond Light"/>
          <w:b/>
          <w:bCs/>
          <w:lang w:val="lv-LV"/>
        </w:rPr>
        <w:t>RPPI sektora</w:t>
      </w:r>
      <w:r w:rsidRPr="007A5C8E">
        <w:rPr>
          <w:rFonts w:ascii="Verdana Pro Cond Light" w:eastAsia="Times New Roman" w:hAnsi="Verdana Pro Cond Light"/>
          <w:b/>
          <w:bCs/>
          <w:lang w:val="lv-LV" w:eastAsia="lv-LV"/>
        </w:rPr>
        <w:t xml:space="preserve"> pasākumu ietekme uz Latvijas </w:t>
      </w:r>
      <w:r>
        <w:rPr>
          <w:rFonts w:ascii="Verdana Pro Cond Light" w:eastAsia="Times New Roman" w:hAnsi="Verdana Pro Cond Light"/>
          <w:b/>
          <w:bCs/>
          <w:lang w:val="lv-LV" w:eastAsia="lv-LV"/>
        </w:rPr>
        <w:t>IKP</w:t>
      </w:r>
      <w:r w:rsidRPr="007A5C8E">
        <w:rPr>
          <w:rFonts w:ascii="Verdana Pro Cond Light" w:eastAsia="Times New Roman" w:hAnsi="Verdana Pro Cond Light"/>
          <w:b/>
          <w:bCs/>
          <w:lang w:val="lv-LV" w:eastAsia="lv-LV"/>
        </w:rPr>
        <w:t xml:space="preserve"> līmeni un tā iekšzemes komponentēm </w:t>
      </w:r>
      <w:r>
        <w:rPr>
          <w:rFonts w:ascii="Verdana Pro Cond Light" w:eastAsia="Times New Roman" w:hAnsi="Verdana Pro Cond Light"/>
          <w:b/>
          <w:bCs/>
          <w:lang w:val="lv-LV" w:eastAsia="lv-LV"/>
        </w:rPr>
        <w:br/>
      </w:r>
      <w:r w:rsidRPr="007A5C8E">
        <w:rPr>
          <w:rFonts w:ascii="Verdana Pro Cond Light" w:eastAsia="Times New Roman" w:hAnsi="Verdana Pro Cond Light"/>
          <w:sz w:val="18"/>
          <w:szCs w:val="18"/>
          <w:lang w:val="lv-LV" w:eastAsia="lv-LV"/>
        </w:rPr>
        <w:t>%; salīdzinot ar bāzes scenāriju; 2015. gada cenās; 2025. –</w:t>
      </w:r>
      <w:r>
        <w:rPr>
          <w:rFonts w:ascii="Verdana Pro Cond Light" w:eastAsia="Times New Roman" w:hAnsi="Verdana Pro Cond Light"/>
          <w:sz w:val="18"/>
          <w:szCs w:val="18"/>
          <w:lang w:val="lv-LV" w:eastAsia="lv-LV"/>
        </w:rPr>
        <w:t xml:space="preserve"> </w:t>
      </w:r>
      <w:r w:rsidRPr="007A5C8E">
        <w:rPr>
          <w:rFonts w:ascii="Verdana Pro Cond Light" w:eastAsia="Times New Roman" w:hAnsi="Verdana Pro Cond Light"/>
          <w:sz w:val="18"/>
          <w:szCs w:val="18"/>
          <w:lang w:val="lv-LV" w:eastAsia="lv-LV"/>
        </w:rPr>
        <w:t>2050. gadā</w:t>
      </w:r>
    </w:p>
    <w:p w14:paraId="55DD5E19" w14:textId="77777777" w:rsidR="00812A72" w:rsidRDefault="00812A72" w:rsidP="00812A72">
      <w:pPr>
        <w:widowControl/>
        <w:spacing w:before="120" w:after="120" w:line="240" w:lineRule="auto"/>
        <w:jc w:val="center"/>
        <w:rPr>
          <w:rFonts w:ascii="Verdana Pro Cond Light" w:eastAsia="Times New Roman" w:hAnsi="Verdana Pro Cond Light"/>
          <w:sz w:val="18"/>
          <w:szCs w:val="18"/>
          <w:lang w:val="lv-LV" w:eastAsia="lv-LV"/>
        </w:rPr>
      </w:pPr>
    </w:p>
    <w:p w14:paraId="286FC4C4" w14:textId="77777777" w:rsidR="00812A72" w:rsidRPr="00D21C1C" w:rsidRDefault="00812A72" w:rsidP="00812A72">
      <w:pPr>
        <w:widowControl/>
        <w:tabs>
          <w:tab w:val="center" w:pos="2410"/>
          <w:tab w:val="center" w:pos="7230"/>
        </w:tabs>
        <w:spacing w:before="120" w:after="120" w:line="240" w:lineRule="auto"/>
        <w:rPr>
          <w:rFonts w:ascii="Verdana Pro Cond Light" w:eastAsia="Times New Roman" w:hAnsi="Verdana Pro Cond Light"/>
          <w:b/>
          <w:bCs/>
          <w:sz w:val="18"/>
          <w:szCs w:val="18"/>
          <w:lang w:val="lv-LV" w:eastAsia="lv-LV"/>
        </w:rPr>
      </w:pPr>
      <w:r>
        <w:rPr>
          <w:rFonts w:ascii="Verdana Pro Cond Light" w:eastAsia="Times New Roman" w:hAnsi="Verdana Pro Cond Light"/>
          <w:b/>
          <w:bCs/>
          <w:sz w:val="18"/>
          <w:szCs w:val="18"/>
          <w:lang w:val="lv-LV" w:eastAsia="lv-LV"/>
        </w:rPr>
        <w:tab/>
      </w:r>
      <w:r w:rsidRPr="00D21C1C">
        <w:rPr>
          <w:rFonts w:ascii="Verdana Pro Cond Light" w:eastAsia="Times New Roman" w:hAnsi="Verdana Pro Cond Light"/>
          <w:b/>
          <w:bCs/>
          <w:sz w:val="18"/>
          <w:szCs w:val="18"/>
          <w:lang w:val="lv-LV" w:eastAsia="lv-LV"/>
        </w:rPr>
        <w:t>Ietekme uz iekšzemes kopprodukta līmeni</w:t>
      </w:r>
      <w:r w:rsidRPr="00D21C1C">
        <w:rPr>
          <w:rFonts w:ascii="Verdana Pro Cond Light" w:eastAsia="Times New Roman" w:hAnsi="Verdana Pro Cond Light"/>
          <w:b/>
          <w:bCs/>
          <w:sz w:val="18"/>
          <w:szCs w:val="18"/>
          <w:lang w:val="lv-LV" w:eastAsia="lv-LV"/>
        </w:rPr>
        <w:tab/>
        <w:t>Ietekme uz investīcijām un patēriņu</w:t>
      </w:r>
    </w:p>
    <w:p w14:paraId="62DC6B51" w14:textId="77777777" w:rsidR="00812A72" w:rsidRPr="007A5C8E" w:rsidRDefault="00812A72" w:rsidP="00812A72">
      <w:pPr>
        <w:widowControl/>
        <w:spacing w:after="120" w:line="240" w:lineRule="auto"/>
        <w:ind w:right="-143"/>
        <w:jc w:val="center"/>
        <w:rPr>
          <w:rFonts w:ascii="Verdana Pro Cond Light" w:hAnsi="Verdana Pro Cond Light"/>
          <w:b/>
          <w:bCs/>
          <w:lang w:val="lv-LV"/>
        </w:rPr>
      </w:pPr>
      <w:r w:rsidRPr="003C4B3C">
        <w:rPr>
          <w:rFonts w:ascii="Minion Pro" w:hAnsi="Minion Pro" w:cstheme="minorHAnsi"/>
          <w:noProof/>
          <w:sz w:val="24"/>
          <w:szCs w:val="24"/>
        </w:rPr>
        <w:drawing>
          <wp:inline distT="0" distB="0" distL="0" distR="0" wp14:anchorId="0264FE71" wp14:editId="7781EF58">
            <wp:extent cx="3060000" cy="2160000"/>
            <wp:effectExtent l="0" t="0" r="7620" b="0"/>
            <wp:docPr id="1490179683" name="Chart 1490179683">
              <a:extLst xmlns:a="http://schemas.openxmlformats.org/drawingml/2006/main">
                <a:ext uri="{FF2B5EF4-FFF2-40B4-BE49-F238E27FC236}">
                  <a16:creationId xmlns:a16="http://schemas.microsoft.com/office/drawing/2014/main" id="{C0B412E0-20D9-9C02-797F-E1BB76C514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r w:rsidRPr="003C4B3C">
        <w:rPr>
          <w:rFonts w:ascii="Minion Pro" w:hAnsi="Minion Pro" w:cstheme="minorHAnsi"/>
          <w:noProof/>
          <w:sz w:val="24"/>
          <w:szCs w:val="24"/>
        </w:rPr>
        <w:drawing>
          <wp:inline distT="0" distB="0" distL="0" distR="0" wp14:anchorId="4EC7E8F3" wp14:editId="664084EC">
            <wp:extent cx="3060000" cy="2160000"/>
            <wp:effectExtent l="0" t="0" r="0" b="0"/>
            <wp:docPr id="1780149759" name="Chart 1780149759">
              <a:extLst xmlns:a="http://schemas.openxmlformats.org/drawingml/2006/main">
                <a:ext uri="{FF2B5EF4-FFF2-40B4-BE49-F238E27FC236}">
                  <a16:creationId xmlns:a16="http://schemas.microsoft.com/office/drawing/2014/main" id="{DA49B370-F5C9-6939-A1AB-36EBEF097AC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14:paraId="3D0DF3A5" w14:textId="77777777" w:rsidR="00812A72" w:rsidRPr="00097491" w:rsidRDefault="00812A72" w:rsidP="00812A72">
      <w:pPr>
        <w:widowControl/>
        <w:spacing w:before="120" w:after="120" w:line="240" w:lineRule="auto"/>
        <w:jc w:val="both"/>
        <w:rPr>
          <w:rFonts w:ascii="Arial Nova Cond Light" w:eastAsia="Times New Roman" w:hAnsi="Arial Nova Cond Light"/>
          <w:sz w:val="16"/>
          <w:szCs w:val="24"/>
          <w:lang w:val="lv-LV" w:eastAsia="lv-LV"/>
        </w:rPr>
      </w:pPr>
      <w:r w:rsidRPr="00097491">
        <w:rPr>
          <w:rFonts w:ascii="Arial Nova Cond Light" w:eastAsia="Times New Roman" w:hAnsi="Arial Nova Cond Light"/>
          <w:sz w:val="16"/>
          <w:szCs w:val="24"/>
          <w:lang w:val="lv-LV" w:eastAsia="lv-LV"/>
        </w:rPr>
        <w:t>Avots: autoru aprēķins, izmantojot VLA modeli.</w:t>
      </w:r>
    </w:p>
    <w:p w14:paraId="5B48C606" w14:textId="77777777" w:rsidR="00812A72" w:rsidRPr="00097491" w:rsidRDefault="00812A72" w:rsidP="00812A72">
      <w:pPr>
        <w:widowControl/>
        <w:spacing w:after="120" w:line="240" w:lineRule="auto"/>
        <w:jc w:val="right"/>
        <w:rPr>
          <w:rFonts w:ascii="Verdana Pro Cond Light" w:eastAsia="Times New Roman" w:hAnsi="Verdana Pro Cond Light" w:cstheme="minorHAnsi"/>
          <w:bCs/>
          <w:lang w:val="lv-LV" w:eastAsia="lv-LV"/>
        </w:rPr>
      </w:pPr>
    </w:p>
    <w:p w14:paraId="48D6F14A" w14:textId="77777777" w:rsidR="00ED3083" w:rsidRPr="00097491" w:rsidRDefault="00ED3083">
      <w:pPr>
        <w:widowControl/>
        <w:spacing w:after="160" w:line="259" w:lineRule="auto"/>
        <w:rPr>
          <w:rFonts w:ascii="Verdana Pro Cond Light" w:eastAsia="Times New Roman" w:hAnsi="Verdana Pro Cond Light" w:cstheme="minorHAnsi"/>
          <w:bCs/>
          <w:lang w:val="lv-LV" w:eastAsia="lv-LV"/>
        </w:rPr>
      </w:pPr>
      <w:r w:rsidRPr="00097491">
        <w:rPr>
          <w:rFonts w:ascii="Verdana Pro Cond Light" w:eastAsia="Times New Roman" w:hAnsi="Verdana Pro Cond Light" w:cstheme="minorHAnsi"/>
          <w:bCs/>
          <w:lang w:val="lv-LV" w:eastAsia="lv-LV"/>
        </w:rPr>
        <w:br w:type="page"/>
      </w:r>
    </w:p>
    <w:p w14:paraId="11E1C028" w14:textId="26C403EA" w:rsidR="00812A72" w:rsidRPr="00097491" w:rsidRDefault="00812A72" w:rsidP="00812A72">
      <w:pPr>
        <w:widowControl/>
        <w:spacing w:before="120" w:after="120" w:line="240" w:lineRule="auto"/>
        <w:jc w:val="right"/>
        <w:rPr>
          <w:rFonts w:ascii="Verdana Pro Cond Light" w:eastAsia="Times New Roman" w:hAnsi="Verdana Pro Cond Light" w:cstheme="minorHAnsi"/>
          <w:bCs/>
          <w:lang w:val="lv-LV" w:eastAsia="lv-LV"/>
        </w:rPr>
      </w:pPr>
      <w:r w:rsidRPr="00097491">
        <w:rPr>
          <w:rFonts w:ascii="Verdana Pro Cond Light" w:eastAsia="Times New Roman" w:hAnsi="Verdana Pro Cond Light" w:cstheme="minorHAnsi"/>
          <w:bCs/>
          <w:lang w:val="lv-LV" w:eastAsia="lv-LV"/>
        </w:rPr>
        <w:lastRenderedPageBreak/>
        <w:t>6.15. attēls</w:t>
      </w:r>
    </w:p>
    <w:p w14:paraId="1C956832" w14:textId="77777777" w:rsidR="00812A72" w:rsidRPr="00097491" w:rsidRDefault="00812A72" w:rsidP="00812A72">
      <w:pPr>
        <w:widowControl/>
        <w:spacing w:before="120" w:after="120" w:line="240" w:lineRule="auto"/>
        <w:jc w:val="center"/>
        <w:rPr>
          <w:rFonts w:ascii="Verdana Pro Cond Light" w:eastAsia="Times New Roman" w:hAnsi="Verdana Pro Cond Light"/>
          <w:sz w:val="18"/>
          <w:szCs w:val="18"/>
          <w:lang w:val="lv-LV" w:eastAsia="lv-LV"/>
        </w:rPr>
      </w:pPr>
      <w:r w:rsidRPr="00097491">
        <w:rPr>
          <w:rFonts w:ascii="Verdana Pro Cond Light" w:hAnsi="Verdana Pro Cond Light"/>
          <w:b/>
          <w:bCs/>
          <w:lang w:val="lv-LV"/>
        </w:rPr>
        <w:t>RPPI sektora</w:t>
      </w:r>
      <w:r w:rsidRPr="00097491">
        <w:rPr>
          <w:rFonts w:ascii="Verdana Pro Cond Light" w:eastAsia="Times New Roman" w:hAnsi="Verdana Pro Cond Light"/>
          <w:b/>
          <w:bCs/>
          <w:lang w:val="lv-LV" w:eastAsia="lv-LV"/>
        </w:rPr>
        <w:t xml:space="preserve"> pasākumu ietekme uz Latvijas eksportu, importu un tirdzniecības bilanci </w:t>
      </w:r>
      <w:r w:rsidRPr="00097491">
        <w:rPr>
          <w:rFonts w:ascii="Verdana Pro Cond Light" w:eastAsia="Times New Roman" w:hAnsi="Verdana Pro Cond Light"/>
          <w:b/>
          <w:bCs/>
          <w:lang w:val="lv-LV" w:eastAsia="lv-LV"/>
        </w:rPr>
        <w:br/>
      </w:r>
      <w:r w:rsidRPr="00097491">
        <w:rPr>
          <w:rFonts w:ascii="Verdana Pro Cond Light" w:eastAsia="Times New Roman" w:hAnsi="Verdana Pro Cond Light"/>
          <w:sz w:val="18"/>
          <w:szCs w:val="18"/>
          <w:lang w:val="lv-LV" w:eastAsia="lv-LV"/>
        </w:rPr>
        <w:t>salīdzinot ar bāzes scenāriju; 2025. – 2050. gadā</w:t>
      </w:r>
    </w:p>
    <w:p w14:paraId="2ACAF957" w14:textId="77777777" w:rsidR="00812A72" w:rsidRPr="00097491" w:rsidRDefault="00812A72" w:rsidP="00812A72">
      <w:pPr>
        <w:widowControl/>
        <w:spacing w:before="120" w:after="120" w:line="240" w:lineRule="auto"/>
        <w:jc w:val="center"/>
        <w:rPr>
          <w:rFonts w:ascii="Verdana Pro Cond Light" w:eastAsia="Times New Roman" w:hAnsi="Verdana Pro Cond Light"/>
          <w:sz w:val="18"/>
          <w:szCs w:val="18"/>
          <w:lang w:val="lv-LV" w:eastAsia="lv-LV"/>
        </w:rPr>
      </w:pPr>
    </w:p>
    <w:p w14:paraId="47CC5AC4" w14:textId="77777777" w:rsidR="00812A72" w:rsidRPr="00097491" w:rsidRDefault="00812A72" w:rsidP="00812A72">
      <w:pPr>
        <w:widowControl/>
        <w:tabs>
          <w:tab w:val="center" w:pos="2410"/>
          <w:tab w:val="center" w:pos="7230"/>
        </w:tabs>
        <w:spacing w:before="120" w:after="120" w:line="240" w:lineRule="auto"/>
        <w:rPr>
          <w:rFonts w:ascii="Verdana Pro Cond Light" w:eastAsia="Times New Roman" w:hAnsi="Verdana Pro Cond Light"/>
          <w:b/>
          <w:bCs/>
          <w:sz w:val="18"/>
          <w:szCs w:val="18"/>
          <w:lang w:val="lv-LV" w:eastAsia="lv-LV"/>
        </w:rPr>
      </w:pPr>
      <w:r w:rsidRPr="00097491">
        <w:rPr>
          <w:rFonts w:ascii="Verdana Pro Cond Light" w:eastAsia="Times New Roman" w:hAnsi="Verdana Pro Cond Light"/>
          <w:b/>
          <w:bCs/>
          <w:sz w:val="18"/>
          <w:szCs w:val="18"/>
          <w:lang w:val="lv-LV" w:eastAsia="lv-LV"/>
        </w:rPr>
        <w:tab/>
        <w:t>Ietekme uz Latvijas eksportu un importu (%)</w:t>
      </w:r>
      <w:r w:rsidRPr="00097491">
        <w:rPr>
          <w:rFonts w:ascii="Verdana Pro Cond Light" w:eastAsia="Times New Roman" w:hAnsi="Verdana Pro Cond Light"/>
          <w:b/>
          <w:bCs/>
          <w:sz w:val="18"/>
          <w:szCs w:val="18"/>
          <w:lang w:val="lv-LV" w:eastAsia="lv-LV"/>
        </w:rPr>
        <w:tab/>
        <w:t>Ietekme uz Latvijas tirdzniecības bilanci (pp. no IKP)</w:t>
      </w:r>
    </w:p>
    <w:p w14:paraId="05C2FB15" w14:textId="77777777" w:rsidR="00812A72" w:rsidRPr="00D21C1C" w:rsidRDefault="00812A72" w:rsidP="00812A72">
      <w:pPr>
        <w:widowControl/>
        <w:tabs>
          <w:tab w:val="center" w:pos="2410"/>
          <w:tab w:val="center" w:pos="7230"/>
        </w:tabs>
        <w:spacing w:after="120" w:line="240" w:lineRule="auto"/>
        <w:ind w:right="-143"/>
        <w:rPr>
          <w:rFonts w:ascii="Verdana Pro Cond Light" w:eastAsia="Times New Roman" w:hAnsi="Verdana Pro Cond Light"/>
          <w:b/>
          <w:bCs/>
          <w:sz w:val="18"/>
          <w:szCs w:val="18"/>
          <w:lang w:eastAsia="lv-LV"/>
        </w:rPr>
      </w:pPr>
      <w:r w:rsidRPr="003C4B3C">
        <w:rPr>
          <w:rFonts w:ascii="Minion Pro" w:hAnsi="Minion Pro" w:cstheme="minorHAnsi"/>
          <w:noProof/>
          <w:sz w:val="24"/>
          <w:szCs w:val="24"/>
        </w:rPr>
        <w:drawing>
          <wp:inline distT="0" distB="0" distL="0" distR="0" wp14:anchorId="543838FC" wp14:editId="0BEF00EE">
            <wp:extent cx="3060000" cy="2160000"/>
            <wp:effectExtent l="0" t="0" r="0" b="0"/>
            <wp:docPr id="2091956311" name="Chart 2091956311">
              <a:extLst xmlns:a="http://schemas.openxmlformats.org/drawingml/2006/main">
                <a:ext uri="{FF2B5EF4-FFF2-40B4-BE49-F238E27FC236}">
                  <a16:creationId xmlns:a16="http://schemas.microsoft.com/office/drawing/2014/main" id="{013AA65C-5627-335A-2509-D049CDF1205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r w:rsidRPr="003C4B3C">
        <w:rPr>
          <w:rFonts w:ascii="Minion Pro" w:hAnsi="Minion Pro" w:cstheme="minorHAnsi"/>
          <w:noProof/>
          <w:sz w:val="24"/>
          <w:szCs w:val="24"/>
        </w:rPr>
        <w:drawing>
          <wp:inline distT="0" distB="0" distL="0" distR="0" wp14:anchorId="6B0354B8" wp14:editId="79D601C3">
            <wp:extent cx="3060000" cy="2160000"/>
            <wp:effectExtent l="0" t="0" r="7620" b="0"/>
            <wp:docPr id="1351956139" name="Chart 1351956139">
              <a:extLst xmlns:a="http://schemas.openxmlformats.org/drawingml/2006/main">
                <a:ext uri="{FF2B5EF4-FFF2-40B4-BE49-F238E27FC236}">
                  <a16:creationId xmlns:a16="http://schemas.microsoft.com/office/drawing/2014/main" id="{C0B412E0-20D9-9C02-797F-E1BB76C514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14:paraId="2426FAFF" w14:textId="77777777" w:rsidR="00812A72" w:rsidRDefault="00812A72" w:rsidP="00812A72">
      <w:pPr>
        <w:widowControl/>
        <w:spacing w:before="120" w:after="120" w:line="240" w:lineRule="auto"/>
        <w:jc w:val="both"/>
        <w:rPr>
          <w:rFonts w:ascii="Arial Nova Cond Light" w:eastAsia="Times New Roman" w:hAnsi="Arial Nova Cond Light"/>
          <w:sz w:val="16"/>
          <w:szCs w:val="24"/>
          <w:lang w:eastAsia="lv-LV"/>
        </w:rPr>
      </w:pPr>
      <w:r w:rsidRPr="00653D9B">
        <w:rPr>
          <w:rFonts w:ascii="Arial Nova Cond Light" w:eastAsia="Times New Roman" w:hAnsi="Arial Nova Cond Light"/>
          <w:sz w:val="16"/>
          <w:szCs w:val="24"/>
          <w:lang w:eastAsia="lv-LV"/>
        </w:rPr>
        <w:t>Avots: autoru aprēķins, izmantojot VLA modeli.</w:t>
      </w:r>
    </w:p>
    <w:p w14:paraId="0677BC1E" w14:textId="78F37015" w:rsidR="00812A72" w:rsidRDefault="00812A72" w:rsidP="00812A72">
      <w:pPr>
        <w:widowControl/>
        <w:spacing w:after="160" w:line="240" w:lineRule="auto"/>
        <w:rPr>
          <w:rFonts w:ascii="Minion Pro" w:eastAsia="Times New Roman" w:hAnsi="Minion Pro" w:cstheme="minorHAnsi"/>
          <w:sz w:val="16"/>
          <w:szCs w:val="24"/>
          <w:lang w:eastAsia="lv-LV"/>
        </w:rPr>
      </w:pPr>
    </w:p>
    <w:p w14:paraId="3A787635" w14:textId="77777777" w:rsidR="00812A72" w:rsidRPr="009C7603" w:rsidRDefault="00812A72" w:rsidP="00812A72">
      <w:pPr>
        <w:widowControl/>
        <w:spacing w:after="120" w:line="240" w:lineRule="auto"/>
        <w:jc w:val="right"/>
        <w:rPr>
          <w:rFonts w:ascii="Verdana Pro Cond Light" w:eastAsia="Times New Roman" w:hAnsi="Verdana Pro Cond Light" w:cstheme="minorHAnsi"/>
          <w:bCs/>
          <w:lang w:eastAsia="lv-LV"/>
        </w:rPr>
      </w:pPr>
      <w:r w:rsidRPr="009C7603">
        <w:rPr>
          <w:rFonts w:ascii="Verdana Pro Cond Light" w:eastAsia="Times New Roman" w:hAnsi="Verdana Pro Cond Light" w:cstheme="minorHAnsi"/>
          <w:bCs/>
          <w:lang w:eastAsia="lv-LV"/>
        </w:rPr>
        <w:t>6.1</w:t>
      </w:r>
      <w:r>
        <w:rPr>
          <w:rFonts w:ascii="Verdana Pro Cond Light" w:eastAsia="Times New Roman" w:hAnsi="Verdana Pro Cond Light" w:cstheme="minorHAnsi"/>
          <w:bCs/>
          <w:lang w:eastAsia="lv-LV"/>
        </w:rPr>
        <w:t>6</w:t>
      </w:r>
      <w:r w:rsidRPr="009C7603">
        <w:rPr>
          <w:rFonts w:ascii="Verdana Pro Cond Light" w:eastAsia="Times New Roman" w:hAnsi="Verdana Pro Cond Light" w:cstheme="minorHAnsi"/>
          <w:bCs/>
          <w:lang w:eastAsia="lv-LV"/>
        </w:rPr>
        <w:t>. attēls</w:t>
      </w:r>
    </w:p>
    <w:p w14:paraId="3A5BA8A5" w14:textId="77777777" w:rsidR="00812A72" w:rsidRDefault="00812A72" w:rsidP="00812A72">
      <w:pPr>
        <w:widowControl/>
        <w:spacing w:after="120" w:line="240" w:lineRule="auto"/>
        <w:jc w:val="center"/>
        <w:rPr>
          <w:rFonts w:ascii="Verdana Pro Cond Light" w:eastAsia="Times New Roman" w:hAnsi="Verdana Pro Cond Light"/>
          <w:sz w:val="18"/>
          <w:szCs w:val="18"/>
          <w:lang w:eastAsia="lv-LV"/>
        </w:rPr>
      </w:pPr>
      <w:r w:rsidRPr="009C7603">
        <w:rPr>
          <w:rFonts w:ascii="Verdana Pro Cond Light" w:hAnsi="Verdana Pro Cond Light"/>
          <w:b/>
          <w:bCs/>
        </w:rPr>
        <w:t>RPPI sektora</w:t>
      </w:r>
      <w:r w:rsidRPr="009C7603">
        <w:rPr>
          <w:rFonts w:ascii="Verdana Pro Cond Light" w:eastAsia="Times New Roman" w:hAnsi="Verdana Pro Cond Light"/>
          <w:b/>
          <w:bCs/>
          <w:lang w:eastAsia="lv-LV"/>
        </w:rPr>
        <w:t xml:space="preserve"> pasākumu ietekme uz nodarbināto skaitu un bezdarba līmeni Latvijā</w:t>
      </w:r>
      <w:r>
        <w:rPr>
          <w:rFonts w:ascii="Verdana Pro Cond Light" w:eastAsia="Times New Roman" w:hAnsi="Verdana Pro Cond Light"/>
          <w:b/>
          <w:bCs/>
          <w:lang w:eastAsia="lv-LV"/>
        </w:rPr>
        <w:br/>
      </w:r>
      <w:r w:rsidRPr="009C7603">
        <w:rPr>
          <w:rFonts w:ascii="Verdana Pro Cond Light" w:eastAsia="Times New Roman" w:hAnsi="Verdana Pro Cond Light"/>
          <w:sz w:val="18"/>
          <w:szCs w:val="18"/>
          <w:lang w:eastAsia="lv-LV"/>
        </w:rPr>
        <w:t xml:space="preserve">salīdzinot ar bāzes scenāriju; 2025. – 2050. </w:t>
      </w:r>
      <w:r>
        <w:rPr>
          <w:rFonts w:ascii="Verdana Pro Cond Light" w:eastAsia="Times New Roman" w:hAnsi="Verdana Pro Cond Light"/>
          <w:sz w:val="18"/>
          <w:szCs w:val="18"/>
          <w:lang w:eastAsia="lv-LV"/>
        </w:rPr>
        <w:t>g</w:t>
      </w:r>
      <w:r w:rsidRPr="009C7603">
        <w:rPr>
          <w:rFonts w:ascii="Verdana Pro Cond Light" w:eastAsia="Times New Roman" w:hAnsi="Verdana Pro Cond Light"/>
          <w:sz w:val="18"/>
          <w:szCs w:val="18"/>
          <w:lang w:eastAsia="lv-LV"/>
        </w:rPr>
        <w:t>adā</w:t>
      </w:r>
    </w:p>
    <w:p w14:paraId="6961902A" w14:textId="77777777" w:rsidR="00812A72" w:rsidRDefault="00812A72" w:rsidP="00812A72">
      <w:pPr>
        <w:widowControl/>
        <w:spacing w:after="120" w:line="240" w:lineRule="auto"/>
        <w:jc w:val="center"/>
        <w:rPr>
          <w:rFonts w:ascii="Verdana Pro Cond Light" w:eastAsia="Times New Roman" w:hAnsi="Verdana Pro Cond Light"/>
          <w:sz w:val="18"/>
          <w:szCs w:val="18"/>
          <w:lang w:eastAsia="lv-LV"/>
        </w:rPr>
      </w:pPr>
    </w:p>
    <w:p w14:paraId="5EE48D5F" w14:textId="77777777" w:rsidR="00812A72" w:rsidRDefault="00812A72" w:rsidP="00812A72">
      <w:pPr>
        <w:widowControl/>
        <w:tabs>
          <w:tab w:val="center" w:pos="2410"/>
          <w:tab w:val="center" w:pos="7230"/>
        </w:tabs>
        <w:spacing w:after="120" w:line="240" w:lineRule="auto"/>
        <w:rPr>
          <w:rFonts w:ascii="Verdana Pro Cond Light" w:eastAsia="Times New Roman" w:hAnsi="Verdana Pro Cond Light"/>
          <w:sz w:val="18"/>
          <w:szCs w:val="18"/>
          <w:lang w:eastAsia="lv-LV"/>
        </w:rPr>
      </w:pPr>
      <w:r>
        <w:rPr>
          <w:rFonts w:ascii="Verdana Pro Cond Light" w:eastAsia="Times New Roman" w:hAnsi="Verdana Pro Cond Light"/>
          <w:b/>
          <w:bCs/>
          <w:sz w:val="18"/>
          <w:szCs w:val="18"/>
          <w:lang w:eastAsia="lv-LV"/>
        </w:rPr>
        <w:tab/>
      </w:r>
      <w:r w:rsidRPr="009C7603">
        <w:rPr>
          <w:rFonts w:ascii="Verdana Pro Cond Light" w:eastAsia="Times New Roman" w:hAnsi="Verdana Pro Cond Light"/>
          <w:b/>
          <w:bCs/>
          <w:sz w:val="18"/>
          <w:szCs w:val="18"/>
          <w:lang w:eastAsia="lv-LV"/>
        </w:rPr>
        <w:t>Ietekme uz nodarbināto skaitu (%)</w:t>
      </w:r>
      <w:r w:rsidRPr="009C7603">
        <w:rPr>
          <w:rFonts w:ascii="Verdana Pro Cond Light" w:eastAsia="Times New Roman" w:hAnsi="Verdana Pro Cond Light"/>
          <w:b/>
          <w:bCs/>
          <w:sz w:val="18"/>
          <w:szCs w:val="18"/>
          <w:lang w:eastAsia="lv-LV"/>
        </w:rPr>
        <w:tab/>
        <w:t>Ietekme uz bezdarba līmeni</w:t>
      </w:r>
      <w:r>
        <w:rPr>
          <w:rFonts w:ascii="Verdana Pro Cond Light" w:eastAsia="Times New Roman" w:hAnsi="Verdana Pro Cond Light"/>
          <w:b/>
          <w:bCs/>
          <w:sz w:val="18"/>
          <w:szCs w:val="18"/>
          <w:lang w:eastAsia="lv-LV"/>
        </w:rPr>
        <w:br/>
      </w:r>
      <w:r w:rsidRPr="009C7603">
        <w:rPr>
          <w:rFonts w:ascii="Verdana Pro Cond Light" w:eastAsia="Times New Roman" w:hAnsi="Verdana Pro Cond Light"/>
          <w:sz w:val="18"/>
          <w:szCs w:val="18"/>
          <w:lang w:eastAsia="lv-LV"/>
        </w:rPr>
        <w:tab/>
      </w:r>
      <w:r w:rsidRPr="009C7603">
        <w:rPr>
          <w:rFonts w:ascii="Verdana Pro Cond Light" w:eastAsia="Times New Roman" w:hAnsi="Verdana Pro Cond Light"/>
          <w:sz w:val="18"/>
          <w:szCs w:val="18"/>
          <w:lang w:eastAsia="lv-LV"/>
        </w:rPr>
        <w:tab/>
        <w:t>pp. no ekonomiski aktīvajiem iedzīvotājiem</w:t>
      </w:r>
    </w:p>
    <w:p w14:paraId="011067DB" w14:textId="77777777" w:rsidR="00812A72" w:rsidRDefault="00812A72" w:rsidP="00812A72">
      <w:pPr>
        <w:widowControl/>
        <w:tabs>
          <w:tab w:val="center" w:pos="2410"/>
          <w:tab w:val="center" w:pos="7230"/>
        </w:tabs>
        <w:spacing w:after="120" w:line="240" w:lineRule="auto"/>
        <w:ind w:right="-143"/>
        <w:rPr>
          <w:rFonts w:ascii="Verdana Pro Cond Light" w:eastAsia="Times New Roman" w:hAnsi="Verdana Pro Cond Light"/>
          <w:sz w:val="18"/>
          <w:szCs w:val="18"/>
          <w:lang w:eastAsia="lv-LV"/>
        </w:rPr>
      </w:pPr>
      <w:r w:rsidRPr="009C7603">
        <w:rPr>
          <w:rFonts w:ascii="Verdana Pro Cond Light" w:hAnsi="Verdana Pro Cond Light" w:cstheme="minorHAnsi"/>
          <w:noProof/>
        </w:rPr>
        <w:drawing>
          <wp:inline distT="0" distB="0" distL="0" distR="0" wp14:anchorId="220E9DD6" wp14:editId="25C9E84B">
            <wp:extent cx="3060000" cy="2160000"/>
            <wp:effectExtent l="0" t="0" r="7620" b="0"/>
            <wp:docPr id="284247014" name="Chart 284247014">
              <a:extLst xmlns:a="http://schemas.openxmlformats.org/drawingml/2006/main">
                <a:ext uri="{FF2B5EF4-FFF2-40B4-BE49-F238E27FC236}">
                  <a16:creationId xmlns:a16="http://schemas.microsoft.com/office/drawing/2014/main" id="{C0B412E0-20D9-9C02-797F-E1BB76C514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r w:rsidRPr="009C7603">
        <w:rPr>
          <w:rFonts w:ascii="Verdana Pro Cond Light" w:hAnsi="Verdana Pro Cond Light" w:cstheme="minorHAnsi"/>
          <w:noProof/>
        </w:rPr>
        <w:drawing>
          <wp:inline distT="0" distB="0" distL="0" distR="0" wp14:anchorId="4DE15F02" wp14:editId="5A06C0CB">
            <wp:extent cx="3060000" cy="2160000"/>
            <wp:effectExtent l="0" t="0" r="0" b="0"/>
            <wp:docPr id="688624906" name="Chart 688624906">
              <a:extLst xmlns:a="http://schemas.openxmlformats.org/drawingml/2006/main">
                <a:ext uri="{FF2B5EF4-FFF2-40B4-BE49-F238E27FC236}">
                  <a16:creationId xmlns:a16="http://schemas.microsoft.com/office/drawing/2014/main" id="{C0B412E0-20D9-9C02-797F-E1BB76C514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14:paraId="6D6CF713" w14:textId="77777777" w:rsidR="00812A72" w:rsidRDefault="00812A72" w:rsidP="00812A72">
      <w:pPr>
        <w:widowControl/>
        <w:spacing w:before="120" w:after="120" w:line="240" w:lineRule="auto"/>
        <w:jc w:val="both"/>
        <w:rPr>
          <w:rFonts w:ascii="Arial Nova Cond Light" w:eastAsia="Times New Roman" w:hAnsi="Arial Nova Cond Light"/>
          <w:sz w:val="16"/>
          <w:szCs w:val="24"/>
          <w:lang w:eastAsia="lv-LV"/>
        </w:rPr>
      </w:pPr>
      <w:r w:rsidRPr="009C7603">
        <w:rPr>
          <w:rFonts w:ascii="Arial Nova Cond Light" w:eastAsia="Times New Roman" w:hAnsi="Arial Nova Cond Light"/>
          <w:sz w:val="16"/>
          <w:szCs w:val="24"/>
          <w:lang w:eastAsia="lv-LV"/>
        </w:rPr>
        <w:t>Avots: autoru aprēķins, izmantojot VLA modeli.</w:t>
      </w:r>
    </w:p>
    <w:p w14:paraId="084F8ECA" w14:textId="77777777" w:rsidR="00812A72" w:rsidRPr="009C7603" w:rsidRDefault="00812A72" w:rsidP="00812A72">
      <w:pPr>
        <w:widowControl/>
        <w:spacing w:after="120" w:line="240" w:lineRule="auto"/>
        <w:jc w:val="both"/>
        <w:rPr>
          <w:rFonts w:ascii="Verdana Pro Cond Light" w:eastAsia="Times New Roman" w:hAnsi="Verdana Pro Cond Light" w:cstheme="minorHAnsi"/>
          <w:b/>
          <w:bCs/>
          <w:lang w:eastAsia="lv-LV"/>
        </w:rPr>
      </w:pPr>
    </w:p>
    <w:p w14:paraId="14CB9008" w14:textId="77777777" w:rsidR="00ED3083" w:rsidRDefault="00ED3083">
      <w:pPr>
        <w:widowControl/>
        <w:spacing w:after="160" w:line="259" w:lineRule="auto"/>
        <w:rPr>
          <w:rFonts w:ascii="Verdana Pro Cond Light" w:eastAsia="Times New Roman" w:hAnsi="Verdana Pro Cond Light" w:cstheme="minorHAnsi"/>
          <w:bCs/>
          <w:lang w:eastAsia="lv-LV"/>
        </w:rPr>
      </w:pPr>
      <w:r>
        <w:rPr>
          <w:rFonts w:ascii="Verdana Pro Cond Light" w:eastAsia="Times New Roman" w:hAnsi="Verdana Pro Cond Light" w:cstheme="minorHAnsi"/>
          <w:bCs/>
          <w:lang w:eastAsia="lv-LV"/>
        </w:rPr>
        <w:br w:type="page"/>
      </w:r>
    </w:p>
    <w:p w14:paraId="6F259633" w14:textId="2E1FCB6B" w:rsidR="00812A72" w:rsidRPr="009C7603" w:rsidRDefault="00812A72" w:rsidP="00812A72">
      <w:pPr>
        <w:widowControl/>
        <w:spacing w:after="120" w:line="240" w:lineRule="auto"/>
        <w:jc w:val="right"/>
        <w:rPr>
          <w:rFonts w:ascii="Verdana Pro Cond Light" w:eastAsia="Times New Roman" w:hAnsi="Verdana Pro Cond Light" w:cstheme="minorHAnsi"/>
          <w:bCs/>
          <w:lang w:eastAsia="lv-LV"/>
        </w:rPr>
      </w:pPr>
      <w:r w:rsidRPr="009C7603">
        <w:rPr>
          <w:rFonts w:ascii="Verdana Pro Cond Light" w:eastAsia="Times New Roman" w:hAnsi="Verdana Pro Cond Light" w:cstheme="minorHAnsi"/>
          <w:bCs/>
          <w:lang w:eastAsia="lv-LV"/>
        </w:rPr>
        <w:lastRenderedPageBreak/>
        <w:t>6.1</w:t>
      </w:r>
      <w:r>
        <w:rPr>
          <w:rFonts w:ascii="Verdana Pro Cond Light" w:eastAsia="Times New Roman" w:hAnsi="Verdana Pro Cond Light" w:cstheme="minorHAnsi"/>
          <w:bCs/>
          <w:lang w:eastAsia="lv-LV"/>
        </w:rPr>
        <w:t>7</w:t>
      </w:r>
      <w:r w:rsidRPr="009C7603">
        <w:rPr>
          <w:rFonts w:ascii="Verdana Pro Cond Light" w:eastAsia="Times New Roman" w:hAnsi="Verdana Pro Cond Light" w:cstheme="minorHAnsi"/>
          <w:bCs/>
          <w:lang w:eastAsia="lv-LV"/>
        </w:rPr>
        <w:t>. attēls</w:t>
      </w:r>
    </w:p>
    <w:p w14:paraId="100012EC" w14:textId="77777777" w:rsidR="00812A72" w:rsidRDefault="00812A72" w:rsidP="00812A72">
      <w:pPr>
        <w:widowControl/>
        <w:spacing w:after="120" w:line="240" w:lineRule="auto"/>
        <w:jc w:val="center"/>
        <w:rPr>
          <w:rFonts w:ascii="Verdana Pro Cond Light" w:eastAsia="Times New Roman" w:hAnsi="Verdana Pro Cond Light"/>
          <w:sz w:val="18"/>
          <w:szCs w:val="18"/>
          <w:lang w:eastAsia="lv-LV"/>
        </w:rPr>
      </w:pPr>
      <w:r w:rsidRPr="009C7603">
        <w:rPr>
          <w:rFonts w:ascii="Verdana Pro Cond Light" w:hAnsi="Verdana Pro Cond Light"/>
          <w:b/>
          <w:bCs/>
        </w:rPr>
        <w:t>RPPI sektora</w:t>
      </w:r>
      <w:r w:rsidRPr="009C7603">
        <w:rPr>
          <w:rFonts w:ascii="Verdana Pro Cond Light" w:eastAsia="Times New Roman" w:hAnsi="Verdana Pro Cond Light"/>
          <w:b/>
          <w:bCs/>
          <w:lang w:eastAsia="lv-LV"/>
        </w:rPr>
        <w:t xml:space="preserve"> pasākumu ietekme uz vidējo algu un patēriņa cenām Latvijā</w:t>
      </w:r>
      <w:r>
        <w:rPr>
          <w:rFonts w:ascii="Verdana Pro Cond Light" w:eastAsia="Times New Roman" w:hAnsi="Verdana Pro Cond Light"/>
          <w:b/>
          <w:bCs/>
          <w:lang w:eastAsia="lv-LV"/>
        </w:rPr>
        <w:br/>
      </w:r>
      <w:r w:rsidRPr="009C7603">
        <w:rPr>
          <w:rFonts w:ascii="Verdana Pro Cond Light" w:eastAsia="Times New Roman" w:hAnsi="Verdana Pro Cond Light"/>
          <w:sz w:val="18"/>
          <w:szCs w:val="18"/>
          <w:lang w:eastAsia="lv-LV"/>
        </w:rPr>
        <w:t xml:space="preserve">salīdzinot ar bāzes scenāriju; 2025. – 2050. </w:t>
      </w:r>
      <w:r>
        <w:rPr>
          <w:rFonts w:ascii="Verdana Pro Cond Light" w:eastAsia="Times New Roman" w:hAnsi="Verdana Pro Cond Light"/>
          <w:sz w:val="18"/>
          <w:szCs w:val="18"/>
          <w:lang w:eastAsia="lv-LV"/>
        </w:rPr>
        <w:t>g</w:t>
      </w:r>
      <w:r w:rsidRPr="009C7603">
        <w:rPr>
          <w:rFonts w:ascii="Verdana Pro Cond Light" w:eastAsia="Times New Roman" w:hAnsi="Verdana Pro Cond Light"/>
          <w:sz w:val="18"/>
          <w:szCs w:val="18"/>
          <w:lang w:eastAsia="lv-LV"/>
        </w:rPr>
        <w:t>adā</w:t>
      </w:r>
    </w:p>
    <w:p w14:paraId="6DE2ACE4" w14:textId="77777777" w:rsidR="00812A72" w:rsidRDefault="00812A72" w:rsidP="00812A72">
      <w:pPr>
        <w:widowControl/>
        <w:spacing w:after="120" w:line="240" w:lineRule="auto"/>
        <w:jc w:val="center"/>
        <w:rPr>
          <w:rFonts w:ascii="Verdana Pro Cond Light" w:eastAsia="Times New Roman" w:hAnsi="Verdana Pro Cond Light"/>
          <w:sz w:val="18"/>
          <w:szCs w:val="18"/>
          <w:lang w:eastAsia="lv-LV"/>
        </w:rPr>
      </w:pPr>
    </w:p>
    <w:p w14:paraId="2C0F99C5" w14:textId="77777777" w:rsidR="00812A72" w:rsidRDefault="00812A72" w:rsidP="00812A72">
      <w:pPr>
        <w:widowControl/>
        <w:tabs>
          <w:tab w:val="center" w:pos="2410"/>
          <w:tab w:val="center" w:pos="7230"/>
        </w:tabs>
        <w:spacing w:after="120" w:line="240" w:lineRule="auto"/>
        <w:rPr>
          <w:rFonts w:ascii="Verdana Pro Cond Light" w:eastAsia="Times New Roman" w:hAnsi="Verdana Pro Cond Light"/>
          <w:b/>
          <w:bCs/>
          <w:sz w:val="18"/>
          <w:szCs w:val="18"/>
          <w:lang w:eastAsia="lv-LV"/>
        </w:rPr>
      </w:pPr>
      <w:r>
        <w:rPr>
          <w:rFonts w:ascii="Verdana Pro Cond Light" w:eastAsia="Times New Roman" w:hAnsi="Verdana Pro Cond Light"/>
          <w:b/>
          <w:bCs/>
          <w:sz w:val="18"/>
          <w:szCs w:val="18"/>
          <w:lang w:eastAsia="lv-LV"/>
        </w:rPr>
        <w:tab/>
      </w:r>
      <w:r w:rsidRPr="009C7603">
        <w:rPr>
          <w:rFonts w:ascii="Verdana Pro Cond Light" w:eastAsia="Times New Roman" w:hAnsi="Verdana Pro Cond Light"/>
          <w:b/>
          <w:bCs/>
          <w:sz w:val="18"/>
          <w:szCs w:val="18"/>
          <w:lang w:eastAsia="lv-LV"/>
        </w:rPr>
        <w:t>Ietekme uz vidējo algu (%; nominālā izteiksmē)</w:t>
      </w:r>
      <w:r w:rsidRPr="009C7603">
        <w:rPr>
          <w:rFonts w:ascii="Verdana Pro Cond Light" w:eastAsia="Times New Roman" w:hAnsi="Verdana Pro Cond Light"/>
          <w:b/>
          <w:bCs/>
          <w:sz w:val="18"/>
          <w:szCs w:val="18"/>
          <w:lang w:eastAsia="lv-LV"/>
        </w:rPr>
        <w:tab/>
        <w:t>Ietekme uz patēriņa cenu līmeni (%)</w:t>
      </w:r>
    </w:p>
    <w:p w14:paraId="6D8AE69E" w14:textId="77777777" w:rsidR="00812A72" w:rsidRPr="009C7603" w:rsidRDefault="00812A72" w:rsidP="00812A72">
      <w:pPr>
        <w:widowControl/>
        <w:tabs>
          <w:tab w:val="center" w:pos="2410"/>
          <w:tab w:val="center" w:pos="7230"/>
        </w:tabs>
        <w:spacing w:after="120" w:line="240" w:lineRule="auto"/>
        <w:ind w:right="-143"/>
        <w:rPr>
          <w:rFonts w:ascii="Verdana Pro Cond Light" w:eastAsia="Times New Roman" w:hAnsi="Verdana Pro Cond Light"/>
          <w:b/>
          <w:bCs/>
          <w:sz w:val="18"/>
          <w:szCs w:val="18"/>
          <w:lang w:eastAsia="lv-LV"/>
        </w:rPr>
      </w:pPr>
      <w:r w:rsidRPr="009C7603">
        <w:rPr>
          <w:rFonts w:ascii="Verdana Pro Cond Light" w:hAnsi="Verdana Pro Cond Light" w:cstheme="minorHAnsi"/>
          <w:noProof/>
        </w:rPr>
        <w:drawing>
          <wp:inline distT="0" distB="0" distL="0" distR="0" wp14:anchorId="501F0942" wp14:editId="51B2F6D4">
            <wp:extent cx="3060000" cy="2160000"/>
            <wp:effectExtent l="0" t="0" r="0" b="0"/>
            <wp:docPr id="1891720165" name="Chart 1891720165">
              <a:extLst xmlns:a="http://schemas.openxmlformats.org/drawingml/2006/main">
                <a:ext uri="{FF2B5EF4-FFF2-40B4-BE49-F238E27FC236}">
                  <a16:creationId xmlns:a16="http://schemas.microsoft.com/office/drawing/2014/main" id="{C0B412E0-20D9-9C02-797F-E1BB76C514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r w:rsidRPr="009C7603">
        <w:rPr>
          <w:rFonts w:ascii="Verdana Pro Cond Light" w:hAnsi="Verdana Pro Cond Light" w:cstheme="minorHAnsi"/>
          <w:noProof/>
        </w:rPr>
        <w:drawing>
          <wp:inline distT="0" distB="0" distL="0" distR="0" wp14:anchorId="59B3F24A" wp14:editId="6762E177">
            <wp:extent cx="3060000" cy="2160000"/>
            <wp:effectExtent l="0" t="0" r="0" b="0"/>
            <wp:docPr id="519352340" name="Chart 519352340">
              <a:extLst xmlns:a="http://schemas.openxmlformats.org/drawingml/2006/main">
                <a:ext uri="{FF2B5EF4-FFF2-40B4-BE49-F238E27FC236}">
                  <a16:creationId xmlns:a16="http://schemas.microsoft.com/office/drawing/2014/main" id="{C0B412E0-20D9-9C02-797F-E1BB76C514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14:paraId="04BE2341" w14:textId="77777777" w:rsidR="00812A72" w:rsidRPr="00FC2E91" w:rsidRDefault="00812A72" w:rsidP="00812A72">
      <w:pPr>
        <w:widowControl/>
        <w:spacing w:before="120" w:after="120" w:line="240" w:lineRule="auto"/>
        <w:jc w:val="both"/>
        <w:rPr>
          <w:rFonts w:ascii="Arial Nova Cond Light" w:eastAsia="Times New Roman" w:hAnsi="Arial Nova Cond Light"/>
          <w:sz w:val="16"/>
          <w:szCs w:val="24"/>
          <w:lang w:eastAsia="lv-LV"/>
        </w:rPr>
      </w:pPr>
      <w:r w:rsidRPr="00FC2E91">
        <w:rPr>
          <w:rFonts w:ascii="Arial Nova Cond Light" w:eastAsia="Times New Roman" w:hAnsi="Arial Nova Cond Light"/>
          <w:sz w:val="16"/>
          <w:szCs w:val="24"/>
          <w:lang w:eastAsia="lv-LV"/>
        </w:rPr>
        <w:t>Avots: autoru aprēķins, izmantojot VLA modeli.</w:t>
      </w:r>
    </w:p>
    <w:p w14:paraId="0D5B1ECD" w14:textId="6061334F" w:rsidR="00812A72" w:rsidRPr="009C7603" w:rsidRDefault="00812A72" w:rsidP="00812A72">
      <w:pPr>
        <w:widowControl/>
        <w:spacing w:after="120" w:line="240" w:lineRule="auto"/>
        <w:rPr>
          <w:rFonts w:ascii="Verdana Pro Cond Light" w:eastAsia="Times New Roman" w:hAnsi="Verdana Pro Cond Light" w:cstheme="minorHAnsi"/>
          <w:lang w:eastAsia="lv-LV"/>
        </w:rPr>
      </w:pPr>
    </w:p>
    <w:p w14:paraId="7BB95C0F" w14:textId="77777777" w:rsidR="00812A72" w:rsidRPr="009C7603" w:rsidRDefault="00812A72" w:rsidP="00812A72">
      <w:pPr>
        <w:widowControl/>
        <w:spacing w:after="120" w:line="240" w:lineRule="auto"/>
        <w:jc w:val="right"/>
        <w:rPr>
          <w:rFonts w:ascii="Verdana Pro Cond Light" w:eastAsia="Times New Roman" w:hAnsi="Verdana Pro Cond Light" w:cstheme="minorHAnsi"/>
          <w:bCs/>
          <w:lang w:eastAsia="lv-LV"/>
        </w:rPr>
      </w:pPr>
      <w:r w:rsidRPr="009C7603">
        <w:rPr>
          <w:rFonts w:ascii="Verdana Pro Cond Light" w:eastAsia="Times New Roman" w:hAnsi="Verdana Pro Cond Light" w:cstheme="minorHAnsi"/>
          <w:bCs/>
          <w:lang w:eastAsia="lv-LV"/>
        </w:rPr>
        <w:t>6.1</w:t>
      </w:r>
      <w:r>
        <w:rPr>
          <w:rFonts w:ascii="Verdana Pro Cond Light" w:eastAsia="Times New Roman" w:hAnsi="Verdana Pro Cond Light" w:cstheme="minorHAnsi"/>
          <w:bCs/>
          <w:lang w:eastAsia="lv-LV"/>
        </w:rPr>
        <w:t>8</w:t>
      </w:r>
      <w:r w:rsidRPr="009C7603">
        <w:rPr>
          <w:rFonts w:ascii="Verdana Pro Cond Light" w:eastAsia="Times New Roman" w:hAnsi="Verdana Pro Cond Light" w:cstheme="minorHAnsi"/>
          <w:bCs/>
          <w:lang w:eastAsia="lv-LV"/>
        </w:rPr>
        <w:t>. attēls</w:t>
      </w:r>
    </w:p>
    <w:p w14:paraId="110DB77E" w14:textId="77777777" w:rsidR="00812A72" w:rsidRDefault="00812A72" w:rsidP="00812A72">
      <w:pPr>
        <w:widowControl/>
        <w:spacing w:after="120" w:line="240" w:lineRule="auto"/>
        <w:jc w:val="center"/>
        <w:rPr>
          <w:rFonts w:ascii="Verdana Pro Cond Light" w:eastAsia="Times New Roman" w:hAnsi="Verdana Pro Cond Light"/>
          <w:sz w:val="18"/>
          <w:szCs w:val="18"/>
          <w:lang w:eastAsia="lv-LV"/>
        </w:rPr>
      </w:pPr>
      <w:r w:rsidRPr="009C7603">
        <w:rPr>
          <w:rFonts w:ascii="Verdana Pro Cond Light" w:hAnsi="Verdana Pro Cond Light"/>
          <w:b/>
          <w:bCs/>
        </w:rPr>
        <w:t>RPPI sektora</w:t>
      </w:r>
      <w:r w:rsidRPr="009C7603">
        <w:rPr>
          <w:rFonts w:ascii="Verdana Pro Cond Light" w:eastAsia="Times New Roman" w:hAnsi="Verdana Pro Cond Light"/>
          <w:b/>
          <w:bCs/>
          <w:lang w:eastAsia="lv-LV"/>
        </w:rPr>
        <w:t xml:space="preserve"> pasākumu ietekme uz Latvijas vispārējā konsolidētā kopbudžeta </w:t>
      </w:r>
      <w:r>
        <w:rPr>
          <w:rFonts w:ascii="Verdana Pro Cond Light" w:eastAsia="Times New Roman" w:hAnsi="Verdana Pro Cond Light"/>
          <w:b/>
          <w:bCs/>
          <w:lang w:eastAsia="lv-LV"/>
        </w:rPr>
        <w:br/>
      </w:r>
      <w:r w:rsidRPr="009C7603">
        <w:rPr>
          <w:rFonts w:ascii="Verdana Pro Cond Light" w:eastAsia="Times New Roman" w:hAnsi="Verdana Pro Cond Light"/>
          <w:b/>
          <w:bCs/>
          <w:lang w:eastAsia="lv-LV"/>
        </w:rPr>
        <w:t xml:space="preserve">ieņēmumiem un atsevišķu nodokļu ieņēmumiem </w:t>
      </w:r>
      <w:r>
        <w:rPr>
          <w:rFonts w:ascii="Verdana Pro Cond Light" w:eastAsia="Times New Roman" w:hAnsi="Verdana Pro Cond Light"/>
          <w:b/>
          <w:bCs/>
          <w:lang w:eastAsia="lv-LV"/>
        </w:rPr>
        <w:br/>
      </w:r>
      <w:r w:rsidRPr="00FC2E91">
        <w:rPr>
          <w:rFonts w:ascii="Verdana Pro Cond Light" w:eastAsia="Times New Roman" w:hAnsi="Verdana Pro Cond Light"/>
          <w:sz w:val="18"/>
          <w:szCs w:val="18"/>
          <w:lang w:eastAsia="lv-LV"/>
        </w:rPr>
        <w:t xml:space="preserve">%; salīdzinot ar bāzes scenāriju; 2025. – 2050. </w:t>
      </w:r>
      <w:r>
        <w:rPr>
          <w:rFonts w:ascii="Verdana Pro Cond Light" w:eastAsia="Times New Roman" w:hAnsi="Verdana Pro Cond Light"/>
          <w:sz w:val="18"/>
          <w:szCs w:val="18"/>
          <w:lang w:eastAsia="lv-LV"/>
        </w:rPr>
        <w:t>g</w:t>
      </w:r>
      <w:r w:rsidRPr="00FC2E91">
        <w:rPr>
          <w:rFonts w:ascii="Verdana Pro Cond Light" w:eastAsia="Times New Roman" w:hAnsi="Verdana Pro Cond Light"/>
          <w:sz w:val="18"/>
          <w:szCs w:val="18"/>
          <w:lang w:eastAsia="lv-LV"/>
        </w:rPr>
        <w:t>adā</w:t>
      </w:r>
    </w:p>
    <w:p w14:paraId="564522FB" w14:textId="77777777" w:rsidR="00812A72" w:rsidRDefault="00812A72" w:rsidP="00812A72">
      <w:pPr>
        <w:widowControl/>
        <w:spacing w:after="120" w:line="240" w:lineRule="auto"/>
        <w:jc w:val="center"/>
        <w:rPr>
          <w:rFonts w:ascii="Verdana Pro Cond Light" w:eastAsia="Times New Roman" w:hAnsi="Verdana Pro Cond Light"/>
          <w:sz w:val="18"/>
          <w:szCs w:val="18"/>
          <w:lang w:eastAsia="lv-LV"/>
        </w:rPr>
      </w:pPr>
    </w:p>
    <w:p w14:paraId="355BD897" w14:textId="77777777" w:rsidR="00812A72" w:rsidRDefault="00812A72" w:rsidP="00812A72">
      <w:pPr>
        <w:widowControl/>
        <w:tabs>
          <w:tab w:val="center" w:pos="2410"/>
          <w:tab w:val="center" w:pos="7230"/>
        </w:tabs>
        <w:spacing w:after="120" w:line="240" w:lineRule="auto"/>
        <w:rPr>
          <w:rFonts w:ascii="Verdana Pro Cond Light" w:eastAsia="Times New Roman" w:hAnsi="Verdana Pro Cond Light"/>
          <w:b/>
          <w:bCs/>
          <w:sz w:val="18"/>
          <w:szCs w:val="18"/>
          <w:lang w:eastAsia="lv-LV"/>
        </w:rPr>
      </w:pPr>
      <w:r>
        <w:rPr>
          <w:rFonts w:ascii="Verdana Pro Cond Light" w:eastAsia="Times New Roman" w:hAnsi="Verdana Pro Cond Light"/>
          <w:b/>
          <w:bCs/>
          <w:sz w:val="18"/>
          <w:szCs w:val="18"/>
          <w:lang w:eastAsia="lv-LV"/>
        </w:rPr>
        <w:tab/>
      </w:r>
      <w:r w:rsidRPr="00FC2E91">
        <w:rPr>
          <w:rFonts w:ascii="Verdana Pro Cond Light" w:eastAsia="Times New Roman" w:hAnsi="Verdana Pro Cond Light"/>
          <w:b/>
          <w:bCs/>
          <w:sz w:val="18"/>
          <w:szCs w:val="18"/>
          <w:lang w:eastAsia="lv-LV"/>
        </w:rPr>
        <w:t>Ietekme uz vispārējā konsolidētā kopbudžeta ieņēmumiem (%)</w:t>
      </w:r>
      <w:r w:rsidRPr="00FC2E91">
        <w:rPr>
          <w:rFonts w:ascii="Verdana Pro Cond Light" w:eastAsia="Times New Roman" w:hAnsi="Verdana Pro Cond Light"/>
          <w:b/>
          <w:bCs/>
          <w:sz w:val="18"/>
          <w:szCs w:val="18"/>
          <w:lang w:eastAsia="lv-LV"/>
        </w:rPr>
        <w:tab/>
        <w:t>Ietekme uz atsevišķu nodokļu ieņēmumiem (%)</w:t>
      </w:r>
    </w:p>
    <w:p w14:paraId="1F90F7CB" w14:textId="77777777" w:rsidR="00812A72" w:rsidRDefault="00812A72" w:rsidP="00812A72">
      <w:pPr>
        <w:widowControl/>
        <w:tabs>
          <w:tab w:val="center" w:pos="2410"/>
          <w:tab w:val="center" w:pos="7230"/>
        </w:tabs>
        <w:spacing w:after="120" w:line="240" w:lineRule="auto"/>
        <w:rPr>
          <w:rFonts w:ascii="Verdana Pro Cond Light" w:eastAsia="Times New Roman" w:hAnsi="Verdana Pro Cond Light"/>
          <w:b/>
          <w:bCs/>
          <w:sz w:val="18"/>
          <w:szCs w:val="18"/>
          <w:lang w:eastAsia="lv-LV"/>
        </w:rPr>
      </w:pPr>
      <w:r w:rsidRPr="009C7603">
        <w:rPr>
          <w:rFonts w:ascii="Verdana Pro Cond Light" w:hAnsi="Verdana Pro Cond Light" w:cstheme="minorHAnsi"/>
          <w:noProof/>
        </w:rPr>
        <w:drawing>
          <wp:inline distT="0" distB="0" distL="0" distR="0" wp14:anchorId="5770713D" wp14:editId="0FB5174A">
            <wp:extent cx="3060000" cy="2160000"/>
            <wp:effectExtent l="0" t="0" r="0" b="0"/>
            <wp:docPr id="909307234" name="Chart 909307234">
              <a:extLst xmlns:a="http://schemas.openxmlformats.org/drawingml/2006/main">
                <a:ext uri="{FF2B5EF4-FFF2-40B4-BE49-F238E27FC236}">
                  <a16:creationId xmlns:a16="http://schemas.microsoft.com/office/drawing/2014/main" id="{2DCBF45D-DE3F-2971-5D7A-6034F91B2D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r w:rsidRPr="009C7603">
        <w:rPr>
          <w:rFonts w:ascii="Verdana Pro Cond Light" w:hAnsi="Verdana Pro Cond Light" w:cstheme="minorHAnsi"/>
          <w:noProof/>
        </w:rPr>
        <w:drawing>
          <wp:inline distT="0" distB="0" distL="0" distR="0" wp14:anchorId="314B3B77" wp14:editId="3D3CF26B">
            <wp:extent cx="3060000" cy="2160000"/>
            <wp:effectExtent l="0" t="0" r="0" b="0"/>
            <wp:docPr id="1865699936" name="Chart 1865699936">
              <a:extLst xmlns:a="http://schemas.openxmlformats.org/drawingml/2006/main">
                <a:ext uri="{FF2B5EF4-FFF2-40B4-BE49-F238E27FC236}">
                  <a16:creationId xmlns:a16="http://schemas.microsoft.com/office/drawing/2014/main" id="{E8729AA3-B962-A2D9-7C5A-6B606779FF6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14:paraId="177EDF8B" w14:textId="77777777" w:rsidR="00812A72" w:rsidRDefault="00812A72" w:rsidP="00812A72">
      <w:pPr>
        <w:widowControl/>
        <w:spacing w:before="120" w:after="120" w:line="240" w:lineRule="auto"/>
        <w:jc w:val="both"/>
        <w:rPr>
          <w:rFonts w:ascii="Arial Nova Cond Light" w:eastAsia="Times New Roman" w:hAnsi="Arial Nova Cond Light"/>
          <w:sz w:val="16"/>
          <w:szCs w:val="24"/>
          <w:lang w:eastAsia="lv-LV"/>
        </w:rPr>
      </w:pPr>
      <w:r w:rsidRPr="00FC2E91">
        <w:rPr>
          <w:rFonts w:ascii="Arial Nova Cond Light" w:eastAsia="Times New Roman" w:hAnsi="Arial Nova Cond Light"/>
          <w:sz w:val="16"/>
          <w:szCs w:val="24"/>
          <w:lang w:eastAsia="lv-LV"/>
        </w:rPr>
        <w:t>Avots: autoru aprēķins, izmantojot VLA modeli.</w:t>
      </w:r>
    </w:p>
    <w:p w14:paraId="7952A532" w14:textId="77777777" w:rsidR="00812A72" w:rsidRPr="009C7603" w:rsidRDefault="00812A72" w:rsidP="00812A72">
      <w:pPr>
        <w:widowControl/>
        <w:spacing w:after="120" w:line="240" w:lineRule="auto"/>
        <w:jc w:val="both"/>
        <w:rPr>
          <w:rFonts w:ascii="Verdana Pro Cond Light" w:eastAsia="Times New Roman" w:hAnsi="Verdana Pro Cond Light" w:cstheme="minorHAnsi"/>
          <w:b/>
          <w:bCs/>
          <w:lang w:eastAsia="lv-LV"/>
        </w:rPr>
      </w:pPr>
    </w:p>
    <w:p w14:paraId="1B25A44E" w14:textId="77777777" w:rsidR="00ED3083" w:rsidRDefault="00ED3083">
      <w:pPr>
        <w:widowControl/>
        <w:spacing w:after="160" w:line="259" w:lineRule="auto"/>
        <w:rPr>
          <w:rFonts w:ascii="Verdana Pro Cond Light" w:eastAsia="Times New Roman" w:hAnsi="Verdana Pro Cond Light" w:cstheme="minorHAnsi"/>
          <w:bCs/>
          <w:lang w:eastAsia="lv-LV"/>
        </w:rPr>
      </w:pPr>
      <w:r>
        <w:rPr>
          <w:rFonts w:ascii="Verdana Pro Cond Light" w:eastAsia="Times New Roman" w:hAnsi="Verdana Pro Cond Light" w:cstheme="minorHAnsi"/>
          <w:bCs/>
          <w:lang w:eastAsia="lv-LV"/>
        </w:rPr>
        <w:br w:type="page"/>
      </w:r>
    </w:p>
    <w:p w14:paraId="729856DD" w14:textId="0BFA4494" w:rsidR="00812A72" w:rsidRPr="009C7603" w:rsidRDefault="00812A72" w:rsidP="00812A72">
      <w:pPr>
        <w:widowControl/>
        <w:spacing w:after="120" w:line="240" w:lineRule="auto"/>
        <w:jc w:val="right"/>
        <w:rPr>
          <w:rFonts w:ascii="Verdana Pro Cond Light" w:eastAsia="Times New Roman" w:hAnsi="Verdana Pro Cond Light" w:cstheme="minorHAnsi"/>
          <w:bCs/>
          <w:lang w:eastAsia="lv-LV"/>
        </w:rPr>
      </w:pPr>
      <w:r w:rsidRPr="009C7603">
        <w:rPr>
          <w:rFonts w:ascii="Verdana Pro Cond Light" w:eastAsia="Times New Roman" w:hAnsi="Verdana Pro Cond Light" w:cstheme="minorHAnsi"/>
          <w:bCs/>
          <w:lang w:eastAsia="lv-LV"/>
        </w:rPr>
        <w:lastRenderedPageBreak/>
        <w:t>6.1</w:t>
      </w:r>
      <w:r>
        <w:rPr>
          <w:rFonts w:ascii="Verdana Pro Cond Light" w:eastAsia="Times New Roman" w:hAnsi="Verdana Pro Cond Light" w:cstheme="minorHAnsi"/>
          <w:bCs/>
          <w:lang w:eastAsia="lv-LV"/>
        </w:rPr>
        <w:t>9</w:t>
      </w:r>
      <w:r w:rsidRPr="009C7603">
        <w:rPr>
          <w:rFonts w:ascii="Verdana Pro Cond Light" w:eastAsia="Times New Roman" w:hAnsi="Verdana Pro Cond Light" w:cstheme="minorHAnsi"/>
          <w:bCs/>
          <w:lang w:eastAsia="lv-LV"/>
        </w:rPr>
        <w:t>. attēls</w:t>
      </w:r>
    </w:p>
    <w:p w14:paraId="5949451C" w14:textId="77777777" w:rsidR="00812A72" w:rsidRPr="00FC2E91" w:rsidRDefault="00812A72" w:rsidP="00812A72">
      <w:pPr>
        <w:widowControl/>
        <w:spacing w:after="120" w:line="240" w:lineRule="auto"/>
        <w:jc w:val="center"/>
        <w:rPr>
          <w:rFonts w:ascii="Verdana Pro Cond Light" w:eastAsia="Times New Roman" w:hAnsi="Verdana Pro Cond Light"/>
          <w:sz w:val="18"/>
          <w:szCs w:val="18"/>
          <w:lang w:eastAsia="lv-LV"/>
        </w:rPr>
      </w:pPr>
      <w:r w:rsidRPr="009C7603">
        <w:rPr>
          <w:rFonts w:ascii="Verdana Pro Cond Light" w:hAnsi="Verdana Pro Cond Light"/>
          <w:b/>
          <w:bCs/>
        </w:rPr>
        <w:t>RPPI sektora</w:t>
      </w:r>
      <w:r w:rsidRPr="009C7603">
        <w:rPr>
          <w:rFonts w:ascii="Verdana Pro Cond Light" w:eastAsia="Times New Roman" w:hAnsi="Verdana Pro Cond Light"/>
          <w:b/>
          <w:bCs/>
          <w:lang w:eastAsia="lv-LV"/>
        </w:rPr>
        <w:t xml:space="preserve"> pasākumu ietekme uz pievienoto vērtību nozaru dalījumā </w:t>
      </w:r>
      <w:r>
        <w:rPr>
          <w:rFonts w:ascii="Verdana Pro Cond Light" w:eastAsia="Times New Roman" w:hAnsi="Verdana Pro Cond Light"/>
          <w:b/>
          <w:bCs/>
          <w:lang w:eastAsia="lv-LV"/>
        </w:rPr>
        <w:br/>
      </w:r>
      <w:r w:rsidRPr="00FC2E91">
        <w:rPr>
          <w:rFonts w:ascii="Verdana Pro Cond Light" w:eastAsia="Times New Roman" w:hAnsi="Verdana Pro Cond Light"/>
          <w:sz w:val="18"/>
          <w:szCs w:val="18"/>
          <w:lang w:eastAsia="lv-LV"/>
        </w:rPr>
        <w:t>%; 2035. – 2039. gadā; salīdzinot ar bāzes scenāriju; 2015. gada cenās</w:t>
      </w:r>
    </w:p>
    <w:p w14:paraId="6AED2181" w14:textId="77777777" w:rsidR="00812A72" w:rsidRPr="003C4B3C" w:rsidRDefault="00812A72" w:rsidP="00812A72">
      <w:pPr>
        <w:widowControl/>
        <w:spacing w:line="240" w:lineRule="auto"/>
        <w:jc w:val="center"/>
        <w:rPr>
          <w:rFonts w:ascii="Minion Pro" w:hAnsi="Minion Pro" w:cstheme="minorHAnsi"/>
          <w:b/>
          <w:bCs/>
          <w:sz w:val="24"/>
          <w:szCs w:val="24"/>
        </w:rPr>
      </w:pPr>
      <w:r w:rsidRPr="003C4B3C">
        <w:rPr>
          <w:rFonts w:ascii="Minion Pro" w:hAnsi="Minion Pro" w:cstheme="minorHAnsi"/>
          <w:b/>
          <w:bCs/>
          <w:noProof/>
          <w:sz w:val="24"/>
          <w:szCs w:val="24"/>
        </w:rPr>
        <w:drawing>
          <wp:inline distT="0" distB="0" distL="0" distR="0" wp14:anchorId="4331D3DB" wp14:editId="69994236">
            <wp:extent cx="6120000" cy="3600000"/>
            <wp:effectExtent l="0" t="0" r="0" b="0"/>
            <wp:docPr id="374312001" name="Chart 374312001">
              <a:extLst xmlns:a="http://schemas.openxmlformats.org/drawingml/2006/main">
                <a:ext uri="{FF2B5EF4-FFF2-40B4-BE49-F238E27FC236}">
                  <a16:creationId xmlns:a16="http://schemas.microsoft.com/office/drawing/2014/main" id="{9CA58CAF-2A31-E6CF-FFCA-A031A940653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14:paraId="262B4601" w14:textId="77777777" w:rsidR="00812A72" w:rsidRPr="00FC2E91" w:rsidRDefault="00812A72" w:rsidP="00812A72">
      <w:pPr>
        <w:widowControl/>
        <w:spacing w:before="120" w:after="120" w:line="240" w:lineRule="auto"/>
        <w:jc w:val="both"/>
        <w:rPr>
          <w:rFonts w:ascii="Arial Nova Cond Light" w:eastAsia="Times New Roman" w:hAnsi="Arial Nova Cond Light"/>
          <w:sz w:val="16"/>
          <w:szCs w:val="24"/>
          <w:lang w:eastAsia="lv-LV"/>
        </w:rPr>
      </w:pPr>
      <w:r w:rsidRPr="00FC2E91">
        <w:rPr>
          <w:rFonts w:ascii="Arial Nova Cond Light" w:eastAsia="Times New Roman" w:hAnsi="Arial Nova Cond Light"/>
          <w:sz w:val="16"/>
          <w:szCs w:val="24"/>
          <w:lang w:eastAsia="lv-LV"/>
        </w:rPr>
        <w:t>Avots: autoru aprēķins, izmantojot VLA modeli.</w:t>
      </w:r>
    </w:p>
    <w:p w14:paraId="0A10A495" w14:textId="77777777" w:rsidR="00ED3083" w:rsidRPr="00ED3083" w:rsidRDefault="00ED3083" w:rsidP="00ED3083">
      <w:pPr>
        <w:widowControl/>
        <w:spacing w:after="120" w:line="240" w:lineRule="auto"/>
        <w:rPr>
          <w:rFonts w:ascii="Verdana Pro Cond Light" w:hAnsi="Verdana Pro Cond Light"/>
          <w:bCs/>
          <w:lang w:val="lv-LV"/>
        </w:rPr>
      </w:pPr>
    </w:p>
    <w:p w14:paraId="65295CD1" w14:textId="1F2F2F9A" w:rsidR="00812A72" w:rsidRPr="00ED3083" w:rsidRDefault="00812A72" w:rsidP="00ED3083">
      <w:pPr>
        <w:widowControl/>
        <w:spacing w:after="120" w:line="240" w:lineRule="auto"/>
        <w:rPr>
          <w:rFonts w:ascii="Verdana Pro Cond Light" w:hAnsi="Verdana Pro Cond Light"/>
          <w:bCs/>
          <w:lang w:val="lv-LV"/>
        </w:rPr>
      </w:pPr>
    </w:p>
    <w:p w14:paraId="7EDAB090" w14:textId="77777777" w:rsidR="00812A72" w:rsidRPr="00C91735" w:rsidRDefault="00812A72" w:rsidP="00812A72">
      <w:pPr>
        <w:pStyle w:val="Heading2"/>
        <w:rPr>
          <w:lang w:val="lv-LV"/>
        </w:rPr>
      </w:pPr>
      <w:bookmarkStart w:id="55" w:name="_Toc176185148"/>
      <w:bookmarkStart w:id="56" w:name="_Toc176778157"/>
      <w:bookmarkStart w:id="57" w:name="_Toc177395398"/>
      <w:bookmarkStart w:id="58" w:name="_Toc178327882"/>
      <w:bookmarkStart w:id="59" w:name="_Toc183697491"/>
      <w:r w:rsidRPr="00C91735">
        <w:rPr>
          <w:lang w:val="lv-LV"/>
        </w:rPr>
        <w:t>Ceturtais scenārijs – elektroenerģijas un siltumenerģijas ražošanas pasākumi</w:t>
      </w:r>
      <w:bookmarkEnd w:id="55"/>
      <w:bookmarkEnd w:id="56"/>
      <w:bookmarkEnd w:id="57"/>
      <w:bookmarkEnd w:id="58"/>
      <w:bookmarkEnd w:id="59"/>
    </w:p>
    <w:p w14:paraId="26B48112" w14:textId="77777777" w:rsidR="00812A72" w:rsidRDefault="00812A72" w:rsidP="00812A72">
      <w:pPr>
        <w:widowControl/>
        <w:spacing w:after="120" w:line="240" w:lineRule="auto"/>
        <w:rPr>
          <w:rFonts w:ascii="Verdana Pro Cond Light" w:hAnsi="Verdana Pro Cond Light"/>
          <w:bCs/>
          <w:lang w:val="lv-LV"/>
        </w:rPr>
      </w:pPr>
      <w:r w:rsidRPr="00FC2E91">
        <w:rPr>
          <w:rFonts w:ascii="Verdana Pro Cond Light" w:hAnsi="Verdana Pro Cond Light"/>
          <w:bCs/>
          <w:lang w:val="lv-LV"/>
        </w:rPr>
        <w:t>Modelēto elektroenerģijas un siltumenerģijas ražošanas pasākumu ieguldījumu kopapjoms (līdz 2030.</w:t>
      </w:r>
      <w:r>
        <w:rPr>
          <w:rFonts w:ascii="Verdana Pro Cond Light" w:hAnsi="Verdana Pro Cond Light"/>
          <w:bCs/>
          <w:lang w:val="lv-LV"/>
        </w:rPr>
        <w:t> </w:t>
      </w:r>
      <w:r w:rsidRPr="00FC2E91">
        <w:rPr>
          <w:rFonts w:ascii="Verdana Pro Cond Light" w:hAnsi="Verdana Pro Cond Light"/>
          <w:bCs/>
          <w:lang w:val="lv-LV"/>
        </w:rPr>
        <w:t>gadam ieskaitot) ir 2828,3 milj. eiro, no tiem 94,1</w:t>
      </w:r>
      <w:r>
        <w:rPr>
          <w:rFonts w:ascii="Verdana Pro Cond Light" w:hAnsi="Verdana Pro Cond Light"/>
          <w:bCs/>
          <w:lang w:val="lv-LV"/>
        </w:rPr>
        <w:t> </w:t>
      </w:r>
      <w:r w:rsidRPr="00FC2E91">
        <w:rPr>
          <w:rFonts w:ascii="Verdana Pro Cond Light" w:hAnsi="Verdana Pro Cond Light"/>
          <w:bCs/>
          <w:lang w:val="lv-LV"/>
        </w:rPr>
        <w:t>% ir jaunā nauda (ārvalstu finansējums – galvenokārt ES fondu jaunās programmas un nacionālais publiskais finansējums papildu izdevumu veidā), bet 5,9</w:t>
      </w:r>
      <w:r>
        <w:rPr>
          <w:rFonts w:ascii="Verdana Pro Cond Light" w:hAnsi="Verdana Pro Cond Light"/>
          <w:bCs/>
          <w:lang w:val="lv-LV"/>
        </w:rPr>
        <w:t> </w:t>
      </w:r>
      <w:r w:rsidRPr="00FC2E91">
        <w:rPr>
          <w:rFonts w:ascii="Verdana Pro Cond Light" w:hAnsi="Verdana Pro Cond Light"/>
          <w:bCs/>
          <w:lang w:val="lv-LV"/>
        </w:rPr>
        <w:t>% ir Latvijas privāto uzņēmumu un mājsaimniecību finansējums, kas aizvieto citus izdevumus.</w:t>
      </w:r>
    </w:p>
    <w:p w14:paraId="75C853A5" w14:textId="77777777" w:rsidR="00812A72" w:rsidRDefault="00812A72" w:rsidP="00812A72">
      <w:pPr>
        <w:widowControl/>
        <w:spacing w:after="120" w:line="240" w:lineRule="auto"/>
        <w:rPr>
          <w:rFonts w:ascii="Verdana Pro Cond Light" w:hAnsi="Verdana Pro Cond Light"/>
          <w:bCs/>
          <w:lang w:val="lv-LV"/>
        </w:rPr>
      </w:pPr>
      <w:r w:rsidRPr="00FC2E91">
        <w:rPr>
          <w:rFonts w:ascii="Verdana Pro Cond Light" w:hAnsi="Verdana Pro Cond Light"/>
          <w:bCs/>
          <w:lang w:val="lv-LV"/>
        </w:rPr>
        <w:t>No modelēšanā iekļautiem elektroenerģijas un siltumenerģijas ražošanas pasākumiem:</w:t>
      </w:r>
    </w:p>
    <w:p w14:paraId="213DE56B" w14:textId="77777777" w:rsidR="00812A72" w:rsidRDefault="00812A72" w:rsidP="00812A72">
      <w:pPr>
        <w:pStyle w:val="ListParagraph"/>
        <w:widowControl/>
        <w:numPr>
          <w:ilvl w:val="0"/>
          <w:numId w:val="20"/>
        </w:numPr>
        <w:spacing w:after="120" w:line="240" w:lineRule="auto"/>
        <w:ind w:left="568" w:hanging="284"/>
        <w:contextualSpacing w:val="0"/>
        <w:rPr>
          <w:rFonts w:ascii="Verdana Pro Cond Light" w:hAnsi="Verdana Pro Cond Light"/>
          <w:bCs/>
          <w:lang w:val="lv-LV"/>
        </w:rPr>
      </w:pPr>
      <w:r w:rsidRPr="00FC2E91">
        <w:rPr>
          <w:rFonts w:ascii="Verdana Pro Cond Light" w:hAnsi="Verdana Pro Cond Light"/>
          <w:bCs/>
          <w:lang w:val="lv-LV"/>
        </w:rPr>
        <w:t>trīs pasākumi attiecas uz vēja ģeneratoriem (3.1.3.1., 3.1.3.2., 3.1.3.3.),</w:t>
      </w:r>
    </w:p>
    <w:p w14:paraId="5E96F2BD" w14:textId="77777777" w:rsidR="00812A72" w:rsidRDefault="00812A72" w:rsidP="00812A72">
      <w:pPr>
        <w:pStyle w:val="ListParagraph"/>
        <w:widowControl/>
        <w:numPr>
          <w:ilvl w:val="0"/>
          <w:numId w:val="20"/>
        </w:numPr>
        <w:spacing w:after="120" w:line="240" w:lineRule="auto"/>
        <w:ind w:left="568" w:hanging="284"/>
        <w:contextualSpacing w:val="0"/>
        <w:rPr>
          <w:rFonts w:ascii="Verdana Pro Cond Light" w:hAnsi="Verdana Pro Cond Light"/>
          <w:lang w:val="lv-LV"/>
        </w:rPr>
      </w:pPr>
      <w:r w:rsidRPr="00FC2E91">
        <w:rPr>
          <w:rFonts w:ascii="Verdana Pro Cond Light" w:hAnsi="Verdana Pro Cond Light"/>
          <w:bCs/>
          <w:lang w:val="lv-LV"/>
        </w:rPr>
        <w:t>divi pasākumi attiecas uz biomasu (</w:t>
      </w:r>
      <w:r w:rsidRPr="00FC2E91">
        <w:rPr>
          <w:rFonts w:ascii="Verdana Pro Cond Light" w:hAnsi="Verdana Pro Cond Light"/>
          <w:lang w:val="lv-LV"/>
        </w:rPr>
        <w:t>3.1.3.26. un 3.1.3.27.),</w:t>
      </w:r>
    </w:p>
    <w:p w14:paraId="5FEB37B1" w14:textId="77777777" w:rsidR="00812A72" w:rsidRDefault="00812A72" w:rsidP="00812A72">
      <w:pPr>
        <w:pStyle w:val="ListParagraph"/>
        <w:widowControl/>
        <w:numPr>
          <w:ilvl w:val="0"/>
          <w:numId w:val="20"/>
        </w:numPr>
        <w:spacing w:after="120" w:line="240" w:lineRule="auto"/>
        <w:ind w:left="568" w:hanging="284"/>
        <w:contextualSpacing w:val="0"/>
        <w:rPr>
          <w:rFonts w:ascii="Verdana Pro Cond Light" w:hAnsi="Verdana Pro Cond Light"/>
          <w:lang w:val="lv-LV"/>
        </w:rPr>
      </w:pPr>
      <w:r w:rsidRPr="00FC2E91">
        <w:rPr>
          <w:rFonts w:ascii="Verdana Pro Cond Light" w:hAnsi="Verdana Pro Cond Light"/>
          <w:lang w:val="lv-LV"/>
        </w:rPr>
        <w:t>pieci pasākumi attiecas uz vairākiem atjaunojamās enerģijas avotiem dažādās kombinācijās (3.1.3.11.</w:t>
      </w:r>
      <w:r>
        <w:rPr>
          <w:rFonts w:ascii="Verdana Pro Cond Light" w:hAnsi="Verdana Pro Cond Light"/>
          <w:lang w:val="lv-LV"/>
        </w:rPr>
        <w:t xml:space="preserve"> – </w:t>
      </w:r>
      <w:r w:rsidRPr="00FC2E91">
        <w:rPr>
          <w:rFonts w:ascii="Verdana Pro Cond Light" w:hAnsi="Verdana Pro Cond Light"/>
          <w:lang w:val="lv-LV"/>
        </w:rPr>
        <w:t>3.1.3.15.).</w:t>
      </w:r>
    </w:p>
    <w:p w14:paraId="5DC464E1" w14:textId="77777777" w:rsidR="00812A72" w:rsidRDefault="00812A72" w:rsidP="00812A72">
      <w:pPr>
        <w:widowControl/>
        <w:spacing w:after="120" w:line="240" w:lineRule="auto"/>
        <w:rPr>
          <w:rFonts w:ascii="Verdana Pro Cond Light" w:hAnsi="Verdana Pro Cond Light"/>
          <w:lang w:val="lv-LV"/>
        </w:rPr>
      </w:pPr>
    </w:p>
    <w:p w14:paraId="525EF4F0" w14:textId="77777777" w:rsidR="00812A72" w:rsidRDefault="00812A72" w:rsidP="00812A72">
      <w:pPr>
        <w:widowControl/>
        <w:spacing w:after="120" w:line="240" w:lineRule="auto"/>
        <w:rPr>
          <w:rFonts w:ascii="Verdana Pro Cond Light" w:hAnsi="Verdana Pro Cond Light"/>
          <w:bCs/>
          <w:lang w:val="lv-LV"/>
        </w:rPr>
      </w:pPr>
      <w:r w:rsidRPr="00FC2E91">
        <w:rPr>
          <w:rFonts w:ascii="Verdana Pro Cond Light" w:hAnsi="Verdana Pro Cond Light"/>
          <w:lang w:val="lv-LV"/>
        </w:rPr>
        <w:t>Pēc saskaņošanas ar Ekonomikas ministrijas ekspertiem, ekonomiskās ietekmes modelēšanā netika iekļauti pasākumi 3.1.3.7., 3.1.3.9. un 3.1.3.19. Savukārt p</w:t>
      </w:r>
      <w:r w:rsidRPr="00FC2E91">
        <w:rPr>
          <w:rFonts w:ascii="Verdana Pro Cond Light" w:hAnsi="Verdana Pro Cond Light"/>
          <w:bCs/>
          <w:lang w:val="lv-LV"/>
        </w:rPr>
        <w:t>ar pasākumiem, kuru plānots turpināt arī pēc 2030. gada (3.1.3.1., 3.1.3.2) modelēšanā ietverts tikai finansējums līdz 2030. gadam ieskaitot (6.4.</w:t>
      </w:r>
      <w:r>
        <w:rPr>
          <w:rFonts w:ascii="Verdana Pro Cond Light" w:hAnsi="Verdana Pro Cond Light"/>
          <w:bCs/>
          <w:lang w:val="lv-LV"/>
        </w:rPr>
        <w:t> </w:t>
      </w:r>
      <w:r w:rsidRPr="00FC2E91">
        <w:rPr>
          <w:rFonts w:ascii="Verdana Pro Cond Light" w:hAnsi="Verdana Pro Cond Light"/>
          <w:bCs/>
          <w:lang w:val="lv-LV"/>
        </w:rPr>
        <w:t>tabula).</w:t>
      </w:r>
    </w:p>
    <w:p w14:paraId="1FE775EE" w14:textId="77777777" w:rsidR="00812A72" w:rsidRDefault="00812A72" w:rsidP="00812A72">
      <w:pPr>
        <w:widowControl/>
        <w:spacing w:after="120" w:line="240" w:lineRule="auto"/>
        <w:rPr>
          <w:rFonts w:ascii="Verdana Pro Cond Light" w:hAnsi="Verdana Pro Cond Light"/>
          <w:lang w:val="lv-LV"/>
        </w:rPr>
      </w:pPr>
      <w:r w:rsidRPr="00FC2E91">
        <w:rPr>
          <w:rFonts w:ascii="Verdana Pro Cond Light" w:hAnsi="Verdana Pro Cond Light"/>
          <w:lang w:val="lv-LV"/>
        </w:rPr>
        <w:t xml:space="preserve">Tā kā elektroenerģijas un siltumenerģijas ražošanas pasākumi ietver papildu investīcijas, kas palielina fiziskā kapitāla apjomu (un tādējādi arī ražošanas potenciālu) tautsaimniecībā, tiem ir pozitīva ietekme uz IKP </w:t>
      </w:r>
      <w:r>
        <w:rPr>
          <w:rFonts w:ascii="Verdana Pro Cond Light" w:hAnsi="Verdana Pro Cond Light"/>
          <w:lang w:val="lv-LV"/>
        </w:rPr>
        <w:t xml:space="preserve">– </w:t>
      </w:r>
      <w:r w:rsidRPr="00FC2E91">
        <w:rPr>
          <w:rFonts w:ascii="Verdana Pro Cond Light" w:hAnsi="Verdana Pro Cond Light"/>
          <w:lang w:val="lv-LV"/>
        </w:rPr>
        <w:t xml:space="preserve">ne tikai īstermiņā (t.i., investīciju veikšanas periodā </w:t>
      </w:r>
      <w:r>
        <w:rPr>
          <w:rFonts w:ascii="Verdana Pro Cond Light" w:hAnsi="Verdana Pro Cond Light"/>
          <w:lang w:val="lv-LV"/>
        </w:rPr>
        <w:t xml:space="preserve">– </w:t>
      </w:r>
      <w:r w:rsidRPr="00FC2E91">
        <w:rPr>
          <w:rFonts w:ascii="Verdana Pro Cond Light" w:hAnsi="Verdana Pro Cond Light"/>
          <w:lang w:val="lv-LV"/>
        </w:rPr>
        <w:t>līdz 2030. gadam), bet arī ilgtermiņā. Reālā IKP līmenis 2050. gadā ir par 1,6</w:t>
      </w:r>
      <w:r>
        <w:rPr>
          <w:rFonts w:ascii="Verdana Pro Cond Light" w:hAnsi="Verdana Pro Cond Light"/>
          <w:lang w:val="lv-LV"/>
        </w:rPr>
        <w:t> </w:t>
      </w:r>
      <w:r w:rsidRPr="00FC2E91">
        <w:rPr>
          <w:rFonts w:ascii="Verdana Pro Cond Light" w:hAnsi="Verdana Pro Cond Light"/>
          <w:lang w:val="lv-LV"/>
        </w:rPr>
        <w:t xml:space="preserve">% lielāks nekā neīstenojot transporta </w:t>
      </w:r>
      <w:r w:rsidRPr="00FC2E91">
        <w:rPr>
          <w:rFonts w:ascii="Verdana Pro Cond Light" w:hAnsi="Verdana Pro Cond Light"/>
          <w:lang w:val="lv-LV"/>
        </w:rPr>
        <w:lastRenderedPageBreak/>
        <w:t>pasākumus. No IKP komponentēm visvairāk palielinās investīcijas, pozitīva ietekme ir arī uz privāto patēriņu (6.</w:t>
      </w:r>
      <w:r>
        <w:rPr>
          <w:rFonts w:ascii="Verdana Pro Cond Light" w:hAnsi="Verdana Pro Cond Light"/>
          <w:lang w:val="lv-LV"/>
        </w:rPr>
        <w:t>20</w:t>
      </w:r>
      <w:r w:rsidRPr="00FC2E91">
        <w:rPr>
          <w:rFonts w:ascii="Verdana Pro Cond Light" w:hAnsi="Verdana Pro Cond Light"/>
          <w:lang w:val="lv-LV"/>
        </w:rPr>
        <w:t>. attēls).</w:t>
      </w:r>
    </w:p>
    <w:p w14:paraId="0DA3DDAB" w14:textId="77777777" w:rsidR="00812A72" w:rsidRDefault="00812A72" w:rsidP="00812A72">
      <w:pPr>
        <w:widowControl/>
        <w:spacing w:after="120" w:line="240" w:lineRule="auto"/>
        <w:rPr>
          <w:rFonts w:ascii="Verdana Pro Cond Light" w:hAnsi="Verdana Pro Cond Light"/>
          <w:lang w:val="lv-LV"/>
        </w:rPr>
      </w:pPr>
      <w:r w:rsidRPr="00FC2E91">
        <w:rPr>
          <w:rFonts w:ascii="Verdana Pro Cond Light" w:hAnsi="Verdana Pro Cond Light"/>
          <w:lang w:val="lv-LV"/>
        </w:rPr>
        <w:t>Īstermiņā investīciju pieaugums izspiež eksportu un palielina importu, tādējādi pasliktinot tirdzniecības bilanci par 0,4 procenta punktiem no IKP. Savukārt ilgtermiņā eksports tomēr pieaug nedaudz vairāk par importu, uzlabojot tirdzniecības bilanci par 0,4 procenta punktiem no IKP (6.2</w:t>
      </w:r>
      <w:r>
        <w:rPr>
          <w:rFonts w:ascii="Verdana Pro Cond Light" w:hAnsi="Verdana Pro Cond Light"/>
          <w:lang w:val="lv-LV"/>
        </w:rPr>
        <w:t>1</w:t>
      </w:r>
      <w:r w:rsidRPr="00FC2E91">
        <w:rPr>
          <w:rFonts w:ascii="Verdana Pro Cond Light" w:hAnsi="Verdana Pro Cond Light"/>
          <w:lang w:val="lv-LV"/>
        </w:rPr>
        <w:t>. attēls).</w:t>
      </w:r>
    </w:p>
    <w:p w14:paraId="627B910E" w14:textId="77777777" w:rsidR="00812A72" w:rsidRDefault="00812A72" w:rsidP="00812A72">
      <w:pPr>
        <w:widowControl/>
        <w:spacing w:after="120" w:line="240" w:lineRule="auto"/>
        <w:rPr>
          <w:rFonts w:ascii="Verdana Pro Cond Light" w:hAnsi="Verdana Pro Cond Light"/>
          <w:lang w:val="lv-LV"/>
        </w:rPr>
      </w:pPr>
      <w:r w:rsidRPr="00FC2E91">
        <w:rPr>
          <w:rFonts w:ascii="Verdana Pro Cond Light" w:hAnsi="Verdana Pro Cond Light"/>
          <w:lang w:val="lv-LV"/>
        </w:rPr>
        <w:t>Elektroenerģijas un siltumenerģijas ražošanas pasākumu īstenošanai ir pozitīva ietekme uz produktivitāti, palielinās arī nodarbinātība. Nodarbināto skaits 2050. gadā ir par 1,0</w:t>
      </w:r>
      <w:r>
        <w:rPr>
          <w:rFonts w:ascii="Verdana Pro Cond Light" w:hAnsi="Verdana Pro Cond Light"/>
          <w:lang w:val="lv-LV"/>
        </w:rPr>
        <w:t> </w:t>
      </w:r>
      <w:r w:rsidRPr="00FC2E91">
        <w:rPr>
          <w:rFonts w:ascii="Verdana Pro Cond Light" w:hAnsi="Verdana Pro Cond Light"/>
          <w:lang w:val="lv-LV"/>
        </w:rPr>
        <w:t>% lielāks nekā bāzes scenārijā, kas samazina bezdarba līmeni par 0,7 procentu punktiem no ekonomiski aktīvajiem iedzīvotājiem (6.2</w:t>
      </w:r>
      <w:r>
        <w:rPr>
          <w:rFonts w:ascii="Verdana Pro Cond Light" w:hAnsi="Verdana Pro Cond Light"/>
          <w:lang w:val="lv-LV"/>
        </w:rPr>
        <w:t>2</w:t>
      </w:r>
      <w:r w:rsidRPr="00FC2E91">
        <w:rPr>
          <w:rFonts w:ascii="Verdana Pro Cond Light" w:hAnsi="Verdana Pro Cond Light"/>
          <w:lang w:val="lv-LV"/>
        </w:rPr>
        <w:t>. attēls).</w:t>
      </w:r>
    </w:p>
    <w:p w14:paraId="3978BF2C" w14:textId="77777777" w:rsidR="00812A72" w:rsidRDefault="00812A72" w:rsidP="00812A72">
      <w:pPr>
        <w:widowControl/>
        <w:spacing w:after="120" w:line="240" w:lineRule="auto"/>
        <w:rPr>
          <w:rFonts w:ascii="Verdana Pro Cond Light" w:hAnsi="Verdana Pro Cond Light"/>
          <w:lang w:val="lv-LV"/>
        </w:rPr>
      </w:pPr>
      <w:r w:rsidRPr="00FC2E91">
        <w:rPr>
          <w:rFonts w:ascii="Verdana Pro Cond Light" w:hAnsi="Verdana Pro Cond Light"/>
          <w:lang w:val="lv-LV"/>
        </w:rPr>
        <w:t>Lielāks darbaspēka pieprasījums nosaka arī augstākas algas. Vidējā alga nominālā izteiksmē 2030. – 2034. gadā ir par 0,2</w:t>
      </w:r>
      <w:r>
        <w:rPr>
          <w:rFonts w:ascii="Verdana Pro Cond Light" w:hAnsi="Verdana Pro Cond Light"/>
          <w:lang w:val="lv-LV"/>
        </w:rPr>
        <w:t> </w:t>
      </w:r>
      <w:r w:rsidRPr="00FC2E91">
        <w:rPr>
          <w:rFonts w:ascii="Verdana Pro Cond Light" w:hAnsi="Verdana Pro Cond Light"/>
          <w:lang w:val="lv-LV"/>
        </w:rPr>
        <w:t>% lielāka nekā bāzes scenārijā. Elektroenerģijas un siltumenerģijas ražošanas pasākumu īstenošana palielina patēriņa cenu līmeni īstermiņā (tautsaimniecības augšupejas ietekmē); bet samazina to ilgtermiņā, jo papildu investīcijas vairo tautsaimniecības kapacitāti jeb potenciālo IKP (6.2</w:t>
      </w:r>
      <w:r>
        <w:rPr>
          <w:rFonts w:ascii="Verdana Pro Cond Light" w:hAnsi="Verdana Pro Cond Light"/>
          <w:lang w:val="lv-LV"/>
        </w:rPr>
        <w:t>3</w:t>
      </w:r>
      <w:r w:rsidRPr="00FC2E91">
        <w:rPr>
          <w:rFonts w:ascii="Verdana Pro Cond Light" w:hAnsi="Verdana Pro Cond Light"/>
          <w:lang w:val="lv-LV"/>
        </w:rPr>
        <w:t>. attēls). Tādējādi ietekme uz reālo algu (t.i., vidējās algas pirktspēju) ilgtermiņā ir pozitīva.</w:t>
      </w:r>
    </w:p>
    <w:p w14:paraId="684AC2D7" w14:textId="77777777" w:rsidR="00812A72" w:rsidRDefault="00812A72" w:rsidP="00812A72">
      <w:pPr>
        <w:widowControl/>
        <w:spacing w:after="120" w:line="240" w:lineRule="auto"/>
        <w:rPr>
          <w:rFonts w:ascii="Verdana Pro Cond Light" w:hAnsi="Verdana Pro Cond Light"/>
          <w:lang w:val="lv-LV"/>
        </w:rPr>
      </w:pPr>
      <w:r w:rsidRPr="00FC2E91">
        <w:rPr>
          <w:rFonts w:ascii="Verdana Pro Cond Light" w:hAnsi="Verdana Pro Cond Light"/>
          <w:lang w:val="lv-LV"/>
        </w:rPr>
        <w:t>Augstāks IKP un īstermiņā arī lielāks cenu līmenis nosaka pozitīvu elektroenerģijas un siltumenerģijas ražošanas pasākumu ietekmi uz valsts budžeta ieņēmumiem, t.sk. uz nodokļu ieņēmumiem. Tādējādi valsts budžeta ieņēmumi 2050. gadā ir par 1,1</w:t>
      </w:r>
      <w:r>
        <w:rPr>
          <w:rFonts w:ascii="Verdana Pro Cond Light" w:hAnsi="Verdana Pro Cond Light"/>
          <w:lang w:val="lv-LV"/>
        </w:rPr>
        <w:t> </w:t>
      </w:r>
      <w:r w:rsidRPr="00FC2E91">
        <w:rPr>
          <w:rFonts w:ascii="Verdana Pro Cond Light" w:hAnsi="Verdana Pro Cond Light"/>
          <w:lang w:val="lv-LV"/>
        </w:rPr>
        <w:t>% lielāki nekā bāzes scenārijā (6.2</w:t>
      </w:r>
      <w:r>
        <w:rPr>
          <w:rFonts w:ascii="Verdana Pro Cond Light" w:hAnsi="Verdana Pro Cond Light"/>
          <w:lang w:val="lv-LV"/>
        </w:rPr>
        <w:t>4</w:t>
      </w:r>
      <w:r w:rsidRPr="00FC2E91">
        <w:rPr>
          <w:rFonts w:ascii="Verdana Pro Cond Light" w:hAnsi="Verdana Pro Cond Light"/>
          <w:lang w:val="lv-LV"/>
        </w:rPr>
        <w:t xml:space="preserve">. attēls). Nozaru dalījumā </w:t>
      </w:r>
      <w:r>
        <w:rPr>
          <w:rFonts w:ascii="Verdana Pro Cond Light" w:hAnsi="Verdana Pro Cond Light"/>
          <w:lang w:val="lv-LV"/>
        </w:rPr>
        <w:t xml:space="preserve">– </w:t>
      </w:r>
      <w:r w:rsidRPr="00FC2E91">
        <w:rPr>
          <w:rFonts w:ascii="Verdana Pro Cond Light" w:hAnsi="Verdana Pro Cond Light"/>
          <w:lang w:val="lv-LV"/>
        </w:rPr>
        <w:t>pozitīva ietekme uz pievienoto vērtību vienmērīgi sadalīta uz visām privātā sektora nozarēm (6.2</w:t>
      </w:r>
      <w:r>
        <w:rPr>
          <w:rFonts w:ascii="Verdana Pro Cond Light" w:hAnsi="Verdana Pro Cond Light"/>
          <w:lang w:val="lv-LV"/>
        </w:rPr>
        <w:t>5</w:t>
      </w:r>
      <w:r w:rsidRPr="00FC2E91">
        <w:rPr>
          <w:rFonts w:ascii="Verdana Pro Cond Light" w:hAnsi="Verdana Pro Cond Light"/>
          <w:lang w:val="lv-LV"/>
        </w:rPr>
        <w:t>. attēls).</w:t>
      </w:r>
    </w:p>
    <w:p w14:paraId="7E1F27C7" w14:textId="77777777" w:rsidR="00812A72" w:rsidRPr="00FC2E91" w:rsidRDefault="00812A72" w:rsidP="00812A72">
      <w:pPr>
        <w:widowControl/>
        <w:spacing w:after="120" w:line="240" w:lineRule="auto"/>
        <w:jc w:val="right"/>
        <w:rPr>
          <w:rFonts w:ascii="Verdana Pro Cond Light" w:eastAsia="Times New Roman" w:hAnsi="Verdana Pro Cond Light" w:cstheme="minorHAnsi"/>
          <w:bCs/>
          <w:lang w:val="lv-LV" w:eastAsia="lv-LV"/>
        </w:rPr>
      </w:pPr>
      <w:r w:rsidRPr="00FC2E91">
        <w:rPr>
          <w:rFonts w:ascii="Verdana Pro Cond Light" w:eastAsia="Times New Roman" w:hAnsi="Verdana Pro Cond Light" w:cstheme="minorHAnsi"/>
          <w:bCs/>
          <w:lang w:val="lv-LV" w:eastAsia="lv-LV"/>
        </w:rPr>
        <w:t>6.</w:t>
      </w:r>
      <w:r>
        <w:rPr>
          <w:rFonts w:ascii="Verdana Pro Cond Light" w:eastAsia="Times New Roman" w:hAnsi="Verdana Pro Cond Light" w:cstheme="minorHAnsi"/>
          <w:bCs/>
          <w:lang w:val="lv-LV" w:eastAsia="lv-LV"/>
        </w:rPr>
        <w:t>20</w:t>
      </w:r>
      <w:r w:rsidRPr="00FC2E91">
        <w:rPr>
          <w:rFonts w:ascii="Verdana Pro Cond Light" w:eastAsia="Times New Roman" w:hAnsi="Verdana Pro Cond Light" w:cstheme="minorHAnsi"/>
          <w:bCs/>
          <w:lang w:val="lv-LV" w:eastAsia="lv-LV"/>
        </w:rPr>
        <w:t>. attēls</w:t>
      </w:r>
    </w:p>
    <w:p w14:paraId="0C460B10" w14:textId="77777777" w:rsidR="00812A72" w:rsidRDefault="00812A72" w:rsidP="00812A72">
      <w:pPr>
        <w:widowControl/>
        <w:spacing w:after="120" w:line="240" w:lineRule="auto"/>
        <w:jc w:val="center"/>
        <w:rPr>
          <w:rFonts w:ascii="Verdana Pro Cond Light" w:eastAsia="Times New Roman" w:hAnsi="Verdana Pro Cond Light"/>
          <w:sz w:val="18"/>
          <w:szCs w:val="18"/>
          <w:lang w:val="lv-LV" w:eastAsia="lv-LV"/>
        </w:rPr>
      </w:pPr>
      <w:r w:rsidRPr="00FC2E91">
        <w:rPr>
          <w:rFonts w:ascii="Verdana Pro Cond Light" w:eastAsia="Times New Roman" w:hAnsi="Verdana Pro Cond Light"/>
          <w:b/>
          <w:bCs/>
          <w:lang w:val="lv-LV" w:eastAsia="lv-LV"/>
        </w:rPr>
        <w:t xml:space="preserve">Elektroenerģijas un siltumenerģijas ražošanas pasākumu ietekme uz </w:t>
      </w:r>
      <w:r>
        <w:rPr>
          <w:rFonts w:ascii="Verdana Pro Cond Light" w:eastAsia="Times New Roman" w:hAnsi="Verdana Pro Cond Light"/>
          <w:b/>
          <w:bCs/>
          <w:lang w:val="lv-LV" w:eastAsia="lv-LV"/>
        </w:rPr>
        <w:br/>
      </w:r>
      <w:r w:rsidRPr="00FC2E91">
        <w:rPr>
          <w:rFonts w:ascii="Verdana Pro Cond Light" w:eastAsia="Times New Roman" w:hAnsi="Verdana Pro Cond Light"/>
          <w:b/>
          <w:bCs/>
          <w:lang w:val="lv-LV" w:eastAsia="lv-LV"/>
        </w:rPr>
        <w:t>Latvijas iekšzemes kopprodukta līmeni un tā iekšzemes komponentēm</w:t>
      </w:r>
      <w:r>
        <w:rPr>
          <w:rFonts w:ascii="Verdana Pro Cond Light" w:eastAsia="Times New Roman" w:hAnsi="Verdana Pro Cond Light"/>
          <w:b/>
          <w:bCs/>
          <w:lang w:val="lv-LV" w:eastAsia="lv-LV"/>
        </w:rPr>
        <w:br/>
      </w:r>
      <w:r w:rsidRPr="00FD0E0D">
        <w:rPr>
          <w:rFonts w:ascii="Verdana Pro Cond Light" w:eastAsia="Times New Roman" w:hAnsi="Verdana Pro Cond Light"/>
          <w:sz w:val="18"/>
          <w:szCs w:val="18"/>
          <w:lang w:val="lv-LV" w:eastAsia="lv-LV"/>
        </w:rPr>
        <w:t>%; salīdzinot ar bāzes scenāriju; 2015. gada cenās; 2025. – 2050. gadā</w:t>
      </w:r>
    </w:p>
    <w:p w14:paraId="76230B66" w14:textId="77777777" w:rsidR="00812A72" w:rsidRDefault="00812A72" w:rsidP="00812A72">
      <w:pPr>
        <w:widowControl/>
        <w:spacing w:after="120" w:line="240" w:lineRule="auto"/>
        <w:jc w:val="center"/>
        <w:rPr>
          <w:rFonts w:ascii="Verdana Pro Cond Light" w:hAnsi="Verdana Pro Cond Light"/>
          <w:sz w:val="18"/>
          <w:szCs w:val="18"/>
          <w:lang w:val="lv-LV"/>
        </w:rPr>
      </w:pPr>
    </w:p>
    <w:p w14:paraId="397936CD" w14:textId="77777777" w:rsidR="00812A72" w:rsidRDefault="00812A72" w:rsidP="00812A72">
      <w:pPr>
        <w:widowControl/>
        <w:tabs>
          <w:tab w:val="center" w:pos="2410"/>
          <w:tab w:val="center" w:pos="7230"/>
        </w:tabs>
        <w:spacing w:after="120" w:line="240" w:lineRule="auto"/>
        <w:rPr>
          <w:rFonts w:ascii="Verdana Pro Cond Light" w:hAnsi="Verdana Pro Cond Light"/>
          <w:b/>
          <w:bCs/>
          <w:sz w:val="18"/>
          <w:szCs w:val="18"/>
          <w:lang w:val="lv-LV"/>
        </w:rPr>
      </w:pPr>
      <w:r>
        <w:rPr>
          <w:rFonts w:ascii="Verdana Pro Cond Light" w:hAnsi="Verdana Pro Cond Light"/>
          <w:b/>
          <w:bCs/>
          <w:sz w:val="18"/>
          <w:szCs w:val="18"/>
          <w:lang w:val="lv-LV"/>
        </w:rPr>
        <w:tab/>
      </w:r>
      <w:r w:rsidRPr="00FD0E0D">
        <w:rPr>
          <w:rFonts w:ascii="Verdana Pro Cond Light" w:hAnsi="Verdana Pro Cond Light"/>
          <w:b/>
          <w:bCs/>
          <w:sz w:val="18"/>
          <w:szCs w:val="18"/>
          <w:lang w:val="lv-LV"/>
        </w:rPr>
        <w:t>Ietekme uz iekšzemes kopprodukta līmeni</w:t>
      </w:r>
      <w:r w:rsidRPr="00FD0E0D">
        <w:rPr>
          <w:rFonts w:ascii="Verdana Pro Cond Light" w:hAnsi="Verdana Pro Cond Light"/>
          <w:b/>
          <w:bCs/>
          <w:sz w:val="18"/>
          <w:szCs w:val="18"/>
          <w:lang w:val="lv-LV"/>
        </w:rPr>
        <w:tab/>
        <w:t>Ietekme uz investīcijām un patēriņu</w:t>
      </w:r>
    </w:p>
    <w:p w14:paraId="7A381BEE" w14:textId="77777777" w:rsidR="00812A72" w:rsidRPr="00FD0E0D" w:rsidRDefault="00812A72" w:rsidP="00812A72">
      <w:pPr>
        <w:widowControl/>
        <w:tabs>
          <w:tab w:val="center" w:pos="2410"/>
          <w:tab w:val="center" w:pos="7230"/>
        </w:tabs>
        <w:spacing w:after="120" w:line="240" w:lineRule="auto"/>
        <w:ind w:right="-143"/>
        <w:rPr>
          <w:rFonts w:ascii="Verdana Pro Cond Light" w:hAnsi="Verdana Pro Cond Light"/>
          <w:b/>
          <w:bCs/>
          <w:sz w:val="18"/>
          <w:szCs w:val="18"/>
          <w:lang w:val="lv-LV"/>
        </w:rPr>
      </w:pPr>
      <w:r w:rsidRPr="003C4B3C">
        <w:rPr>
          <w:rFonts w:ascii="Minion Pro" w:hAnsi="Minion Pro" w:cstheme="minorHAnsi"/>
          <w:noProof/>
          <w:sz w:val="24"/>
          <w:szCs w:val="24"/>
        </w:rPr>
        <w:drawing>
          <wp:inline distT="0" distB="0" distL="0" distR="0" wp14:anchorId="378E00A9" wp14:editId="5DBC3493">
            <wp:extent cx="3060000" cy="2160000"/>
            <wp:effectExtent l="0" t="0" r="0" b="0"/>
            <wp:docPr id="759227067" name="Chart 759227067">
              <a:extLst xmlns:a="http://schemas.openxmlformats.org/drawingml/2006/main">
                <a:ext uri="{FF2B5EF4-FFF2-40B4-BE49-F238E27FC236}">
                  <a16:creationId xmlns:a16="http://schemas.microsoft.com/office/drawing/2014/main" id="{C0B412E0-20D9-9C02-797F-E1BB76C514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r w:rsidRPr="003C4B3C">
        <w:rPr>
          <w:rFonts w:ascii="Minion Pro" w:hAnsi="Minion Pro" w:cstheme="minorHAnsi"/>
          <w:noProof/>
          <w:sz w:val="24"/>
          <w:szCs w:val="24"/>
        </w:rPr>
        <w:drawing>
          <wp:inline distT="0" distB="0" distL="0" distR="0" wp14:anchorId="1839DBCC" wp14:editId="7EB1E644">
            <wp:extent cx="3060000" cy="2160000"/>
            <wp:effectExtent l="0" t="0" r="0" b="0"/>
            <wp:docPr id="1851248937" name="Chart 1851248937">
              <a:extLst xmlns:a="http://schemas.openxmlformats.org/drawingml/2006/main">
                <a:ext uri="{FF2B5EF4-FFF2-40B4-BE49-F238E27FC236}">
                  <a16:creationId xmlns:a16="http://schemas.microsoft.com/office/drawing/2014/main" id="{DA49B370-F5C9-6939-A1AB-36EBEF097AC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p>
    <w:p w14:paraId="559461E9" w14:textId="77777777" w:rsidR="00812A72" w:rsidRPr="00097491" w:rsidRDefault="00812A72" w:rsidP="00812A72">
      <w:pPr>
        <w:widowControl/>
        <w:spacing w:before="120" w:after="120" w:line="240" w:lineRule="auto"/>
        <w:jc w:val="both"/>
        <w:rPr>
          <w:rFonts w:ascii="Arial Nova Cond Light" w:eastAsia="Times New Roman" w:hAnsi="Arial Nova Cond Light"/>
          <w:sz w:val="16"/>
          <w:szCs w:val="24"/>
          <w:lang w:val="lv-LV" w:eastAsia="lv-LV"/>
        </w:rPr>
      </w:pPr>
      <w:r w:rsidRPr="00097491">
        <w:rPr>
          <w:rFonts w:ascii="Arial Nova Cond Light" w:eastAsia="Times New Roman" w:hAnsi="Arial Nova Cond Light"/>
          <w:sz w:val="16"/>
          <w:szCs w:val="24"/>
          <w:lang w:val="lv-LV" w:eastAsia="lv-LV"/>
        </w:rPr>
        <w:t>Avots: autoru aprēķins, izmantojot VLA modeli.</w:t>
      </w:r>
    </w:p>
    <w:p w14:paraId="387D0994" w14:textId="77777777" w:rsidR="00812A72" w:rsidRPr="00097491" w:rsidRDefault="00812A72" w:rsidP="00812A72">
      <w:pPr>
        <w:widowControl/>
        <w:spacing w:after="120" w:line="240" w:lineRule="auto"/>
        <w:jc w:val="both"/>
        <w:rPr>
          <w:rFonts w:ascii="Verdana Pro Cond Light" w:eastAsia="Times New Roman" w:hAnsi="Verdana Pro Cond Light" w:cstheme="minorHAnsi"/>
          <w:b/>
          <w:bCs/>
          <w:lang w:val="lv-LV" w:eastAsia="lv-LV"/>
        </w:rPr>
      </w:pPr>
    </w:p>
    <w:p w14:paraId="73FBD3FE" w14:textId="77777777" w:rsidR="00ED3083" w:rsidRPr="00097491" w:rsidRDefault="00ED3083">
      <w:pPr>
        <w:widowControl/>
        <w:spacing w:after="160" w:line="259" w:lineRule="auto"/>
        <w:rPr>
          <w:rFonts w:ascii="Verdana Pro Cond Light" w:eastAsia="Times New Roman" w:hAnsi="Verdana Pro Cond Light" w:cstheme="minorHAnsi"/>
          <w:bCs/>
          <w:lang w:val="lv-LV" w:eastAsia="lv-LV"/>
        </w:rPr>
      </w:pPr>
      <w:r w:rsidRPr="00097491">
        <w:rPr>
          <w:rFonts w:ascii="Verdana Pro Cond Light" w:eastAsia="Times New Roman" w:hAnsi="Verdana Pro Cond Light" w:cstheme="minorHAnsi"/>
          <w:bCs/>
          <w:lang w:val="lv-LV" w:eastAsia="lv-LV"/>
        </w:rPr>
        <w:br w:type="page"/>
      </w:r>
    </w:p>
    <w:p w14:paraId="2FE535C1" w14:textId="57F52E3E" w:rsidR="00812A72" w:rsidRPr="00097491" w:rsidRDefault="00812A72" w:rsidP="00812A72">
      <w:pPr>
        <w:widowControl/>
        <w:spacing w:before="120" w:after="120" w:line="240" w:lineRule="auto"/>
        <w:jc w:val="right"/>
        <w:rPr>
          <w:rFonts w:ascii="Verdana Pro Cond Light" w:eastAsia="Times New Roman" w:hAnsi="Verdana Pro Cond Light" w:cstheme="minorHAnsi"/>
          <w:bCs/>
          <w:lang w:val="lv-LV" w:eastAsia="lv-LV"/>
        </w:rPr>
      </w:pPr>
      <w:r w:rsidRPr="00097491">
        <w:rPr>
          <w:rFonts w:ascii="Verdana Pro Cond Light" w:eastAsia="Times New Roman" w:hAnsi="Verdana Pro Cond Light" w:cstheme="minorHAnsi"/>
          <w:bCs/>
          <w:lang w:val="lv-LV" w:eastAsia="lv-LV"/>
        </w:rPr>
        <w:lastRenderedPageBreak/>
        <w:t>6.21. attēls</w:t>
      </w:r>
    </w:p>
    <w:p w14:paraId="074BEF6E" w14:textId="77777777" w:rsidR="00812A72" w:rsidRPr="00097491" w:rsidRDefault="00812A72" w:rsidP="00812A72">
      <w:pPr>
        <w:widowControl/>
        <w:spacing w:after="120" w:line="240" w:lineRule="auto"/>
        <w:jc w:val="center"/>
        <w:rPr>
          <w:rFonts w:ascii="Verdana Pro Cond Light" w:eastAsia="Times New Roman" w:hAnsi="Verdana Pro Cond Light"/>
          <w:sz w:val="18"/>
          <w:szCs w:val="18"/>
          <w:lang w:val="lv-LV" w:eastAsia="lv-LV"/>
        </w:rPr>
      </w:pPr>
      <w:r w:rsidRPr="00FD0E0D">
        <w:rPr>
          <w:rFonts w:ascii="Verdana Pro Cond Light" w:eastAsia="Times New Roman" w:hAnsi="Verdana Pro Cond Light"/>
          <w:b/>
          <w:bCs/>
          <w:lang w:val="lv-LV" w:eastAsia="lv-LV"/>
        </w:rPr>
        <w:t>Elektroenerģijas un siltumenerģijas ražošanas</w:t>
      </w:r>
      <w:r w:rsidRPr="00097491">
        <w:rPr>
          <w:rFonts w:ascii="Verdana Pro Cond Light" w:eastAsia="Times New Roman" w:hAnsi="Verdana Pro Cond Light"/>
          <w:b/>
          <w:bCs/>
          <w:lang w:val="lv-LV" w:eastAsia="lv-LV"/>
        </w:rPr>
        <w:t xml:space="preserve"> pasākumu ietekme uz </w:t>
      </w:r>
      <w:r w:rsidRPr="00097491">
        <w:rPr>
          <w:rFonts w:ascii="Verdana Pro Cond Light" w:eastAsia="Times New Roman" w:hAnsi="Verdana Pro Cond Light"/>
          <w:b/>
          <w:bCs/>
          <w:lang w:val="lv-LV" w:eastAsia="lv-LV"/>
        </w:rPr>
        <w:br/>
        <w:t xml:space="preserve">Latvijas eksportu, importu un tirdzniecības bilanci </w:t>
      </w:r>
      <w:r w:rsidRPr="00097491">
        <w:rPr>
          <w:rFonts w:ascii="Verdana Pro Cond Light" w:eastAsia="Times New Roman" w:hAnsi="Verdana Pro Cond Light"/>
          <w:b/>
          <w:bCs/>
          <w:lang w:val="lv-LV" w:eastAsia="lv-LV"/>
        </w:rPr>
        <w:br/>
      </w:r>
      <w:r w:rsidRPr="00097491">
        <w:rPr>
          <w:rFonts w:ascii="Verdana Pro Cond Light" w:eastAsia="Times New Roman" w:hAnsi="Verdana Pro Cond Light"/>
          <w:sz w:val="18"/>
          <w:szCs w:val="18"/>
          <w:lang w:val="lv-LV" w:eastAsia="lv-LV"/>
        </w:rPr>
        <w:t>salīdzinot ar bāzes scenāriju; 2025. – 2050. gadā</w:t>
      </w:r>
    </w:p>
    <w:p w14:paraId="072CF8ED" w14:textId="77777777" w:rsidR="00812A72" w:rsidRPr="00097491" w:rsidRDefault="00812A72" w:rsidP="00812A72">
      <w:pPr>
        <w:widowControl/>
        <w:spacing w:after="120" w:line="240" w:lineRule="auto"/>
        <w:jc w:val="center"/>
        <w:rPr>
          <w:rFonts w:ascii="Verdana Pro Cond Light" w:eastAsia="Times New Roman" w:hAnsi="Verdana Pro Cond Light"/>
          <w:sz w:val="18"/>
          <w:szCs w:val="18"/>
          <w:lang w:val="lv-LV" w:eastAsia="lv-LV"/>
        </w:rPr>
      </w:pPr>
    </w:p>
    <w:p w14:paraId="635644C8" w14:textId="77777777" w:rsidR="00812A72" w:rsidRPr="00097491" w:rsidRDefault="00812A72" w:rsidP="00812A72">
      <w:pPr>
        <w:widowControl/>
        <w:tabs>
          <w:tab w:val="center" w:pos="2410"/>
          <w:tab w:val="center" w:pos="7230"/>
        </w:tabs>
        <w:spacing w:after="120" w:line="240" w:lineRule="auto"/>
        <w:rPr>
          <w:rFonts w:ascii="Verdana Pro Cond Light" w:eastAsia="Times New Roman" w:hAnsi="Verdana Pro Cond Light"/>
          <w:b/>
          <w:bCs/>
          <w:sz w:val="18"/>
          <w:szCs w:val="18"/>
          <w:lang w:val="lv-LV" w:eastAsia="lv-LV"/>
        </w:rPr>
      </w:pPr>
      <w:r w:rsidRPr="00097491">
        <w:rPr>
          <w:rFonts w:ascii="Verdana Pro Cond Light" w:eastAsia="Times New Roman" w:hAnsi="Verdana Pro Cond Light"/>
          <w:b/>
          <w:bCs/>
          <w:sz w:val="18"/>
          <w:szCs w:val="18"/>
          <w:lang w:val="lv-LV" w:eastAsia="lv-LV"/>
        </w:rPr>
        <w:tab/>
        <w:t>Ietekme uz Latvijas eksportu un importu (%)</w:t>
      </w:r>
      <w:r w:rsidRPr="00097491">
        <w:rPr>
          <w:rFonts w:ascii="Verdana Pro Cond Light" w:eastAsia="Times New Roman" w:hAnsi="Verdana Pro Cond Light"/>
          <w:b/>
          <w:bCs/>
          <w:sz w:val="18"/>
          <w:szCs w:val="18"/>
          <w:lang w:val="lv-LV" w:eastAsia="lv-LV"/>
        </w:rPr>
        <w:tab/>
        <w:t>Ietekme uz Latvijas tirdzniecības bilanci (pp. no IKP)</w:t>
      </w:r>
    </w:p>
    <w:p w14:paraId="7F999EB2" w14:textId="77777777" w:rsidR="00812A72" w:rsidRPr="00FD0E0D" w:rsidRDefault="00812A72" w:rsidP="00812A72">
      <w:pPr>
        <w:widowControl/>
        <w:tabs>
          <w:tab w:val="center" w:pos="2410"/>
          <w:tab w:val="center" w:pos="7230"/>
        </w:tabs>
        <w:spacing w:after="120" w:line="240" w:lineRule="auto"/>
        <w:ind w:right="-143"/>
        <w:rPr>
          <w:rFonts w:ascii="Verdana Pro Cond Light" w:eastAsia="Times New Roman" w:hAnsi="Verdana Pro Cond Light"/>
          <w:b/>
          <w:bCs/>
          <w:sz w:val="18"/>
          <w:szCs w:val="18"/>
          <w:lang w:eastAsia="lv-LV"/>
        </w:rPr>
      </w:pPr>
      <w:r w:rsidRPr="003C4B3C">
        <w:rPr>
          <w:rFonts w:ascii="Minion Pro" w:hAnsi="Minion Pro" w:cstheme="minorHAnsi"/>
          <w:noProof/>
          <w:sz w:val="24"/>
          <w:szCs w:val="24"/>
        </w:rPr>
        <w:drawing>
          <wp:inline distT="0" distB="0" distL="0" distR="0" wp14:anchorId="09DBB1A6" wp14:editId="4C3AD2FE">
            <wp:extent cx="3060000" cy="2160000"/>
            <wp:effectExtent l="0" t="0" r="0" b="0"/>
            <wp:docPr id="773813168" name="Chart 773813168">
              <a:extLst xmlns:a="http://schemas.openxmlformats.org/drawingml/2006/main">
                <a:ext uri="{FF2B5EF4-FFF2-40B4-BE49-F238E27FC236}">
                  <a16:creationId xmlns:a16="http://schemas.microsoft.com/office/drawing/2014/main" id="{013AA65C-5627-335A-2509-D049CDF1205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r w:rsidRPr="003C4B3C">
        <w:rPr>
          <w:rFonts w:ascii="Minion Pro" w:hAnsi="Minion Pro" w:cstheme="minorHAnsi"/>
          <w:noProof/>
          <w:sz w:val="24"/>
          <w:szCs w:val="24"/>
        </w:rPr>
        <w:drawing>
          <wp:inline distT="0" distB="0" distL="0" distR="0" wp14:anchorId="07BD4221" wp14:editId="029E9607">
            <wp:extent cx="3060000" cy="2160000"/>
            <wp:effectExtent l="0" t="0" r="7620" b="0"/>
            <wp:docPr id="1125863999" name="Chart 1125863999">
              <a:extLst xmlns:a="http://schemas.openxmlformats.org/drawingml/2006/main">
                <a:ext uri="{FF2B5EF4-FFF2-40B4-BE49-F238E27FC236}">
                  <a16:creationId xmlns:a16="http://schemas.microsoft.com/office/drawing/2014/main" id="{C0B412E0-20D9-9C02-797F-E1BB76C514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p>
    <w:p w14:paraId="4369FE09" w14:textId="77777777" w:rsidR="00812A72" w:rsidRDefault="00812A72" w:rsidP="00812A72">
      <w:pPr>
        <w:widowControl/>
        <w:spacing w:before="120" w:after="120" w:line="240" w:lineRule="auto"/>
        <w:jc w:val="both"/>
        <w:rPr>
          <w:rFonts w:ascii="Arial Nova Cond Light" w:eastAsia="Times New Roman" w:hAnsi="Arial Nova Cond Light"/>
          <w:sz w:val="16"/>
          <w:szCs w:val="24"/>
          <w:lang w:eastAsia="lv-LV"/>
        </w:rPr>
      </w:pPr>
      <w:r w:rsidRPr="00FD0E0D">
        <w:rPr>
          <w:rFonts w:ascii="Arial Nova Cond Light" w:eastAsia="Times New Roman" w:hAnsi="Arial Nova Cond Light"/>
          <w:sz w:val="16"/>
          <w:szCs w:val="24"/>
          <w:lang w:eastAsia="lv-LV"/>
        </w:rPr>
        <w:t>Avots: autoru aprēķins, izmantojot VLA modeli.</w:t>
      </w:r>
    </w:p>
    <w:p w14:paraId="54438459" w14:textId="1F009E74" w:rsidR="00812A72" w:rsidRDefault="00812A72" w:rsidP="00812A72">
      <w:pPr>
        <w:widowControl/>
        <w:spacing w:after="160" w:line="240" w:lineRule="auto"/>
        <w:rPr>
          <w:rFonts w:ascii="Minion Pro" w:eastAsia="Times New Roman" w:hAnsi="Minion Pro" w:cstheme="minorHAnsi"/>
          <w:sz w:val="16"/>
          <w:szCs w:val="24"/>
          <w:lang w:eastAsia="lv-LV"/>
        </w:rPr>
      </w:pPr>
    </w:p>
    <w:p w14:paraId="3D392572" w14:textId="77777777" w:rsidR="00812A72" w:rsidRPr="006B7AB1" w:rsidRDefault="00812A72" w:rsidP="00812A72">
      <w:pPr>
        <w:widowControl/>
        <w:spacing w:before="120" w:after="120" w:line="240" w:lineRule="auto"/>
        <w:jc w:val="right"/>
        <w:rPr>
          <w:rFonts w:ascii="Verdana Pro Cond Light" w:eastAsia="Times New Roman" w:hAnsi="Verdana Pro Cond Light" w:cstheme="minorHAnsi"/>
          <w:lang w:eastAsia="lv-LV"/>
        </w:rPr>
      </w:pPr>
      <w:r w:rsidRPr="006B7AB1">
        <w:rPr>
          <w:rFonts w:ascii="Verdana Pro Cond Light" w:eastAsia="Times New Roman" w:hAnsi="Verdana Pro Cond Light" w:cstheme="minorHAnsi"/>
          <w:lang w:eastAsia="lv-LV"/>
        </w:rPr>
        <w:t>6.2</w:t>
      </w:r>
      <w:r>
        <w:rPr>
          <w:rFonts w:ascii="Verdana Pro Cond Light" w:eastAsia="Times New Roman" w:hAnsi="Verdana Pro Cond Light" w:cstheme="minorHAnsi"/>
          <w:lang w:eastAsia="lv-LV"/>
        </w:rPr>
        <w:t>2</w:t>
      </w:r>
      <w:r w:rsidRPr="006B7AB1">
        <w:rPr>
          <w:rFonts w:ascii="Verdana Pro Cond Light" w:eastAsia="Times New Roman" w:hAnsi="Verdana Pro Cond Light" w:cstheme="minorHAnsi"/>
          <w:lang w:eastAsia="lv-LV"/>
        </w:rPr>
        <w:t>. attēls</w:t>
      </w:r>
    </w:p>
    <w:p w14:paraId="545E5B75" w14:textId="77777777" w:rsidR="00812A72" w:rsidRDefault="00812A72" w:rsidP="00812A72">
      <w:pPr>
        <w:widowControl/>
        <w:spacing w:after="120" w:line="240" w:lineRule="auto"/>
        <w:jc w:val="center"/>
        <w:rPr>
          <w:rFonts w:ascii="Verdana Pro Cond Light" w:eastAsia="Times New Roman" w:hAnsi="Verdana Pro Cond Light"/>
          <w:sz w:val="18"/>
          <w:szCs w:val="18"/>
          <w:lang w:eastAsia="lv-LV"/>
        </w:rPr>
      </w:pPr>
      <w:r w:rsidRPr="00FD0E0D">
        <w:rPr>
          <w:rFonts w:ascii="Verdana Pro Cond Light" w:eastAsia="Times New Roman" w:hAnsi="Verdana Pro Cond Light"/>
          <w:b/>
          <w:bCs/>
          <w:lang w:val="lv-LV" w:eastAsia="lv-LV"/>
        </w:rPr>
        <w:t>Elektroenerģijas un siltumenerģijas ražošanas</w:t>
      </w:r>
      <w:r w:rsidRPr="00FD0E0D">
        <w:rPr>
          <w:rFonts w:ascii="Verdana Pro Cond Light" w:eastAsia="Times New Roman" w:hAnsi="Verdana Pro Cond Light"/>
          <w:b/>
          <w:bCs/>
          <w:lang w:eastAsia="lv-LV"/>
        </w:rPr>
        <w:t xml:space="preserve"> pasākumu ietekme uz </w:t>
      </w:r>
      <w:r>
        <w:rPr>
          <w:rFonts w:ascii="Verdana Pro Cond Light" w:eastAsia="Times New Roman" w:hAnsi="Verdana Pro Cond Light"/>
          <w:b/>
          <w:bCs/>
          <w:lang w:eastAsia="lv-LV"/>
        </w:rPr>
        <w:br/>
      </w:r>
      <w:r w:rsidRPr="00FD0E0D">
        <w:rPr>
          <w:rFonts w:ascii="Verdana Pro Cond Light" w:eastAsia="Times New Roman" w:hAnsi="Verdana Pro Cond Light"/>
          <w:b/>
          <w:bCs/>
          <w:lang w:eastAsia="lv-LV"/>
        </w:rPr>
        <w:t xml:space="preserve">nodarbināto skaitu un bezdarba līmeni Latvijā </w:t>
      </w:r>
      <w:r>
        <w:rPr>
          <w:rFonts w:ascii="Verdana Pro Cond Light" w:eastAsia="Times New Roman" w:hAnsi="Verdana Pro Cond Light"/>
          <w:b/>
          <w:bCs/>
          <w:lang w:eastAsia="lv-LV"/>
        </w:rPr>
        <w:br/>
      </w:r>
      <w:r w:rsidRPr="00FD0E0D">
        <w:rPr>
          <w:rFonts w:ascii="Verdana Pro Cond Light" w:eastAsia="Times New Roman" w:hAnsi="Verdana Pro Cond Light"/>
          <w:sz w:val="18"/>
          <w:szCs w:val="18"/>
          <w:lang w:eastAsia="lv-LV"/>
        </w:rPr>
        <w:t xml:space="preserve">salīdzinot ar bāzes scenāriju; 2025. – 2050. </w:t>
      </w:r>
      <w:r>
        <w:rPr>
          <w:rFonts w:ascii="Verdana Pro Cond Light" w:eastAsia="Times New Roman" w:hAnsi="Verdana Pro Cond Light"/>
          <w:sz w:val="18"/>
          <w:szCs w:val="18"/>
          <w:lang w:eastAsia="lv-LV"/>
        </w:rPr>
        <w:t>g</w:t>
      </w:r>
      <w:r w:rsidRPr="00FD0E0D">
        <w:rPr>
          <w:rFonts w:ascii="Verdana Pro Cond Light" w:eastAsia="Times New Roman" w:hAnsi="Verdana Pro Cond Light"/>
          <w:sz w:val="18"/>
          <w:szCs w:val="18"/>
          <w:lang w:eastAsia="lv-LV"/>
        </w:rPr>
        <w:t>adā</w:t>
      </w:r>
    </w:p>
    <w:p w14:paraId="42E77790" w14:textId="77777777" w:rsidR="00812A72" w:rsidRDefault="00812A72" w:rsidP="00812A72">
      <w:pPr>
        <w:widowControl/>
        <w:spacing w:after="120" w:line="240" w:lineRule="auto"/>
        <w:jc w:val="center"/>
        <w:rPr>
          <w:rFonts w:ascii="Verdana Pro Cond Light" w:eastAsia="Times New Roman" w:hAnsi="Verdana Pro Cond Light"/>
          <w:sz w:val="18"/>
          <w:szCs w:val="18"/>
          <w:lang w:eastAsia="lv-LV"/>
        </w:rPr>
      </w:pPr>
    </w:p>
    <w:p w14:paraId="44E2A3E8" w14:textId="77777777" w:rsidR="00812A72" w:rsidRDefault="00812A72" w:rsidP="00812A72">
      <w:pPr>
        <w:widowControl/>
        <w:tabs>
          <w:tab w:val="center" w:pos="2410"/>
          <w:tab w:val="center" w:pos="7230"/>
        </w:tabs>
        <w:spacing w:after="120" w:line="240" w:lineRule="auto"/>
        <w:rPr>
          <w:rFonts w:ascii="Verdana Pro Cond Light" w:eastAsia="Times New Roman" w:hAnsi="Verdana Pro Cond Light"/>
          <w:sz w:val="18"/>
          <w:szCs w:val="18"/>
          <w:lang w:eastAsia="lv-LV"/>
        </w:rPr>
      </w:pPr>
      <w:r>
        <w:rPr>
          <w:rFonts w:ascii="Verdana Pro Cond Light" w:eastAsia="Times New Roman" w:hAnsi="Verdana Pro Cond Light"/>
          <w:b/>
          <w:bCs/>
          <w:sz w:val="18"/>
          <w:szCs w:val="18"/>
          <w:lang w:eastAsia="lv-LV"/>
        </w:rPr>
        <w:tab/>
      </w:r>
      <w:r w:rsidRPr="00FD0E0D">
        <w:rPr>
          <w:rFonts w:ascii="Verdana Pro Cond Light" w:eastAsia="Times New Roman" w:hAnsi="Verdana Pro Cond Light"/>
          <w:b/>
          <w:bCs/>
          <w:sz w:val="18"/>
          <w:szCs w:val="18"/>
          <w:lang w:eastAsia="lv-LV"/>
        </w:rPr>
        <w:t xml:space="preserve">Ietekme uz nodarbināto skaitu (%) </w:t>
      </w:r>
      <w:r w:rsidRPr="00FD0E0D">
        <w:rPr>
          <w:rFonts w:ascii="Verdana Pro Cond Light" w:eastAsia="Times New Roman" w:hAnsi="Verdana Pro Cond Light"/>
          <w:b/>
          <w:bCs/>
          <w:sz w:val="18"/>
          <w:szCs w:val="18"/>
          <w:lang w:eastAsia="lv-LV"/>
        </w:rPr>
        <w:tab/>
        <w:t xml:space="preserve">Ietekme uz bezdarba līmeni </w:t>
      </w:r>
      <w:r>
        <w:rPr>
          <w:rFonts w:ascii="Verdana Pro Cond Light" w:eastAsia="Times New Roman" w:hAnsi="Verdana Pro Cond Light"/>
          <w:b/>
          <w:bCs/>
          <w:sz w:val="18"/>
          <w:szCs w:val="18"/>
          <w:lang w:eastAsia="lv-LV"/>
        </w:rPr>
        <w:br/>
      </w:r>
      <w:r w:rsidRPr="00FD0E0D">
        <w:rPr>
          <w:rFonts w:ascii="Verdana Pro Cond Light" w:eastAsia="Times New Roman" w:hAnsi="Verdana Pro Cond Light"/>
          <w:sz w:val="18"/>
          <w:szCs w:val="18"/>
          <w:lang w:eastAsia="lv-LV"/>
        </w:rPr>
        <w:tab/>
      </w:r>
      <w:r w:rsidRPr="00FD0E0D">
        <w:rPr>
          <w:rFonts w:ascii="Verdana Pro Cond Light" w:eastAsia="Times New Roman" w:hAnsi="Verdana Pro Cond Light"/>
          <w:sz w:val="18"/>
          <w:szCs w:val="18"/>
          <w:lang w:eastAsia="lv-LV"/>
        </w:rPr>
        <w:tab/>
        <w:t>pp. no ekonomiski aktīvajiem iedzīvotājiem</w:t>
      </w:r>
    </w:p>
    <w:p w14:paraId="45B6D7E5" w14:textId="77777777" w:rsidR="00812A72" w:rsidRPr="00FD0E0D" w:rsidRDefault="00812A72" w:rsidP="00812A72">
      <w:pPr>
        <w:widowControl/>
        <w:tabs>
          <w:tab w:val="center" w:pos="2410"/>
          <w:tab w:val="center" w:pos="7230"/>
        </w:tabs>
        <w:spacing w:after="120" w:line="240" w:lineRule="auto"/>
        <w:ind w:right="-143"/>
        <w:rPr>
          <w:rFonts w:ascii="Verdana Pro Cond Light" w:eastAsia="Times New Roman" w:hAnsi="Verdana Pro Cond Light"/>
          <w:sz w:val="18"/>
          <w:szCs w:val="18"/>
          <w:lang w:eastAsia="lv-LV"/>
        </w:rPr>
      </w:pPr>
      <w:r w:rsidRPr="00FD0E0D">
        <w:rPr>
          <w:rFonts w:ascii="Verdana Pro Cond Light" w:hAnsi="Verdana Pro Cond Light" w:cstheme="minorHAnsi"/>
          <w:noProof/>
        </w:rPr>
        <w:drawing>
          <wp:inline distT="0" distB="0" distL="0" distR="0" wp14:anchorId="18EE3A33" wp14:editId="063B7E17">
            <wp:extent cx="3060000" cy="2160000"/>
            <wp:effectExtent l="0" t="0" r="7620" b="0"/>
            <wp:docPr id="1862626541" name="Chart 1862626541">
              <a:extLst xmlns:a="http://schemas.openxmlformats.org/drawingml/2006/main">
                <a:ext uri="{FF2B5EF4-FFF2-40B4-BE49-F238E27FC236}">
                  <a16:creationId xmlns:a16="http://schemas.microsoft.com/office/drawing/2014/main" id="{C0B412E0-20D9-9C02-797F-E1BB76C514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inline>
        </w:drawing>
      </w:r>
      <w:r w:rsidRPr="00FD0E0D">
        <w:rPr>
          <w:rFonts w:ascii="Verdana Pro Cond Light" w:hAnsi="Verdana Pro Cond Light" w:cstheme="minorHAnsi"/>
          <w:noProof/>
        </w:rPr>
        <w:drawing>
          <wp:inline distT="0" distB="0" distL="0" distR="0" wp14:anchorId="3360EE61" wp14:editId="28A5D7A8">
            <wp:extent cx="3060000" cy="2160000"/>
            <wp:effectExtent l="0" t="0" r="7620" b="0"/>
            <wp:docPr id="1214673610" name="Chart 1214673610">
              <a:extLst xmlns:a="http://schemas.openxmlformats.org/drawingml/2006/main">
                <a:ext uri="{FF2B5EF4-FFF2-40B4-BE49-F238E27FC236}">
                  <a16:creationId xmlns:a16="http://schemas.microsoft.com/office/drawing/2014/main" id="{C0B412E0-20D9-9C02-797F-E1BB76C514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inline>
        </w:drawing>
      </w:r>
    </w:p>
    <w:p w14:paraId="12853327" w14:textId="77777777" w:rsidR="00812A72" w:rsidRDefault="00812A72" w:rsidP="00812A72">
      <w:pPr>
        <w:widowControl/>
        <w:spacing w:before="120" w:after="120" w:line="240" w:lineRule="auto"/>
        <w:jc w:val="both"/>
        <w:rPr>
          <w:rFonts w:ascii="Arial Nova Cond Light" w:eastAsia="Times New Roman" w:hAnsi="Arial Nova Cond Light"/>
          <w:sz w:val="16"/>
          <w:szCs w:val="24"/>
          <w:lang w:eastAsia="lv-LV"/>
        </w:rPr>
      </w:pPr>
      <w:r w:rsidRPr="00FD0E0D">
        <w:rPr>
          <w:rFonts w:ascii="Arial Nova Cond Light" w:eastAsia="Times New Roman" w:hAnsi="Arial Nova Cond Light"/>
          <w:sz w:val="16"/>
          <w:szCs w:val="24"/>
          <w:lang w:eastAsia="lv-LV"/>
        </w:rPr>
        <w:t>Avots: autoru aprēķins, izmantojot VLA modeli.</w:t>
      </w:r>
    </w:p>
    <w:p w14:paraId="1B08132C" w14:textId="77777777" w:rsidR="00812A72" w:rsidRPr="00FD0E0D" w:rsidRDefault="00812A72" w:rsidP="00812A72">
      <w:pPr>
        <w:widowControl/>
        <w:spacing w:after="120" w:line="240" w:lineRule="auto"/>
        <w:jc w:val="both"/>
        <w:rPr>
          <w:rFonts w:ascii="Verdana Pro Cond Light" w:eastAsia="Times New Roman" w:hAnsi="Verdana Pro Cond Light" w:cstheme="minorHAnsi"/>
          <w:b/>
          <w:bCs/>
          <w:lang w:eastAsia="lv-LV"/>
        </w:rPr>
      </w:pPr>
    </w:p>
    <w:p w14:paraId="1B04660E" w14:textId="77777777" w:rsidR="00ED3083" w:rsidRDefault="00ED3083">
      <w:pPr>
        <w:widowControl/>
        <w:spacing w:after="160" w:line="259" w:lineRule="auto"/>
        <w:rPr>
          <w:rFonts w:ascii="Verdana Pro Cond Light" w:eastAsia="Times New Roman" w:hAnsi="Verdana Pro Cond Light" w:cstheme="minorHAnsi"/>
          <w:lang w:eastAsia="lv-LV"/>
        </w:rPr>
      </w:pPr>
      <w:r>
        <w:rPr>
          <w:rFonts w:ascii="Verdana Pro Cond Light" w:eastAsia="Times New Roman" w:hAnsi="Verdana Pro Cond Light" w:cstheme="minorHAnsi"/>
          <w:lang w:eastAsia="lv-LV"/>
        </w:rPr>
        <w:br w:type="page"/>
      </w:r>
    </w:p>
    <w:p w14:paraId="1FD434B6" w14:textId="75CB8042" w:rsidR="00812A72" w:rsidRPr="006B7AB1" w:rsidRDefault="00812A72" w:rsidP="00812A72">
      <w:pPr>
        <w:widowControl/>
        <w:spacing w:before="120" w:after="120" w:line="240" w:lineRule="auto"/>
        <w:jc w:val="right"/>
        <w:rPr>
          <w:rFonts w:ascii="Verdana Pro Cond Light" w:eastAsia="Times New Roman" w:hAnsi="Verdana Pro Cond Light" w:cstheme="minorHAnsi"/>
          <w:lang w:eastAsia="lv-LV"/>
        </w:rPr>
      </w:pPr>
      <w:r w:rsidRPr="006B7AB1">
        <w:rPr>
          <w:rFonts w:ascii="Verdana Pro Cond Light" w:eastAsia="Times New Roman" w:hAnsi="Verdana Pro Cond Light" w:cstheme="minorHAnsi"/>
          <w:lang w:eastAsia="lv-LV"/>
        </w:rPr>
        <w:lastRenderedPageBreak/>
        <w:t>6.2</w:t>
      </w:r>
      <w:r>
        <w:rPr>
          <w:rFonts w:ascii="Verdana Pro Cond Light" w:eastAsia="Times New Roman" w:hAnsi="Verdana Pro Cond Light" w:cstheme="minorHAnsi"/>
          <w:lang w:eastAsia="lv-LV"/>
        </w:rPr>
        <w:t>3</w:t>
      </w:r>
      <w:r w:rsidRPr="006B7AB1">
        <w:rPr>
          <w:rFonts w:ascii="Verdana Pro Cond Light" w:eastAsia="Times New Roman" w:hAnsi="Verdana Pro Cond Light" w:cstheme="minorHAnsi"/>
          <w:lang w:eastAsia="lv-LV"/>
        </w:rPr>
        <w:t>. attēls</w:t>
      </w:r>
    </w:p>
    <w:p w14:paraId="2AF6E6A9" w14:textId="77777777" w:rsidR="00812A72" w:rsidRDefault="00812A72" w:rsidP="00812A72">
      <w:pPr>
        <w:widowControl/>
        <w:spacing w:after="120" w:line="240" w:lineRule="auto"/>
        <w:jc w:val="center"/>
        <w:rPr>
          <w:rFonts w:ascii="Verdana Pro Cond Light" w:eastAsia="Times New Roman" w:hAnsi="Verdana Pro Cond Light"/>
          <w:sz w:val="18"/>
          <w:szCs w:val="18"/>
          <w:lang w:eastAsia="lv-LV"/>
        </w:rPr>
      </w:pPr>
      <w:r w:rsidRPr="00FD0E0D">
        <w:rPr>
          <w:rFonts w:ascii="Verdana Pro Cond Light" w:eastAsia="Times New Roman" w:hAnsi="Verdana Pro Cond Light"/>
          <w:b/>
          <w:bCs/>
          <w:lang w:val="lv-LV" w:eastAsia="lv-LV"/>
        </w:rPr>
        <w:t>Elektroenerģijas un siltumenerģijas ražošanas</w:t>
      </w:r>
      <w:r w:rsidRPr="00FD0E0D">
        <w:rPr>
          <w:rFonts w:ascii="Verdana Pro Cond Light" w:eastAsia="Times New Roman" w:hAnsi="Verdana Pro Cond Light"/>
          <w:b/>
          <w:bCs/>
          <w:lang w:eastAsia="lv-LV"/>
        </w:rPr>
        <w:t xml:space="preserve"> pasākumu ietekme uz </w:t>
      </w:r>
      <w:r>
        <w:rPr>
          <w:rFonts w:ascii="Verdana Pro Cond Light" w:eastAsia="Times New Roman" w:hAnsi="Verdana Pro Cond Light"/>
          <w:b/>
          <w:bCs/>
          <w:lang w:eastAsia="lv-LV"/>
        </w:rPr>
        <w:br/>
      </w:r>
      <w:r w:rsidRPr="00FD0E0D">
        <w:rPr>
          <w:rFonts w:ascii="Verdana Pro Cond Light" w:eastAsia="Times New Roman" w:hAnsi="Verdana Pro Cond Light"/>
          <w:b/>
          <w:bCs/>
          <w:lang w:eastAsia="lv-LV"/>
        </w:rPr>
        <w:t xml:space="preserve">vidējo algu un patēriņa cenām Latvijā </w:t>
      </w:r>
      <w:r>
        <w:rPr>
          <w:rFonts w:ascii="Verdana Pro Cond Light" w:eastAsia="Times New Roman" w:hAnsi="Verdana Pro Cond Light"/>
          <w:b/>
          <w:bCs/>
          <w:lang w:eastAsia="lv-LV"/>
        </w:rPr>
        <w:br/>
      </w:r>
      <w:r w:rsidRPr="00FD0E0D">
        <w:rPr>
          <w:rFonts w:ascii="Verdana Pro Cond Light" w:eastAsia="Times New Roman" w:hAnsi="Verdana Pro Cond Light"/>
          <w:sz w:val="18"/>
          <w:szCs w:val="18"/>
          <w:lang w:eastAsia="lv-LV"/>
        </w:rPr>
        <w:t xml:space="preserve">salīdzinot ar bāzes scenāriju; 2025. – 2050. </w:t>
      </w:r>
      <w:r>
        <w:rPr>
          <w:rFonts w:ascii="Verdana Pro Cond Light" w:eastAsia="Times New Roman" w:hAnsi="Verdana Pro Cond Light"/>
          <w:sz w:val="18"/>
          <w:szCs w:val="18"/>
          <w:lang w:eastAsia="lv-LV"/>
        </w:rPr>
        <w:t>g</w:t>
      </w:r>
      <w:r w:rsidRPr="00FD0E0D">
        <w:rPr>
          <w:rFonts w:ascii="Verdana Pro Cond Light" w:eastAsia="Times New Roman" w:hAnsi="Verdana Pro Cond Light"/>
          <w:sz w:val="18"/>
          <w:szCs w:val="18"/>
          <w:lang w:eastAsia="lv-LV"/>
        </w:rPr>
        <w:t>adā</w:t>
      </w:r>
    </w:p>
    <w:p w14:paraId="5CFBB23E" w14:textId="77777777" w:rsidR="00812A72" w:rsidRDefault="00812A72" w:rsidP="00812A72">
      <w:pPr>
        <w:widowControl/>
        <w:spacing w:after="120" w:line="240" w:lineRule="auto"/>
        <w:jc w:val="center"/>
        <w:rPr>
          <w:rFonts w:ascii="Verdana Pro Cond Light" w:eastAsia="Times New Roman" w:hAnsi="Verdana Pro Cond Light"/>
          <w:sz w:val="18"/>
          <w:szCs w:val="18"/>
          <w:lang w:eastAsia="lv-LV"/>
        </w:rPr>
      </w:pPr>
    </w:p>
    <w:p w14:paraId="3EF1CDFD" w14:textId="77777777" w:rsidR="00812A72" w:rsidRDefault="00812A72" w:rsidP="00812A72">
      <w:pPr>
        <w:widowControl/>
        <w:tabs>
          <w:tab w:val="center" w:pos="2410"/>
          <w:tab w:val="center" w:pos="7230"/>
        </w:tabs>
        <w:spacing w:after="120" w:line="240" w:lineRule="auto"/>
        <w:rPr>
          <w:rFonts w:ascii="Verdana Pro Cond Light" w:eastAsia="Times New Roman" w:hAnsi="Verdana Pro Cond Light"/>
          <w:b/>
          <w:bCs/>
          <w:sz w:val="18"/>
          <w:szCs w:val="18"/>
          <w:lang w:eastAsia="lv-LV"/>
        </w:rPr>
      </w:pPr>
      <w:r>
        <w:rPr>
          <w:rFonts w:ascii="Verdana Pro Cond Light" w:eastAsia="Times New Roman" w:hAnsi="Verdana Pro Cond Light"/>
          <w:b/>
          <w:bCs/>
          <w:sz w:val="18"/>
          <w:szCs w:val="18"/>
          <w:lang w:eastAsia="lv-LV"/>
        </w:rPr>
        <w:tab/>
      </w:r>
      <w:r w:rsidRPr="00FD0E0D">
        <w:rPr>
          <w:rFonts w:ascii="Verdana Pro Cond Light" w:eastAsia="Times New Roman" w:hAnsi="Verdana Pro Cond Light"/>
          <w:b/>
          <w:bCs/>
          <w:sz w:val="18"/>
          <w:szCs w:val="18"/>
          <w:lang w:eastAsia="lv-LV"/>
        </w:rPr>
        <w:t>Ietekme uz vidējo algu (%; nominālā izteiksmē)</w:t>
      </w:r>
      <w:r w:rsidRPr="00FD0E0D">
        <w:rPr>
          <w:rFonts w:ascii="Verdana Pro Cond Light" w:eastAsia="Times New Roman" w:hAnsi="Verdana Pro Cond Light"/>
          <w:b/>
          <w:bCs/>
          <w:sz w:val="18"/>
          <w:szCs w:val="18"/>
          <w:lang w:eastAsia="lv-LV"/>
        </w:rPr>
        <w:tab/>
        <w:t>Ietekme uz patēriņa cenu līmeni (%)</w:t>
      </w:r>
    </w:p>
    <w:p w14:paraId="5D78381A" w14:textId="77777777" w:rsidR="00812A72" w:rsidRPr="00FD0E0D" w:rsidRDefault="00812A72" w:rsidP="00812A72">
      <w:pPr>
        <w:widowControl/>
        <w:tabs>
          <w:tab w:val="center" w:pos="2410"/>
          <w:tab w:val="center" w:pos="7230"/>
        </w:tabs>
        <w:spacing w:after="120" w:line="240" w:lineRule="auto"/>
        <w:ind w:right="-143"/>
        <w:rPr>
          <w:rFonts w:ascii="Verdana Pro Cond Light" w:eastAsia="Times New Roman" w:hAnsi="Verdana Pro Cond Light"/>
          <w:b/>
          <w:bCs/>
          <w:sz w:val="18"/>
          <w:szCs w:val="18"/>
          <w:lang w:eastAsia="lv-LV"/>
        </w:rPr>
      </w:pPr>
      <w:r w:rsidRPr="003C4B3C">
        <w:rPr>
          <w:rFonts w:ascii="Minion Pro" w:hAnsi="Minion Pro" w:cstheme="minorHAnsi"/>
          <w:noProof/>
          <w:sz w:val="24"/>
          <w:szCs w:val="24"/>
        </w:rPr>
        <w:drawing>
          <wp:inline distT="0" distB="0" distL="0" distR="0" wp14:anchorId="7D4F0864" wp14:editId="5C01E5A7">
            <wp:extent cx="3060000" cy="2160000"/>
            <wp:effectExtent l="0" t="0" r="7620" b="0"/>
            <wp:docPr id="1573204932" name="Chart 1573204932">
              <a:extLst xmlns:a="http://schemas.openxmlformats.org/drawingml/2006/main">
                <a:ext uri="{FF2B5EF4-FFF2-40B4-BE49-F238E27FC236}">
                  <a16:creationId xmlns:a16="http://schemas.microsoft.com/office/drawing/2014/main" id="{C0B412E0-20D9-9C02-797F-E1BB76C514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inline>
        </w:drawing>
      </w:r>
      <w:r w:rsidRPr="003C4B3C">
        <w:rPr>
          <w:rFonts w:ascii="Minion Pro" w:hAnsi="Minion Pro" w:cstheme="minorHAnsi"/>
          <w:noProof/>
          <w:sz w:val="24"/>
          <w:szCs w:val="24"/>
        </w:rPr>
        <w:drawing>
          <wp:inline distT="0" distB="0" distL="0" distR="0" wp14:anchorId="4FD4254A" wp14:editId="18A757C2">
            <wp:extent cx="3060000" cy="2160000"/>
            <wp:effectExtent l="0" t="0" r="0" b="0"/>
            <wp:docPr id="1966809734" name="Chart 1966809734">
              <a:extLst xmlns:a="http://schemas.openxmlformats.org/drawingml/2006/main">
                <a:ext uri="{FF2B5EF4-FFF2-40B4-BE49-F238E27FC236}">
                  <a16:creationId xmlns:a16="http://schemas.microsoft.com/office/drawing/2014/main" id="{C0B412E0-20D9-9C02-797F-E1BB76C514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inline>
        </w:drawing>
      </w:r>
    </w:p>
    <w:p w14:paraId="680D2B70" w14:textId="77777777" w:rsidR="00812A72" w:rsidRPr="00565EA4" w:rsidRDefault="00812A72" w:rsidP="00812A72">
      <w:pPr>
        <w:widowControl/>
        <w:spacing w:before="120" w:after="120" w:line="240" w:lineRule="auto"/>
        <w:jc w:val="both"/>
        <w:rPr>
          <w:rFonts w:ascii="Arial Nova Cond Light" w:eastAsia="Times New Roman" w:hAnsi="Arial Nova Cond Light"/>
          <w:sz w:val="16"/>
          <w:szCs w:val="24"/>
          <w:lang w:eastAsia="lv-LV"/>
        </w:rPr>
      </w:pPr>
      <w:r w:rsidRPr="00565EA4">
        <w:rPr>
          <w:rFonts w:ascii="Arial Nova Cond Light" w:eastAsia="Times New Roman" w:hAnsi="Arial Nova Cond Light"/>
          <w:sz w:val="16"/>
          <w:szCs w:val="24"/>
          <w:lang w:eastAsia="lv-LV"/>
        </w:rPr>
        <w:t>Avots: autoru aprēķins, izmantojot VLA modeli.</w:t>
      </w:r>
    </w:p>
    <w:p w14:paraId="5C485A67" w14:textId="12CBE727" w:rsidR="00812A72" w:rsidRDefault="00812A72" w:rsidP="00812A72">
      <w:pPr>
        <w:widowControl/>
        <w:spacing w:after="160" w:line="240" w:lineRule="auto"/>
        <w:rPr>
          <w:rFonts w:ascii="Minion Pro" w:eastAsia="Times New Roman" w:hAnsi="Minion Pro" w:cstheme="minorHAnsi"/>
          <w:sz w:val="16"/>
          <w:szCs w:val="24"/>
          <w:lang w:eastAsia="lv-LV"/>
        </w:rPr>
      </w:pPr>
    </w:p>
    <w:p w14:paraId="5EC0FEC7" w14:textId="77777777" w:rsidR="00812A72" w:rsidRPr="00565EA4" w:rsidRDefault="00812A72" w:rsidP="00812A72">
      <w:pPr>
        <w:widowControl/>
        <w:spacing w:before="120" w:after="120" w:line="240" w:lineRule="auto"/>
        <w:jc w:val="right"/>
        <w:rPr>
          <w:rFonts w:ascii="Verdana Pro Cond Light" w:eastAsia="Times New Roman" w:hAnsi="Verdana Pro Cond Light" w:cstheme="minorHAnsi"/>
          <w:bCs/>
          <w:lang w:eastAsia="lv-LV"/>
        </w:rPr>
      </w:pPr>
      <w:r w:rsidRPr="00565EA4">
        <w:rPr>
          <w:rFonts w:ascii="Verdana Pro Cond Light" w:eastAsia="Times New Roman" w:hAnsi="Verdana Pro Cond Light" w:cstheme="minorHAnsi"/>
          <w:bCs/>
          <w:lang w:eastAsia="lv-LV"/>
        </w:rPr>
        <w:t>6.2</w:t>
      </w:r>
      <w:r>
        <w:rPr>
          <w:rFonts w:ascii="Verdana Pro Cond Light" w:eastAsia="Times New Roman" w:hAnsi="Verdana Pro Cond Light" w:cstheme="minorHAnsi"/>
          <w:bCs/>
          <w:lang w:eastAsia="lv-LV"/>
        </w:rPr>
        <w:t>4</w:t>
      </w:r>
      <w:r w:rsidRPr="00565EA4">
        <w:rPr>
          <w:rFonts w:ascii="Verdana Pro Cond Light" w:eastAsia="Times New Roman" w:hAnsi="Verdana Pro Cond Light" w:cstheme="minorHAnsi"/>
          <w:bCs/>
          <w:lang w:eastAsia="lv-LV"/>
        </w:rPr>
        <w:t>. attēls</w:t>
      </w:r>
    </w:p>
    <w:p w14:paraId="2CFAFE92" w14:textId="77777777" w:rsidR="00812A72" w:rsidRDefault="00812A72" w:rsidP="00812A72">
      <w:pPr>
        <w:widowControl/>
        <w:spacing w:after="120" w:line="240" w:lineRule="auto"/>
        <w:jc w:val="center"/>
        <w:rPr>
          <w:rFonts w:ascii="Verdana Pro Cond Light" w:eastAsia="Times New Roman" w:hAnsi="Verdana Pro Cond Light"/>
          <w:sz w:val="18"/>
          <w:szCs w:val="18"/>
          <w:lang w:eastAsia="lv-LV"/>
        </w:rPr>
      </w:pPr>
      <w:r w:rsidRPr="00565EA4">
        <w:rPr>
          <w:rFonts w:ascii="Verdana Pro Cond Light" w:eastAsia="Times New Roman" w:hAnsi="Verdana Pro Cond Light"/>
          <w:b/>
          <w:bCs/>
          <w:lang w:val="lv-LV" w:eastAsia="lv-LV"/>
        </w:rPr>
        <w:t>Elektroenerģijas un siltumenerģijas ražošanas</w:t>
      </w:r>
      <w:r w:rsidRPr="00565EA4">
        <w:rPr>
          <w:rFonts w:ascii="Verdana Pro Cond Light" w:eastAsia="Times New Roman" w:hAnsi="Verdana Pro Cond Light"/>
          <w:b/>
          <w:bCs/>
          <w:lang w:eastAsia="lv-LV"/>
        </w:rPr>
        <w:t xml:space="preserve"> pasākumu ietekme uz Latvijas vispārējā</w:t>
      </w:r>
      <w:r>
        <w:rPr>
          <w:rFonts w:ascii="Verdana Pro Cond Light" w:eastAsia="Times New Roman" w:hAnsi="Verdana Pro Cond Light"/>
          <w:b/>
          <w:bCs/>
          <w:lang w:eastAsia="lv-LV"/>
        </w:rPr>
        <w:br/>
      </w:r>
      <w:r w:rsidRPr="00565EA4">
        <w:rPr>
          <w:rFonts w:ascii="Verdana Pro Cond Light" w:eastAsia="Times New Roman" w:hAnsi="Verdana Pro Cond Light"/>
          <w:b/>
          <w:bCs/>
          <w:lang w:eastAsia="lv-LV"/>
        </w:rPr>
        <w:t xml:space="preserve">konsolidētā kopbudžeta ieņēmumiem un atsevišķu nodokļu ieņēmumiem </w:t>
      </w:r>
      <w:r>
        <w:rPr>
          <w:rFonts w:ascii="Verdana Pro Cond Light" w:eastAsia="Times New Roman" w:hAnsi="Verdana Pro Cond Light"/>
          <w:b/>
          <w:bCs/>
          <w:lang w:eastAsia="lv-LV"/>
        </w:rPr>
        <w:br/>
      </w:r>
      <w:r w:rsidRPr="00565EA4">
        <w:rPr>
          <w:rFonts w:ascii="Verdana Pro Cond Light" w:eastAsia="Times New Roman" w:hAnsi="Verdana Pro Cond Light"/>
          <w:sz w:val="18"/>
          <w:szCs w:val="18"/>
          <w:lang w:eastAsia="lv-LV"/>
        </w:rPr>
        <w:t xml:space="preserve">%; salīdzinot ar bāzes scenāriju; 2025. – 2050. </w:t>
      </w:r>
      <w:r>
        <w:rPr>
          <w:rFonts w:ascii="Verdana Pro Cond Light" w:eastAsia="Times New Roman" w:hAnsi="Verdana Pro Cond Light"/>
          <w:sz w:val="18"/>
          <w:szCs w:val="18"/>
          <w:lang w:eastAsia="lv-LV"/>
        </w:rPr>
        <w:t>g</w:t>
      </w:r>
      <w:r w:rsidRPr="00565EA4">
        <w:rPr>
          <w:rFonts w:ascii="Verdana Pro Cond Light" w:eastAsia="Times New Roman" w:hAnsi="Verdana Pro Cond Light"/>
          <w:sz w:val="18"/>
          <w:szCs w:val="18"/>
          <w:lang w:eastAsia="lv-LV"/>
        </w:rPr>
        <w:t>adā</w:t>
      </w:r>
    </w:p>
    <w:p w14:paraId="3404FE8E" w14:textId="77777777" w:rsidR="00812A72" w:rsidRDefault="00812A72" w:rsidP="00812A72">
      <w:pPr>
        <w:widowControl/>
        <w:spacing w:after="120" w:line="240" w:lineRule="auto"/>
        <w:jc w:val="center"/>
        <w:rPr>
          <w:rFonts w:ascii="Verdana Pro Cond Light" w:eastAsia="Times New Roman" w:hAnsi="Verdana Pro Cond Light"/>
          <w:sz w:val="18"/>
          <w:szCs w:val="18"/>
          <w:lang w:eastAsia="lv-LV"/>
        </w:rPr>
      </w:pPr>
    </w:p>
    <w:p w14:paraId="3EA66D6B" w14:textId="77777777" w:rsidR="00812A72" w:rsidRDefault="00812A72" w:rsidP="00812A72">
      <w:pPr>
        <w:widowControl/>
        <w:tabs>
          <w:tab w:val="center" w:pos="2410"/>
          <w:tab w:val="center" w:pos="7230"/>
        </w:tabs>
        <w:spacing w:after="120" w:line="240" w:lineRule="auto"/>
        <w:rPr>
          <w:rFonts w:ascii="Verdana Pro Cond Light" w:eastAsia="Times New Roman" w:hAnsi="Verdana Pro Cond Light"/>
          <w:b/>
          <w:bCs/>
          <w:sz w:val="18"/>
          <w:szCs w:val="18"/>
          <w:lang w:eastAsia="lv-LV"/>
        </w:rPr>
      </w:pPr>
      <w:r>
        <w:rPr>
          <w:rFonts w:ascii="Verdana Pro Cond Light" w:eastAsia="Times New Roman" w:hAnsi="Verdana Pro Cond Light"/>
          <w:b/>
          <w:bCs/>
          <w:sz w:val="18"/>
          <w:szCs w:val="18"/>
          <w:lang w:eastAsia="lv-LV"/>
        </w:rPr>
        <w:tab/>
      </w:r>
      <w:r w:rsidRPr="00565EA4">
        <w:rPr>
          <w:rFonts w:ascii="Verdana Pro Cond Light" w:eastAsia="Times New Roman" w:hAnsi="Verdana Pro Cond Light"/>
          <w:b/>
          <w:bCs/>
          <w:sz w:val="18"/>
          <w:szCs w:val="18"/>
          <w:lang w:eastAsia="lv-LV"/>
        </w:rPr>
        <w:t>Ietekme uz vispārējā konsolidētā kopbudžeta ieņēmumiem (%)</w:t>
      </w:r>
      <w:r w:rsidRPr="00565EA4">
        <w:rPr>
          <w:rFonts w:ascii="Verdana Pro Cond Light" w:eastAsia="Times New Roman" w:hAnsi="Verdana Pro Cond Light"/>
          <w:b/>
          <w:bCs/>
          <w:sz w:val="18"/>
          <w:szCs w:val="18"/>
          <w:lang w:eastAsia="lv-LV"/>
        </w:rPr>
        <w:tab/>
        <w:t>Ietekme uz atsevišķu nodokļu ieņēmumiem (%)</w:t>
      </w:r>
    </w:p>
    <w:p w14:paraId="11C087ED" w14:textId="77777777" w:rsidR="00812A72" w:rsidRPr="00565EA4" w:rsidRDefault="00812A72" w:rsidP="00812A72">
      <w:pPr>
        <w:widowControl/>
        <w:tabs>
          <w:tab w:val="center" w:pos="2410"/>
          <w:tab w:val="center" w:pos="7230"/>
        </w:tabs>
        <w:spacing w:after="120" w:line="240" w:lineRule="auto"/>
        <w:rPr>
          <w:rFonts w:ascii="Verdana Pro Cond Light" w:eastAsia="Times New Roman" w:hAnsi="Verdana Pro Cond Light"/>
          <w:b/>
          <w:bCs/>
          <w:sz w:val="18"/>
          <w:szCs w:val="18"/>
          <w:lang w:eastAsia="lv-LV"/>
        </w:rPr>
      </w:pPr>
      <w:r w:rsidRPr="00565EA4">
        <w:rPr>
          <w:rFonts w:ascii="Verdana Pro Cond Light" w:hAnsi="Verdana Pro Cond Light" w:cstheme="minorHAnsi"/>
          <w:noProof/>
        </w:rPr>
        <w:drawing>
          <wp:inline distT="0" distB="0" distL="0" distR="0" wp14:anchorId="66DE7914" wp14:editId="7FD7D8AA">
            <wp:extent cx="3060000" cy="2160000"/>
            <wp:effectExtent l="0" t="0" r="0" b="0"/>
            <wp:docPr id="845365099" name="Chart 845365099">
              <a:extLst xmlns:a="http://schemas.openxmlformats.org/drawingml/2006/main">
                <a:ext uri="{FF2B5EF4-FFF2-40B4-BE49-F238E27FC236}">
                  <a16:creationId xmlns:a16="http://schemas.microsoft.com/office/drawing/2014/main" id="{2DCBF45D-DE3F-2971-5D7A-6034F91B2D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8"/>
              </a:graphicData>
            </a:graphic>
          </wp:inline>
        </w:drawing>
      </w:r>
      <w:r w:rsidRPr="00565EA4">
        <w:rPr>
          <w:rFonts w:ascii="Verdana Pro Cond Light" w:hAnsi="Verdana Pro Cond Light" w:cstheme="minorHAnsi"/>
          <w:noProof/>
        </w:rPr>
        <w:drawing>
          <wp:inline distT="0" distB="0" distL="0" distR="0" wp14:anchorId="16A00140" wp14:editId="487A798E">
            <wp:extent cx="3060000" cy="2160000"/>
            <wp:effectExtent l="0" t="0" r="0" b="0"/>
            <wp:docPr id="1622724393" name="Chart 1622724393">
              <a:extLst xmlns:a="http://schemas.openxmlformats.org/drawingml/2006/main">
                <a:ext uri="{FF2B5EF4-FFF2-40B4-BE49-F238E27FC236}">
                  <a16:creationId xmlns:a16="http://schemas.microsoft.com/office/drawing/2014/main" id="{E8729AA3-B962-A2D9-7C5A-6B606779FF6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9"/>
              </a:graphicData>
            </a:graphic>
          </wp:inline>
        </w:drawing>
      </w:r>
    </w:p>
    <w:p w14:paraId="222B51B6" w14:textId="77777777" w:rsidR="00812A72" w:rsidRDefault="00812A72" w:rsidP="00812A72">
      <w:pPr>
        <w:widowControl/>
        <w:spacing w:before="120" w:after="120" w:line="240" w:lineRule="auto"/>
        <w:jc w:val="both"/>
        <w:rPr>
          <w:rFonts w:ascii="Arial Nova Cond Light" w:eastAsia="Times New Roman" w:hAnsi="Arial Nova Cond Light"/>
          <w:sz w:val="16"/>
          <w:szCs w:val="24"/>
          <w:lang w:eastAsia="lv-LV"/>
        </w:rPr>
      </w:pPr>
      <w:r w:rsidRPr="00565EA4">
        <w:rPr>
          <w:rFonts w:ascii="Arial Nova Cond Light" w:eastAsia="Times New Roman" w:hAnsi="Arial Nova Cond Light"/>
          <w:sz w:val="16"/>
          <w:szCs w:val="24"/>
          <w:lang w:eastAsia="lv-LV"/>
        </w:rPr>
        <w:t>Avots: autoru aprēķins, izmantojot VLA modeli.</w:t>
      </w:r>
    </w:p>
    <w:p w14:paraId="72EA78F3" w14:textId="77777777" w:rsidR="00812A72" w:rsidRPr="00565EA4" w:rsidRDefault="00812A72" w:rsidP="00812A72">
      <w:pPr>
        <w:widowControl/>
        <w:spacing w:after="0" w:line="240" w:lineRule="auto"/>
        <w:jc w:val="both"/>
        <w:rPr>
          <w:rFonts w:ascii="Verdana Pro Cond Light" w:eastAsia="Times New Roman" w:hAnsi="Verdana Pro Cond Light" w:cstheme="minorHAnsi"/>
          <w:b/>
          <w:bCs/>
          <w:lang w:eastAsia="lv-LV"/>
        </w:rPr>
      </w:pPr>
    </w:p>
    <w:p w14:paraId="57E4F591" w14:textId="77777777" w:rsidR="00ED3083" w:rsidRDefault="00ED3083">
      <w:pPr>
        <w:widowControl/>
        <w:spacing w:after="160" w:line="259" w:lineRule="auto"/>
        <w:rPr>
          <w:rFonts w:ascii="Verdana Pro Cond Light" w:eastAsia="Times New Roman" w:hAnsi="Verdana Pro Cond Light" w:cstheme="minorHAnsi"/>
          <w:lang w:eastAsia="lv-LV"/>
        </w:rPr>
      </w:pPr>
      <w:r>
        <w:rPr>
          <w:rFonts w:ascii="Verdana Pro Cond Light" w:eastAsia="Times New Roman" w:hAnsi="Verdana Pro Cond Light" w:cstheme="minorHAnsi"/>
          <w:lang w:eastAsia="lv-LV"/>
        </w:rPr>
        <w:br w:type="page"/>
      </w:r>
    </w:p>
    <w:p w14:paraId="282EE735" w14:textId="336F8242" w:rsidR="00812A72" w:rsidRPr="00565EA4" w:rsidRDefault="00812A72" w:rsidP="00812A72">
      <w:pPr>
        <w:widowControl/>
        <w:spacing w:before="120" w:after="120" w:line="240" w:lineRule="auto"/>
        <w:jc w:val="right"/>
        <w:rPr>
          <w:rFonts w:ascii="Verdana Pro Cond Light" w:eastAsia="Times New Roman" w:hAnsi="Verdana Pro Cond Light" w:cstheme="minorHAnsi"/>
          <w:lang w:eastAsia="lv-LV"/>
        </w:rPr>
      </w:pPr>
      <w:r w:rsidRPr="00565EA4">
        <w:rPr>
          <w:rFonts w:ascii="Verdana Pro Cond Light" w:eastAsia="Times New Roman" w:hAnsi="Verdana Pro Cond Light" w:cstheme="minorHAnsi"/>
          <w:lang w:eastAsia="lv-LV"/>
        </w:rPr>
        <w:lastRenderedPageBreak/>
        <w:t>6.2</w:t>
      </w:r>
      <w:r>
        <w:rPr>
          <w:rFonts w:ascii="Verdana Pro Cond Light" w:eastAsia="Times New Roman" w:hAnsi="Verdana Pro Cond Light" w:cstheme="minorHAnsi"/>
          <w:lang w:eastAsia="lv-LV"/>
        </w:rPr>
        <w:t>5</w:t>
      </w:r>
      <w:r w:rsidRPr="00565EA4">
        <w:rPr>
          <w:rFonts w:ascii="Verdana Pro Cond Light" w:eastAsia="Times New Roman" w:hAnsi="Verdana Pro Cond Light" w:cstheme="minorHAnsi"/>
          <w:lang w:eastAsia="lv-LV"/>
        </w:rPr>
        <w:t>. attēls</w:t>
      </w:r>
    </w:p>
    <w:p w14:paraId="2A68A982" w14:textId="77777777" w:rsidR="00812A72" w:rsidRPr="00565EA4" w:rsidRDefault="00812A72" w:rsidP="00812A72">
      <w:pPr>
        <w:widowControl/>
        <w:spacing w:after="120" w:line="240" w:lineRule="auto"/>
        <w:jc w:val="center"/>
        <w:rPr>
          <w:rFonts w:ascii="Verdana Pro Cond Light" w:eastAsia="Times New Roman" w:hAnsi="Verdana Pro Cond Light"/>
          <w:sz w:val="18"/>
          <w:szCs w:val="18"/>
          <w:lang w:eastAsia="lv-LV"/>
        </w:rPr>
      </w:pPr>
      <w:r w:rsidRPr="00565EA4">
        <w:rPr>
          <w:rFonts w:ascii="Verdana Pro Cond Light" w:eastAsia="Times New Roman" w:hAnsi="Verdana Pro Cond Light"/>
          <w:b/>
          <w:bCs/>
          <w:lang w:val="lv-LV" w:eastAsia="lv-LV"/>
        </w:rPr>
        <w:t>Elektroenerģijas un siltumenerģijas ražošanas</w:t>
      </w:r>
      <w:r w:rsidRPr="00565EA4">
        <w:rPr>
          <w:rFonts w:ascii="Verdana Pro Cond Light" w:eastAsia="Times New Roman" w:hAnsi="Verdana Pro Cond Light"/>
          <w:b/>
          <w:bCs/>
          <w:lang w:eastAsia="lv-LV"/>
        </w:rPr>
        <w:t xml:space="preserve"> pasākumu ietekme uz pievienoto vērtību nozaru dalījumā </w:t>
      </w:r>
      <w:r>
        <w:rPr>
          <w:rFonts w:ascii="Verdana Pro Cond Light" w:eastAsia="Times New Roman" w:hAnsi="Verdana Pro Cond Light"/>
          <w:b/>
          <w:bCs/>
          <w:lang w:eastAsia="lv-LV"/>
        </w:rPr>
        <w:br/>
      </w:r>
      <w:r w:rsidRPr="00565EA4">
        <w:rPr>
          <w:rFonts w:ascii="Verdana Pro Cond Light" w:eastAsia="Times New Roman" w:hAnsi="Verdana Pro Cond Light"/>
          <w:sz w:val="18"/>
          <w:szCs w:val="18"/>
          <w:lang w:eastAsia="lv-LV"/>
        </w:rPr>
        <w:t>%; 2035. – 2039. gadā; salīdzinot ar bāzes scenāriju; 2015. gada cenās</w:t>
      </w:r>
    </w:p>
    <w:p w14:paraId="0C3B9E1F" w14:textId="77777777" w:rsidR="00812A72" w:rsidRPr="003C4B3C" w:rsidRDefault="00812A72" w:rsidP="00812A72">
      <w:pPr>
        <w:widowControl/>
        <w:spacing w:line="240" w:lineRule="auto"/>
        <w:jc w:val="center"/>
        <w:rPr>
          <w:rFonts w:ascii="Minion Pro" w:hAnsi="Minion Pro" w:cstheme="minorHAnsi"/>
          <w:b/>
          <w:bCs/>
          <w:sz w:val="24"/>
          <w:szCs w:val="24"/>
        </w:rPr>
      </w:pPr>
      <w:r w:rsidRPr="003C4B3C">
        <w:rPr>
          <w:rFonts w:ascii="Minion Pro" w:hAnsi="Minion Pro" w:cstheme="minorHAnsi"/>
          <w:b/>
          <w:bCs/>
          <w:noProof/>
          <w:sz w:val="24"/>
          <w:szCs w:val="24"/>
        </w:rPr>
        <w:drawing>
          <wp:inline distT="0" distB="0" distL="0" distR="0" wp14:anchorId="63B56696" wp14:editId="412D78A9">
            <wp:extent cx="6120000" cy="3600000"/>
            <wp:effectExtent l="0" t="0" r="0" b="0"/>
            <wp:docPr id="649384745" name="Chart 649384745">
              <a:extLst xmlns:a="http://schemas.openxmlformats.org/drawingml/2006/main">
                <a:ext uri="{FF2B5EF4-FFF2-40B4-BE49-F238E27FC236}">
                  <a16:creationId xmlns:a16="http://schemas.microsoft.com/office/drawing/2014/main" id="{9CA58CAF-2A31-E6CF-FFCA-A031A940653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0"/>
              </a:graphicData>
            </a:graphic>
          </wp:inline>
        </w:drawing>
      </w:r>
    </w:p>
    <w:p w14:paraId="662DC016" w14:textId="77777777" w:rsidR="00812A72" w:rsidRPr="00565EA4" w:rsidRDefault="00812A72" w:rsidP="00812A72">
      <w:pPr>
        <w:widowControl/>
        <w:spacing w:before="120" w:after="120" w:line="240" w:lineRule="auto"/>
        <w:jc w:val="both"/>
        <w:rPr>
          <w:rFonts w:ascii="Arial Nova Cond Light" w:eastAsia="Times New Roman" w:hAnsi="Arial Nova Cond Light"/>
          <w:sz w:val="16"/>
          <w:szCs w:val="24"/>
          <w:lang w:eastAsia="lv-LV"/>
        </w:rPr>
      </w:pPr>
      <w:r w:rsidRPr="00565EA4">
        <w:rPr>
          <w:rFonts w:ascii="Arial Nova Cond Light" w:eastAsia="Times New Roman" w:hAnsi="Arial Nova Cond Light"/>
          <w:sz w:val="16"/>
          <w:szCs w:val="24"/>
          <w:lang w:eastAsia="lv-LV"/>
        </w:rPr>
        <w:t>Avots: autoru aprēķins, izmantojot VLA modeli.</w:t>
      </w:r>
    </w:p>
    <w:p w14:paraId="042EE802" w14:textId="77777777" w:rsidR="00812A72" w:rsidRDefault="00812A72" w:rsidP="00812A72">
      <w:pPr>
        <w:widowControl/>
        <w:spacing w:after="160" w:line="240" w:lineRule="auto"/>
        <w:rPr>
          <w:rFonts w:ascii="Minion Pro" w:eastAsia="Times New Roman" w:hAnsi="Minion Pro" w:cstheme="minorHAnsi"/>
          <w:sz w:val="16"/>
          <w:szCs w:val="24"/>
          <w:lang w:eastAsia="lv-LV"/>
        </w:rPr>
      </w:pPr>
      <w:r>
        <w:rPr>
          <w:rFonts w:ascii="Minion Pro" w:eastAsia="Times New Roman" w:hAnsi="Minion Pro" w:cstheme="minorHAnsi"/>
          <w:sz w:val="16"/>
          <w:szCs w:val="24"/>
          <w:lang w:eastAsia="lv-LV"/>
        </w:rPr>
        <w:br w:type="page"/>
      </w:r>
    </w:p>
    <w:p w14:paraId="16874A4E" w14:textId="77777777" w:rsidR="00812A72" w:rsidRDefault="00812A72" w:rsidP="00812A72">
      <w:pPr>
        <w:widowControl/>
        <w:spacing w:before="120" w:after="120" w:line="240" w:lineRule="auto"/>
        <w:jc w:val="right"/>
        <w:rPr>
          <w:rFonts w:ascii="Verdana Pro Cond Light" w:hAnsi="Verdana Pro Cond Light"/>
          <w:bCs/>
          <w:lang w:val="lv-LV"/>
        </w:rPr>
      </w:pPr>
      <w:r w:rsidRPr="00565EA4">
        <w:rPr>
          <w:rFonts w:ascii="Verdana Pro Cond Light" w:hAnsi="Verdana Pro Cond Light"/>
          <w:bCs/>
          <w:lang w:val="lv-LV"/>
        </w:rPr>
        <w:lastRenderedPageBreak/>
        <w:t>6.4. tabula</w:t>
      </w:r>
    </w:p>
    <w:p w14:paraId="5F3A40F1" w14:textId="77777777" w:rsidR="00812A72" w:rsidRDefault="00812A72" w:rsidP="00812A72">
      <w:pPr>
        <w:widowControl/>
        <w:spacing w:after="120" w:line="240" w:lineRule="auto"/>
        <w:jc w:val="center"/>
        <w:rPr>
          <w:rFonts w:ascii="Verdana Pro Cond Light" w:hAnsi="Verdana Pro Cond Light"/>
          <w:b/>
          <w:bCs/>
          <w:lang w:val="lv-LV"/>
        </w:rPr>
      </w:pPr>
      <w:r w:rsidRPr="00565EA4">
        <w:rPr>
          <w:rFonts w:ascii="Verdana Pro Cond Light" w:hAnsi="Verdana Pro Cond Light"/>
          <w:b/>
          <w:bCs/>
          <w:lang w:val="lv-LV"/>
        </w:rPr>
        <w:t xml:space="preserve">Elektroenerģijas un siltumenerģijas ražošanas pasākumu kopsavilkums </w:t>
      </w:r>
    </w:p>
    <w:tbl>
      <w:tblPr>
        <w:tblStyle w:val="TableGrid"/>
        <w:tblW w:w="963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1701"/>
        <w:gridCol w:w="1871"/>
        <w:gridCol w:w="3231"/>
      </w:tblGrid>
      <w:tr w:rsidR="00812A72" w:rsidRPr="00CB4E89" w14:paraId="32FC59A6" w14:textId="77777777" w:rsidTr="0002297E">
        <w:trPr>
          <w:cantSplit/>
          <w:trHeight w:val="20"/>
          <w:jc w:val="center"/>
        </w:trPr>
        <w:tc>
          <w:tcPr>
            <w:tcW w:w="2835" w:type="dxa"/>
            <w:shd w:val="clear" w:color="auto" w:fill="4472C4" w:themeFill="accent1"/>
          </w:tcPr>
          <w:p w14:paraId="58DA36A4" w14:textId="77777777" w:rsidR="00812A72" w:rsidRPr="00CB4E89" w:rsidRDefault="00812A72" w:rsidP="0002297E">
            <w:pPr>
              <w:widowControl/>
              <w:spacing w:before="40" w:after="40" w:line="240" w:lineRule="auto"/>
              <w:jc w:val="center"/>
              <w:rPr>
                <w:rFonts w:asciiTheme="majorHAnsi" w:hAnsiTheme="majorHAnsi" w:cstheme="majorHAnsi"/>
                <w:b/>
                <w:bCs/>
                <w:color w:val="FFFFFF" w:themeColor="background1"/>
                <w:sz w:val="16"/>
                <w:szCs w:val="16"/>
                <w:lang w:val="lv-LV"/>
              </w:rPr>
            </w:pPr>
            <w:r w:rsidRPr="00CB4E89">
              <w:rPr>
                <w:rFonts w:asciiTheme="majorHAnsi" w:hAnsiTheme="majorHAnsi" w:cstheme="majorHAnsi"/>
                <w:b/>
                <w:bCs/>
                <w:color w:val="FFFFFF" w:themeColor="background1"/>
                <w:sz w:val="16"/>
                <w:szCs w:val="16"/>
                <w:lang w:val="lv-LV"/>
              </w:rPr>
              <w:t>Pasākums</w:t>
            </w:r>
          </w:p>
        </w:tc>
        <w:tc>
          <w:tcPr>
            <w:tcW w:w="1701" w:type="dxa"/>
            <w:shd w:val="clear" w:color="auto" w:fill="4472C4" w:themeFill="accent1"/>
          </w:tcPr>
          <w:p w14:paraId="466F0A4B" w14:textId="77777777" w:rsidR="00812A72" w:rsidRPr="006B7AB1" w:rsidRDefault="00812A72" w:rsidP="0002297E">
            <w:pPr>
              <w:widowControl/>
              <w:spacing w:before="40" w:after="40" w:line="240" w:lineRule="auto"/>
              <w:jc w:val="center"/>
              <w:rPr>
                <w:rFonts w:asciiTheme="majorHAnsi" w:hAnsiTheme="majorHAnsi" w:cstheme="majorHAnsi"/>
                <w:b/>
                <w:bCs/>
                <w:color w:val="000000" w:themeColor="text1"/>
                <w:sz w:val="16"/>
                <w:szCs w:val="16"/>
                <w:lang w:val="lv-LV"/>
              </w:rPr>
            </w:pPr>
            <w:r w:rsidRPr="006B7AB1">
              <w:rPr>
                <w:rFonts w:asciiTheme="majorHAnsi" w:hAnsiTheme="majorHAnsi" w:cstheme="majorHAnsi"/>
                <w:b/>
                <w:bCs/>
                <w:color w:val="FFFFFF" w:themeColor="background1"/>
                <w:sz w:val="16"/>
                <w:szCs w:val="16"/>
                <w:lang w:val="lv-LV"/>
              </w:rPr>
              <w:t>Nozare</w:t>
            </w:r>
          </w:p>
        </w:tc>
        <w:tc>
          <w:tcPr>
            <w:tcW w:w="1871" w:type="dxa"/>
            <w:shd w:val="clear" w:color="auto" w:fill="4472C4" w:themeFill="accent1"/>
          </w:tcPr>
          <w:p w14:paraId="2CEABB7C" w14:textId="77777777" w:rsidR="00812A72" w:rsidRPr="00CB4E89" w:rsidRDefault="00812A72" w:rsidP="0002297E">
            <w:pPr>
              <w:widowControl/>
              <w:spacing w:before="40" w:after="40" w:line="240" w:lineRule="auto"/>
              <w:jc w:val="center"/>
              <w:rPr>
                <w:rFonts w:asciiTheme="majorHAnsi" w:hAnsiTheme="majorHAnsi" w:cstheme="majorHAnsi"/>
                <w:b/>
                <w:bCs/>
                <w:color w:val="FFFFFF" w:themeColor="background1"/>
                <w:sz w:val="16"/>
                <w:szCs w:val="16"/>
                <w:lang w:val="lv-LV"/>
              </w:rPr>
            </w:pPr>
            <w:r w:rsidRPr="00CB4E89">
              <w:rPr>
                <w:rFonts w:asciiTheme="majorHAnsi" w:hAnsiTheme="majorHAnsi" w:cstheme="majorHAnsi"/>
                <w:b/>
                <w:bCs/>
                <w:color w:val="FFFFFF" w:themeColor="background1"/>
                <w:sz w:val="16"/>
                <w:szCs w:val="16"/>
                <w:lang w:val="lv-LV"/>
              </w:rPr>
              <w:t>Finansējums</w:t>
            </w:r>
          </w:p>
        </w:tc>
        <w:tc>
          <w:tcPr>
            <w:tcW w:w="3231" w:type="dxa"/>
            <w:shd w:val="clear" w:color="auto" w:fill="4472C4" w:themeFill="accent1"/>
          </w:tcPr>
          <w:p w14:paraId="44274E87" w14:textId="77777777" w:rsidR="00812A72" w:rsidRPr="00CB4E89" w:rsidRDefault="00812A72" w:rsidP="0002297E">
            <w:pPr>
              <w:widowControl/>
              <w:spacing w:before="40" w:after="40" w:line="240" w:lineRule="auto"/>
              <w:jc w:val="center"/>
              <w:rPr>
                <w:rFonts w:asciiTheme="majorHAnsi" w:hAnsiTheme="majorHAnsi" w:cstheme="majorHAnsi"/>
                <w:b/>
                <w:bCs/>
                <w:color w:val="FFFFFF" w:themeColor="background1"/>
                <w:sz w:val="16"/>
                <w:szCs w:val="16"/>
                <w:lang w:val="lv-LV"/>
              </w:rPr>
            </w:pPr>
            <w:r w:rsidRPr="00CB4E89">
              <w:rPr>
                <w:rFonts w:asciiTheme="majorHAnsi" w:hAnsiTheme="majorHAnsi" w:cstheme="majorHAnsi"/>
                <w:b/>
                <w:bCs/>
                <w:color w:val="FFFFFF" w:themeColor="background1"/>
                <w:sz w:val="16"/>
                <w:szCs w:val="16"/>
                <w:lang w:val="lv-LV"/>
              </w:rPr>
              <w:t>Finansējuma avots</w:t>
            </w:r>
          </w:p>
        </w:tc>
      </w:tr>
      <w:tr w:rsidR="00812A72" w:rsidRPr="006B7AB1" w14:paraId="6B44C3BF" w14:textId="77777777" w:rsidTr="0002297E">
        <w:trPr>
          <w:jc w:val="center"/>
        </w:trPr>
        <w:tc>
          <w:tcPr>
            <w:tcW w:w="2835" w:type="dxa"/>
            <w:shd w:val="clear" w:color="auto" w:fill="D9E2F3" w:themeFill="accent1" w:themeFillTint="33"/>
          </w:tcPr>
          <w:p w14:paraId="16080F85" w14:textId="77777777" w:rsidR="00812A72" w:rsidRPr="00B3276C" w:rsidRDefault="00812A72" w:rsidP="0002297E">
            <w:pPr>
              <w:widowControl/>
              <w:spacing w:before="40" w:after="40" w:line="240" w:lineRule="auto"/>
              <w:rPr>
                <w:rFonts w:asciiTheme="majorHAnsi" w:hAnsiTheme="majorHAnsi" w:cstheme="majorHAnsi"/>
                <w:b/>
                <w:bCs/>
                <w:sz w:val="16"/>
                <w:szCs w:val="16"/>
                <w:lang w:val="lv-LV"/>
              </w:rPr>
            </w:pPr>
            <w:r w:rsidRPr="00097491">
              <w:rPr>
                <w:rFonts w:asciiTheme="majorHAnsi" w:hAnsiTheme="majorHAnsi" w:cstheme="majorHAnsi"/>
                <w:sz w:val="16"/>
                <w:szCs w:val="16"/>
                <w:lang w:val="sv-SE"/>
              </w:rPr>
              <w:t xml:space="preserve">3.1.3.1. Latvijas – Igaunijas atkrastes vēja parka ELWIND īstenošana. </w:t>
            </w:r>
          </w:p>
        </w:tc>
        <w:tc>
          <w:tcPr>
            <w:tcW w:w="1701" w:type="dxa"/>
            <w:shd w:val="clear" w:color="auto" w:fill="D9E2F3" w:themeFill="accent1" w:themeFillTint="33"/>
          </w:tcPr>
          <w:p w14:paraId="4E482F77" w14:textId="77777777" w:rsidR="00812A72" w:rsidRPr="006B7AB1" w:rsidRDefault="00812A72" w:rsidP="0002297E">
            <w:pPr>
              <w:widowControl/>
              <w:spacing w:before="40" w:after="40" w:line="240" w:lineRule="auto"/>
              <w:rPr>
                <w:rFonts w:asciiTheme="majorHAnsi" w:hAnsiTheme="majorHAnsi" w:cstheme="majorHAnsi"/>
                <w:b/>
                <w:bCs/>
                <w:color w:val="000000" w:themeColor="text1"/>
                <w:sz w:val="16"/>
                <w:szCs w:val="16"/>
                <w:lang w:val="lv-LV"/>
              </w:rPr>
            </w:pPr>
            <w:r w:rsidRPr="006B7AB1">
              <w:rPr>
                <w:rFonts w:asciiTheme="majorHAnsi" w:hAnsiTheme="majorHAnsi" w:cstheme="majorHAnsi"/>
                <w:color w:val="000000" w:themeColor="text1"/>
                <w:sz w:val="16"/>
                <w:szCs w:val="16"/>
              </w:rPr>
              <w:t>Vēja ģeneratori</w:t>
            </w:r>
          </w:p>
        </w:tc>
        <w:tc>
          <w:tcPr>
            <w:tcW w:w="1871" w:type="dxa"/>
            <w:shd w:val="clear" w:color="auto" w:fill="D9E2F3" w:themeFill="accent1" w:themeFillTint="33"/>
          </w:tcPr>
          <w:p w14:paraId="4251D361" w14:textId="77777777" w:rsidR="00812A72" w:rsidRPr="00B3276C" w:rsidRDefault="00812A72" w:rsidP="0002297E">
            <w:pPr>
              <w:widowControl/>
              <w:spacing w:before="40" w:after="40" w:line="240" w:lineRule="auto"/>
              <w:rPr>
                <w:rFonts w:asciiTheme="majorHAnsi" w:hAnsiTheme="majorHAnsi" w:cstheme="majorHAnsi"/>
                <w:b/>
                <w:bCs/>
                <w:sz w:val="16"/>
                <w:szCs w:val="16"/>
                <w:lang w:val="lv-LV"/>
              </w:rPr>
            </w:pPr>
            <w:r w:rsidRPr="00097491">
              <w:rPr>
                <w:rFonts w:asciiTheme="majorHAnsi" w:hAnsiTheme="majorHAnsi" w:cstheme="majorHAnsi"/>
                <w:sz w:val="16"/>
                <w:szCs w:val="16"/>
                <w:lang w:val="sv-SE"/>
              </w:rPr>
              <w:t xml:space="preserve">750 milj. eiro 2025. – 2035. gadā: 68,18 milj. eiro katru gadu. </w:t>
            </w:r>
          </w:p>
        </w:tc>
        <w:tc>
          <w:tcPr>
            <w:tcW w:w="3231" w:type="dxa"/>
            <w:shd w:val="clear" w:color="auto" w:fill="D9E2F3" w:themeFill="accent1" w:themeFillTint="33"/>
          </w:tcPr>
          <w:p w14:paraId="58270056" w14:textId="77777777" w:rsidR="00812A72" w:rsidRPr="00B3276C" w:rsidRDefault="00812A72" w:rsidP="0002297E">
            <w:pPr>
              <w:widowControl/>
              <w:spacing w:before="40" w:after="40" w:line="240" w:lineRule="auto"/>
              <w:rPr>
                <w:rFonts w:asciiTheme="majorHAnsi" w:eastAsia="Times New Roman" w:hAnsiTheme="majorHAnsi" w:cstheme="majorHAnsi"/>
                <w:b/>
                <w:bCs/>
                <w:color w:val="000000"/>
                <w:sz w:val="16"/>
                <w:szCs w:val="16"/>
                <w:lang w:val="lv-LV" w:eastAsia="lv-LV"/>
              </w:rPr>
            </w:pPr>
            <w:r w:rsidRPr="006B7AB1">
              <w:rPr>
                <w:rFonts w:asciiTheme="majorHAnsi" w:hAnsiTheme="majorHAnsi" w:cstheme="majorHAnsi"/>
                <w:b/>
                <w:bCs/>
                <w:sz w:val="16"/>
                <w:szCs w:val="16"/>
                <w:lang w:val="lv-LV"/>
              </w:rPr>
              <w:t>70 %</w:t>
            </w:r>
            <w:r w:rsidRPr="006B7AB1">
              <w:rPr>
                <w:rFonts w:asciiTheme="majorHAnsi" w:hAnsiTheme="majorHAnsi" w:cstheme="majorHAnsi"/>
                <w:sz w:val="16"/>
                <w:szCs w:val="16"/>
                <w:lang w:val="lv-LV"/>
              </w:rPr>
              <w:t xml:space="preserve"> –</w:t>
            </w:r>
            <w:r>
              <w:rPr>
                <w:rFonts w:asciiTheme="majorHAnsi" w:hAnsiTheme="majorHAnsi" w:cstheme="majorHAnsi"/>
                <w:sz w:val="16"/>
                <w:szCs w:val="16"/>
                <w:lang w:val="lv-LV"/>
              </w:rPr>
              <w:t xml:space="preserve"> </w:t>
            </w:r>
            <w:r w:rsidRPr="006B7AB1">
              <w:rPr>
                <w:rFonts w:asciiTheme="majorHAnsi" w:hAnsiTheme="majorHAnsi" w:cstheme="majorHAnsi"/>
                <w:sz w:val="16"/>
                <w:szCs w:val="16"/>
                <w:lang w:val="lv-LV"/>
              </w:rPr>
              <w:t xml:space="preserve">Latvijas privāto uzņēmumu finansējums </w:t>
            </w:r>
            <w:r w:rsidRPr="006B7AB1">
              <w:rPr>
                <w:rFonts w:asciiTheme="majorHAnsi" w:hAnsiTheme="majorHAnsi" w:cstheme="majorHAnsi"/>
                <w:sz w:val="16"/>
                <w:szCs w:val="16"/>
                <w:lang w:val="lv-LV"/>
              </w:rPr>
              <w:br/>
            </w:r>
            <w:r w:rsidRPr="006B7AB1">
              <w:rPr>
                <w:rFonts w:asciiTheme="majorHAnsi" w:hAnsiTheme="majorHAnsi" w:cstheme="majorHAnsi"/>
                <w:b/>
                <w:bCs/>
                <w:sz w:val="16"/>
                <w:szCs w:val="16"/>
                <w:lang w:val="lv-LV"/>
              </w:rPr>
              <w:t>15 %</w:t>
            </w:r>
            <w:r w:rsidRPr="006B7AB1">
              <w:rPr>
                <w:rFonts w:asciiTheme="majorHAnsi" w:hAnsiTheme="majorHAnsi" w:cstheme="majorHAnsi"/>
                <w:sz w:val="16"/>
                <w:szCs w:val="16"/>
                <w:lang w:val="lv-LV"/>
              </w:rPr>
              <w:t xml:space="preserve"> – jaunais ES fondu finansējums. </w:t>
            </w:r>
            <w:r w:rsidRPr="006B7AB1">
              <w:rPr>
                <w:rFonts w:asciiTheme="majorHAnsi" w:hAnsiTheme="majorHAnsi" w:cstheme="majorHAnsi"/>
                <w:sz w:val="16"/>
                <w:szCs w:val="16"/>
                <w:lang w:val="lv-LV"/>
              </w:rPr>
              <w:br/>
            </w:r>
            <w:r w:rsidRPr="006B7AB1">
              <w:rPr>
                <w:rFonts w:asciiTheme="majorHAnsi" w:hAnsiTheme="majorHAnsi" w:cstheme="majorHAnsi"/>
                <w:b/>
                <w:bCs/>
                <w:sz w:val="16"/>
                <w:szCs w:val="16"/>
                <w:lang w:val="lv-LV"/>
              </w:rPr>
              <w:t>15 %</w:t>
            </w:r>
            <w:r w:rsidRPr="006B7AB1">
              <w:rPr>
                <w:rFonts w:asciiTheme="majorHAnsi" w:hAnsiTheme="majorHAnsi" w:cstheme="majorHAnsi"/>
                <w:sz w:val="16"/>
                <w:szCs w:val="16"/>
                <w:lang w:val="lv-LV"/>
              </w:rPr>
              <w:t xml:space="preserve"> – nacionālais publiskais finansējums papildu izdevumu veidā.</w:t>
            </w:r>
          </w:p>
        </w:tc>
      </w:tr>
      <w:tr w:rsidR="00812A72" w:rsidRPr="00AB3438" w14:paraId="2EFA0053" w14:textId="77777777" w:rsidTr="0002297E">
        <w:trPr>
          <w:jc w:val="center"/>
        </w:trPr>
        <w:tc>
          <w:tcPr>
            <w:tcW w:w="2835" w:type="dxa"/>
            <w:shd w:val="clear" w:color="auto" w:fill="B4C6E7" w:themeFill="accent1" w:themeFillTint="66"/>
          </w:tcPr>
          <w:p w14:paraId="481674CA" w14:textId="77777777" w:rsidR="00812A72" w:rsidRPr="00B3276C"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sv-SE"/>
              </w:rPr>
              <w:t xml:space="preserve">3.1.3.2. Jaunu atkrastes vēja parku attīstības nodrošināšana. </w:t>
            </w:r>
          </w:p>
        </w:tc>
        <w:tc>
          <w:tcPr>
            <w:tcW w:w="1701" w:type="dxa"/>
            <w:shd w:val="clear" w:color="auto" w:fill="B4C6E7" w:themeFill="accent1" w:themeFillTint="66"/>
          </w:tcPr>
          <w:p w14:paraId="208B53B5" w14:textId="77777777" w:rsidR="00812A72" w:rsidRPr="006B7AB1" w:rsidRDefault="00812A72" w:rsidP="0002297E">
            <w:pPr>
              <w:widowControl/>
              <w:spacing w:before="40" w:after="40" w:line="240" w:lineRule="auto"/>
              <w:rPr>
                <w:rFonts w:asciiTheme="majorHAnsi" w:hAnsiTheme="majorHAnsi" w:cstheme="majorHAnsi"/>
                <w:color w:val="000000" w:themeColor="text1"/>
                <w:sz w:val="16"/>
                <w:szCs w:val="16"/>
                <w:lang w:val="lv-LV"/>
              </w:rPr>
            </w:pPr>
            <w:r w:rsidRPr="006B7AB1">
              <w:rPr>
                <w:rFonts w:asciiTheme="majorHAnsi" w:hAnsiTheme="majorHAnsi" w:cstheme="majorHAnsi"/>
                <w:color w:val="000000" w:themeColor="text1"/>
                <w:sz w:val="16"/>
                <w:szCs w:val="16"/>
              </w:rPr>
              <w:t>Vēja ģeneratori</w:t>
            </w:r>
          </w:p>
        </w:tc>
        <w:tc>
          <w:tcPr>
            <w:tcW w:w="1871" w:type="dxa"/>
            <w:shd w:val="clear" w:color="auto" w:fill="B4C6E7" w:themeFill="accent1" w:themeFillTint="66"/>
          </w:tcPr>
          <w:p w14:paraId="1C1716EE" w14:textId="77777777" w:rsidR="00812A72" w:rsidRPr="00B3276C" w:rsidRDefault="00812A72" w:rsidP="0002297E">
            <w:pPr>
              <w:widowControl/>
              <w:spacing w:before="40" w:after="40" w:line="240" w:lineRule="auto"/>
              <w:rPr>
                <w:rFonts w:asciiTheme="majorHAnsi" w:hAnsiTheme="majorHAnsi" w:cstheme="majorHAnsi"/>
                <w:sz w:val="16"/>
                <w:szCs w:val="16"/>
                <w:lang w:val="lv-LV"/>
              </w:rPr>
            </w:pPr>
            <w:r w:rsidRPr="00537DE7">
              <w:rPr>
                <w:rFonts w:asciiTheme="majorHAnsi" w:hAnsiTheme="majorHAnsi" w:cstheme="majorHAnsi"/>
                <w:sz w:val="16"/>
                <w:szCs w:val="16"/>
                <w:lang w:val="lv-LV"/>
              </w:rPr>
              <w:t xml:space="preserve">700 milj.eiro 2029.-2040. gadā: 58,33 milj. eiro katru gadu. </w:t>
            </w:r>
          </w:p>
        </w:tc>
        <w:tc>
          <w:tcPr>
            <w:tcW w:w="3231" w:type="dxa"/>
            <w:shd w:val="clear" w:color="auto" w:fill="B4C6E7" w:themeFill="accent1" w:themeFillTint="66"/>
          </w:tcPr>
          <w:p w14:paraId="3CD76993" w14:textId="77777777" w:rsidR="00812A72" w:rsidRPr="00B3276C" w:rsidRDefault="00812A72" w:rsidP="0002297E">
            <w:pPr>
              <w:widowControl/>
              <w:spacing w:before="40" w:after="40" w:line="240" w:lineRule="auto"/>
              <w:rPr>
                <w:rFonts w:asciiTheme="majorHAnsi" w:eastAsia="Times New Roman" w:hAnsiTheme="majorHAnsi" w:cstheme="majorHAnsi"/>
                <w:color w:val="000000"/>
                <w:sz w:val="16"/>
                <w:szCs w:val="16"/>
                <w:lang w:val="lv-LV" w:eastAsia="lv-LV"/>
              </w:rPr>
            </w:pPr>
            <w:r w:rsidRPr="00097491">
              <w:rPr>
                <w:rFonts w:asciiTheme="majorHAnsi" w:hAnsiTheme="majorHAnsi" w:cstheme="majorHAnsi"/>
                <w:b/>
                <w:bCs/>
                <w:sz w:val="16"/>
                <w:szCs w:val="16"/>
                <w:lang w:val="lv-LV"/>
              </w:rPr>
              <w:t>70 %</w:t>
            </w:r>
            <w:r w:rsidRPr="00097491">
              <w:rPr>
                <w:rFonts w:asciiTheme="majorHAnsi" w:hAnsiTheme="majorHAnsi" w:cstheme="majorHAnsi"/>
                <w:sz w:val="16"/>
                <w:szCs w:val="16"/>
                <w:lang w:val="lv-LV"/>
              </w:rPr>
              <w:t xml:space="preserve"> </w:t>
            </w:r>
            <w:r w:rsidRPr="006B7AB1">
              <w:rPr>
                <w:rFonts w:asciiTheme="majorHAnsi" w:hAnsiTheme="majorHAnsi" w:cstheme="majorHAnsi"/>
                <w:sz w:val="16"/>
                <w:szCs w:val="16"/>
                <w:lang w:val="lv-LV"/>
              </w:rPr>
              <w:t>–</w:t>
            </w:r>
            <w:r w:rsidRPr="00097491">
              <w:rPr>
                <w:rFonts w:asciiTheme="majorHAnsi" w:hAnsiTheme="majorHAnsi" w:cstheme="majorHAnsi"/>
                <w:sz w:val="16"/>
                <w:szCs w:val="16"/>
                <w:lang w:val="lv-LV"/>
              </w:rPr>
              <w:t xml:space="preserve"> Latvijas privāto uzņēmumu finansējums </w:t>
            </w:r>
            <w:r w:rsidRPr="00097491">
              <w:rPr>
                <w:rFonts w:asciiTheme="majorHAnsi" w:hAnsiTheme="majorHAnsi" w:cstheme="majorHAnsi"/>
                <w:sz w:val="16"/>
                <w:szCs w:val="16"/>
                <w:lang w:val="lv-LV"/>
              </w:rPr>
              <w:br/>
            </w:r>
            <w:r w:rsidRPr="00097491">
              <w:rPr>
                <w:rFonts w:asciiTheme="majorHAnsi" w:hAnsiTheme="majorHAnsi" w:cstheme="majorHAnsi"/>
                <w:b/>
                <w:bCs/>
                <w:sz w:val="16"/>
                <w:szCs w:val="16"/>
                <w:lang w:val="lv-LV"/>
              </w:rPr>
              <w:t>15 %</w:t>
            </w:r>
            <w:r w:rsidRPr="00097491">
              <w:rPr>
                <w:rFonts w:asciiTheme="majorHAnsi" w:hAnsiTheme="majorHAnsi" w:cstheme="majorHAnsi"/>
                <w:sz w:val="16"/>
                <w:szCs w:val="16"/>
                <w:lang w:val="lv-LV"/>
              </w:rPr>
              <w:t xml:space="preserve"> </w:t>
            </w:r>
            <w:r w:rsidRPr="006B7AB1">
              <w:rPr>
                <w:rFonts w:asciiTheme="majorHAnsi" w:hAnsiTheme="majorHAnsi" w:cstheme="majorHAnsi"/>
                <w:sz w:val="16"/>
                <w:szCs w:val="16"/>
                <w:lang w:val="lv-LV"/>
              </w:rPr>
              <w:t>–</w:t>
            </w:r>
            <w:r w:rsidRPr="00097491">
              <w:rPr>
                <w:rFonts w:asciiTheme="majorHAnsi" w:hAnsiTheme="majorHAnsi" w:cstheme="majorHAnsi"/>
                <w:sz w:val="16"/>
                <w:szCs w:val="16"/>
                <w:lang w:val="lv-LV"/>
              </w:rPr>
              <w:t xml:space="preserve"> jaunais ES fondu finansējums. </w:t>
            </w:r>
            <w:r w:rsidRPr="00097491">
              <w:rPr>
                <w:rFonts w:asciiTheme="majorHAnsi" w:hAnsiTheme="majorHAnsi" w:cstheme="majorHAnsi"/>
                <w:sz w:val="16"/>
                <w:szCs w:val="16"/>
                <w:lang w:val="lv-LV"/>
              </w:rPr>
              <w:br/>
            </w:r>
            <w:r w:rsidRPr="00B3276C">
              <w:rPr>
                <w:rFonts w:asciiTheme="majorHAnsi" w:hAnsiTheme="majorHAnsi" w:cstheme="majorHAnsi"/>
                <w:b/>
                <w:bCs/>
                <w:sz w:val="16"/>
                <w:szCs w:val="16"/>
              </w:rPr>
              <w:t>15 %</w:t>
            </w:r>
            <w:r w:rsidRPr="00B3276C">
              <w:rPr>
                <w:rFonts w:asciiTheme="majorHAnsi" w:hAnsiTheme="majorHAnsi" w:cstheme="majorHAnsi"/>
                <w:sz w:val="16"/>
                <w:szCs w:val="16"/>
              </w:rPr>
              <w:t xml:space="preserve"> </w:t>
            </w:r>
            <w:r w:rsidRPr="006B7AB1">
              <w:rPr>
                <w:rFonts w:asciiTheme="majorHAnsi" w:hAnsiTheme="majorHAnsi" w:cstheme="majorHAnsi"/>
                <w:sz w:val="16"/>
                <w:szCs w:val="16"/>
                <w:lang w:val="lv-LV"/>
              </w:rPr>
              <w:t>–</w:t>
            </w:r>
            <w:r w:rsidRPr="00B3276C">
              <w:rPr>
                <w:rFonts w:asciiTheme="majorHAnsi" w:hAnsiTheme="majorHAnsi" w:cstheme="majorHAnsi"/>
                <w:sz w:val="16"/>
                <w:szCs w:val="16"/>
              </w:rPr>
              <w:t xml:space="preserve"> nacionālais publiskais finansējums papildu izdevumu veidā.</w:t>
            </w:r>
          </w:p>
        </w:tc>
      </w:tr>
      <w:tr w:rsidR="00812A72" w:rsidRPr="005F4D7C" w14:paraId="1BFE9ECC" w14:textId="77777777" w:rsidTr="0002297E">
        <w:trPr>
          <w:jc w:val="center"/>
        </w:trPr>
        <w:tc>
          <w:tcPr>
            <w:tcW w:w="2835" w:type="dxa"/>
            <w:shd w:val="clear" w:color="auto" w:fill="D9E2F3" w:themeFill="accent1" w:themeFillTint="33"/>
          </w:tcPr>
          <w:p w14:paraId="47EB3469" w14:textId="77777777" w:rsidR="00812A72" w:rsidRPr="00B3276C" w:rsidRDefault="00812A72" w:rsidP="0002297E">
            <w:pPr>
              <w:widowControl/>
              <w:spacing w:before="40" w:after="40" w:line="240" w:lineRule="auto"/>
              <w:rPr>
                <w:rFonts w:asciiTheme="majorHAnsi" w:hAnsiTheme="majorHAnsi" w:cstheme="majorHAnsi"/>
                <w:sz w:val="16"/>
                <w:szCs w:val="16"/>
                <w:lang w:val="lv-LV"/>
              </w:rPr>
            </w:pPr>
            <w:r w:rsidRPr="00B3276C">
              <w:rPr>
                <w:rFonts w:asciiTheme="majorHAnsi" w:hAnsiTheme="majorHAnsi" w:cstheme="majorHAnsi"/>
                <w:sz w:val="16"/>
                <w:szCs w:val="16"/>
              </w:rPr>
              <w:t xml:space="preserve">3.1.3.3. Nodrošināt VES attīstību sauszemē </w:t>
            </w:r>
          </w:p>
        </w:tc>
        <w:tc>
          <w:tcPr>
            <w:tcW w:w="1701" w:type="dxa"/>
            <w:shd w:val="clear" w:color="auto" w:fill="D9E2F3" w:themeFill="accent1" w:themeFillTint="33"/>
          </w:tcPr>
          <w:p w14:paraId="25468C31" w14:textId="77777777" w:rsidR="00812A72" w:rsidRPr="006B7AB1" w:rsidRDefault="00812A72" w:rsidP="0002297E">
            <w:pPr>
              <w:widowControl/>
              <w:spacing w:before="40" w:after="40" w:line="240" w:lineRule="auto"/>
              <w:rPr>
                <w:rFonts w:asciiTheme="majorHAnsi" w:hAnsiTheme="majorHAnsi" w:cstheme="majorHAnsi"/>
                <w:color w:val="000000" w:themeColor="text1"/>
                <w:sz w:val="16"/>
                <w:szCs w:val="16"/>
                <w:lang w:val="lv-LV"/>
              </w:rPr>
            </w:pPr>
            <w:r w:rsidRPr="006B7AB1">
              <w:rPr>
                <w:rFonts w:asciiTheme="majorHAnsi" w:hAnsiTheme="majorHAnsi" w:cstheme="majorHAnsi"/>
                <w:color w:val="000000" w:themeColor="text1"/>
                <w:sz w:val="16"/>
                <w:szCs w:val="16"/>
              </w:rPr>
              <w:t>Vēja ģeneratori</w:t>
            </w:r>
          </w:p>
        </w:tc>
        <w:tc>
          <w:tcPr>
            <w:tcW w:w="1871" w:type="dxa"/>
            <w:shd w:val="clear" w:color="auto" w:fill="D9E2F3" w:themeFill="accent1" w:themeFillTint="33"/>
          </w:tcPr>
          <w:p w14:paraId="1E7D0ACB" w14:textId="77777777" w:rsidR="00812A72" w:rsidRPr="00B3276C" w:rsidRDefault="00812A72" w:rsidP="0002297E">
            <w:pPr>
              <w:widowControl/>
              <w:spacing w:before="40" w:after="40" w:line="240" w:lineRule="auto"/>
              <w:rPr>
                <w:rFonts w:asciiTheme="majorHAnsi" w:hAnsiTheme="majorHAnsi" w:cstheme="majorHAnsi"/>
                <w:sz w:val="16"/>
                <w:szCs w:val="16"/>
                <w:lang w:val="lv-LV"/>
              </w:rPr>
            </w:pPr>
            <w:r w:rsidRPr="00537DE7">
              <w:rPr>
                <w:rFonts w:asciiTheme="majorHAnsi" w:hAnsiTheme="majorHAnsi" w:cstheme="majorHAnsi"/>
                <w:sz w:val="16"/>
                <w:szCs w:val="16"/>
                <w:lang w:val="lv-LV"/>
              </w:rPr>
              <w:t>1200 milj.eiro 2025.</w:t>
            </w:r>
            <w:r>
              <w:rPr>
                <w:rFonts w:asciiTheme="majorHAnsi" w:hAnsiTheme="majorHAnsi" w:cstheme="majorHAnsi"/>
                <w:sz w:val="16"/>
                <w:szCs w:val="16"/>
                <w:lang w:val="lv-LV"/>
              </w:rPr>
              <w:t xml:space="preserve"> – </w:t>
            </w:r>
            <w:r w:rsidRPr="00537DE7">
              <w:rPr>
                <w:rFonts w:asciiTheme="majorHAnsi" w:hAnsiTheme="majorHAnsi" w:cstheme="majorHAnsi"/>
                <w:sz w:val="16"/>
                <w:szCs w:val="16"/>
                <w:lang w:val="lv-LV"/>
              </w:rPr>
              <w:t>2030. gadā: 200 milj. eiro katru gadu.</w:t>
            </w:r>
          </w:p>
        </w:tc>
        <w:tc>
          <w:tcPr>
            <w:tcW w:w="3231" w:type="dxa"/>
            <w:shd w:val="clear" w:color="auto" w:fill="D9E2F3" w:themeFill="accent1" w:themeFillTint="33"/>
          </w:tcPr>
          <w:p w14:paraId="3E13E32A" w14:textId="77777777" w:rsidR="00812A72" w:rsidRPr="00B3276C" w:rsidRDefault="00812A72" w:rsidP="0002297E">
            <w:pPr>
              <w:widowControl/>
              <w:spacing w:before="40" w:after="40" w:line="240" w:lineRule="auto"/>
              <w:rPr>
                <w:rFonts w:asciiTheme="majorHAnsi" w:eastAsia="Times New Roman" w:hAnsiTheme="majorHAnsi" w:cstheme="majorHAnsi"/>
                <w:color w:val="000000"/>
                <w:sz w:val="16"/>
                <w:szCs w:val="16"/>
                <w:lang w:val="lv-LV" w:eastAsia="lv-LV"/>
              </w:rPr>
            </w:pPr>
            <w:r w:rsidRPr="00537DE7">
              <w:rPr>
                <w:rFonts w:asciiTheme="majorHAnsi" w:hAnsiTheme="majorHAnsi" w:cstheme="majorHAnsi"/>
                <w:b/>
                <w:bCs/>
                <w:sz w:val="16"/>
                <w:szCs w:val="16"/>
                <w:lang w:val="lv-LV"/>
              </w:rPr>
              <w:t>60 %</w:t>
            </w:r>
            <w:r w:rsidRPr="00537DE7">
              <w:rPr>
                <w:rFonts w:asciiTheme="majorHAnsi" w:hAnsiTheme="majorHAnsi" w:cstheme="majorHAnsi"/>
                <w:sz w:val="16"/>
                <w:szCs w:val="16"/>
                <w:lang w:val="lv-LV"/>
              </w:rPr>
              <w:t xml:space="preserve"> </w:t>
            </w:r>
            <w:r w:rsidRPr="006B7AB1">
              <w:rPr>
                <w:rFonts w:asciiTheme="majorHAnsi" w:hAnsiTheme="majorHAnsi" w:cstheme="majorHAnsi"/>
                <w:sz w:val="16"/>
                <w:szCs w:val="16"/>
                <w:lang w:val="lv-LV"/>
              </w:rPr>
              <w:t>–</w:t>
            </w:r>
            <w:r w:rsidRPr="00537DE7">
              <w:rPr>
                <w:rFonts w:asciiTheme="majorHAnsi" w:hAnsiTheme="majorHAnsi" w:cstheme="majorHAnsi"/>
                <w:sz w:val="16"/>
                <w:szCs w:val="16"/>
                <w:lang w:val="lv-LV"/>
              </w:rPr>
              <w:t xml:space="preserve"> Latvijas privāto uzņēmumu finansējums. </w:t>
            </w:r>
            <w:r w:rsidRPr="00537DE7">
              <w:rPr>
                <w:rFonts w:asciiTheme="majorHAnsi" w:hAnsiTheme="majorHAnsi" w:cstheme="majorHAnsi"/>
                <w:sz w:val="16"/>
                <w:szCs w:val="16"/>
                <w:lang w:val="lv-LV"/>
              </w:rPr>
              <w:br/>
            </w:r>
            <w:r w:rsidRPr="00537DE7">
              <w:rPr>
                <w:rFonts w:asciiTheme="majorHAnsi" w:hAnsiTheme="majorHAnsi" w:cstheme="majorHAnsi"/>
                <w:b/>
                <w:bCs/>
                <w:sz w:val="16"/>
                <w:szCs w:val="16"/>
                <w:lang w:val="lv-LV"/>
              </w:rPr>
              <w:t>40 %</w:t>
            </w:r>
            <w:r w:rsidRPr="00537DE7">
              <w:rPr>
                <w:rFonts w:asciiTheme="majorHAnsi" w:hAnsiTheme="majorHAnsi" w:cstheme="majorHAnsi"/>
                <w:sz w:val="16"/>
                <w:szCs w:val="16"/>
                <w:lang w:val="lv-LV"/>
              </w:rPr>
              <w:t xml:space="preserve"> </w:t>
            </w:r>
            <w:r w:rsidRPr="006B7AB1">
              <w:rPr>
                <w:rFonts w:asciiTheme="majorHAnsi" w:hAnsiTheme="majorHAnsi" w:cstheme="majorHAnsi"/>
                <w:sz w:val="16"/>
                <w:szCs w:val="16"/>
                <w:lang w:val="lv-LV"/>
              </w:rPr>
              <w:t>–</w:t>
            </w:r>
            <w:r w:rsidRPr="00537DE7">
              <w:rPr>
                <w:rFonts w:asciiTheme="majorHAnsi" w:hAnsiTheme="majorHAnsi" w:cstheme="majorHAnsi"/>
                <w:sz w:val="16"/>
                <w:szCs w:val="16"/>
                <w:lang w:val="lv-LV"/>
              </w:rPr>
              <w:t xml:space="preserve"> nacionālais publiskais finansējums papildu izdevumu veidā. Valsts kapitālsabiedrības finansējums tiek uzskatīts par nacionālo publisko finansējumu, jo šie ieguldījumi aizstās maksājumus valsts budžetā. </w:t>
            </w:r>
          </w:p>
        </w:tc>
      </w:tr>
      <w:tr w:rsidR="00812A72" w:rsidRPr="00D24F07" w14:paraId="63143CC7" w14:textId="77777777" w:rsidTr="0002297E">
        <w:trPr>
          <w:jc w:val="center"/>
        </w:trPr>
        <w:tc>
          <w:tcPr>
            <w:tcW w:w="2835" w:type="dxa"/>
            <w:shd w:val="clear" w:color="auto" w:fill="B4C6E7" w:themeFill="accent1" w:themeFillTint="66"/>
          </w:tcPr>
          <w:p w14:paraId="121EB81A" w14:textId="77777777" w:rsidR="00812A72" w:rsidRPr="00B3276C" w:rsidRDefault="00812A72" w:rsidP="0002297E">
            <w:pPr>
              <w:widowControl/>
              <w:spacing w:before="40" w:after="40" w:line="240" w:lineRule="auto"/>
              <w:rPr>
                <w:rFonts w:asciiTheme="majorHAnsi" w:hAnsiTheme="majorHAnsi" w:cstheme="majorHAnsi"/>
                <w:sz w:val="16"/>
                <w:szCs w:val="16"/>
                <w:lang w:val="lv-LV"/>
              </w:rPr>
            </w:pPr>
            <w:r w:rsidRPr="00537DE7">
              <w:rPr>
                <w:rFonts w:asciiTheme="majorHAnsi" w:hAnsiTheme="majorHAnsi" w:cstheme="majorHAnsi"/>
                <w:sz w:val="16"/>
                <w:szCs w:val="16"/>
                <w:lang w:val="lv-LV"/>
              </w:rPr>
              <w:t xml:space="preserve">3.1.3.7. Īstenot pilotprojektu lielas jaudas elektroenerģijas ražošanas stacijās akumulācijas risinājumu īstenošanai </w:t>
            </w:r>
          </w:p>
        </w:tc>
        <w:tc>
          <w:tcPr>
            <w:tcW w:w="1701" w:type="dxa"/>
            <w:shd w:val="clear" w:color="auto" w:fill="B4C6E7" w:themeFill="accent1" w:themeFillTint="66"/>
          </w:tcPr>
          <w:p w14:paraId="3F897591" w14:textId="77777777" w:rsidR="00812A72" w:rsidRPr="006B7AB1" w:rsidRDefault="00812A72" w:rsidP="0002297E">
            <w:pPr>
              <w:widowControl/>
              <w:spacing w:before="40" w:after="40" w:line="240" w:lineRule="auto"/>
              <w:rPr>
                <w:rFonts w:asciiTheme="majorHAnsi" w:hAnsiTheme="majorHAnsi" w:cstheme="majorHAnsi"/>
                <w:color w:val="000000" w:themeColor="text1"/>
                <w:sz w:val="16"/>
                <w:szCs w:val="16"/>
                <w:lang w:val="lv-LV"/>
              </w:rPr>
            </w:pPr>
            <w:r w:rsidRPr="006B7AB1">
              <w:rPr>
                <w:rFonts w:asciiTheme="majorHAnsi" w:hAnsiTheme="majorHAnsi" w:cstheme="majorHAnsi"/>
                <w:color w:val="000000" w:themeColor="text1"/>
                <w:sz w:val="16"/>
                <w:szCs w:val="16"/>
              </w:rPr>
              <w:t>Elektroenerģijas ražošana</w:t>
            </w:r>
          </w:p>
        </w:tc>
        <w:tc>
          <w:tcPr>
            <w:tcW w:w="1871" w:type="dxa"/>
            <w:shd w:val="clear" w:color="auto" w:fill="B4C6E7" w:themeFill="accent1" w:themeFillTint="66"/>
          </w:tcPr>
          <w:p w14:paraId="17701764" w14:textId="77777777" w:rsidR="00812A72" w:rsidRPr="00B3276C" w:rsidRDefault="00812A72" w:rsidP="0002297E">
            <w:pPr>
              <w:widowControl/>
              <w:spacing w:before="40" w:after="40" w:line="240" w:lineRule="auto"/>
              <w:rPr>
                <w:rFonts w:asciiTheme="majorHAnsi" w:hAnsiTheme="majorHAnsi" w:cstheme="majorHAnsi"/>
                <w:sz w:val="16"/>
                <w:szCs w:val="16"/>
                <w:lang w:val="lv-LV"/>
              </w:rPr>
            </w:pPr>
            <w:r w:rsidRPr="00537DE7">
              <w:rPr>
                <w:rFonts w:asciiTheme="majorHAnsi" w:hAnsiTheme="majorHAnsi" w:cstheme="majorHAnsi"/>
                <w:sz w:val="16"/>
                <w:szCs w:val="16"/>
                <w:lang w:val="lv-LV"/>
              </w:rPr>
              <w:t>20 milj.eiro 2025.</w:t>
            </w:r>
            <w:r>
              <w:rPr>
                <w:rFonts w:asciiTheme="majorHAnsi" w:hAnsiTheme="majorHAnsi" w:cstheme="majorHAnsi"/>
                <w:sz w:val="16"/>
                <w:szCs w:val="16"/>
                <w:lang w:val="lv-LV"/>
              </w:rPr>
              <w:t xml:space="preserve"> – </w:t>
            </w:r>
            <w:r w:rsidRPr="00537DE7">
              <w:rPr>
                <w:rFonts w:asciiTheme="majorHAnsi" w:hAnsiTheme="majorHAnsi" w:cstheme="majorHAnsi"/>
                <w:sz w:val="16"/>
                <w:szCs w:val="16"/>
                <w:lang w:val="lv-LV"/>
              </w:rPr>
              <w:t>2035. gadā: 1,81 milj. eiro katru gadu.</w:t>
            </w:r>
          </w:p>
        </w:tc>
        <w:tc>
          <w:tcPr>
            <w:tcW w:w="3231" w:type="dxa"/>
            <w:shd w:val="clear" w:color="auto" w:fill="B4C6E7" w:themeFill="accent1" w:themeFillTint="66"/>
          </w:tcPr>
          <w:p w14:paraId="423E1764" w14:textId="77777777" w:rsidR="00812A72" w:rsidRPr="00B3276C" w:rsidRDefault="00812A72" w:rsidP="0002297E">
            <w:pPr>
              <w:widowControl/>
              <w:spacing w:before="40" w:after="40" w:line="240" w:lineRule="auto"/>
              <w:rPr>
                <w:rFonts w:asciiTheme="majorHAnsi" w:eastAsia="Times New Roman" w:hAnsiTheme="majorHAnsi" w:cstheme="majorHAnsi"/>
                <w:color w:val="000000"/>
                <w:sz w:val="16"/>
                <w:szCs w:val="16"/>
                <w:lang w:val="lv-LV" w:eastAsia="lv-LV"/>
              </w:rPr>
            </w:pPr>
            <w:r w:rsidRPr="00097491">
              <w:rPr>
                <w:rFonts w:asciiTheme="majorHAnsi" w:hAnsiTheme="majorHAnsi" w:cstheme="majorHAnsi"/>
                <w:b/>
                <w:bCs/>
                <w:sz w:val="16"/>
                <w:szCs w:val="16"/>
                <w:lang w:val="lv-LV"/>
              </w:rPr>
              <w:t>67 %</w:t>
            </w:r>
            <w:r w:rsidRPr="00097491">
              <w:rPr>
                <w:rFonts w:asciiTheme="majorHAnsi" w:hAnsiTheme="majorHAnsi" w:cstheme="majorHAnsi"/>
                <w:sz w:val="16"/>
                <w:szCs w:val="16"/>
                <w:lang w:val="lv-LV"/>
              </w:rPr>
              <w:t xml:space="preserve"> </w:t>
            </w:r>
            <w:r w:rsidRPr="006B7AB1">
              <w:rPr>
                <w:rFonts w:asciiTheme="majorHAnsi" w:hAnsiTheme="majorHAnsi" w:cstheme="majorHAnsi"/>
                <w:sz w:val="16"/>
                <w:szCs w:val="16"/>
                <w:lang w:val="lv-LV"/>
              </w:rPr>
              <w:t>–</w:t>
            </w:r>
            <w:r w:rsidRPr="00097491">
              <w:rPr>
                <w:rFonts w:asciiTheme="majorHAnsi" w:hAnsiTheme="majorHAnsi" w:cstheme="majorHAnsi"/>
                <w:sz w:val="16"/>
                <w:szCs w:val="16"/>
                <w:lang w:val="lv-LV"/>
              </w:rPr>
              <w:t xml:space="preserve"> jaunais ES fondu finansējums.</w:t>
            </w:r>
            <w:r w:rsidRPr="00097491">
              <w:rPr>
                <w:rFonts w:asciiTheme="majorHAnsi" w:hAnsiTheme="majorHAnsi" w:cstheme="majorHAnsi"/>
                <w:sz w:val="16"/>
                <w:szCs w:val="16"/>
                <w:lang w:val="lv-LV"/>
              </w:rPr>
              <w:br/>
            </w:r>
            <w:r w:rsidRPr="00097491">
              <w:rPr>
                <w:rFonts w:asciiTheme="majorHAnsi" w:hAnsiTheme="majorHAnsi" w:cstheme="majorHAnsi"/>
                <w:b/>
                <w:bCs/>
                <w:sz w:val="16"/>
                <w:szCs w:val="16"/>
                <w:lang w:val="lv-LV"/>
              </w:rPr>
              <w:t>33 %</w:t>
            </w:r>
            <w:r w:rsidRPr="00097491">
              <w:rPr>
                <w:rFonts w:asciiTheme="majorHAnsi" w:hAnsiTheme="majorHAnsi" w:cstheme="majorHAnsi"/>
                <w:sz w:val="16"/>
                <w:szCs w:val="16"/>
                <w:lang w:val="lv-LV"/>
              </w:rPr>
              <w:t xml:space="preserve"> </w:t>
            </w:r>
            <w:r w:rsidRPr="006B7AB1">
              <w:rPr>
                <w:rFonts w:asciiTheme="majorHAnsi" w:hAnsiTheme="majorHAnsi" w:cstheme="majorHAnsi"/>
                <w:sz w:val="16"/>
                <w:szCs w:val="16"/>
                <w:lang w:val="lv-LV"/>
              </w:rPr>
              <w:t>–</w:t>
            </w:r>
            <w:r w:rsidRPr="00097491">
              <w:rPr>
                <w:rFonts w:asciiTheme="majorHAnsi" w:hAnsiTheme="majorHAnsi" w:cstheme="majorHAnsi"/>
                <w:sz w:val="16"/>
                <w:szCs w:val="16"/>
                <w:lang w:val="lv-LV"/>
              </w:rPr>
              <w:t xml:space="preserve"> Latvijas privāto uzņēmumu finansējums.</w:t>
            </w:r>
          </w:p>
        </w:tc>
      </w:tr>
      <w:tr w:rsidR="00812A72" w:rsidRPr="00AB3438" w14:paraId="174D9050" w14:textId="77777777" w:rsidTr="0002297E">
        <w:trPr>
          <w:jc w:val="center"/>
        </w:trPr>
        <w:tc>
          <w:tcPr>
            <w:tcW w:w="2835" w:type="dxa"/>
            <w:shd w:val="clear" w:color="auto" w:fill="D9E2F3" w:themeFill="accent1" w:themeFillTint="33"/>
          </w:tcPr>
          <w:p w14:paraId="1A6C9C40" w14:textId="77777777" w:rsidR="00812A72" w:rsidRPr="00B3276C"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lv-LV"/>
              </w:rPr>
              <w:t xml:space="preserve">3.1.3.9. Veicināt elektroenerģijas uzkrāšanas tehnoloģiju izmantošanu komersantos un privātpersonām, t.sk. atbalsta programmu ietvaros </w:t>
            </w:r>
          </w:p>
        </w:tc>
        <w:tc>
          <w:tcPr>
            <w:tcW w:w="1701" w:type="dxa"/>
            <w:shd w:val="clear" w:color="auto" w:fill="D9E2F3" w:themeFill="accent1" w:themeFillTint="33"/>
          </w:tcPr>
          <w:p w14:paraId="53B303B0" w14:textId="77777777" w:rsidR="00812A72" w:rsidRPr="006B7AB1" w:rsidRDefault="00812A72" w:rsidP="0002297E">
            <w:pPr>
              <w:widowControl/>
              <w:spacing w:before="40" w:after="40" w:line="240" w:lineRule="auto"/>
              <w:rPr>
                <w:rFonts w:asciiTheme="majorHAnsi" w:hAnsiTheme="majorHAnsi" w:cstheme="majorHAnsi"/>
                <w:color w:val="000000" w:themeColor="text1"/>
                <w:sz w:val="16"/>
                <w:szCs w:val="16"/>
                <w:lang w:val="lv-LV"/>
              </w:rPr>
            </w:pPr>
            <w:r w:rsidRPr="006B7AB1">
              <w:rPr>
                <w:rFonts w:asciiTheme="majorHAnsi" w:hAnsiTheme="majorHAnsi" w:cstheme="majorHAnsi"/>
                <w:color w:val="000000" w:themeColor="text1"/>
                <w:sz w:val="16"/>
                <w:szCs w:val="16"/>
              </w:rPr>
              <w:t>Saules paneļi</w:t>
            </w:r>
          </w:p>
        </w:tc>
        <w:tc>
          <w:tcPr>
            <w:tcW w:w="1871" w:type="dxa"/>
            <w:shd w:val="clear" w:color="auto" w:fill="D9E2F3" w:themeFill="accent1" w:themeFillTint="33"/>
          </w:tcPr>
          <w:p w14:paraId="15A158DF" w14:textId="77777777" w:rsidR="00812A72" w:rsidRPr="00B3276C"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sv-SE"/>
              </w:rPr>
              <w:t>20 milj. eiro 2025. – 2030. gadā: 3,33 milj. eiro katru gadu.</w:t>
            </w:r>
          </w:p>
        </w:tc>
        <w:tc>
          <w:tcPr>
            <w:tcW w:w="3231" w:type="dxa"/>
            <w:shd w:val="clear" w:color="auto" w:fill="D9E2F3" w:themeFill="accent1" w:themeFillTint="33"/>
          </w:tcPr>
          <w:p w14:paraId="69DB25FF" w14:textId="77777777" w:rsidR="00812A72" w:rsidRPr="00B3276C" w:rsidRDefault="00812A72" w:rsidP="0002297E">
            <w:pPr>
              <w:widowControl/>
              <w:spacing w:before="40" w:after="40" w:line="240" w:lineRule="auto"/>
              <w:rPr>
                <w:rFonts w:asciiTheme="majorHAnsi" w:eastAsia="Times New Roman" w:hAnsiTheme="majorHAnsi" w:cstheme="majorHAnsi"/>
                <w:color w:val="000000"/>
                <w:sz w:val="16"/>
                <w:szCs w:val="16"/>
                <w:lang w:val="lv-LV" w:eastAsia="lv-LV"/>
              </w:rPr>
            </w:pPr>
            <w:r w:rsidRPr="00B3276C">
              <w:rPr>
                <w:rFonts w:asciiTheme="majorHAnsi" w:hAnsiTheme="majorHAnsi" w:cstheme="majorHAnsi"/>
                <w:b/>
                <w:bCs/>
                <w:sz w:val="16"/>
                <w:szCs w:val="16"/>
              </w:rPr>
              <w:t>100 %</w:t>
            </w:r>
            <w:r w:rsidRPr="00B3276C">
              <w:rPr>
                <w:rFonts w:asciiTheme="majorHAnsi" w:hAnsiTheme="majorHAnsi" w:cstheme="majorHAnsi"/>
                <w:sz w:val="16"/>
                <w:szCs w:val="16"/>
              </w:rPr>
              <w:t xml:space="preserve"> </w:t>
            </w:r>
            <w:r w:rsidRPr="006B7AB1">
              <w:rPr>
                <w:rFonts w:asciiTheme="majorHAnsi" w:hAnsiTheme="majorHAnsi" w:cstheme="majorHAnsi"/>
                <w:sz w:val="16"/>
                <w:szCs w:val="16"/>
                <w:lang w:val="lv-LV"/>
              </w:rPr>
              <w:t>–</w:t>
            </w:r>
            <w:r w:rsidRPr="00B3276C">
              <w:rPr>
                <w:rFonts w:asciiTheme="majorHAnsi" w:hAnsiTheme="majorHAnsi" w:cstheme="majorHAnsi"/>
                <w:sz w:val="16"/>
                <w:szCs w:val="16"/>
              </w:rPr>
              <w:t xml:space="preserve"> jaunais ES fondu finansējums.</w:t>
            </w:r>
          </w:p>
        </w:tc>
      </w:tr>
      <w:tr w:rsidR="00812A72" w:rsidRPr="006B7AB1" w14:paraId="55362A6D" w14:textId="77777777" w:rsidTr="0002297E">
        <w:trPr>
          <w:jc w:val="center"/>
        </w:trPr>
        <w:tc>
          <w:tcPr>
            <w:tcW w:w="2835" w:type="dxa"/>
            <w:shd w:val="clear" w:color="auto" w:fill="B4C6E7" w:themeFill="accent1" w:themeFillTint="66"/>
          </w:tcPr>
          <w:p w14:paraId="15A61D63" w14:textId="77777777" w:rsidR="00812A72" w:rsidRPr="00B3276C" w:rsidRDefault="00812A72" w:rsidP="0002297E">
            <w:pPr>
              <w:widowControl/>
              <w:spacing w:before="40" w:after="40" w:line="240" w:lineRule="auto"/>
              <w:rPr>
                <w:rFonts w:asciiTheme="majorHAnsi" w:hAnsiTheme="majorHAnsi" w:cstheme="majorHAnsi"/>
                <w:sz w:val="16"/>
                <w:szCs w:val="16"/>
                <w:lang w:val="lv-LV"/>
              </w:rPr>
            </w:pPr>
            <w:r w:rsidRPr="00B3276C">
              <w:rPr>
                <w:rFonts w:asciiTheme="majorHAnsi" w:hAnsiTheme="majorHAnsi" w:cstheme="majorHAnsi"/>
                <w:sz w:val="16"/>
                <w:szCs w:val="16"/>
              </w:rPr>
              <w:t xml:space="preserve">3.1.3.11. AE ražošanas jaudu palielināšanas un CSA infrastruktūras un tīklu modernizācija. </w:t>
            </w:r>
          </w:p>
        </w:tc>
        <w:tc>
          <w:tcPr>
            <w:tcW w:w="1701" w:type="dxa"/>
            <w:shd w:val="clear" w:color="auto" w:fill="B4C6E7" w:themeFill="accent1" w:themeFillTint="66"/>
          </w:tcPr>
          <w:p w14:paraId="20C22E04" w14:textId="77777777" w:rsidR="00812A72" w:rsidRPr="006B7AB1" w:rsidRDefault="00812A72" w:rsidP="0002297E">
            <w:pPr>
              <w:widowControl/>
              <w:spacing w:before="40" w:after="40" w:line="240" w:lineRule="auto"/>
              <w:rPr>
                <w:rFonts w:asciiTheme="majorHAnsi" w:hAnsiTheme="majorHAnsi" w:cstheme="majorHAnsi"/>
                <w:color w:val="000000" w:themeColor="text1"/>
                <w:sz w:val="16"/>
                <w:szCs w:val="16"/>
                <w:lang w:val="lv-LV"/>
              </w:rPr>
            </w:pPr>
            <w:r w:rsidRPr="00097491">
              <w:rPr>
                <w:rFonts w:asciiTheme="majorHAnsi" w:hAnsiTheme="majorHAnsi" w:cstheme="majorHAnsi"/>
                <w:color w:val="000000" w:themeColor="text1"/>
                <w:sz w:val="16"/>
                <w:szCs w:val="16"/>
                <w:lang w:val="sv-SE"/>
              </w:rPr>
              <w:t>25 % – Biomasa</w:t>
            </w:r>
            <w:r w:rsidRPr="00097491">
              <w:rPr>
                <w:rFonts w:asciiTheme="majorHAnsi" w:hAnsiTheme="majorHAnsi" w:cstheme="majorHAnsi"/>
                <w:color w:val="000000" w:themeColor="text1"/>
                <w:sz w:val="16"/>
                <w:szCs w:val="16"/>
                <w:lang w:val="sv-SE"/>
              </w:rPr>
              <w:br/>
              <w:t>25 % – Saules paneļi</w:t>
            </w:r>
            <w:r w:rsidRPr="00097491">
              <w:rPr>
                <w:rFonts w:asciiTheme="majorHAnsi" w:hAnsiTheme="majorHAnsi" w:cstheme="majorHAnsi"/>
                <w:color w:val="000000" w:themeColor="text1"/>
                <w:sz w:val="16"/>
                <w:szCs w:val="16"/>
                <w:lang w:val="sv-SE"/>
              </w:rPr>
              <w:br/>
              <w:t>25 % – Hidroelektrība</w:t>
            </w:r>
            <w:r w:rsidRPr="00097491">
              <w:rPr>
                <w:rFonts w:asciiTheme="majorHAnsi" w:hAnsiTheme="majorHAnsi" w:cstheme="majorHAnsi"/>
                <w:color w:val="000000" w:themeColor="text1"/>
                <w:sz w:val="16"/>
                <w:szCs w:val="16"/>
                <w:lang w:val="sv-SE"/>
              </w:rPr>
              <w:br/>
              <w:t>25 % – Vēja ģeneratori</w:t>
            </w:r>
          </w:p>
        </w:tc>
        <w:tc>
          <w:tcPr>
            <w:tcW w:w="1871" w:type="dxa"/>
            <w:shd w:val="clear" w:color="auto" w:fill="B4C6E7" w:themeFill="accent1" w:themeFillTint="66"/>
          </w:tcPr>
          <w:p w14:paraId="546C1B21" w14:textId="77777777" w:rsidR="00812A72" w:rsidRPr="00B3276C"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sv-SE"/>
              </w:rPr>
              <w:t>500 milj. eiro 2025. – 2030. gadā: 83,33 milj. eiro katru gadu.</w:t>
            </w:r>
          </w:p>
        </w:tc>
        <w:tc>
          <w:tcPr>
            <w:tcW w:w="3231" w:type="dxa"/>
            <w:shd w:val="clear" w:color="auto" w:fill="B4C6E7" w:themeFill="accent1" w:themeFillTint="66"/>
          </w:tcPr>
          <w:p w14:paraId="5259AC5C" w14:textId="77777777" w:rsidR="00812A72" w:rsidRPr="00B3276C" w:rsidRDefault="00812A72" w:rsidP="0002297E">
            <w:pPr>
              <w:widowControl/>
              <w:spacing w:before="40" w:after="40" w:line="240" w:lineRule="auto"/>
              <w:rPr>
                <w:rFonts w:asciiTheme="majorHAnsi" w:eastAsia="Times New Roman" w:hAnsiTheme="majorHAnsi" w:cstheme="majorHAnsi"/>
                <w:color w:val="000000"/>
                <w:sz w:val="16"/>
                <w:szCs w:val="16"/>
                <w:lang w:val="lv-LV" w:eastAsia="lv-LV"/>
              </w:rPr>
            </w:pPr>
            <w:r w:rsidRPr="006B7AB1">
              <w:rPr>
                <w:rFonts w:asciiTheme="majorHAnsi" w:hAnsiTheme="majorHAnsi" w:cstheme="majorHAnsi"/>
                <w:b/>
                <w:bCs/>
                <w:sz w:val="16"/>
                <w:szCs w:val="16"/>
                <w:lang w:val="lv-LV"/>
              </w:rPr>
              <w:t>50 %</w:t>
            </w:r>
            <w:r w:rsidRPr="006B7AB1">
              <w:rPr>
                <w:rFonts w:asciiTheme="majorHAnsi" w:hAnsiTheme="majorHAnsi" w:cstheme="majorHAnsi"/>
                <w:sz w:val="16"/>
                <w:szCs w:val="16"/>
                <w:lang w:val="lv-LV"/>
              </w:rPr>
              <w:t xml:space="preserve"> – jaunais ES fondu finansējums. </w:t>
            </w:r>
            <w:r w:rsidRPr="006B7AB1">
              <w:rPr>
                <w:rFonts w:asciiTheme="majorHAnsi" w:hAnsiTheme="majorHAnsi" w:cstheme="majorHAnsi"/>
                <w:sz w:val="16"/>
                <w:szCs w:val="16"/>
                <w:lang w:val="lv-LV"/>
              </w:rPr>
              <w:br/>
            </w:r>
            <w:r w:rsidRPr="006B7AB1">
              <w:rPr>
                <w:rFonts w:asciiTheme="majorHAnsi" w:hAnsiTheme="majorHAnsi" w:cstheme="majorHAnsi"/>
                <w:b/>
                <w:bCs/>
                <w:sz w:val="16"/>
                <w:szCs w:val="16"/>
                <w:lang w:val="lv-LV"/>
              </w:rPr>
              <w:t>25</w:t>
            </w:r>
            <w:r>
              <w:rPr>
                <w:rFonts w:asciiTheme="majorHAnsi" w:hAnsiTheme="majorHAnsi" w:cstheme="majorHAnsi"/>
                <w:b/>
                <w:bCs/>
                <w:sz w:val="16"/>
                <w:szCs w:val="16"/>
                <w:lang w:val="lv-LV"/>
              </w:rPr>
              <w:t xml:space="preserve"> </w:t>
            </w:r>
            <w:r w:rsidRPr="006B7AB1">
              <w:rPr>
                <w:rFonts w:asciiTheme="majorHAnsi" w:hAnsiTheme="majorHAnsi" w:cstheme="majorHAnsi"/>
                <w:b/>
                <w:bCs/>
                <w:sz w:val="16"/>
                <w:szCs w:val="16"/>
                <w:lang w:val="lv-LV"/>
              </w:rPr>
              <w:t>%</w:t>
            </w:r>
            <w:r w:rsidRPr="006B7AB1">
              <w:rPr>
                <w:rFonts w:asciiTheme="majorHAnsi" w:hAnsiTheme="majorHAnsi" w:cstheme="majorHAnsi"/>
                <w:sz w:val="16"/>
                <w:szCs w:val="16"/>
                <w:lang w:val="lv-LV"/>
              </w:rPr>
              <w:t xml:space="preserve"> – nacionālais publiskais finansējums jaunu izdevumu veidā. </w:t>
            </w:r>
            <w:r w:rsidRPr="006B7AB1">
              <w:rPr>
                <w:rFonts w:asciiTheme="majorHAnsi" w:hAnsiTheme="majorHAnsi" w:cstheme="majorHAnsi"/>
                <w:sz w:val="16"/>
                <w:szCs w:val="16"/>
                <w:lang w:val="lv-LV"/>
              </w:rPr>
              <w:br/>
            </w:r>
            <w:r w:rsidRPr="006B7AB1">
              <w:rPr>
                <w:rFonts w:asciiTheme="majorHAnsi" w:hAnsiTheme="majorHAnsi" w:cstheme="majorHAnsi"/>
                <w:b/>
                <w:bCs/>
                <w:sz w:val="16"/>
                <w:szCs w:val="16"/>
                <w:lang w:val="lv-LV"/>
              </w:rPr>
              <w:t>25</w:t>
            </w:r>
            <w:r>
              <w:rPr>
                <w:rFonts w:asciiTheme="majorHAnsi" w:hAnsiTheme="majorHAnsi" w:cstheme="majorHAnsi"/>
                <w:b/>
                <w:bCs/>
                <w:sz w:val="16"/>
                <w:szCs w:val="16"/>
                <w:lang w:val="lv-LV"/>
              </w:rPr>
              <w:t xml:space="preserve"> </w:t>
            </w:r>
            <w:r w:rsidRPr="006B7AB1">
              <w:rPr>
                <w:rFonts w:asciiTheme="majorHAnsi" w:hAnsiTheme="majorHAnsi" w:cstheme="majorHAnsi"/>
                <w:b/>
                <w:bCs/>
                <w:sz w:val="16"/>
                <w:szCs w:val="16"/>
                <w:lang w:val="lv-LV"/>
              </w:rPr>
              <w:t>%</w:t>
            </w:r>
            <w:r w:rsidRPr="006B7AB1">
              <w:rPr>
                <w:rFonts w:asciiTheme="majorHAnsi" w:hAnsiTheme="majorHAnsi" w:cstheme="majorHAnsi"/>
                <w:sz w:val="16"/>
                <w:szCs w:val="16"/>
                <w:lang w:val="lv-LV"/>
              </w:rPr>
              <w:t xml:space="preserve"> – Latvijas privāto uzņēmumu finansējums.</w:t>
            </w:r>
          </w:p>
        </w:tc>
      </w:tr>
      <w:tr w:rsidR="00812A72" w:rsidRPr="00D24F07" w14:paraId="657B0B17" w14:textId="77777777" w:rsidTr="0002297E">
        <w:trPr>
          <w:jc w:val="center"/>
        </w:trPr>
        <w:tc>
          <w:tcPr>
            <w:tcW w:w="2835" w:type="dxa"/>
            <w:shd w:val="clear" w:color="auto" w:fill="D9E2F3" w:themeFill="accent1" w:themeFillTint="33"/>
          </w:tcPr>
          <w:p w14:paraId="1A066BBF" w14:textId="77777777" w:rsidR="00812A72" w:rsidRPr="00B3276C" w:rsidRDefault="00812A72" w:rsidP="0002297E">
            <w:pPr>
              <w:widowControl/>
              <w:spacing w:before="40" w:after="40" w:line="240" w:lineRule="auto"/>
              <w:rPr>
                <w:rFonts w:asciiTheme="majorHAnsi" w:hAnsiTheme="majorHAnsi" w:cstheme="majorHAnsi"/>
                <w:sz w:val="16"/>
                <w:szCs w:val="16"/>
                <w:lang w:val="lv-LV"/>
              </w:rPr>
            </w:pPr>
            <w:r w:rsidRPr="00B3276C">
              <w:rPr>
                <w:rFonts w:asciiTheme="majorHAnsi" w:hAnsiTheme="majorHAnsi" w:cstheme="majorHAnsi"/>
                <w:sz w:val="16"/>
                <w:szCs w:val="16"/>
              </w:rPr>
              <w:t>3.1.3.12. CSAS pietiekami plašas elektrifikācija.</w:t>
            </w:r>
          </w:p>
        </w:tc>
        <w:tc>
          <w:tcPr>
            <w:tcW w:w="1701" w:type="dxa"/>
            <w:shd w:val="clear" w:color="auto" w:fill="D9E2F3" w:themeFill="accent1" w:themeFillTint="33"/>
          </w:tcPr>
          <w:p w14:paraId="03603131" w14:textId="77777777" w:rsidR="00812A72" w:rsidRPr="006B7AB1" w:rsidRDefault="00812A72" w:rsidP="0002297E">
            <w:pPr>
              <w:widowControl/>
              <w:spacing w:before="40" w:after="40" w:line="240" w:lineRule="auto"/>
              <w:rPr>
                <w:rFonts w:asciiTheme="majorHAnsi" w:hAnsiTheme="majorHAnsi" w:cstheme="majorHAnsi"/>
                <w:color w:val="000000" w:themeColor="text1"/>
                <w:sz w:val="16"/>
                <w:szCs w:val="16"/>
                <w:lang w:val="lv-LV"/>
              </w:rPr>
            </w:pPr>
            <w:r w:rsidRPr="00097491">
              <w:rPr>
                <w:rFonts w:asciiTheme="majorHAnsi" w:hAnsiTheme="majorHAnsi" w:cstheme="majorHAnsi"/>
                <w:color w:val="000000" w:themeColor="text1"/>
                <w:sz w:val="16"/>
                <w:szCs w:val="16"/>
                <w:lang w:val="sv-SE"/>
              </w:rPr>
              <w:t>25 % – Biomasa</w:t>
            </w:r>
            <w:r w:rsidRPr="00097491">
              <w:rPr>
                <w:rFonts w:asciiTheme="majorHAnsi" w:hAnsiTheme="majorHAnsi" w:cstheme="majorHAnsi"/>
                <w:color w:val="000000" w:themeColor="text1"/>
                <w:sz w:val="16"/>
                <w:szCs w:val="16"/>
                <w:lang w:val="sv-SE"/>
              </w:rPr>
              <w:br/>
              <w:t>25 % – Saules paneļi</w:t>
            </w:r>
            <w:r w:rsidRPr="00097491">
              <w:rPr>
                <w:rFonts w:asciiTheme="majorHAnsi" w:hAnsiTheme="majorHAnsi" w:cstheme="majorHAnsi"/>
                <w:color w:val="000000" w:themeColor="text1"/>
                <w:sz w:val="16"/>
                <w:szCs w:val="16"/>
                <w:lang w:val="sv-SE"/>
              </w:rPr>
              <w:br/>
              <w:t>25 % – Hidroelektrība</w:t>
            </w:r>
            <w:r w:rsidRPr="00097491">
              <w:rPr>
                <w:rFonts w:asciiTheme="majorHAnsi" w:hAnsiTheme="majorHAnsi" w:cstheme="majorHAnsi"/>
                <w:color w:val="000000" w:themeColor="text1"/>
                <w:sz w:val="16"/>
                <w:szCs w:val="16"/>
                <w:lang w:val="sv-SE"/>
              </w:rPr>
              <w:br/>
              <w:t>25 % – Vēja ģeneratori</w:t>
            </w:r>
          </w:p>
        </w:tc>
        <w:tc>
          <w:tcPr>
            <w:tcW w:w="1871" w:type="dxa"/>
            <w:shd w:val="clear" w:color="auto" w:fill="D9E2F3" w:themeFill="accent1" w:themeFillTint="33"/>
          </w:tcPr>
          <w:p w14:paraId="1C4BDE20" w14:textId="77777777" w:rsidR="00812A72" w:rsidRPr="00B3276C"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sv-SE"/>
              </w:rPr>
              <w:t>200 milj. eiro 2030. – 2040. gadā: 18,18 milj. eiro katru gadu.</w:t>
            </w:r>
          </w:p>
        </w:tc>
        <w:tc>
          <w:tcPr>
            <w:tcW w:w="3231" w:type="dxa"/>
            <w:shd w:val="clear" w:color="auto" w:fill="D9E2F3" w:themeFill="accent1" w:themeFillTint="33"/>
          </w:tcPr>
          <w:p w14:paraId="25952361" w14:textId="77777777" w:rsidR="00812A72" w:rsidRPr="00B3276C" w:rsidRDefault="00812A72" w:rsidP="0002297E">
            <w:pPr>
              <w:widowControl/>
              <w:spacing w:before="40" w:after="40" w:line="240" w:lineRule="auto"/>
              <w:rPr>
                <w:rFonts w:asciiTheme="majorHAnsi" w:eastAsia="Times New Roman" w:hAnsiTheme="majorHAnsi" w:cstheme="majorHAnsi"/>
                <w:color w:val="000000"/>
                <w:sz w:val="16"/>
                <w:szCs w:val="16"/>
                <w:lang w:val="lv-LV" w:eastAsia="lv-LV"/>
              </w:rPr>
            </w:pPr>
            <w:r w:rsidRPr="00097491">
              <w:rPr>
                <w:rFonts w:asciiTheme="majorHAnsi" w:hAnsiTheme="majorHAnsi" w:cstheme="majorHAnsi"/>
                <w:b/>
                <w:bCs/>
                <w:sz w:val="16"/>
                <w:szCs w:val="16"/>
                <w:lang w:val="lv-LV"/>
              </w:rPr>
              <w:t>67 %</w:t>
            </w:r>
            <w:r w:rsidRPr="00097491">
              <w:rPr>
                <w:rFonts w:asciiTheme="majorHAnsi" w:hAnsiTheme="majorHAnsi" w:cstheme="majorHAnsi"/>
                <w:sz w:val="16"/>
                <w:szCs w:val="16"/>
                <w:lang w:val="lv-LV"/>
              </w:rPr>
              <w:t xml:space="preserve"> </w:t>
            </w:r>
            <w:r w:rsidRPr="006B7AB1">
              <w:rPr>
                <w:rFonts w:asciiTheme="majorHAnsi" w:hAnsiTheme="majorHAnsi" w:cstheme="majorHAnsi"/>
                <w:sz w:val="16"/>
                <w:szCs w:val="16"/>
                <w:lang w:val="lv-LV"/>
              </w:rPr>
              <w:t>–</w:t>
            </w:r>
            <w:r w:rsidRPr="00097491">
              <w:rPr>
                <w:rFonts w:asciiTheme="majorHAnsi" w:hAnsiTheme="majorHAnsi" w:cstheme="majorHAnsi"/>
                <w:sz w:val="16"/>
                <w:szCs w:val="16"/>
                <w:lang w:val="lv-LV"/>
              </w:rPr>
              <w:t xml:space="preserve"> jaunais ES fondu finansējums.</w:t>
            </w:r>
            <w:r w:rsidRPr="00097491">
              <w:rPr>
                <w:rFonts w:asciiTheme="majorHAnsi" w:hAnsiTheme="majorHAnsi" w:cstheme="majorHAnsi"/>
                <w:sz w:val="16"/>
                <w:szCs w:val="16"/>
                <w:lang w:val="lv-LV"/>
              </w:rPr>
              <w:br/>
            </w:r>
            <w:r w:rsidRPr="00097491">
              <w:rPr>
                <w:rFonts w:asciiTheme="majorHAnsi" w:hAnsiTheme="majorHAnsi" w:cstheme="majorHAnsi"/>
                <w:b/>
                <w:bCs/>
                <w:sz w:val="16"/>
                <w:szCs w:val="16"/>
                <w:lang w:val="lv-LV"/>
              </w:rPr>
              <w:t>33 %</w:t>
            </w:r>
            <w:r w:rsidRPr="00097491">
              <w:rPr>
                <w:rFonts w:asciiTheme="majorHAnsi" w:hAnsiTheme="majorHAnsi" w:cstheme="majorHAnsi"/>
                <w:sz w:val="16"/>
                <w:szCs w:val="16"/>
                <w:lang w:val="lv-LV"/>
              </w:rPr>
              <w:t xml:space="preserve"> </w:t>
            </w:r>
            <w:r w:rsidRPr="006B7AB1">
              <w:rPr>
                <w:rFonts w:asciiTheme="majorHAnsi" w:hAnsiTheme="majorHAnsi" w:cstheme="majorHAnsi"/>
                <w:sz w:val="16"/>
                <w:szCs w:val="16"/>
                <w:lang w:val="lv-LV"/>
              </w:rPr>
              <w:t>–</w:t>
            </w:r>
            <w:r w:rsidRPr="00097491">
              <w:rPr>
                <w:rFonts w:asciiTheme="majorHAnsi" w:hAnsiTheme="majorHAnsi" w:cstheme="majorHAnsi"/>
                <w:sz w:val="16"/>
                <w:szCs w:val="16"/>
                <w:lang w:val="lv-LV"/>
              </w:rPr>
              <w:t xml:space="preserve"> Latvijas privāto uzņēmumu finansējums.</w:t>
            </w:r>
          </w:p>
        </w:tc>
      </w:tr>
      <w:tr w:rsidR="00812A72" w:rsidRPr="00D24F07" w14:paraId="752D843B" w14:textId="77777777" w:rsidTr="0002297E">
        <w:trPr>
          <w:jc w:val="center"/>
        </w:trPr>
        <w:tc>
          <w:tcPr>
            <w:tcW w:w="2835" w:type="dxa"/>
            <w:shd w:val="clear" w:color="auto" w:fill="B4C6E7" w:themeFill="accent1" w:themeFillTint="66"/>
          </w:tcPr>
          <w:p w14:paraId="3C655CCE" w14:textId="77777777" w:rsidR="00812A72" w:rsidRPr="00B3276C"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sv-SE"/>
              </w:rPr>
              <w:t>3.1.3.13. Elektroenerģijas pārvades un sadales sistēmas infrastruktūras CSAS elektrificēšanai pilnveidošana.</w:t>
            </w:r>
          </w:p>
        </w:tc>
        <w:tc>
          <w:tcPr>
            <w:tcW w:w="1701" w:type="dxa"/>
            <w:shd w:val="clear" w:color="auto" w:fill="B4C6E7" w:themeFill="accent1" w:themeFillTint="66"/>
          </w:tcPr>
          <w:p w14:paraId="17A61072" w14:textId="77777777" w:rsidR="00812A72" w:rsidRPr="006B7AB1" w:rsidRDefault="00812A72" w:rsidP="0002297E">
            <w:pPr>
              <w:widowControl/>
              <w:spacing w:before="40" w:after="40" w:line="240" w:lineRule="auto"/>
              <w:rPr>
                <w:rFonts w:asciiTheme="majorHAnsi" w:hAnsiTheme="majorHAnsi" w:cstheme="majorHAnsi"/>
                <w:color w:val="000000" w:themeColor="text1"/>
                <w:sz w:val="16"/>
                <w:szCs w:val="16"/>
                <w:lang w:val="lv-LV"/>
              </w:rPr>
            </w:pPr>
            <w:r w:rsidRPr="00097491">
              <w:rPr>
                <w:rFonts w:asciiTheme="majorHAnsi" w:hAnsiTheme="majorHAnsi" w:cstheme="majorHAnsi"/>
                <w:color w:val="000000" w:themeColor="text1"/>
                <w:sz w:val="16"/>
                <w:szCs w:val="16"/>
                <w:lang w:val="sv-SE"/>
              </w:rPr>
              <w:t>25 % – Biomasa</w:t>
            </w:r>
            <w:r w:rsidRPr="00097491">
              <w:rPr>
                <w:rFonts w:asciiTheme="majorHAnsi" w:hAnsiTheme="majorHAnsi" w:cstheme="majorHAnsi"/>
                <w:color w:val="000000" w:themeColor="text1"/>
                <w:sz w:val="16"/>
                <w:szCs w:val="16"/>
                <w:lang w:val="sv-SE"/>
              </w:rPr>
              <w:br/>
              <w:t>25 % – Saules paneļi</w:t>
            </w:r>
            <w:r w:rsidRPr="00097491">
              <w:rPr>
                <w:rFonts w:asciiTheme="majorHAnsi" w:hAnsiTheme="majorHAnsi" w:cstheme="majorHAnsi"/>
                <w:color w:val="000000" w:themeColor="text1"/>
                <w:sz w:val="16"/>
                <w:szCs w:val="16"/>
                <w:lang w:val="sv-SE"/>
              </w:rPr>
              <w:br/>
              <w:t>25 % – Hidroelektrība</w:t>
            </w:r>
            <w:r w:rsidRPr="00097491">
              <w:rPr>
                <w:rFonts w:asciiTheme="majorHAnsi" w:hAnsiTheme="majorHAnsi" w:cstheme="majorHAnsi"/>
                <w:color w:val="000000" w:themeColor="text1"/>
                <w:sz w:val="16"/>
                <w:szCs w:val="16"/>
                <w:lang w:val="sv-SE"/>
              </w:rPr>
              <w:br/>
              <w:t>25 % – Vēja ģeneratori</w:t>
            </w:r>
          </w:p>
        </w:tc>
        <w:tc>
          <w:tcPr>
            <w:tcW w:w="1871" w:type="dxa"/>
            <w:shd w:val="clear" w:color="auto" w:fill="B4C6E7" w:themeFill="accent1" w:themeFillTint="66"/>
          </w:tcPr>
          <w:p w14:paraId="58D1B570" w14:textId="77777777" w:rsidR="00812A72" w:rsidRPr="00B3276C"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sv-SE"/>
              </w:rPr>
              <w:t>20 milj. eiro 2029.-2040. gadā: 1,66 milj. eiro katru gadu.</w:t>
            </w:r>
          </w:p>
        </w:tc>
        <w:tc>
          <w:tcPr>
            <w:tcW w:w="3231" w:type="dxa"/>
            <w:shd w:val="clear" w:color="auto" w:fill="B4C6E7" w:themeFill="accent1" w:themeFillTint="66"/>
          </w:tcPr>
          <w:p w14:paraId="002A633B" w14:textId="77777777" w:rsidR="00812A72" w:rsidRPr="00B3276C" w:rsidRDefault="00812A72" w:rsidP="0002297E">
            <w:pPr>
              <w:widowControl/>
              <w:spacing w:before="40" w:after="40" w:line="240" w:lineRule="auto"/>
              <w:rPr>
                <w:rFonts w:asciiTheme="majorHAnsi" w:eastAsia="Times New Roman" w:hAnsiTheme="majorHAnsi" w:cstheme="majorHAnsi"/>
                <w:color w:val="000000"/>
                <w:sz w:val="16"/>
                <w:szCs w:val="16"/>
                <w:lang w:val="lv-LV" w:eastAsia="lv-LV"/>
              </w:rPr>
            </w:pPr>
            <w:r w:rsidRPr="00097491">
              <w:rPr>
                <w:rFonts w:asciiTheme="majorHAnsi" w:hAnsiTheme="majorHAnsi" w:cstheme="majorHAnsi"/>
                <w:b/>
                <w:bCs/>
                <w:sz w:val="16"/>
                <w:szCs w:val="16"/>
                <w:lang w:val="lv-LV"/>
              </w:rPr>
              <w:t>67 %</w:t>
            </w:r>
            <w:r w:rsidRPr="00097491">
              <w:rPr>
                <w:rFonts w:asciiTheme="majorHAnsi" w:hAnsiTheme="majorHAnsi" w:cstheme="majorHAnsi"/>
                <w:sz w:val="16"/>
                <w:szCs w:val="16"/>
                <w:lang w:val="lv-LV"/>
              </w:rPr>
              <w:t xml:space="preserve"> </w:t>
            </w:r>
            <w:r w:rsidRPr="006B7AB1">
              <w:rPr>
                <w:rFonts w:asciiTheme="majorHAnsi" w:hAnsiTheme="majorHAnsi" w:cstheme="majorHAnsi"/>
                <w:sz w:val="16"/>
                <w:szCs w:val="16"/>
                <w:lang w:val="lv-LV"/>
              </w:rPr>
              <w:t>–</w:t>
            </w:r>
            <w:r w:rsidRPr="00097491">
              <w:rPr>
                <w:rFonts w:asciiTheme="majorHAnsi" w:hAnsiTheme="majorHAnsi" w:cstheme="majorHAnsi"/>
                <w:sz w:val="16"/>
                <w:szCs w:val="16"/>
                <w:lang w:val="lv-LV"/>
              </w:rPr>
              <w:t xml:space="preserve"> jaunais ES fondu finansējums.</w:t>
            </w:r>
            <w:r w:rsidRPr="00097491">
              <w:rPr>
                <w:rFonts w:asciiTheme="majorHAnsi" w:hAnsiTheme="majorHAnsi" w:cstheme="majorHAnsi"/>
                <w:sz w:val="16"/>
                <w:szCs w:val="16"/>
                <w:lang w:val="lv-LV"/>
              </w:rPr>
              <w:br/>
            </w:r>
            <w:r w:rsidRPr="00097491">
              <w:rPr>
                <w:rFonts w:asciiTheme="majorHAnsi" w:hAnsiTheme="majorHAnsi" w:cstheme="majorHAnsi"/>
                <w:b/>
                <w:bCs/>
                <w:sz w:val="16"/>
                <w:szCs w:val="16"/>
                <w:lang w:val="lv-LV"/>
              </w:rPr>
              <w:t>33 %</w:t>
            </w:r>
            <w:r w:rsidRPr="00097491">
              <w:rPr>
                <w:rFonts w:asciiTheme="majorHAnsi" w:hAnsiTheme="majorHAnsi" w:cstheme="majorHAnsi"/>
                <w:sz w:val="16"/>
                <w:szCs w:val="16"/>
                <w:lang w:val="lv-LV"/>
              </w:rPr>
              <w:t xml:space="preserve"> </w:t>
            </w:r>
            <w:r w:rsidRPr="006B7AB1">
              <w:rPr>
                <w:rFonts w:asciiTheme="majorHAnsi" w:hAnsiTheme="majorHAnsi" w:cstheme="majorHAnsi"/>
                <w:sz w:val="16"/>
                <w:szCs w:val="16"/>
                <w:lang w:val="lv-LV"/>
              </w:rPr>
              <w:t>–</w:t>
            </w:r>
            <w:r w:rsidRPr="00097491">
              <w:rPr>
                <w:rFonts w:asciiTheme="majorHAnsi" w:hAnsiTheme="majorHAnsi" w:cstheme="majorHAnsi"/>
                <w:sz w:val="16"/>
                <w:szCs w:val="16"/>
                <w:lang w:val="lv-LV"/>
              </w:rPr>
              <w:t xml:space="preserve"> Latvijas privāto uzņēmumu finansējums.</w:t>
            </w:r>
          </w:p>
        </w:tc>
      </w:tr>
      <w:tr w:rsidR="00812A72" w:rsidRPr="005F4D7C" w14:paraId="687350D5" w14:textId="77777777" w:rsidTr="0002297E">
        <w:trPr>
          <w:jc w:val="center"/>
        </w:trPr>
        <w:tc>
          <w:tcPr>
            <w:tcW w:w="2835" w:type="dxa"/>
            <w:shd w:val="clear" w:color="auto" w:fill="D9E2F3" w:themeFill="accent1" w:themeFillTint="33"/>
          </w:tcPr>
          <w:p w14:paraId="6E36B54E" w14:textId="77777777" w:rsidR="00812A72" w:rsidRPr="00B3276C"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lv-LV"/>
              </w:rPr>
              <w:t xml:space="preserve">3.1.3.14. AE ražošanas jaudu palielināšana un to energoefektivitātes uzlabošana individuālajam pašpatēriņam. </w:t>
            </w:r>
          </w:p>
        </w:tc>
        <w:tc>
          <w:tcPr>
            <w:tcW w:w="1701" w:type="dxa"/>
            <w:shd w:val="clear" w:color="auto" w:fill="D9E2F3" w:themeFill="accent1" w:themeFillTint="33"/>
          </w:tcPr>
          <w:p w14:paraId="43D672E3" w14:textId="77777777" w:rsidR="00812A72" w:rsidRPr="006B7AB1" w:rsidRDefault="00812A72" w:rsidP="0002297E">
            <w:pPr>
              <w:widowControl/>
              <w:spacing w:before="40" w:after="40" w:line="240" w:lineRule="auto"/>
              <w:rPr>
                <w:rFonts w:asciiTheme="majorHAnsi" w:hAnsiTheme="majorHAnsi" w:cstheme="majorHAnsi"/>
                <w:color w:val="000000" w:themeColor="text1"/>
                <w:sz w:val="16"/>
                <w:szCs w:val="16"/>
                <w:lang w:val="lv-LV"/>
              </w:rPr>
            </w:pPr>
            <w:r w:rsidRPr="006B7AB1">
              <w:rPr>
                <w:rFonts w:asciiTheme="majorHAnsi" w:hAnsiTheme="majorHAnsi" w:cstheme="majorHAnsi"/>
                <w:color w:val="000000" w:themeColor="text1"/>
                <w:sz w:val="16"/>
                <w:szCs w:val="16"/>
              </w:rPr>
              <w:t>50</w:t>
            </w:r>
            <w:r>
              <w:rPr>
                <w:rFonts w:asciiTheme="majorHAnsi" w:hAnsiTheme="majorHAnsi" w:cstheme="majorHAnsi"/>
                <w:color w:val="000000" w:themeColor="text1"/>
                <w:sz w:val="16"/>
                <w:szCs w:val="16"/>
              </w:rPr>
              <w:t xml:space="preserve"> </w:t>
            </w:r>
            <w:r w:rsidRPr="006B7AB1">
              <w:rPr>
                <w:rFonts w:asciiTheme="majorHAnsi" w:hAnsiTheme="majorHAnsi" w:cstheme="majorHAnsi"/>
                <w:color w:val="000000" w:themeColor="text1"/>
                <w:sz w:val="16"/>
                <w:szCs w:val="16"/>
              </w:rPr>
              <w:t>%</w:t>
            </w:r>
            <w:r>
              <w:rPr>
                <w:rFonts w:asciiTheme="majorHAnsi" w:hAnsiTheme="majorHAnsi" w:cstheme="majorHAnsi"/>
                <w:color w:val="000000" w:themeColor="text1"/>
                <w:sz w:val="16"/>
                <w:szCs w:val="16"/>
              </w:rPr>
              <w:t xml:space="preserve"> – </w:t>
            </w:r>
            <w:r w:rsidRPr="006B7AB1">
              <w:rPr>
                <w:rFonts w:asciiTheme="majorHAnsi" w:hAnsiTheme="majorHAnsi" w:cstheme="majorHAnsi"/>
                <w:color w:val="000000" w:themeColor="text1"/>
                <w:sz w:val="16"/>
                <w:szCs w:val="16"/>
              </w:rPr>
              <w:t xml:space="preserve">Saules paneļi, </w:t>
            </w:r>
            <w:r w:rsidRPr="006B7AB1">
              <w:rPr>
                <w:rFonts w:asciiTheme="majorHAnsi" w:hAnsiTheme="majorHAnsi" w:cstheme="majorHAnsi"/>
                <w:color w:val="000000" w:themeColor="text1"/>
                <w:sz w:val="16"/>
                <w:szCs w:val="16"/>
              </w:rPr>
              <w:br/>
              <w:t>50</w:t>
            </w:r>
            <w:r>
              <w:rPr>
                <w:rFonts w:asciiTheme="majorHAnsi" w:hAnsiTheme="majorHAnsi" w:cstheme="majorHAnsi"/>
                <w:color w:val="000000" w:themeColor="text1"/>
                <w:sz w:val="16"/>
                <w:szCs w:val="16"/>
              </w:rPr>
              <w:t xml:space="preserve"> </w:t>
            </w:r>
            <w:r w:rsidRPr="006B7AB1">
              <w:rPr>
                <w:rFonts w:asciiTheme="majorHAnsi" w:hAnsiTheme="majorHAnsi" w:cstheme="majorHAnsi"/>
                <w:color w:val="000000" w:themeColor="text1"/>
                <w:sz w:val="16"/>
                <w:szCs w:val="16"/>
              </w:rPr>
              <w:t>%</w:t>
            </w:r>
            <w:r>
              <w:rPr>
                <w:rFonts w:asciiTheme="majorHAnsi" w:hAnsiTheme="majorHAnsi" w:cstheme="majorHAnsi"/>
                <w:color w:val="000000" w:themeColor="text1"/>
                <w:sz w:val="16"/>
                <w:szCs w:val="16"/>
              </w:rPr>
              <w:t xml:space="preserve"> – </w:t>
            </w:r>
            <w:r w:rsidRPr="006B7AB1">
              <w:rPr>
                <w:rFonts w:asciiTheme="majorHAnsi" w:hAnsiTheme="majorHAnsi" w:cstheme="majorHAnsi"/>
                <w:color w:val="000000" w:themeColor="text1"/>
                <w:sz w:val="16"/>
                <w:szCs w:val="16"/>
              </w:rPr>
              <w:t>Biomasa</w:t>
            </w:r>
          </w:p>
        </w:tc>
        <w:tc>
          <w:tcPr>
            <w:tcW w:w="1871" w:type="dxa"/>
            <w:shd w:val="clear" w:color="auto" w:fill="D9E2F3" w:themeFill="accent1" w:themeFillTint="33"/>
          </w:tcPr>
          <w:p w14:paraId="15024A8E" w14:textId="77777777" w:rsidR="00812A72" w:rsidRPr="00B3276C" w:rsidRDefault="00812A72" w:rsidP="0002297E">
            <w:pPr>
              <w:widowControl/>
              <w:spacing w:before="40" w:after="40" w:line="240" w:lineRule="auto"/>
              <w:rPr>
                <w:rFonts w:asciiTheme="majorHAnsi" w:hAnsiTheme="majorHAnsi" w:cstheme="majorHAnsi"/>
                <w:sz w:val="16"/>
                <w:szCs w:val="16"/>
                <w:lang w:val="lv-LV"/>
              </w:rPr>
            </w:pPr>
            <w:r w:rsidRPr="00537DE7">
              <w:rPr>
                <w:rFonts w:asciiTheme="majorHAnsi" w:hAnsiTheme="majorHAnsi" w:cstheme="majorHAnsi"/>
                <w:sz w:val="16"/>
                <w:szCs w:val="16"/>
                <w:lang w:val="lv-LV"/>
              </w:rPr>
              <w:t>267 milj.eiro 2025.</w:t>
            </w:r>
            <w:r>
              <w:rPr>
                <w:rFonts w:asciiTheme="majorHAnsi" w:hAnsiTheme="majorHAnsi" w:cstheme="majorHAnsi"/>
                <w:sz w:val="16"/>
                <w:szCs w:val="16"/>
                <w:lang w:val="lv-LV"/>
              </w:rPr>
              <w:t xml:space="preserve"> – </w:t>
            </w:r>
            <w:r w:rsidRPr="00537DE7">
              <w:rPr>
                <w:rFonts w:asciiTheme="majorHAnsi" w:hAnsiTheme="majorHAnsi" w:cstheme="majorHAnsi"/>
                <w:sz w:val="16"/>
                <w:szCs w:val="16"/>
                <w:lang w:val="lv-LV"/>
              </w:rPr>
              <w:t>2030. gadā: 44,50 milj. eiro katru gadu.</w:t>
            </w:r>
          </w:p>
        </w:tc>
        <w:tc>
          <w:tcPr>
            <w:tcW w:w="3231" w:type="dxa"/>
            <w:shd w:val="clear" w:color="auto" w:fill="D9E2F3" w:themeFill="accent1" w:themeFillTint="33"/>
          </w:tcPr>
          <w:p w14:paraId="13F2E622" w14:textId="77777777" w:rsidR="00812A72" w:rsidRPr="00B3276C" w:rsidRDefault="00812A72" w:rsidP="0002297E">
            <w:pPr>
              <w:widowControl/>
              <w:spacing w:before="40" w:after="40" w:line="240" w:lineRule="auto"/>
              <w:rPr>
                <w:rFonts w:asciiTheme="majorHAnsi" w:eastAsia="Times New Roman" w:hAnsiTheme="majorHAnsi" w:cstheme="majorHAnsi"/>
                <w:color w:val="000000"/>
                <w:sz w:val="16"/>
                <w:szCs w:val="16"/>
                <w:lang w:val="lv-LV" w:eastAsia="lv-LV"/>
              </w:rPr>
            </w:pPr>
            <w:r w:rsidRPr="00537DE7">
              <w:rPr>
                <w:rFonts w:asciiTheme="majorHAnsi" w:hAnsiTheme="majorHAnsi" w:cstheme="majorHAnsi"/>
                <w:b/>
                <w:bCs/>
                <w:sz w:val="16"/>
                <w:szCs w:val="16"/>
                <w:lang w:val="lv-LV"/>
              </w:rPr>
              <w:t>50 %</w:t>
            </w:r>
            <w:r w:rsidRPr="00537DE7">
              <w:rPr>
                <w:rFonts w:asciiTheme="majorHAnsi" w:hAnsiTheme="majorHAnsi" w:cstheme="majorHAnsi"/>
                <w:sz w:val="16"/>
                <w:szCs w:val="16"/>
                <w:lang w:val="lv-LV"/>
              </w:rPr>
              <w:t xml:space="preserve"> </w:t>
            </w:r>
            <w:r w:rsidRPr="006B7AB1">
              <w:rPr>
                <w:rFonts w:asciiTheme="majorHAnsi" w:hAnsiTheme="majorHAnsi" w:cstheme="majorHAnsi"/>
                <w:sz w:val="16"/>
                <w:szCs w:val="16"/>
                <w:lang w:val="lv-LV"/>
              </w:rPr>
              <w:t>–</w:t>
            </w:r>
            <w:r w:rsidRPr="00537DE7">
              <w:rPr>
                <w:rFonts w:asciiTheme="majorHAnsi" w:hAnsiTheme="majorHAnsi" w:cstheme="majorHAnsi"/>
                <w:sz w:val="16"/>
                <w:szCs w:val="16"/>
                <w:lang w:val="lv-LV"/>
              </w:rPr>
              <w:t xml:space="preserve"> jaunais ES fondu finansējums. </w:t>
            </w:r>
            <w:r w:rsidRPr="00537DE7">
              <w:rPr>
                <w:rFonts w:asciiTheme="majorHAnsi" w:hAnsiTheme="majorHAnsi" w:cstheme="majorHAnsi"/>
                <w:sz w:val="16"/>
                <w:szCs w:val="16"/>
                <w:lang w:val="lv-LV"/>
              </w:rPr>
              <w:br/>
            </w:r>
            <w:r w:rsidRPr="00537DE7">
              <w:rPr>
                <w:rFonts w:asciiTheme="majorHAnsi" w:hAnsiTheme="majorHAnsi" w:cstheme="majorHAnsi"/>
                <w:b/>
                <w:bCs/>
                <w:sz w:val="16"/>
                <w:szCs w:val="16"/>
                <w:lang w:val="lv-LV"/>
              </w:rPr>
              <w:t>50 %</w:t>
            </w:r>
            <w:r w:rsidRPr="00537DE7">
              <w:rPr>
                <w:rFonts w:asciiTheme="majorHAnsi" w:hAnsiTheme="majorHAnsi" w:cstheme="majorHAnsi"/>
                <w:sz w:val="16"/>
                <w:szCs w:val="16"/>
                <w:lang w:val="lv-LV"/>
              </w:rPr>
              <w:t xml:space="preserve"> </w:t>
            </w:r>
            <w:r w:rsidRPr="006B7AB1">
              <w:rPr>
                <w:rFonts w:asciiTheme="majorHAnsi" w:hAnsiTheme="majorHAnsi" w:cstheme="majorHAnsi"/>
                <w:sz w:val="16"/>
                <w:szCs w:val="16"/>
                <w:lang w:val="lv-LV"/>
              </w:rPr>
              <w:t>–</w:t>
            </w:r>
            <w:r w:rsidRPr="00537DE7">
              <w:rPr>
                <w:rFonts w:asciiTheme="majorHAnsi" w:hAnsiTheme="majorHAnsi" w:cstheme="majorHAnsi"/>
                <w:sz w:val="16"/>
                <w:szCs w:val="16"/>
                <w:lang w:val="lv-LV"/>
              </w:rPr>
              <w:t xml:space="preserve"> m</w:t>
            </w:r>
            <w:r w:rsidRPr="00B3276C">
              <w:rPr>
                <w:rFonts w:asciiTheme="majorHAnsi" w:hAnsiTheme="majorHAnsi" w:cstheme="majorHAnsi"/>
                <w:sz w:val="16"/>
                <w:szCs w:val="16"/>
                <w:lang w:val="lv-LV"/>
              </w:rPr>
              <w:t xml:space="preserve">ājsaimnfinansējums, kas aizstāv citus izdevumus. </w:t>
            </w:r>
          </w:p>
        </w:tc>
      </w:tr>
      <w:tr w:rsidR="00812A72" w:rsidRPr="00D24F07" w14:paraId="38467193" w14:textId="77777777" w:rsidTr="0002297E">
        <w:trPr>
          <w:jc w:val="center"/>
        </w:trPr>
        <w:tc>
          <w:tcPr>
            <w:tcW w:w="2835" w:type="dxa"/>
            <w:shd w:val="clear" w:color="auto" w:fill="B4C6E7" w:themeFill="accent1" w:themeFillTint="66"/>
          </w:tcPr>
          <w:p w14:paraId="2AF0FB35" w14:textId="77777777" w:rsidR="00812A72" w:rsidRPr="00B3276C"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lv-LV"/>
              </w:rPr>
              <w:t>3.1.3.15. AE ražošanas jaudu palielināšanas un to energoefektivitātes uzlabošanas komersantos un pašvaldībās.</w:t>
            </w:r>
          </w:p>
        </w:tc>
        <w:tc>
          <w:tcPr>
            <w:tcW w:w="1701" w:type="dxa"/>
            <w:shd w:val="clear" w:color="auto" w:fill="B4C6E7" w:themeFill="accent1" w:themeFillTint="66"/>
          </w:tcPr>
          <w:p w14:paraId="79E1F572" w14:textId="77777777" w:rsidR="00812A72" w:rsidRPr="006B7AB1" w:rsidRDefault="00812A72" w:rsidP="0002297E">
            <w:pPr>
              <w:widowControl/>
              <w:spacing w:before="40" w:after="40" w:line="240" w:lineRule="auto"/>
              <w:rPr>
                <w:rFonts w:asciiTheme="majorHAnsi" w:hAnsiTheme="majorHAnsi" w:cstheme="majorHAnsi"/>
                <w:color w:val="000000" w:themeColor="text1"/>
                <w:sz w:val="16"/>
                <w:szCs w:val="16"/>
                <w:lang w:val="lv-LV"/>
              </w:rPr>
            </w:pPr>
            <w:r w:rsidRPr="00097491">
              <w:rPr>
                <w:rFonts w:asciiTheme="majorHAnsi" w:hAnsiTheme="majorHAnsi" w:cstheme="majorHAnsi"/>
                <w:color w:val="000000" w:themeColor="text1"/>
                <w:sz w:val="16"/>
                <w:szCs w:val="16"/>
                <w:lang w:val="sv-SE"/>
              </w:rPr>
              <w:t>25 % – Biomasa</w:t>
            </w:r>
            <w:r w:rsidRPr="00097491">
              <w:rPr>
                <w:rFonts w:asciiTheme="majorHAnsi" w:hAnsiTheme="majorHAnsi" w:cstheme="majorHAnsi"/>
                <w:color w:val="000000" w:themeColor="text1"/>
                <w:sz w:val="16"/>
                <w:szCs w:val="16"/>
                <w:lang w:val="sv-SE"/>
              </w:rPr>
              <w:br/>
              <w:t>25 % – Saules paneļi</w:t>
            </w:r>
            <w:r w:rsidRPr="00097491">
              <w:rPr>
                <w:rFonts w:asciiTheme="majorHAnsi" w:hAnsiTheme="majorHAnsi" w:cstheme="majorHAnsi"/>
                <w:color w:val="000000" w:themeColor="text1"/>
                <w:sz w:val="16"/>
                <w:szCs w:val="16"/>
                <w:lang w:val="sv-SE"/>
              </w:rPr>
              <w:br/>
              <w:t>25 % – Hidroelektrība</w:t>
            </w:r>
            <w:r w:rsidRPr="00097491">
              <w:rPr>
                <w:rFonts w:asciiTheme="majorHAnsi" w:hAnsiTheme="majorHAnsi" w:cstheme="majorHAnsi"/>
                <w:color w:val="000000" w:themeColor="text1"/>
                <w:sz w:val="16"/>
                <w:szCs w:val="16"/>
                <w:lang w:val="sv-SE"/>
              </w:rPr>
              <w:br/>
              <w:t>25 % – Vēja ģeneratori</w:t>
            </w:r>
          </w:p>
        </w:tc>
        <w:tc>
          <w:tcPr>
            <w:tcW w:w="1871" w:type="dxa"/>
            <w:shd w:val="clear" w:color="auto" w:fill="B4C6E7" w:themeFill="accent1" w:themeFillTint="66"/>
          </w:tcPr>
          <w:p w14:paraId="6C920468" w14:textId="77777777" w:rsidR="00812A72" w:rsidRPr="00B3276C" w:rsidRDefault="00812A72" w:rsidP="0002297E">
            <w:pPr>
              <w:widowControl/>
              <w:spacing w:before="40" w:after="40" w:line="240" w:lineRule="auto"/>
              <w:rPr>
                <w:rFonts w:asciiTheme="majorHAnsi" w:hAnsiTheme="majorHAnsi" w:cstheme="majorHAnsi"/>
                <w:sz w:val="16"/>
                <w:szCs w:val="16"/>
                <w:lang w:val="lv-LV"/>
              </w:rPr>
            </w:pPr>
            <w:r w:rsidRPr="00537DE7">
              <w:rPr>
                <w:rFonts w:asciiTheme="majorHAnsi" w:hAnsiTheme="majorHAnsi" w:cstheme="majorHAnsi"/>
                <w:sz w:val="16"/>
                <w:szCs w:val="16"/>
                <w:lang w:val="lv-LV"/>
              </w:rPr>
              <w:t>300 milj.eiro 2025.</w:t>
            </w:r>
            <w:r>
              <w:rPr>
                <w:rFonts w:asciiTheme="majorHAnsi" w:hAnsiTheme="majorHAnsi" w:cstheme="majorHAnsi"/>
                <w:sz w:val="16"/>
                <w:szCs w:val="16"/>
                <w:lang w:val="lv-LV"/>
              </w:rPr>
              <w:t xml:space="preserve"> – </w:t>
            </w:r>
            <w:r w:rsidRPr="00537DE7">
              <w:rPr>
                <w:rFonts w:asciiTheme="majorHAnsi" w:hAnsiTheme="majorHAnsi" w:cstheme="majorHAnsi"/>
                <w:sz w:val="16"/>
                <w:szCs w:val="16"/>
                <w:lang w:val="lv-LV"/>
              </w:rPr>
              <w:t>2030. gadā: 50 milj. eiro katru gadu.</w:t>
            </w:r>
          </w:p>
        </w:tc>
        <w:tc>
          <w:tcPr>
            <w:tcW w:w="3231" w:type="dxa"/>
            <w:shd w:val="clear" w:color="auto" w:fill="B4C6E7" w:themeFill="accent1" w:themeFillTint="66"/>
          </w:tcPr>
          <w:p w14:paraId="38BFFC7F" w14:textId="77777777" w:rsidR="00812A72" w:rsidRPr="00B3276C" w:rsidRDefault="00812A72" w:rsidP="0002297E">
            <w:pPr>
              <w:widowControl/>
              <w:spacing w:before="40" w:after="40" w:line="240" w:lineRule="auto"/>
              <w:rPr>
                <w:rFonts w:asciiTheme="majorHAnsi" w:eastAsia="Times New Roman" w:hAnsiTheme="majorHAnsi" w:cstheme="majorHAnsi"/>
                <w:color w:val="000000"/>
                <w:sz w:val="16"/>
                <w:szCs w:val="16"/>
                <w:lang w:val="lv-LV" w:eastAsia="lv-LV"/>
              </w:rPr>
            </w:pPr>
            <w:r w:rsidRPr="00097491">
              <w:rPr>
                <w:rFonts w:asciiTheme="majorHAnsi" w:hAnsiTheme="majorHAnsi" w:cstheme="majorHAnsi"/>
                <w:b/>
                <w:bCs/>
                <w:sz w:val="16"/>
                <w:szCs w:val="16"/>
                <w:lang w:val="lv-LV"/>
              </w:rPr>
              <w:t>50 %</w:t>
            </w:r>
            <w:r w:rsidRPr="00097491">
              <w:rPr>
                <w:rFonts w:asciiTheme="majorHAnsi" w:hAnsiTheme="majorHAnsi" w:cstheme="majorHAnsi"/>
                <w:sz w:val="16"/>
                <w:szCs w:val="16"/>
                <w:lang w:val="lv-LV"/>
              </w:rPr>
              <w:t xml:space="preserve"> </w:t>
            </w:r>
            <w:r w:rsidRPr="006B7AB1">
              <w:rPr>
                <w:rFonts w:asciiTheme="majorHAnsi" w:hAnsiTheme="majorHAnsi" w:cstheme="majorHAnsi"/>
                <w:sz w:val="16"/>
                <w:szCs w:val="16"/>
                <w:lang w:val="lv-LV"/>
              </w:rPr>
              <w:t>–</w:t>
            </w:r>
            <w:r w:rsidRPr="00097491">
              <w:rPr>
                <w:rFonts w:asciiTheme="majorHAnsi" w:hAnsiTheme="majorHAnsi" w:cstheme="majorHAnsi"/>
                <w:sz w:val="16"/>
                <w:szCs w:val="16"/>
                <w:lang w:val="lv-LV"/>
              </w:rPr>
              <w:t xml:space="preserve"> jaunais ES finansējums. </w:t>
            </w:r>
            <w:r w:rsidRPr="00097491">
              <w:rPr>
                <w:rFonts w:asciiTheme="majorHAnsi" w:hAnsiTheme="majorHAnsi" w:cstheme="majorHAnsi"/>
                <w:sz w:val="16"/>
                <w:szCs w:val="16"/>
                <w:lang w:val="lv-LV"/>
              </w:rPr>
              <w:br/>
            </w:r>
            <w:r w:rsidRPr="00097491">
              <w:rPr>
                <w:rFonts w:asciiTheme="majorHAnsi" w:hAnsiTheme="majorHAnsi" w:cstheme="majorHAnsi"/>
                <w:b/>
                <w:bCs/>
                <w:sz w:val="16"/>
                <w:szCs w:val="16"/>
                <w:lang w:val="lv-LV"/>
              </w:rPr>
              <w:t>50 %</w:t>
            </w:r>
            <w:r w:rsidRPr="00097491">
              <w:rPr>
                <w:rFonts w:asciiTheme="majorHAnsi" w:hAnsiTheme="majorHAnsi" w:cstheme="majorHAnsi"/>
                <w:sz w:val="16"/>
                <w:szCs w:val="16"/>
                <w:lang w:val="lv-LV"/>
              </w:rPr>
              <w:t xml:space="preserve"> </w:t>
            </w:r>
            <w:r w:rsidRPr="006B7AB1">
              <w:rPr>
                <w:rFonts w:asciiTheme="majorHAnsi" w:hAnsiTheme="majorHAnsi" w:cstheme="majorHAnsi"/>
                <w:sz w:val="16"/>
                <w:szCs w:val="16"/>
                <w:lang w:val="lv-LV"/>
              </w:rPr>
              <w:t>–</w:t>
            </w:r>
            <w:r w:rsidRPr="00097491">
              <w:rPr>
                <w:rFonts w:asciiTheme="majorHAnsi" w:hAnsiTheme="majorHAnsi" w:cstheme="majorHAnsi"/>
                <w:sz w:val="16"/>
                <w:szCs w:val="16"/>
                <w:lang w:val="lv-LV"/>
              </w:rPr>
              <w:t xml:space="preserve"> Latvijas privāto uzņēmumu </w:t>
            </w:r>
            <w:r w:rsidRPr="00B3276C">
              <w:rPr>
                <w:rFonts w:asciiTheme="majorHAnsi" w:hAnsiTheme="majorHAnsi" w:cstheme="majorHAnsi"/>
                <w:sz w:val="16"/>
                <w:szCs w:val="16"/>
                <w:lang w:val="lv-LV"/>
              </w:rPr>
              <w:t>finansējums, kas aizstāv citas investīcijas.</w:t>
            </w:r>
          </w:p>
        </w:tc>
      </w:tr>
      <w:tr w:rsidR="00812A72" w:rsidRPr="00D24F07" w14:paraId="7E252537" w14:textId="77777777" w:rsidTr="0002297E">
        <w:trPr>
          <w:jc w:val="center"/>
        </w:trPr>
        <w:tc>
          <w:tcPr>
            <w:tcW w:w="2835" w:type="dxa"/>
            <w:shd w:val="clear" w:color="auto" w:fill="D9E2F3" w:themeFill="accent1" w:themeFillTint="33"/>
          </w:tcPr>
          <w:p w14:paraId="017FDB4A" w14:textId="77777777" w:rsidR="00812A72" w:rsidRPr="00B3276C"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lv-LV"/>
              </w:rPr>
              <w:t xml:space="preserve">3.1.3.19. Biometāna ražošanas un tā ievades gāzes tīklā veicināšana. </w:t>
            </w:r>
          </w:p>
        </w:tc>
        <w:tc>
          <w:tcPr>
            <w:tcW w:w="1701" w:type="dxa"/>
            <w:shd w:val="clear" w:color="auto" w:fill="D9E2F3" w:themeFill="accent1" w:themeFillTint="33"/>
          </w:tcPr>
          <w:p w14:paraId="210C52EB" w14:textId="77777777" w:rsidR="00812A72" w:rsidRPr="006B7AB1" w:rsidRDefault="00812A72" w:rsidP="0002297E">
            <w:pPr>
              <w:widowControl/>
              <w:spacing w:before="40" w:after="40" w:line="240" w:lineRule="auto"/>
              <w:rPr>
                <w:rFonts w:asciiTheme="majorHAnsi" w:hAnsiTheme="majorHAnsi" w:cstheme="majorHAnsi"/>
                <w:color w:val="000000" w:themeColor="text1"/>
                <w:sz w:val="16"/>
                <w:szCs w:val="16"/>
                <w:lang w:val="lv-LV"/>
              </w:rPr>
            </w:pPr>
            <w:r w:rsidRPr="006B7AB1">
              <w:rPr>
                <w:rFonts w:asciiTheme="majorHAnsi" w:hAnsiTheme="majorHAnsi" w:cstheme="majorHAnsi"/>
                <w:color w:val="000000" w:themeColor="text1"/>
                <w:sz w:val="16"/>
                <w:szCs w:val="16"/>
              </w:rPr>
              <w:t>Biomasa</w:t>
            </w:r>
          </w:p>
        </w:tc>
        <w:tc>
          <w:tcPr>
            <w:tcW w:w="1871" w:type="dxa"/>
            <w:shd w:val="clear" w:color="auto" w:fill="D9E2F3" w:themeFill="accent1" w:themeFillTint="33"/>
          </w:tcPr>
          <w:p w14:paraId="70D5BB37" w14:textId="77777777" w:rsidR="00812A72" w:rsidRPr="00B3276C" w:rsidRDefault="00812A72" w:rsidP="0002297E">
            <w:pPr>
              <w:widowControl/>
              <w:spacing w:before="40" w:after="40" w:line="240" w:lineRule="auto"/>
              <w:rPr>
                <w:rFonts w:asciiTheme="majorHAnsi" w:hAnsiTheme="majorHAnsi" w:cstheme="majorHAnsi"/>
                <w:sz w:val="16"/>
                <w:szCs w:val="16"/>
                <w:lang w:val="lv-LV"/>
              </w:rPr>
            </w:pPr>
            <w:r w:rsidRPr="00537DE7">
              <w:rPr>
                <w:rFonts w:asciiTheme="majorHAnsi" w:hAnsiTheme="majorHAnsi" w:cstheme="majorHAnsi"/>
                <w:sz w:val="16"/>
                <w:szCs w:val="16"/>
                <w:lang w:val="lv-LV"/>
              </w:rPr>
              <w:t>26,50 milj.eiro 2030.-2035. gadā: 4,41 milj. eiro katru gadu.</w:t>
            </w:r>
          </w:p>
        </w:tc>
        <w:tc>
          <w:tcPr>
            <w:tcW w:w="3231" w:type="dxa"/>
            <w:shd w:val="clear" w:color="auto" w:fill="D9E2F3" w:themeFill="accent1" w:themeFillTint="33"/>
          </w:tcPr>
          <w:p w14:paraId="527C1B03" w14:textId="77777777" w:rsidR="00812A72" w:rsidRPr="00B3276C" w:rsidRDefault="00812A72" w:rsidP="0002297E">
            <w:pPr>
              <w:widowControl/>
              <w:spacing w:before="40" w:after="40" w:line="240" w:lineRule="auto"/>
              <w:rPr>
                <w:rFonts w:asciiTheme="majorHAnsi" w:eastAsia="Times New Roman" w:hAnsiTheme="majorHAnsi" w:cstheme="majorHAnsi"/>
                <w:color w:val="000000"/>
                <w:sz w:val="16"/>
                <w:szCs w:val="16"/>
                <w:lang w:val="lv-LV" w:eastAsia="lv-LV"/>
              </w:rPr>
            </w:pPr>
            <w:r w:rsidRPr="00097491">
              <w:rPr>
                <w:rFonts w:asciiTheme="majorHAnsi" w:hAnsiTheme="majorHAnsi" w:cstheme="majorHAnsi"/>
                <w:b/>
                <w:bCs/>
                <w:sz w:val="16"/>
                <w:szCs w:val="16"/>
                <w:lang w:val="lv-LV"/>
              </w:rPr>
              <w:t>50 %</w:t>
            </w:r>
            <w:r w:rsidRPr="00097491">
              <w:rPr>
                <w:rFonts w:asciiTheme="majorHAnsi" w:hAnsiTheme="majorHAnsi" w:cstheme="majorHAnsi"/>
                <w:sz w:val="16"/>
                <w:szCs w:val="16"/>
                <w:lang w:val="lv-LV"/>
              </w:rPr>
              <w:t xml:space="preserve"> </w:t>
            </w:r>
            <w:r w:rsidRPr="006B7AB1">
              <w:rPr>
                <w:rFonts w:asciiTheme="majorHAnsi" w:hAnsiTheme="majorHAnsi" w:cstheme="majorHAnsi"/>
                <w:sz w:val="16"/>
                <w:szCs w:val="16"/>
                <w:lang w:val="lv-LV"/>
              </w:rPr>
              <w:t>–</w:t>
            </w:r>
            <w:r w:rsidRPr="00097491">
              <w:rPr>
                <w:rFonts w:asciiTheme="majorHAnsi" w:hAnsiTheme="majorHAnsi" w:cstheme="majorHAnsi"/>
                <w:sz w:val="16"/>
                <w:szCs w:val="16"/>
                <w:lang w:val="lv-LV"/>
              </w:rPr>
              <w:t xml:space="preserve"> jaunais ES fondu finansējums.</w:t>
            </w:r>
            <w:r w:rsidRPr="00097491">
              <w:rPr>
                <w:rFonts w:asciiTheme="majorHAnsi" w:hAnsiTheme="majorHAnsi" w:cstheme="majorHAnsi"/>
                <w:sz w:val="16"/>
                <w:szCs w:val="16"/>
                <w:lang w:val="lv-LV"/>
              </w:rPr>
              <w:br/>
            </w:r>
            <w:r w:rsidRPr="00097491">
              <w:rPr>
                <w:rFonts w:asciiTheme="majorHAnsi" w:hAnsiTheme="majorHAnsi" w:cstheme="majorHAnsi"/>
                <w:b/>
                <w:bCs/>
                <w:sz w:val="16"/>
                <w:szCs w:val="16"/>
                <w:lang w:val="lv-LV"/>
              </w:rPr>
              <w:t>50 %</w:t>
            </w:r>
            <w:r w:rsidRPr="00097491">
              <w:rPr>
                <w:rFonts w:asciiTheme="majorHAnsi" w:hAnsiTheme="majorHAnsi" w:cstheme="majorHAnsi"/>
                <w:sz w:val="16"/>
                <w:szCs w:val="16"/>
                <w:lang w:val="lv-LV"/>
              </w:rPr>
              <w:t xml:space="preserve"> </w:t>
            </w:r>
            <w:r w:rsidRPr="006B7AB1">
              <w:rPr>
                <w:rFonts w:asciiTheme="majorHAnsi" w:hAnsiTheme="majorHAnsi" w:cstheme="majorHAnsi"/>
                <w:sz w:val="16"/>
                <w:szCs w:val="16"/>
                <w:lang w:val="lv-LV"/>
              </w:rPr>
              <w:t>–</w:t>
            </w:r>
            <w:r w:rsidRPr="00097491">
              <w:rPr>
                <w:rFonts w:asciiTheme="majorHAnsi" w:hAnsiTheme="majorHAnsi" w:cstheme="majorHAnsi"/>
                <w:sz w:val="16"/>
                <w:szCs w:val="16"/>
                <w:lang w:val="lv-LV"/>
              </w:rPr>
              <w:t xml:space="preserve"> Latvijas privāto uzņēmumu finansējums </w:t>
            </w:r>
          </w:p>
        </w:tc>
      </w:tr>
      <w:tr w:rsidR="00812A72" w:rsidRPr="005F4D7C" w14:paraId="56650B09" w14:textId="77777777" w:rsidTr="0002297E">
        <w:trPr>
          <w:jc w:val="center"/>
        </w:trPr>
        <w:tc>
          <w:tcPr>
            <w:tcW w:w="2835" w:type="dxa"/>
            <w:shd w:val="clear" w:color="auto" w:fill="B4C6E7" w:themeFill="accent1" w:themeFillTint="66"/>
          </w:tcPr>
          <w:p w14:paraId="7211BB18" w14:textId="77777777" w:rsidR="00812A72" w:rsidRPr="00B3276C"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lv-LV"/>
              </w:rPr>
              <w:t xml:space="preserve">3.1.3.26. Biodegvielu un biometāna izmantošanas lauksaimnieciskajā ražošanā. </w:t>
            </w:r>
          </w:p>
        </w:tc>
        <w:tc>
          <w:tcPr>
            <w:tcW w:w="1701" w:type="dxa"/>
            <w:shd w:val="clear" w:color="auto" w:fill="B4C6E7" w:themeFill="accent1" w:themeFillTint="66"/>
          </w:tcPr>
          <w:p w14:paraId="2D437B56" w14:textId="77777777" w:rsidR="00812A72" w:rsidRPr="006B7AB1" w:rsidRDefault="00812A72" w:rsidP="0002297E">
            <w:pPr>
              <w:widowControl/>
              <w:spacing w:before="40" w:after="40" w:line="240" w:lineRule="auto"/>
              <w:rPr>
                <w:rFonts w:asciiTheme="majorHAnsi" w:hAnsiTheme="majorHAnsi" w:cstheme="majorHAnsi"/>
                <w:color w:val="000000" w:themeColor="text1"/>
                <w:sz w:val="16"/>
                <w:szCs w:val="16"/>
                <w:lang w:val="lv-LV"/>
              </w:rPr>
            </w:pPr>
            <w:r w:rsidRPr="006B7AB1">
              <w:rPr>
                <w:rFonts w:asciiTheme="majorHAnsi" w:hAnsiTheme="majorHAnsi" w:cstheme="majorHAnsi"/>
                <w:color w:val="000000" w:themeColor="text1"/>
                <w:sz w:val="16"/>
                <w:szCs w:val="16"/>
              </w:rPr>
              <w:t>Biomasa</w:t>
            </w:r>
          </w:p>
        </w:tc>
        <w:tc>
          <w:tcPr>
            <w:tcW w:w="1871" w:type="dxa"/>
            <w:shd w:val="clear" w:color="auto" w:fill="B4C6E7" w:themeFill="accent1" w:themeFillTint="66"/>
          </w:tcPr>
          <w:p w14:paraId="10DF5036" w14:textId="77777777" w:rsidR="00812A72" w:rsidRPr="00B3276C" w:rsidRDefault="00812A72" w:rsidP="0002297E">
            <w:pPr>
              <w:widowControl/>
              <w:spacing w:before="40" w:after="40" w:line="240" w:lineRule="auto"/>
              <w:rPr>
                <w:rFonts w:asciiTheme="majorHAnsi" w:hAnsiTheme="majorHAnsi" w:cstheme="majorHAnsi"/>
                <w:sz w:val="16"/>
                <w:szCs w:val="16"/>
                <w:lang w:val="lv-LV"/>
              </w:rPr>
            </w:pPr>
            <w:r w:rsidRPr="00537DE7">
              <w:rPr>
                <w:rFonts w:asciiTheme="majorHAnsi" w:hAnsiTheme="majorHAnsi" w:cstheme="majorHAnsi"/>
                <w:sz w:val="16"/>
                <w:szCs w:val="16"/>
                <w:lang w:val="lv-LV"/>
              </w:rPr>
              <w:t>4 milj.eiro 2025.</w:t>
            </w:r>
            <w:r>
              <w:rPr>
                <w:rFonts w:asciiTheme="majorHAnsi" w:hAnsiTheme="majorHAnsi" w:cstheme="majorHAnsi"/>
                <w:sz w:val="16"/>
                <w:szCs w:val="16"/>
                <w:lang w:val="lv-LV"/>
              </w:rPr>
              <w:t xml:space="preserve"> – </w:t>
            </w:r>
            <w:r w:rsidRPr="00537DE7">
              <w:rPr>
                <w:rFonts w:asciiTheme="majorHAnsi" w:hAnsiTheme="majorHAnsi" w:cstheme="majorHAnsi"/>
                <w:sz w:val="16"/>
                <w:szCs w:val="16"/>
                <w:lang w:val="lv-LV"/>
              </w:rPr>
              <w:t>2030. gadā: 0,66 milj. eiro katru gadu.</w:t>
            </w:r>
          </w:p>
        </w:tc>
        <w:tc>
          <w:tcPr>
            <w:tcW w:w="3231" w:type="dxa"/>
            <w:shd w:val="clear" w:color="auto" w:fill="B4C6E7" w:themeFill="accent1" w:themeFillTint="66"/>
          </w:tcPr>
          <w:p w14:paraId="6214E369" w14:textId="77777777" w:rsidR="00812A72" w:rsidRPr="00B3276C" w:rsidRDefault="00812A72" w:rsidP="0002297E">
            <w:pPr>
              <w:widowControl/>
              <w:spacing w:before="40" w:after="40" w:line="240" w:lineRule="auto"/>
              <w:rPr>
                <w:rFonts w:asciiTheme="majorHAnsi" w:eastAsia="Times New Roman" w:hAnsiTheme="majorHAnsi" w:cstheme="majorHAnsi"/>
                <w:color w:val="000000"/>
                <w:sz w:val="16"/>
                <w:szCs w:val="16"/>
                <w:lang w:val="lv-LV" w:eastAsia="lv-LV"/>
              </w:rPr>
            </w:pPr>
            <w:r w:rsidRPr="00537DE7">
              <w:rPr>
                <w:rFonts w:asciiTheme="majorHAnsi" w:hAnsiTheme="majorHAnsi" w:cstheme="majorHAnsi"/>
                <w:b/>
                <w:bCs/>
                <w:sz w:val="16"/>
                <w:szCs w:val="16"/>
                <w:lang w:val="lv-LV"/>
              </w:rPr>
              <w:t>33,3 %</w:t>
            </w:r>
            <w:r w:rsidRPr="00537DE7">
              <w:rPr>
                <w:rFonts w:asciiTheme="majorHAnsi" w:hAnsiTheme="majorHAnsi" w:cstheme="majorHAnsi"/>
                <w:sz w:val="16"/>
                <w:szCs w:val="16"/>
                <w:lang w:val="lv-LV"/>
              </w:rPr>
              <w:t xml:space="preserve"> </w:t>
            </w:r>
            <w:r w:rsidRPr="006B7AB1">
              <w:rPr>
                <w:rFonts w:asciiTheme="majorHAnsi" w:hAnsiTheme="majorHAnsi" w:cstheme="majorHAnsi"/>
                <w:sz w:val="16"/>
                <w:szCs w:val="16"/>
                <w:lang w:val="lv-LV"/>
              </w:rPr>
              <w:t>–</w:t>
            </w:r>
            <w:r w:rsidRPr="00537DE7">
              <w:rPr>
                <w:rFonts w:asciiTheme="majorHAnsi" w:hAnsiTheme="majorHAnsi" w:cstheme="majorHAnsi"/>
                <w:sz w:val="16"/>
                <w:szCs w:val="16"/>
                <w:lang w:val="lv-LV"/>
              </w:rPr>
              <w:t xml:space="preserve"> jaunais ES fondu finansējums.</w:t>
            </w:r>
            <w:r w:rsidRPr="00537DE7">
              <w:rPr>
                <w:rFonts w:asciiTheme="majorHAnsi" w:hAnsiTheme="majorHAnsi" w:cstheme="majorHAnsi"/>
                <w:sz w:val="16"/>
                <w:szCs w:val="16"/>
                <w:lang w:val="lv-LV"/>
              </w:rPr>
              <w:br/>
            </w:r>
            <w:r w:rsidRPr="00537DE7">
              <w:rPr>
                <w:rFonts w:asciiTheme="majorHAnsi" w:hAnsiTheme="majorHAnsi" w:cstheme="majorHAnsi"/>
                <w:b/>
                <w:bCs/>
                <w:sz w:val="16"/>
                <w:szCs w:val="16"/>
                <w:lang w:val="lv-LV"/>
              </w:rPr>
              <w:t>33,3 %</w:t>
            </w:r>
            <w:r w:rsidRPr="00537DE7">
              <w:rPr>
                <w:rFonts w:asciiTheme="majorHAnsi" w:hAnsiTheme="majorHAnsi" w:cstheme="majorHAnsi"/>
                <w:sz w:val="16"/>
                <w:szCs w:val="16"/>
                <w:lang w:val="lv-LV"/>
              </w:rPr>
              <w:t xml:space="preserve"> </w:t>
            </w:r>
            <w:r w:rsidRPr="006B7AB1">
              <w:rPr>
                <w:rFonts w:asciiTheme="majorHAnsi" w:hAnsiTheme="majorHAnsi" w:cstheme="majorHAnsi"/>
                <w:sz w:val="16"/>
                <w:szCs w:val="16"/>
                <w:lang w:val="lv-LV"/>
              </w:rPr>
              <w:t>–</w:t>
            </w:r>
            <w:r w:rsidRPr="00537DE7">
              <w:rPr>
                <w:rFonts w:asciiTheme="majorHAnsi" w:hAnsiTheme="majorHAnsi" w:cstheme="majorHAnsi"/>
                <w:sz w:val="16"/>
                <w:szCs w:val="16"/>
                <w:lang w:val="lv-LV"/>
              </w:rPr>
              <w:t xml:space="preserve"> Latvijas privāto uzņēmumu finansējums </w:t>
            </w:r>
            <w:r w:rsidRPr="00537DE7">
              <w:rPr>
                <w:rFonts w:asciiTheme="majorHAnsi" w:hAnsiTheme="majorHAnsi" w:cstheme="majorHAnsi"/>
                <w:sz w:val="16"/>
                <w:szCs w:val="16"/>
                <w:lang w:val="lv-LV"/>
              </w:rPr>
              <w:br/>
            </w:r>
            <w:r w:rsidRPr="00537DE7">
              <w:rPr>
                <w:rFonts w:asciiTheme="majorHAnsi" w:hAnsiTheme="majorHAnsi" w:cstheme="majorHAnsi"/>
                <w:b/>
                <w:bCs/>
                <w:sz w:val="16"/>
                <w:szCs w:val="16"/>
                <w:lang w:val="lv-LV"/>
              </w:rPr>
              <w:t>33,3 %</w:t>
            </w:r>
            <w:r w:rsidRPr="00537DE7">
              <w:rPr>
                <w:rFonts w:asciiTheme="majorHAnsi" w:hAnsiTheme="majorHAnsi" w:cstheme="majorHAnsi"/>
                <w:sz w:val="16"/>
                <w:szCs w:val="16"/>
                <w:lang w:val="lv-LV"/>
              </w:rPr>
              <w:t xml:space="preserve"> </w:t>
            </w:r>
            <w:r w:rsidRPr="006B7AB1">
              <w:rPr>
                <w:rFonts w:asciiTheme="majorHAnsi" w:hAnsiTheme="majorHAnsi" w:cstheme="majorHAnsi"/>
                <w:sz w:val="16"/>
                <w:szCs w:val="16"/>
                <w:lang w:val="lv-LV"/>
              </w:rPr>
              <w:t>–</w:t>
            </w:r>
            <w:r w:rsidRPr="00537DE7">
              <w:rPr>
                <w:rFonts w:asciiTheme="majorHAnsi" w:hAnsiTheme="majorHAnsi" w:cstheme="majorHAnsi"/>
                <w:sz w:val="16"/>
                <w:szCs w:val="16"/>
                <w:lang w:val="lv-LV"/>
              </w:rPr>
              <w:t xml:space="preserve"> nacionālais publiskais finansējums papildu izdevumu veidā.</w:t>
            </w:r>
          </w:p>
        </w:tc>
      </w:tr>
      <w:tr w:rsidR="00812A72" w:rsidRPr="005F4D7C" w14:paraId="719DA89F" w14:textId="77777777" w:rsidTr="0002297E">
        <w:trPr>
          <w:jc w:val="center"/>
        </w:trPr>
        <w:tc>
          <w:tcPr>
            <w:tcW w:w="2835" w:type="dxa"/>
            <w:shd w:val="clear" w:color="auto" w:fill="D9E2F3" w:themeFill="accent1" w:themeFillTint="33"/>
          </w:tcPr>
          <w:p w14:paraId="7D653494" w14:textId="77777777" w:rsidR="00812A72" w:rsidRPr="00B3276C" w:rsidRDefault="00812A72" w:rsidP="0002297E">
            <w:pPr>
              <w:widowControl/>
              <w:spacing w:before="40" w:after="40" w:line="240" w:lineRule="auto"/>
              <w:rPr>
                <w:rFonts w:asciiTheme="majorHAnsi" w:hAnsiTheme="majorHAnsi" w:cstheme="majorHAnsi"/>
                <w:sz w:val="16"/>
                <w:szCs w:val="16"/>
                <w:lang w:val="lv-LV"/>
              </w:rPr>
            </w:pPr>
            <w:r w:rsidRPr="00537DE7">
              <w:rPr>
                <w:rFonts w:asciiTheme="majorHAnsi" w:hAnsiTheme="majorHAnsi" w:cstheme="majorHAnsi"/>
                <w:sz w:val="16"/>
                <w:szCs w:val="16"/>
                <w:lang w:val="lv-LV"/>
              </w:rPr>
              <w:t xml:space="preserve">3.1.3.27. Biogāzes/ biometāna ieguves valstspilsētu ūdensaimniecības pakalpojumu komersantos </w:t>
            </w:r>
          </w:p>
        </w:tc>
        <w:tc>
          <w:tcPr>
            <w:tcW w:w="1701" w:type="dxa"/>
            <w:shd w:val="clear" w:color="auto" w:fill="D9E2F3" w:themeFill="accent1" w:themeFillTint="33"/>
          </w:tcPr>
          <w:p w14:paraId="2E9F0994" w14:textId="77777777" w:rsidR="00812A72" w:rsidRPr="006B7AB1" w:rsidRDefault="00812A72" w:rsidP="0002297E">
            <w:pPr>
              <w:widowControl/>
              <w:spacing w:before="40" w:after="40" w:line="240" w:lineRule="auto"/>
              <w:rPr>
                <w:rFonts w:asciiTheme="majorHAnsi" w:hAnsiTheme="majorHAnsi" w:cstheme="majorHAnsi"/>
                <w:color w:val="000000" w:themeColor="text1"/>
                <w:sz w:val="16"/>
                <w:szCs w:val="16"/>
                <w:lang w:val="lv-LV"/>
              </w:rPr>
            </w:pPr>
            <w:r w:rsidRPr="006B7AB1">
              <w:rPr>
                <w:rFonts w:asciiTheme="majorHAnsi" w:hAnsiTheme="majorHAnsi" w:cstheme="majorHAnsi"/>
                <w:color w:val="000000" w:themeColor="text1"/>
                <w:sz w:val="16"/>
                <w:szCs w:val="16"/>
              </w:rPr>
              <w:t>Biomasa</w:t>
            </w:r>
          </w:p>
        </w:tc>
        <w:tc>
          <w:tcPr>
            <w:tcW w:w="1871" w:type="dxa"/>
            <w:shd w:val="clear" w:color="auto" w:fill="D9E2F3" w:themeFill="accent1" w:themeFillTint="33"/>
          </w:tcPr>
          <w:p w14:paraId="263F3754" w14:textId="77777777" w:rsidR="00812A72" w:rsidRPr="00B3276C" w:rsidRDefault="00812A72" w:rsidP="0002297E">
            <w:pPr>
              <w:widowControl/>
              <w:spacing w:before="40" w:after="40" w:line="240" w:lineRule="auto"/>
              <w:rPr>
                <w:rFonts w:asciiTheme="majorHAnsi" w:hAnsiTheme="majorHAnsi" w:cstheme="majorHAnsi"/>
                <w:sz w:val="16"/>
                <w:szCs w:val="16"/>
                <w:lang w:val="lv-LV"/>
              </w:rPr>
            </w:pPr>
            <w:r w:rsidRPr="00537DE7">
              <w:rPr>
                <w:rFonts w:asciiTheme="majorHAnsi" w:hAnsiTheme="majorHAnsi" w:cstheme="majorHAnsi"/>
                <w:sz w:val="16"/>
                <w:szCs w:val="16"/>
                <w:lang w:val="lv-LV"/>
              </w:rPr>
              <w:t>10 milj.eiro 2027.-2030. gadā: 2,50 milj. eiro katru gadu.</w:t>
            </w:r>
          </w:p>
        </w:tc>
        <w:tc>
          <w:tcPr>
            <w:tcW w:w="3231" w:type="dxa"/>
            <w:shd w:val="clear" w:color="auto" w:fill="D9E2F3" w:themeFill="accent1" w:themeFillTint="33"/>
          </w:tcPr>
          <w:p w14:paraId="623A4CB5" w14:textId="77777777" w:rsidR="00812A72" w:rsidRPr="00B3276C" w:rsidRDefault="00812A72" w:rsidP="0002297E">
            <w:pPr>
              <w:widowControl/>
              <w:spacing w:before="40" w:after="40" w:line="240" w:lineRule="auto"/>
              <w:rPr>
                <w:rFonts w:asciiTheme="majorHAnsi" w:eastAsia="Times New Roman" w:hAnsiTheme="majorHAnsi" w:cstheme="majorHAnsi"/>
                <w:color w:val="000000"/>
                <w:sz w:val="16"/>
                <w:szCs w:val="16"/>
                <w:lang w:val="lv-LV" w:eastAsia="lv-LV"/>
              </w:rPr>
            </w:pPr>
            <w:r w:rsidRPr="00537DE7">
              <w:rPr>
                <w:rFonts w:asciiTheme="majorHAnsi" w:hAnsiTheme="majorHAnsi" w:cstheme="majorHAnsi"/>
                <w:b/>
                <w:bCs/>
                <w:sz w:val="16"/>
                <w:szCs w:val="16"/>
                <w:lang w:val="lv-LV"/>
              </w:rPr>
              <w:t>33,3 %</w:t>
            </w:r>
            <w:r w:rsidRPr="00537DE7">
              <w:rPr>
                <w:rFonts w:asciiTheme="majorHAnsi" w:hAnsiTheme="majorHAnsi" w:cstheme="majorHAnsi"/>
                <w:sz w:val="16"/>
                <w:szCs w:val="16"/>
                <w:lang w:val="lv-LV"/>
              </w:rPr>
              <w:t xml:space="preserve"> </w:t>
            </w:r>
            <w:r w:rsidRPr="006B7AB1">
              <w:rPr>
                <w:rFonts w:asciiTheme="majorHAnsi" w:hAnsiTheme="majorHAnsi" w:cstheme="majorHAnsi"/>
                <w:sz w:val="16"/>
                <w:szCs w:val="16"/>
                <w:lang w:val="lv-LV"/>
              </w:rPr>
              <w:t>–</w:t>
            </w:r>
            <w:r w:rsidRPr="00537DE7">
              <w:rPr>
                <w:rFonts w:asciiTheme="majorHAnsi" w:hAnsiTheme="majorHAnsi" w:cstheme="majorHAnsi"/>
                <w:sz w:val="16"/>
                <w:szCs w:val="16"/>
                <w:lang w:val="lv-LV"/>
              </w:rPr>
              <w:t xml:space="preserve"> jaunais ES fondu finansējums.</w:t>
            </w:r>
            <w:r w:rsidRPr="00537DE7">
              <w:rPr>
                <w:rFonts w:asciiTheme="majorHAnsi" w:hAnsiTheme="majorHAnsi" w:cstheme="majorHAnsi"/>
                <w:sz w:val="16"/>
                <w:szCs w:val="16"/>
                <w:lang w:val="lv-LV"/>
              </w:rPr>
              <w:br/>
            </w:r>
            <w:r w:rsidRPr="00537DE7">
              <w:rPr>
                <w:rFonts w:asciiTheme="majorHAnsi" w:hAnsiTheme="majorHAnsi" w:cstheme="majorHAnsi"/>
                <w:b/>
                <w:bCs/>
                <w:sz w:val="16"/>
                <w:szCs w:val="16"/>
                <w:lang w:val="lv-LV"/>
              </w:rPr>
              <w:t>33,3 %</w:t>
            </w:r>
            <w:r w:rsidRPr="00537DE7">
              <w:rPr>
                <w:rFonts w:asciiTheme="majorHAnsi" w:hAnsiTheme="majorHAnsi" w:cstheme="majorHAnsi"/>
                <w:sz w:val="16"/>
                <w:szCs w:val="16"/>
                <w:lang w:val="lv-LV"/>
              </w:rPr>
              <w:t xml:space="preserve"> </w:t>
            </w:r>
            <w:r w:rsidRPr="006B7AB1">
              <w:rPr>
                <w:rFonts w:asciiTheme="majorHAnsi" w:hAnsiTheme="majorHAnsi" w:cstheme="majorHAnsi"/>
                <w:sz w:val="16"/>
                <w:szCs w:val="16"/>
                <w:lang w:val="lv-LV"/>
              </w:rPr>
              <w:t>–</w:t>
            </w:r>
            <w:r w:rsidRPr="00537DE7">
              <w:rPr>
                <w:rFonts w:asciiTheme="majorHAnsi" w:hAnsiTheme="majorHAnsi" w:cstheme="majorHAnsi"/>
                <w:sz w:val="16"/>
                <w:szCs w:val="16"/>
                <w:lang w:val="lv-LV"/>
              </w:rPr>
              <w:t xml:space="preserve"> Latvijas privāto uzņēmumu finansējums </w:t>
            </w:r>
            <w:r w:rsidRPr="00537DE7">
              <w:rPr>
                <w:rFonts w:asciiTheme="majorHAnsi" w:hAnsiTheme="majorHAnsi" w:cstheme="majorHAnsi"/>
                <w:sz w:val="16"/>
                <w:szCs w:val="16"/>
                <w:lang w:val="lv-LV"/>
              </w:rPr>
              <w:br/>
            </w:r>
            <w:r w:rsidRPr="00537DE7">
              <w:rPr>
                <w:rFonts w:asciiTheme="majorHAnsi" w:hAnsiTheme="majorHAnsi" w:cstheme="majorHAnsi"/>
                <w:b/>
                <w:bCs/>
                <w:sz w:val="16"/>
                <w:szCs w:val="16"/>
                <w:lang w:val="lv-LV"/>
              </w:rPr>
              <w:t>33,3 %</w:t>
            </w:r>
            <w:r w:rsidRPr="00537DE7">
              <w:rPr>
                <w:rFonts w:asciiTheme="majorHAnsi" w:hAnsiTheme="majorHAnsi" w:cstheme="majorHAnsi"/>
                <w:sz w:val="16"/>
                <w:szCs w:val="16"/>
                <w:lang w:val="lv-LV"/>
              </w:rPr>
              <w:t xml:space="preserve"> </w:t>
            </w:r>
            <w:r w:rsidRPr="006B7AB1">
              <w:rPr>
                <w:rFonts w:asciiTheme="majorHAnsi" w:hAnsiTheme="majorHAnsi" w:cstheme="majorHAnsi"/>
                <w:sz w:val="16"/>
                <w:szCs w:val="16"/>
                <w:lang w:val="lv-LV"/>
              </w:rPr>
              <w:t>–</w:t>
            </w:r>
            <w:r w:rsidRPr="00537DE7">
              <w:rPr>
                <w:rFonts w:asciiTheme="majorHAnsi" w:hAnsiTheme="majorHAnsi" w:cstheme="majorHAnsi"/>
                <w:sz w:val="16"/>
                <w:szCs w:val="16"/>
                <w:lang w:val="lv-LV"/>
              </w:rPr>
              <w:t xml:space="preserve"> nacionālais publiskais finansējums papildu izdevumu veidā.</w:t>
            </w:r>
          </w:p>
        </w:tc>
      </w:tr>
    </w:tbl>
    <w:p w14:paraId="485AD90B" w14:textId="77777777" w:rsidR="00812A72" w:rsidRPr="00097491" w:rsidRDefault="00812A72" w:rsidP="00812A72">
      <w:pPr>
        <w:widowControl/>
        <w:spacing w:before="120" w:after="120" w:line="240" w:lineRule="auto"/>
        <w:jc w:val="both"/>
        <w:rPr>
          <w:rFonts w:ascii="Arial Nova Cond Light" w:eastAsia="Times New Roman" w:hAnsi="Arial Nova Cond Light"/>
          <w:sz w:val="16"/>
          <w:szCs w:val="24"/>
          <w:lang w:val="lv-LV" w:eastAsia="lv-LV"/>
        </w:rPr>
      </w:pPr>
      <w:r w:rsidRPr="00097491">
        <w:rPr>
          <w:rFonts w:ascii="Arial Nova Cond Light" w:eastAsia="Times New Roman" w:hAnsi="Arial Nova Cond Light"/>
          <w:sz w:val="16"/>
          <w:szCs w:val="24"/>
          <w:lang w:val="lv-LV" w:eastAsia="lv-LV"/>
        </w:rPr>
        <w:t>Avots: autoru veidotā tabula pēc NEKP, kā arī Ekonomikas min</w:t>
      </w:r>
      <w:bookmarkStart w:id="60" w:name="_Toc176185149"/>
      <w:bookmarkStart w:id="61" w:name="_Toc176778158"/>
      <w:bookmarkStart w:id="62" w:name="_Toc177395399"/>
      <w:r w:rsidRPr="00097491">
        <w:rPr>
          <w:rFonts w:ascii="Arial Nova Cond Light" w:eastAsia="Times New Roman" w:hAnsi="Arial Nova Cond Light"/>
          <w:sz w:val="16"/>
          <w:szCs w:val="24"/>
          <w:lang w:val="lv-LV" w:eastAsia="lv-LV"/>
        </w:rPr>
        <w:t>istrijas nepublicētiem datiem.</w:t>
      </w:r>
    </w:p>
    <w:p w14:paraId="60454972" w14:textId="77777777" w:rsidR="00812A72" w:rsidRDefault="00812A72" w:rsidP="00812A72">
      <w:pPr>
        <w:widowControl/>
        <w:spacing w:after="160" w:line="240" w:lineRule="auto"/>
        <w:rPr>
          <w:rFonts w:ascii="Times New Roman" w:hAnsi="Times New Roman"/>
          <w:bCs/>
          <w:sz w:val="16"/>
          <w:szCs w:val="28"/>
          <w:lang w:val="lv-LV"/>
        </w:rPr>
      </w:pPr>
      <w:r>
        <w:rPr>
          <w:rFonts w:ascii="Times New Roman" w:hAnsi="Times New Roman"/>
          <w:bCs/>
          <w:sz w:val="16"/>
          <w:szCs w:val="28"/>
          <w:lang w:val="lv-LV"/>
        </w:rPr>
        <w:br w:type="page"/>
      </w:r>
    </w:p>
    <w:p w14:paraId="5D1F7B12" w14:textId="77777777" w:rsidR="00812A72" w:rsidRDefault="00812A72" w:rsidP="00812A72">
      <w:pPr>
        <w:pStyle w:val="Heading2"/>
        <w:rPr>
          <w:lang w:val="lv-LV"/>
        </w:rPr>
      </w:pPr>
      <w:bookmarkStart w:id="63" w:name="_Toc178327883"/>
      <w:bookmarkStart w:id="64" w:name="_Toc183697492"/>
      <w:r w:rsidRPr="00537DE7">
        <w:rPr>
          <w:lang w:val="lv-LV"/>
        </w:rPr>
        <w:lastRenderedPageBreak/>
        <w:t>Piektais scenārijs – enerģētiskās drošības un iekšējā elektrības tirgus pasākumi</w:t>
      </w:r>
      <w:bookmarkEnd w:id="60"/>
      <w:bookmarkEnd w:id="61"/>
      <w:bookmarkEnd w:id="62"/>
      <w:bookmarkEnd w:id="63"/>
      <w:bookmarkEnd w:id="64"/>
    </w:p>
    <w:p w14:paraId="1BC14785" w14:textId="77777777" w:rsidR="00812A72" w:rsidRDefault="00812A72" w:rsidP="00812A72">
      <w:pPr>
        <w:widowControl/>
        <w:spacing w:after="120" w:line="240" w:lineRule="auto"/>
        <w:rPr>
          <w:rFonts w:ascii="Verdana Pro Cond Light" w:hAnsi="Verdana Pro Cond Light"/>
          <w:lang w:val="lv-LV"/>
        </w:rPr>
      </w:pPr>
      <w:r w:rsidRPr="00B3276C">
        <w:rPr>
          <w:rFonts w:ascii="Verdana Pro Cond Light" w:hAnsi="Verdana Pro Cond Light"/>
          <w:lang w:val="lv-LV"/>
        </w:rPr>
        <w:t>Enerģētiskās drošības un iekšējā elektrības tirgus pasākumu ietvaros tika modelēta trīs pasākumu ietekme. No tiem lielākais pasākums ir “Mainīt valsts naftas drošības rezervju sistēmu, nodrošinot naftas rezervju uzglabāšanu valstī” (3.3.3), kas pilnībā finansēts no degvielas cenas pieauguma. Saskaņā ar Ekonomikas ministrijas ekspertu datiem, jaunā valsts naftas produktu drošības rezervju pārvaldības modelis ieviests no 2024. gada un tās ietekme uz degvielas cenu (par vienu litru ir šāda):</w:t>
      </w:r>
    </w:p>
    <w:p w14:paraId="60E174F5" w14:textId="77777777" w:rsidR="00812A72" w:rsidRDefault="00812A72" w:rsidP="00812A72">
      <w:pPr>
        <w:pStyle w:val="ListParagraph"/>
        <w:widowControl/>
        <w:numPr>
          <w:ilvl w:val="0"/>
          <w:numId w:val="21"/>
        </w:numPr>
        <w:spacing w:after="120" w:line="240" w:lineRule="auto"/>
        <w:ind w:left="567" w:hanging="283"/>
        <w:contextualSpacing w:val="0"/>
        <w:rPr>
          <w:rFonts w:ascii="Verdana Pro Cond Light" w:hAnsi="Verdana Pro Cond Light"/>
          <w:lang w:val="lv-LV"/>
        </w:rPr>
      </w:pPr>
      <w:r w:rsidRPr="00B3276C">
        <w:rPr>
          <w:rFonts w:ascii="Verdana Pro Cond Light" w:hAnsi="Verdana Pro Cond Light"/>
          <w:lang w:val="lv-LV"/>
        </w:rPr>
        <w:t>2024. gadā: 7,3 eiro centi;</w:t>
      </w:r>
    </w:p>
    <w:p w14:paraId="4450CB52" w14:textId="77777777" w:rsidR="00812A72" w:rsidRDefault="00812A72" w:rsidP="00812A72">
      <w:pPr>
        <w:pStyle w:val="ListParagraph"/>
        <w:widowControl/>
        <w:numPr>
          <w:ilvl w:val="0"/>
          <w:numId w:val="21"/>
        </w:numPr>
        <w:spacing w:after="120" w:line="240" w:lineRule="auto"/>
        <w:ind w:left="567" w:hanging="283"/>
        <w:contextualSpacing w:val="0"/>
        <w:rPr>
          <w:rFonts w:ascii="Verdana Pro Cond Light" w:hAnsi="Verdana Pro Cond Light"/>
          <w:lang w:val="lv-LV"/>
        </w:rPr>
      </w:pPr>
      <w:r w:rsidRPr="00B3276C">
        <w:rPr>
          <w:rFonts w:ascii="Verdana Pro Cond Light" w:hAnsi="Verdana Pro Cond Light"/>
          <w:lang w:val="lv-LV"/>
        </w:rPr>
        <w:t>2025. – 2028. gadā: 5,9 eiro centi;</w:t>
      </w:r>
    </w:p>
    <w:p w14:paraId="6A94ED57" w14:textId="77777777" w:rsidR="00812A72" w:rsidRDefault="00812A72" w:rsidP="00812A72">
      <w:pPr>
        <w:pStyle w:val="ListParagraph"/>
        <w:widowControl/>
        <w:numPr>
          <w:ilvl w:val="0"/>
          <w:numId w:val="21"/>
        </w:numPr>
        <w:spacing w:after="120" w:line="240" w:lineRule="auto"/>
        <w:ind w:left="567" w:hanging="283"/>
        <w:contextualSpacing w:val="0"/>
        <w:rPr>
          <w:rFonts w:ascii="Verdana Pro Cond Light" w:hAnsi="Verdana Pro Cond Light"/>
          <w:lang w:val="lv-LV"/>
        </w:rPr>
      </w:pPr>
      <w:r w:rsidRPr="00B3276C">
        <w:rPr>
          <w:rFonts w:ascii="Verdana Pro Cond Light" w:hAnsi="Verdana Pro Cond Light"/>
          <w:lang w:val="lv-LV"/>
        </w:rPr>
        <w:t>no 2029. gada: 1,3 eiro centi.</w:t>
      </w:r>
    </w:p>
    <w:p w14:paraId="6E6219AA" w14:textId="77777777" w:rsidR="00812A72" w:rsidRDefault="00812A72" w:rsidP="00812A72">
      <w:pPr>
        <w:widowControl/>
        <w:spacing w:after="120" w:line="240" w:lineRule="auto"/>
        <w:rPr>
          <w:rFonts w:ascii="Verdana Pro Cond Light" w:hAnsi="Verdana Pro Cond Light"/>
          <w:lang w:val="lv-LV"/>
        </w:rPr>
      </w:pPr>
    </w:p>
    <w:p w14:paraId="447F80A6" w14:textId="77777777" w:rsidR="00812A72" w:rsidRDefault="00812A72" w:rsidP="00812A72">
      <w:pPr>
        <w:widowControl/>
        <w:spacing w:after="120" w:line="240" w:lineRule="auto"/>
        <w:rPr>
          <w:rFonts w:ascii="Verdana Pro Cond Light" w:hAnsi="Verdana Pro Cond Light"/>
          <w:lang w:val="lv-LV"/>
        </w:rPr>
      </w:pPr>
      <w:r w:rsidRPr="00B3276C">
        <w:rPr>
          <w:rFonts w:ascii="Verdana Pro Cond Light" w:hAnsi="Verdana Pro Cond Light"/>
          <w:lang w:val="lv-LV"/>
        </w:rPr>
        <w:t>Saskaņojot ar Ekonomikas ministrijas ekspertiem, pasākuma sociālekonomiskā ietekme tika</w:t>
      </w:r>
      <w:r>
        <w:rPr>
          <w:rFonts w:ascii="Verdana Pro Cond Light" w:hAnsi="Verdana Pro Cond Light"/>
          <w:lang w:val="lv-LV"/>
        </w:rPr>
        <w:t xml:space="preserve"> </w:t>
      </w:r>
      <w:r w:rsidRPr="00B3276C">
        <w:rPr>
          <w:rFonts w:ascii="Verdana Pro Cond Light" w:hAnsi="Verdana Pro Cond Light"/>
          <w:lang w:val="lv-LV"/>
        </w:rPr>
        <w:t>modelēta kā degvielas cenas samazinājums 2025. gadā par 1,4 centiem un vēl viens samazinājums 2029. gadā par 4,6 centiem. Tādējādi kopējais degvielas cenas samazinājums 2029. gadā (salīdzinot ar 2024. gadu) ir 6,0 centi par litru.</w:t>
      </w:r>
    </w:p>
    <w:p w14:paraId="6A773DBD" w14:textId="77777777" w:rsidR="00812A72" w:rsidRDefault="00812A72" w:rsidP="00812A72">
      <w:pPr>
        <w:widowControl/>
        <w:spacing w:after="120" w:line="240" w:lineRule="auto"/>
        <w:rPr>
          <w:rFonts w:ascii="Verdana Pro Cond Light" w:hAnsi="Verdana Pro Cond Light"/>
          <w:lang w:val="lv-LV"/>
        </w:rPr>
      </w:pPr>
      <w:r w:rsidRPr="00B3276C">
        <w:rPr>
          <w:rFonts w:ascii="Verdana Pro Cond Light" w:hAnsi="Verdana Pro Cond Light"/>
          <w:lang w:val="lv-LV"/>
        </w:rPr>
        <w:t>Pārējie modelētie pasākumi (3.3.5. un 3.3.6.; 6.5. tabula) līdz 2030. gadam ieskaitot ietver investīcijas 32,0 milj. eiro apmērā, no kuriem 60,6</w:t>
      </w:r>
      <w:r>
        <w:rPr>
          <w:rFonts w:ascii="Verdana Pro Cond Light" w:hAnsi="Verdana Pro Cond Light"/>
          <w:lang w:val="lv-LV"/>
        </w:rPr>
        <w:t> </w:t>
      </w:r>
      <w:r w:rsidRPr="00B3276C">
        <w:rPr>
          <w:rFonts w:ascii="Verdana Pro Cond Light" w:hAnsi="Verdana Pro Cond Light"/>
          <w:lang w:val="lv-LV"/>
        </w:rPr>
        <w:t>% ir jaunā nauda (ES fondu finansējums), bet 39,4</w:t>
      </w:r>
      <w:r>
        <w:rPr>
          <w:rFonts w:ascii="Verdana Pro Cond Light" w:hAnsi="Verdana Pro Cond Light"/>
          <w:lang w:val="lv-LV"/>
        </w:rPr>
        <w:t> </w:t>
      </w:r>
      <w:r w:rsidRPr="00B3276C">
        <w:rPr>
          <w:rFonts w:ascii="Verdana Pro Cond Light" w:hAnsi="Verdana Pro Cond Light"/>
          <w:lang w:val="lv-LV"/>
        </w:rPr>
        <w:t>% ir Latvijas privāto uzņēmumu finansējums, kas aizvieto citus izdevumus. Jāpiemin, ka modelējot 3.3.6. pasākuma sociālekonomisko ietekmi, tika ņemti vērā tikai ieguldījumi līdz 2030. gadam ieskaitot. Modelēšanā netika iekļauti pasākumi 3.3.1., 3.3.2. un 3.4.7.1., jo tie ietverti Ekonomikas ministrijas makroekonomisko prognožu bāzes scenārijā.</w:t>
      </w:r>
    </w:p>
    <w:p w14:paraId="7B8868E7" w14:textId="77777777" w:rsidR="00812A72" w:rsidRDefault="00812A72" w:rsidP="00812A72">
      <w:pPr>
        <w:widowControl/>
        <w:spacing w:after="120" w:line="240" w:lineRule="auto"/>
        <w:rPr>
          <w:rFonts w:ascii="Verdana Pro Cond Light" w:hAnsi="Verdana Pro Cond Light"/>
          <w:lang w:val="lv-LV"/>
        </w:rPr>
      </w:pPr>
      <w:r w:rsidRPr="00B3276C">
        <w:rPr>
          <w:rFonts w:ascii="Verdana Pro Cond Light" w:hAnsi="Verdana Pro Cond Light"/>
          <w:lang w:val="lv-LV"/>
        </w:rPr>
        <w:t>Zemākā degvielas cena pozitīvi ietekmē IKP pieauguma tempu īstermiņa, kā arī IKP līmeni īstermiņā un ilgtermiņā. Reālā IKP līmenis 2050. gadā ir par 0,3</w:t>
      </w:r>
      <w:r>
        <w:rPr>
          <w:rFonts w:ascii="Verdana Pro Cond Light" w:hAnsi="Verdana Pro Cond Light"/>
          <w:lang w:val="lv-LV"/>
        </w:rPr>
        <w:t> </w:t>
      </w:r>
      <w:r w:rsidRPr="00B3276C">
        <w:rPr>
          <w:rFonts w:ascii="Verdana Pro Cond Light" w:hAnsi="Verdana Pro Cond Light"/>
          <w:lang w:val="lv-LV"/>
        </w:rPr>
        <w:t>% lielāks nekā neīstenojot enerģētiskās drošības un iekšējā elektrības tirgus pasākumu pasākumus. No IKP komponentēm visvairāk palielinās privātais patēriņš (2030. – 2034. gadā – par 0,4); pozitīva ietekme ir arī uz investīcijām (6.2</w:t>
      </w:r>
      <w:r>
        <w:rPr>
          <w:rFonts w:ascii="Verdana Pro Cond Light" w:hAnsi="Verdana Pro Cond Light"/>
          <w:lang w:val="lv-LV"/>
        </w:rPr>
        <w:t>6</w:t>
      </w:r>
      <w:r w:rsidRPr="00B3276C">
        <w:rPr>
          <w:rFonts w:ascii="Verdana Pro Cond Light" w:hAnsi="Verdana Pro Cond Light"/>
          <w:lang w:val="lv-LV"/>
        </w:rPr>
        <w:t>. attēls). Eksports palielinās vairāk par importu, nedaudz uzlabojot Latvijas tirdzniecības bilanci (no 2030. gada; 6.2</w:t>
      </w:r>
      <w:r>
        <w:rPr>
          <w:rFonts w:ascii="Verdana Pro Cond Light" w:hAnsi="Verdana Pro Cond Light"/>
          <w:lang w:val="lv-LV"/>
        </w:rPr>
        <w:t>7</w:t>
      </w:r>
      <w:r w:rsidRPr="00B3276C">
        <w:rPr>
          <w:rFonts w:ascii="Verdana Pro Cond Light" w:hAnsi="Verdana Pro Cond Light"/>
          <w:lang w:val="lv-LV"/>
        </w:rPr>
        <w:t>.</w:t>
      </w:r>
      <w:r>
        <w:rPr>
          <w:rFonts w:ascii="Verdana Pro Cond Light" w:hAnsi="Verdana Pro Cond Light"/>
          <w:lang w:val="lv-LV"/>
        </w:rPr>
        <w:t> </w:t>
      </w:r>
      <w:r w:rsidRPr="00B3276C">
        <w:rPr>
          <w:rFonts w:ascii="Verdana Pro Cond Light" w:hAnsi="Verdana Pro Cond Light"/>
          <w:lang w:val="lv-LV"/>
        </w:rPr>
        <w:t>attēls).</w:t>
      </w:r>
    </w:p>
    <w:p w14:paraId="3B2D5FAD" w14:textId="77777777" w:rsidR="00812A72" w:rsidRDefault="00812A72" w:rsidP="00812A72">
      <w:pPr>
        <w:widowControl/>
        <w:spacing w:after="120" w:line="240" w:lineRule="auto"/>
        <w:rPr>
          <w:rFonts w:ascii="Verdana Pro Cond Light" w:hAnsi="Verdana Pro Cond Light"/>
          <w:lang w:val="lv-LV"/>
        </w:rPr>
      </w:pPr>
      <w:r w:rsidRPr="00B3276C">
        <w:rPr>
          <w:rFonts w:ascii="Verdana Pro Cond Light" w:hAnsi="Verdana Pro Cond Light"/>
          <w:lang w:val="lv-LV"/>
        </w:rPr>
        <w:t>Zemākai degvielas cenai ir pozitīva ietekme uz produktivitāti, palielinās arī nodarbinātība. Savukārt bezdarba līmenis ir nedaudz mazāks (6.2</w:t>
      </w:r>
      <w:r>
        <w:rPr>
          <w:rFonts w:ascii="Verdana Pro Cond Light" w:hAnsi="Verdana Pro Cond Light"/>
          <w:lang w:val="lv-LV"/>
        </w:rPr>
        <w:t>8</w:t>
      </w:r>
      <w:r w:rsidRPr="00B3276C">
        <w:rPr>
          <w:rFonts w:ascii="Verdana Pro Cond Light" w:hAnsi="Verdana Pro Cond Light"/>
          <w:lang w:val="lv-LV"/>
        </w:rPr>
        <w:t>. attēls).</w:t>
      </w:r>
    </w:p>
    <w:p w14:paraId="56BC5021" w14:textId="77777777" w:rsidR="00812A72" w:rsidRDefault="00812A72" w:rsidP="00812A72">
      <w:pPr>
        <w:widowControl/>
        <w:spacing w:after="120" w:line="240" w:lineRule="auto"/>
        <w:rPr>
          <w:rFonts w:ascii="Verdana Pro Cond Light" w:hAnsi="Verdana Pro Cond Light"/>
          <w:lang w:val="lv-LV"/>
        </w:rPr>
      </w:pPr>
      <w:r w:rsidRPr="00B3276C">
        <w:rPr>
          <w:rFonts w:ascii="Verdana Pro Cond Light" w:hAnsi="Verdana Pro Cond Light"/>
          <w:lang w:val="lv-LV"/>
        </w:rPr>
        <w:t>Lielāka ekonomiskā aktivitāte palielina darbaspēka pieprasījumu un tam ir pozitīvā ietekme uz algām. Vidējā alga nominālā izteiksmē 2030. – 2034. gadā ir par 0,1</w:t>
      </w:r>
      <w:r>
        <w:rPr>
          <w:rFonts w:ascii="Verdana Pro Cond Light" w:hAnsi="Verdana Pro Cond Light"/>
          <w:lang w:val="lv-LV"/>
        </w:rPr>
        <w:t> </w:t>
      </w:r>
      <w:r w:rsidRPr="00B3276C">
        <w:rPr>
          <w:rFonts w:ascii="Verdana Pro Cond Light" w:hAnsi="Verdana Pro Cond Light"/>
          <w:lang w:val="lv-LV"/>
        </w:rPr>
        <w:t>% lielāka nekā bāzes scenārijā. Zemākas degvielas cenas nozīmē zemākas patēriņa cenas kopumā, ņemot vērā arī netiešo degvielas cenu ietekmi uz transporta izmaksām un dažu pakalpojumu (piemēram, gaisa transports, sauszemes transports, uzglabāšana) cenām. Patēriņa cenu līmenis ilgtermiņā ir par 0,3</w:t>
      </w:r>
      <w:r>
        <w:rPr>
          <w:rFonts w:ascii="Verdana Pro Cond Light" w:hAnsi="Verdana Pro Cond Light"/>
          <w:lang w:val="lv-LV"/>
        </w:rPr>
        <w:t> </w:t>
      </w:r>
      <w:r w:rsidRPr="00B3276C">
        <w:rPr>
          <w:rFonts w:ascii="Verdana Pro Cond Light" w:hAnsi="Verdana Pro Cond Light"/>
          <w:lang w:val="lv-LV"/>
        </w:rPr>
        <w:t>% mazāks nekā bāzes scenārijā (6.2</w:t>
      </w:r>
      <w:r>
        <w:rPr>
          <w:rFonts w:ascii="Verdana Pro Cond Light" w:hAnsi="Verdana Pro Cond Light"/>
          <w:lang w:val="lv-LV"/>
        </w:rPr>
        <w:t>9</w:t>
      </w:r>
      <w:r w:rsidRPr="00B3276C">
        <w:rPr>
          <w:rFonts w:ascii="Verdana Pro Cond Light" w:hAnsi="Verdana Pro Cond Light"/>
          <w:lang w:val="lv-LV"/>
        </w:rPr>
        <w:t>.</w:t>
      </w:r>
      <w:r>
        <w:rPr>
          <w:rFonts w:ascii="Verdana Pro Cond Light" w:hAnsi="Verdana Pro Cond Light"/>
          <w:lang w:val="lv-LV"/>
        </w:rPr>
        <w:t> </w:t>
      </w:r>
      <w:r w:rsidRPr="00B3276C">
        <w:rPr>
          <w:rFonts w:ascii="Verdana Pro Cond Light" w:hAnsi="Verdana Pro Cond Light"/>
          <w:lang w:val="lv-LV"/>
        </w:rPr>
        <w:t>attēls). Tādējādi ietekme uz reālo algu (t.i., vidējās algas pirktspēju) ilgtermiņā ir pozitīva.</w:t>
      </w:r>
    </w:p>
    <w:p w14:paraId="115AEB7E" w14:textId="77777777" w:rsidR="00812A72" w:rsidRPr="00B3276C" w:rsidRDefault="00812A72" w:rsidP="00812A72">
      <w:pPr>
        <w:widowControl/>
        <w:spacing w:after="120" w:line="240" w:lineRule="auto"/>
        <w:rPr>
          <w:rFonts w:ascii="Verdana Pro Cond Light" w:hAnsi="Verdana Pro Cond Light"/>
          <w:lang w:val="lv-LV"/>
        </w:rPr>
      </w:pPr>
      <w:r w:rsidRPr="00B3276C">
        <w:rPr>
          <w:rFonts w:ascii="Verdana Pro Cond Light" w:hAnsi="Verdana Pro Cond Light"/>
          <w:lang w:val="lv-LV"/>
        </w:rPr>
        <w:t>Ietekme uz nominālo IKP un tādējādi arī uz valsts budžeta ieņēmumiem nav nozīmīga, jo zemākas patēriņa cenas komponsē reālā IKP pieauguma efektu. Nozaru dalījumā izteikta</w:t>
      </w:r>
      <w:r>
        <w:rPr>
          <w:rFonts w:ascii="Verdana Pro Cond Light" w:hAnsi="Verdana Pro Cond Light"/>
          <w:lang w:val="lv-LV"/>
        </w:rPr>
        <w:t xml:space="preserve"> </w:t>
      </w:r>
      <w:r w:rsidRPr="00B3276C">
        <w:rPr>
          <w:rFonts w:ascii="Verdana Pro Cond Light" w:hAnsi="Verdana Pro Cond Light"/>
          <w:lang w:val="lv-LV"/>
        </w:rPr>
        <w:t>pozitīva ietekme ir uz pievienoto vērtību gaisa transportā, sauszemes transportā un uzglabāšanā, atspoguļojot zemākas degvielas cenas ietekmi (6.</w:t>
      </w:r>
      <w:r>
        <w:rPr>
          <w:rFonts w:ascii="Verdana Pro Cond Light" w:hAnsi="Verdana Pro Cond Light"/>
          <w:lang w:val="lv-LV"/>
        </w:rPr>
        <w:t>30</w:t>
      </w:r>
      <w:r w:rsidRPr="00B3276C">
        <w:rPr>
          <w:rFonts w:ascii="Verdana Pro Cond Light" w:hAnsi="Verdana Pro Cond Light"/>
          <w:lang w:val="lv-LV"/>
        </w:rPr>
        <w:t>. attēls).</w:t>
      </w:r>
    </w:p>
    <w:p w14:paraId="6808EAA8" w14:textId="77777777" w:rsidR="00812A72" w:rsidRDefault="00812A72" w:rsidP="00812A72">
      <w:pPr>
        <w:widowControl/>
        <w:spacing w:after="160" w:line="259" w:lineRule="auto"/>
        <w:rPr>
          <w:rFonts w:ascii="Verdana Pro Cond Light" w:eastAsia="Times New Roman" w:hAnsi="Verdana Pro Cond Light" w:cstheme="minorHAnsi"/>
          <w:bCs/>
          <w:lang w:val="lv-LV" w:eastAsia="lv-LV"/>
        </w:rPr>
      </w:pPr>
      <w:r>
        <w:rPr>
          <w:rFonts w:ascii="Verdana Pro Cond Light" w:eastAsia="Times New Roman" w:hAnsi="Verdana Pro Cond Light" w:cstheme="minorHAnsi"/>
          <w:bCs/>
          <w:lang w:val="lv-LV" w:eastAsia="lv-LV"/>
        </w:rPr>
        <w:br w:type="page"/>
      </w:r>
    </w:p>
    <w:p w14:paraId="391F1D7A" w14:textId="77777777" w:rsidR="00812A72" w:rsidRPr="00B3276C" w:rsidRDefault="00812A72" w:rsidP="00812A72">
      <w:pPr>
        <w:widowControl/>
        <w:spacing w:before="120" w:after="120" w:line="240" w:lineRule="auto"/>
        <w:jc w:val="right"/>
        <w:rPr>
          <w:rFonts w:ascii="Verdana Pro Cond Light" w:eastAsia="Times New Roman" w:hAnsi="Verdana Pro Cond Light" w:cstheme="minorHAnsi"/>
          <w:bCs/>
          <w:lang w:val="lv-LV" w:eastAsia="lv-LV"/>
        </w:rPr>
      </w:pPr>
      <w:r w:rsidRPr="00B3276C">
        <w:rPr>
          <w:rFonts w:ascii="Verdana Pro Cond Light" w:eastAsia="Times New Roman" w:hAnsi="Verdana Pro Cond Light" w:cstheme="minorHAnsi"/>
          <w:bCs/>
          <w:lang w:val="lv-LV" w:eastAsia="lv-LV"/>
        </w:rPr>
        <w:lastRenderedPageBreak/>
        <w:t>6.2</w:t>
      </w:r>
      <w:r>
        <w:rPr>
          <w:rFonts w:ascii="Verdana Pro Cond Light" w:eastAsia="Times New Roman" w:hAnsi="Verdana Pro Cond Light" w:cstheme="minorHAnsi"/>
          <w:bCs/>
          <w:lang w:val="lv-LV" w:eastAsia="lv-LV"/>
        </w:rPr>
        <w:t>6</w:t>
      </w:r>
      <w:r w:rsidRPr="00B3276C">
        <w:rPr>
          <w:rFonts w:ascii="Verdana Pro Cond Light" w:eastAsia="Times New Roman" w:hAnsi="Verdana Pro Cond Light" w:cstheme="minorHAnsi"/>
          <w:bCs/>
          <w:lang w:val="lv-LV" w:eastAsia="lv-LV"/>
        </w:rPr>
        <w:t>. attēls</w:t>
      </w:r>
    </w:p>
    <w:p w14:paraId="79BAA11E" w14:textId="77777777" w:rsidR="00812A72" w:rsidRDefault="00812A72" w:rsidP="00812A72">
      <w:pPr>
        <w:widowControl/>
        <w:spacing w:after="120" w:line="240" w:lineRule="auto"/>
        <w:jc w:val="center"/>
        <w:rPr>
          <w:rFonts w:ascii="Verdana Pro Cond Light" w:eastAsia="Times New Roman" w:hAnsi="Verdana Pro Cond Light"/>
          <w:sz w:val="18"/>
          <w:szCs w:val="18"/>
          <w:lang w:val="lv-LV" w:eastAsia="lv-LV"/>
        </w:rPr>
      </w:pPr>
      <w:r w:rsidRPr="00B3276C">
        <w:rPr>
          <w:rFonts w:ascii="Verdana Pro Cond Light" w:eastAsia="Times New Roman" w:hAnsi="Verdana Pro Cond Light"/>
          <w:b/>
          <w:bCs/>
          <w:lang w:val="lv-LV" w:eastAsia="lv-LV"/>
        </w:rPr>
        <w:t xml:space="preserve">Enerģiskās drošības un iekšējā elektrības tirgus pasākumu ietekme uz </w:t>
      </w:r>
      <w:r>
        <w:rPr>
          <w:rFonts w:ascii="Verdana Pro Cond Light" w:eastAsia="Times New Roman" w:hAnsi="Verdana Pro Cond Light"/>
          <w:b/>
          <w:bCs/>
          <w:lang w:val="lv-LV" w:eastAsia="lv-LV"/>
        </w:rPr>
        <w:br/>
      </w:r>
      <w:r w:rsidRPr="00B3276C">
        <w:rPr>
          <w:rFonts w:ascii="Verdana Pro Cond Light" w:eastAsia="Times New Roman" w:hAnsi="Verdana Pro Cond Light"/>
          <w:b/>
          <w:bCs/>
          <w:lang w:val="lv-LV" w:eastAsia="lv-LV"/>
        </w:rPr>
        <w:t xml:space="preserve">Latvijas iekšzemes kopprodukta līmeni un tā iekšzemes komponentēm </w:t>
      </w:r>
      <w:r>
        <w:rPr>
          <w:rFonts w:ascii="Verdana Pro Cond Light" w:eastAsia="Times New Roman" w:hAnsi="Verdana Pro Cond Light"/>
          <w:b/>
          <w:bCs/>
          <w:lang w:val="lv-LV" w:eastAsia="lv-LV"/>
        </w:rPr>
        <w:br/>
      </w:r>
      <w:r w:rsidRPr="00B3276C">
        <w:rPr>
          <w:rFonts w:ascii="Verdana Pro Cond Light" w:eastAsia="Times New Roman" w:hAnsi="Verdana Pro Cond Light"/>
          <w:sz w:val="18"/>
          <w:szCs w:val="18"/>
          <w:lang w:val="lv-LV" w:eastAsia="lv-LV"/>
        </w:rPr>
        <w:t>%; salīdzinot ar bāzes scenāriju; 2015. gada cenās; 2025. – 2050. gadā</w:t>
      </w:r>
    </w:p>
    <w:p w14:paraId="07C3E6E6" w14:textId="77777777" w:rsidR="00812A72" w:rsidRDefault="00812A72" w:rsidP="00812A72">
      <w:pPr>
        <w:widowControl/>
        <w:spacing w:after="120" w:line="240" w:lineRule="auto"/>
        <w:jc w:val="center"/>
        <w:rPr>
          <w:rFonts w:ascii="Verdana Pro Cond Light" w:hAnsi="Verdana Pro Cond Light"/>
          <w:sz w:val="18"/>
          <w:szCs w:val="18"/>
          <w:lang w:val="lv-LV"/>
        </w:rPr>
      </w:pPr>
    </w:p>
    <w:p w14:paraId="017DC7B8" w14:textId="77777777" w:rsidR="00812A72" w:rsidRDefault="00812A72" w:rsidP="00812A72">
      <w:pPr>
        <w:widowControl/>
        <w:tabs>
          <w:tab w:val="center" w:pos="2410"/>
          <w:tab w:val="center" w:pos="7230"/>
        </w:tabs>
        <w:spacing w:after="120" w:line="240" w:lineRule="auto"/>
        <w:rPr>
          <w:rFonts w:ascii="Verdana Pro Cond Light" w:hAnsi="Verdana Pro Cond Light"/>
          <w:b/>
          <w:bCs/>
          <w:sz w:val="18"/>
          <w:szCs w:val="18"/>
          <w:lang w:val="lv-LV"/>
        </w:rPr>
      </w:pPr>
      <w:r>
        <w:rPr>
          <w:rFonts w:ascii="Verdana Pro Cond Light" w:hAnsi="Verdana Pro Cond Light"/>
          <w:b/>
          <w:bCs/>
          <w:sz w:val="18"/>
          <w:szCs w:val="18"/>
          <w:lang w:val="lv-LV"/>
        </w:rPr>
        <w:tab/>
      </w:r>
      <w:r w:rsidRPr="00B3276C">
        <w:rPr>
          <w:rFonts w:ascii="Verdana Pro Cond Light" w:hAnsi="Verdana Pro Cond Light"/>
          <w:b/>
          <w:bCs/>
          <w:sz w:val="18"/>
          <w:szCs w:val="18"/>
          <w:lang w:val="lv-LV"/>
        </w:rPr>
        <w:t>Ietekme uz iekšzemes kopprodukta līmeni</w:t>
      </w:r>
      <w:r w:rsidRPr="00B3276C">
        <w:rPr>
          <w:rFonts w:ascii="Verdana Pro Cond Light" w:hAnsi="Verdana Pro Cond Light"/>
          <w:b/>
          <w:bCs/>
          <w:sz w:val="18"/>
          <w:szCs w:val="18"/>
          <w:lang w:val="lv-LV"/>
        </w:rPr>
        <w:tab/>
        <w:t>Ietekme uz investīcijām un patēriņu</w:t>
      </w:r>
    </w:p>
    <w:p w14:paraId="5163A03B" w14:textId="77777777" w:rsidR="00812A72" w:rsidRPr="00B3276C" w:rsidRDefault="00812A72" w:rsidP="00812A72">
      <w:pPr>
        <w:widowControl/>
        <w:tabs>
          <w:tab w:val="center" w:pos="2410"/>
          <w:tab w:val="center" w:pos="7230"/>
        </w:tabs>
        <w:spacing w:after="120" w:line="240" w:lineRule="auto"/>
        <w:ind w:right="-143"/>
        <w:rPr>
          <w:rFonts w:ascii="Verdana Pro Cond Light" w:hAnsi="Verdana Pro Cond Light"/>
          <w:b/>
          <w:bCs/>
          <w:sz w:val="18"/>
          <w:szCs w:val="18"/>
          <w:lang w:val="lv-LV"/>
        </w:rPr>
      </w:pPr>
      <w:r w:rsidRPr="003C4B3C">
        <w:rPr>
          <w:rFonts w:ascii="Minion Pro" w:hAnsi="Minion Pro" w:cstheme="minorHAnsi"/>
          <w:noProof/>
          <w:sz w:val="24"/>
          <w:szCs w:val="24"/>
        </w:rPr>
        <w:drawing>
          <wp:inline distT="0" distB="0" distL="0" distR="0" wp14:anchorId="087AC204" wp14:editId="6871C607">
            <wp:extent cx="3060000" cy="2160000"/>
            <wp:effectExtent l="0" t="0" r="0" b="0"/>
            <wp:docPr id="1150292359" name="Chart 1150292359">
              <a:extLst xmlns:a="http://schemas.openxmlformats.org/drawingml/2006/main">
                <a:ext uri="{FF2B5EF4-FFF2-40B4-BE49-F238E27FC236}">
                  <a16:creationId xmlns:a16="http://schemas.microsoft.com/office/drawing/2014/main" id="{C0B412E0-20D9-9C02-797F-E1BB76C514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1"/>
              </a:graphicData>
            </a:graphic>
          </wp:inline>
        </w:drawing>
      </w:r>
      <w:r w:rsidRPr="003C4B3C">
        <w:rPr>
          <w:rFonts w:ascii="Minion Pro" w:hAnsi="Minion Pro" w:cstheme="minorHAnsi"/>
          <w:noProof/>
          <w:sz w:val="24"/>
          <w:szCs w:val="24"/>
        </w:rPr>
        <w:drawing>
          <wp:inline distT="0" distB="0" distL="0" distR="0" wp14:anchorId="6FC6EBAF" wp14:editId="3D4C7D0E">
            <wp:extent cx="3060000" cy="2160000"/>
            <wp:effectExtent l="0" t="0" r="0" b="0"/>
            <wp:docPr id="836218035" name="Chart 836218035">
              <a:extLst xmlns:a="http://schemas.openxmlformats.org/drawingml/2006/main">
                <a:ext uri="{FF2B5EF4-FFF2-40B4-BE49-F238E27FC236}">
                  <a16:creationId xmlns:a16="http://schemas.microsoft.com/office/drawing/2014/main" id="{DA49B370-F5C9-6939-A1AB-36EBEF097AC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2"/>
              </a:graphicData>
            </a:graphic>
          </wp:inline>
        </w:drawing>
      </w:r>
    </w:p>
    <w:p w14:paraId="7606CEB9" w14:textId="77777777" w:rsidR="00812A72" w:rsidRPr="00097491" w:rsidRDefault="00812A72" w:rsidP="00812A72">
      <w:pPr>
        <w:widowControl/>
        <w:spacing w:before="120" w:after="120" w:line="240" w:lineRule="auto"/>
        <w:jc w:val="both"/>
        <w:rPr>
          <w:rFonts w:ascii="Arial Nova Cond Light" w:eastAsia="Times New Roman" w:hAnsi="Arial Nova Cond Light"/>
          <w:sz w:val="16"/>
          <w:szCs w:val="24"/>
          <w:lang w:val="lv-LV" w:eastAsia="lv-LV"/>
        </w:rPr>
      </w:pPr>
      <w:r w:rsidRPr="00097491">
        <w:rPr>
          <w:rFonts w:ascii="Arial Nova Cond Light" w:eastAsia="Times New Roman" w:hAnsi="Arial Nova Cond Light"/>
          <w:sz w:val="16"/>
          <w:szCs w:val="24"/>
          <w:lang w:val="lv-LV" w:eastAsia="lv-LV"/>
        </w:rPr>
        <w:t>Avots: autoru aprēķins, izmantojot VLA modeli.</w:t>
      </w:r>
    </w:p>
    <w:p w14:paraId="7E358BF6" w14:textId="77777777" w:rsidR="00812A72" w:rsidRDefault="00812A72" w:rsidP="00812A72">
      <w:pPr>
        <w:widowControl/>
        <w:spacing w:before="120" w:after="120" w:line="240" w:lineRule="auto"/>
        <w:jc w:val="right"/>
        <w:rPr>
          <w:rFonts w:ascii="Verdana Pro Cond Light" w:eastAsia="Times New Roman" w:hAnsi="Verdana Pro Cond Light" w:cstheme="minorHAnsi"/>
          <w:bCs/>
          <w:lang w:val="lv-LV" w:eastAsia="lv-LV"/>
        </w:rPr>
      </w:pPr>
    </w:p>
    <w:p w14:paraId="674746D7" w14:textId="77777777" w:rsidR="00812A72" w:rsidRPr="001D24AD" w:rsidRDefault="00812A72" w:rsidP="00812A72">
      <w:pPr>
        <w:widowControl/>
        <w:spacing w:before="120" w:after="120" w:line="240" w:lineRule="auto"/>
        <w:jc w:val="right"/>
        <w:rPr>
          <w:rFonts w:ascii="Verdana Pro Cond Light" w:eastAsia="Times New Roman" w:hAnsi="Verdana Pro Cond Light" w:cstheme="minorHAnsi"/>
          <w:bCs/>
          <w:lang w:val="lv-LV" w:eastAsia="lv-LV"/>
        </w:rPr>
      </w:pPr>
      <w:r w:rsidRPr="001D24AD">
        <w:rPr>
          <w:rFonts w:ascii="Verdana Pro Cond Light" w:eastAsia="Times New Roman" w:hAnsi="Verdana Pro Cond Light" w:cstheme="minorHAnsi"/>
          <w:bCs/>
          <w:lang w:val="lv-LV" w:eastAsia="lv-LV"/>
        </w:rPr>
        <w:t>6.2</w:t>
      </w:r>
      <w:r>
        <w:rPr>
          <w:rFonts w:ascii="Verdana Pro Cond Light" w:eastAsia="Times New Roman" w:hAnsi="Verdana Pro Cond Light" w:cstheme="minorHAnsi"/>
          <w:bCs/>
          <w:lang w:val="lv-LV" w:eastAsia="lv-LV"/>
        </w:rPr>
        <w:t>7</w:t>
      </w:r>
      <w:r w:rsidRPr="001D24AD">
        <w:rPr>
          <w:rFonts w:ascii="Verdana Pro Cond Light" w:eastAsia="Times New Roman" w:hAnsi="Verdana Pro Cond Light" w:cstheme="minorHAnsi"/>
          <w:bCs/>
          <w:lang w:val="lv-LV" w:eastAsia="lv-LV"/>
        </w:rPr>
        <w:t>. attēls</w:t>
      </w:r>
    </w:p>
    <w:p w14:paraId="3475844B" w14:textId="77777777" w:rsidR="00812A72" w:rsidRPr="00537DE7" w:rsidRDefault="00812A72" w:rsidP="00812A72">
      <w:pPr>
        <w:widowControl/>
        <w:spacing w:before="120" w:after="120" w:line="240" w:lineRule="auto"/>
        <w:jc w:val="center"/>
        <w:rPr>
          <w:rFonts w:ascii="Verdana Pro Cond Light" w:eastAsia="Times New Roman" w:hAnsi="Verdana Pro Cond Light"/>
          <w:sz w:val="18"/>
          <w:szCs w:val="18"/>
          <w:lang w:val="lv-LV" w:eastAsia="lv-LV"/>
        </w:rPr>
      </w:pPr>
      <w:r w:rsidRPr="001D24AD">
        <w:rPr>
          <w:rFonts w:ascii="Verdana Pro Cond Light" w:eastAsia="Times New Roman" w:hAnsi="Verdana Pro Cond Light"/>
          <w:b/>
          <w:bCs/>
          <w:lang w:val="lv-LV" w:eastAsia="lv-LV"/>
        </w:rPr>
        <w:t>Enerģiskās drošības un iekšējā elektrības tirgus</w:t>
      </w:r>
      <w:r w:rsidRPr="00537DE7">
        <w:rPr>
          <w:rFonts w:ascii="Verdana Pro Cond Light" w:eastAsia="Times New Roman" w:hAnsi="Verdana Pro Cond Light"/>
          <w:b/>
          <w:bCs/>
          <w:lang w:val="lv-LV" w:eastAsia="lv-LV"/>
        </w:rPr>
        <w:t xml:space="preserve"> pasākumu ietekme uz </w:t>
      </w:r>
      <w:r w:rsidRPr="00537DE7">
        <w:rPr>
          <w:rFonts w:ascii="Verdana Pro Cond Light" w:eastAsia="Times New Roman" w:hAnsi="Verdana Pro Cond Light"/>
          <w:b/>
          <w:bCs/>
          <w:lang w:val="lv-LV" w:eastAsia="lv-LV"/>
        </w:rPr>
        <w:br/>
        <w:t xml:space="preserve">Latvijas eksportu, importu un tirdzniecības bilanci </w:t>
      </w:r>
      <w:r w:rsidRPr="00537DE7">
        <w:rPr>
          <w:rFonts w:ascii="Verdana Pro Cond Light" w:eastAsia="Times New Roman" w:hAnsi="Verdana Pro Cond Light"/>
          <w:b/>
          <w:bCs/>
          <w:lang w:val="lv-LV" w:eastAsia="lv-LV"/>
        </w:rPr>
        <w:br/>
      </w:r>
      <w:r w:rsidRPr="00537DE7">
        <w:rPr>
          <w:rFonts w:ascii="Verdana Pro Cond Light" w:eastAsia="Times New Roman" w:hAnsi="Verdana Pro Cond Light"/>
          <w:sz w:val="18"/>
          <w:szCs w:val="18"/>
          <w:lang w:val="lv-LV" w:eastAsia="lv-LV"/>
        </w:rPr>
        <w:t>salīdzinot ar bāzes scenāriju; 2025. – 2050. gadā</w:t>
      </w:r>
    </w:p>
    <w:p w14:paraId="1B60F116" w14:textId="77777777" w:rsidR="00812A72" w:rsidRPr="00537DE7" w:rsidRDefault="00812A72" w:rsidP="00812A72">
      <w:pPr>
        <w:widowControl/>
        <w:spacing w:before="120" w:after="120" w:line="240" w:lineRule="auto"/>
        <w:jc w:val="center"/>
        <w:rPr>
          <w:rFonts w:ascii="Verdana Pro Cond Light" w:eastAsia="Times New Roman" w:hAnsi="Verdana Pro Cond Light"/>
          <w:sz w:val="18"/>
          <w:szCs w:val="18"/>
          <w:lang w:val="lv-LV" w:eastAsia="lv-LV"/>
        </w:rPr>
      </w:pPr>
    </w:p>
    <w:p w14:paraId="710DA98A" w14:textId="77777777" w:rsidR="00812A72" w:rsidRPr="00097491" w:rsidRDefault="00812A72" w:rsidP="00812A72">
      <w:pPr>
        <w:widowControl/>
        <w:tabs>
          <w:tab w:val="center" w:pos="2410"/>
          <w:tab w:val="center" w:pos="7230"/>
        </w:tabs>
        <w:spacing w:before="120" w:after="120" w:line="240" w:lineRule="auto"/>
        <w:rPr>
          <w:rFonts w:ascii="Verdana Pro Cond Light" w:eastAsia="Times New Roman" w:hAnsi="Verdana Pro Cond Light"/>
          <w:b/>
          <w:bCs/>
          <w:sz w:val="18"/>
          <w:szCs w:val="18"/>
          <w:lang w:val="lv-LV" w:eastAsia="lv-LV"/>
        </w:rPr>
      </w:pPr>
      <w:r w:rsidRPr="00537DE7">
        <w:rPr>
          <w:rFonts w:ascii="Verdana Pro Cond Light" w:eastAsia="Times New Roman" w:hAnsi="Verdana Pro Cond Light"/>
          <w:b/>
          <w:bCs/>
          <w:sz w:val="18"/>
          <w:szCs w:val="18"/>
          <w:lang w:val="lv-LV" w:eastAsia="lv-LV"/>
        </w:rPr>
        <w:tab/>
      </w:r>
      <w:r w:rsidRPr="00097491">
        <w:rPr>
          <w:rFonts w:ascii="Verdana Pro Cond Light" w:eastAsia="Times New Roman" w:hAnsi="Verdana Pro Cond Light"/>
          <w:b/>
          <w:bCs/>
          <w:sz w:val="18"/>
          <w:szCs w:val="18"/>
          <w:lang w:val="lv-LV" w:eastAsia="lv-LV"/>
        </w:rPr>
        <w:t>Ietekme uz Latvijas eksportu un importu (%)</w:t>
      </w:r>
      <w:r w:rsidRPr="00097491">
        <w:rPr>
          <w:rFonts w:ascii="Verdana Pro Cond Light" w:eastAsia="Times New Roman" w:hAnsi="Verdana Pro Cond Light"/>
          <w:b/>
          <w:bCs/>
          <w:sz w:val="18"/>
          <w:szCs w:val="18"/>
          <w:lang w:val="lv-LV" w:eastAsia="lv-LV"/>
        </w:rPr>
        <w:tab/>
        <w:t>Ietekme uz Latvijas tirdzniecības bilanci (pp. no IKP)</w:t>
      </w:r>
    </w:p>
    <w:p w14:paraId="342DF717" w14:textId="77777777" w:rsidR="00812A72" w:rsidRPr="001D24AD" w:rsidRDefault="00812A72" w:rsidP="00812A72">
      <w:pPr>
        <w:widowControl/>
        <w:tabs>
          <w:tab w:val="center" w:pos="2410"/>
          <w:tab w:val="center" w:pos="7230"/>
        </w:tabs>
        <w:spacing w:before="120" w:after="120" w:line="240" w:lineRule="auto"/>
        <w:ind w:right="-143"/>
        <w:rPr>
          <w:rFonts w:ascii="Verdana Pro Cond Light" w:eastAsia="Times New Roman" w:hAnsi="Verdana Pro Cond Light"/>
          <w:b/>
          <w:bCs/>
          <w:sz w:val="18"/>
          <w:szCs w:val="18"/>
          <w:lang w:eastAsia="lv-LV"/>
        </w:rPr>
      </w:pPr>
      <w:r w:rsidRPr="003C4B3C">
        <w:rPr>
          <w:rFonts w:ascii="Minion Pro" w:hAnsi="Minion Pro" w:cstheme="minorHAnsi"/>
          <w:noProof/>
          <w:sz w:val="24"/>
          <w:szCs w:val="24"/>
        </w:rPr>
        <w:drawing>
          <wp:inline distT="0" distB="0" distL="0" distR="0" wp14:anchorId="3A664BE4" wp14:editId="017A4073">
            <wp:extent cx="3060000" cy="2160000"/>
            <wp:effectExtent l="0" t="0" r="0" b="0"/>
            <wp:docPr id="15986797" name="Chart 15986797">
              <a:extLst xmlns:a="http://schemas.openxmlformats.org/drawingml/2006/main">
                <a:ext uri="{FF2B5EF4-FFF2-40B4-BE49-F238E27FC236}">
                  <a16:creationId xmlns:a16="http://schemas.microsoft.com/office/drawing/2014/main" id="{013AA65C-5627-335A-2509-D049CDF1205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3"/>
              </a:graphicData>
            </a:graphic>
          </wp:inline>
        </w:drawing>
      </w:r>
      <w:r w:rsidRPr="003C4B3C">
        <w:rPr>
          <w:rFonts w:ascii="Minion Pro" w:hAnsi="Minion Pro" w:cstheme="minorHAnsi"/>
          <w:noProof/>
          <w:sz w:val="24"/>
          <w:szCs w:val="24"/>
        </w:rPr>
        <w:drawing>
          <wp:inline distT="0" distB="0" distL="0" distR="0" wp14:anchorId="4A072E5B" wp14:editId="108A23D7">
            <wp:extent cx="3060000" cy="2160000"/>
            <wp:effectExtent l="0" t="0" r="0" b="0"/>
            <wp:docPr id="173076439" name="Chart 173076439">
              <a:extLst xmlns:a="http://schemas.openxmlformats.org/drawingml/2006/main">
                <a:ext uri="{FF2B5EF4-FFF2-40B4-BE49-F238E27FC236}">
                  <a16:creationId xmlns:a16="http://schemas.microsoft.com/office/drawing/2014/main" id="{C0B412E0-20D9-9C02-797F-E1BB76C514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4"/>
              </a:graphicData>
            </a:graphic>
          </wp:inline>
        </w:drawing>
      </w:r>
    </w:p>
    <w:p w14:paraId="626CECD1" w14:textId="77777777" w:rsidR="00812A72" w:rsidRPr="001D24AD" w:rsidRDefault="00812A72" w:rsidP="00812A72">
      <w:pPr>
        <w:widowControl/>
        <w:spacing w:before="120" w:after="120" w:line="240" w:lineRule="auto"/>
        <w:jc w:val="both"/>
        <w:rPr>
          <w:rFonts w:ascii="Arial Nova Cond Light" w:eastAsia="Times New Roman" w:hAnsi="Arial Nova Cond Light"/>
          <w:sz w:val="16"/>
          <w:szCs w:val="24"/>
          <w:lang w:eastAsia="lv-LV"/>
        </w:rPr>
      </w:pPr>
      <w:r w:rsidRPr="001D24AD">
        <w:rPr>
          <w:rFonts w:ascii="Arial Nova Cond Light" w:eastAsia="Times New Roman" w:hAnsi="Arial Nova Cond Light"/>
          <w:sz w:val="16"/>
          <w:szCs w:val="24"/>
          <w:lang w:eastAsia="lv-LV"/>
        </w:rPr>
        <w:t>Avots: autoru aprēķins, izmantojot VLA modeli.</w:t>
      </w:r>
    </w:p>
    <w:p w14:paraId="07C6085D" w14:textId="77777777" w:rsidR="00812A72" w:rsidRDefault="00812A72" w:rsidP="00812A72">
      <w:pPr>
        <w:widowControl/>
        <w:spacing w:after="160" w:line="240" w:lineRule="auto"/>
        <w:rPr>
          <w:rFonts w:ascii="Minion Pro" w:eastAsia="Times New Roman" w:hAnsi="Minion Pro" w:cstheme="minorHAnsi"/>
          <w:sz w:val="16"/>
          <w:szCs w:val="24"/>
          <w:lang w:eastAsia="lv-LV"/>
        </w:rPr>
      </w:pPr>
      <w:r>
        <w:rPr>
          <w:rFonts w:ascii="Minion Pro" w:eastAsia="Times New Roman" w:hAnsi="Minion Pro" w:cstheme="minorHAnsi"/>
          <w:sz w:val="16"/>
          <w:szCs w:val="24"/>
          <w:lang w:eastAsia="lv-LV"/>
        </w:rPr>
        <w:br w:type="page"/>
      </w:r>
    </w:p>
    <w:p w14:paraId="533B839E" w14:textId="77777777" w:rsidR="00812A72" w:rsidRPr="001D24AD" w:rsidRDefault="00812A72" w:rsidP="00812A72">
      <w:pPr>
        <w:widowControl/>
        <w:spacing w:before="120" w:after="120" w:line="240" w:lineRule="auto"/>
        <w:jc w:val="right"/>
        <w:rPr>
          <w:rFonts w:ascii="Verdana Pro Cond Light" w:eastAsia="Times New Roman" w:hAnsi="Verdana Pro Cond Light" w:cstheme="minorHAnsi"/>
          <w:bCs/>
          <w:lang w:eastAsia="lv-LV"/>
        </w:rPr>
      </w:pPr>
      <w:r w:rsidRPr="001D24AD">
        <w:rPr>
          <w:rFonts w:ascii="Verdana Pro Cond Light" w:eastAsia="Times New Roman" w:hAnsi="Verdana Pro Cond Light" w:cstheme="minorHAnsi"/>
          <w:bCs/>
          <w:lang w:eastAsia="lv-LV"/>
        </w:rPr>
        <w:lastRenderedPageBreak/>
        <w:t>6.2</w:t>
      </w:r>
      <w:r>
        <w:rPr>
          <w:rFonts w:ascii="Verdana Pro Cond Light" w:eastAsia="Times New Roman" w:hAnsi="Verdana Pro Cond Light" w:cstheme="minorHAnsi"/>
          <w:bCs/>
          <w:lang w:eastAsia="lv-LV"/>
        </w:rPr>
        <w:t>8</w:t>
      </w:r>
      <w:r w:rsidRPr="001D24AD">
        <w:rPr>
          <w:rFonts w:ascii="Verdana Pro Cond Light" w:eastAsia="Times New Roman" w:hAnsi="Verdana Pro Cond Light" w:cstheme="minorHAnsi"/>
          <w:bCs/>
          <w:lang w:eastAsia="lv-LV"/>
        </w:rPr>
        <w:t>. attēls</w:t>
      </w:r>
    </w:p>
    <w:p w14:paraId="2D352834" w14:textId="77777777" w:rsidR="00812A72" w:rsidRPr="001D24AD" w:rsidRDefault="00812A72" w:rsidP="00812A72">
      <w:pPr>
        <w:widowControl/>
        <w:spacing w:after="120" w:line="240" w:lineRule="auto"/>
        <w:jc w:val="center"/>
        <w:rPr>
          <w:rFonts w:ascii="Verdana Pro Cond Light" w:eastAsia="Times New Roman" w:hAnsi="Verdana Pro Cond Light"/>
          <w:sz w:val="18"/>
          <w:szCs w:val="18"/>
          <w:lang w:eastAsia="lv-LV"/>
        </w:rPr>
      </w:pPr>
      <w:r w:rsidRPr="001D24AD">
        <w:rPr>
          <w:rFonts w:ascii="Verdana Pro Cond Light" w:eastAsia="Times New Roman" w:hAnsi="Verdana Pro Cond Light"/>
          <w:b/>
          <w:bCs/>
          <w:lang w:val="lv-LV" w:eastAsia="lv-LV"/>
        </w:rPr>
        <w:t>Enerģiskās drošības un iekšējā elektrības tirgus</w:t>
      </w:r>
      <w:r w:rsidRPr="001D24AD">
        <w:rPr>
          <w:rFonts w:ascii="Verdana Pro Cond Light" w:eastAsia="Times New Roman" w:hAnsi="Verdana Pro Cond Light"/>
          <w:b/>
          <w:bCs/>
          <w:lang w:eastAsia="lv-LV"/>
        </w:rPr>
        <w:t xml:space="preserve"> pasākumu ietekme uz </w:t>
      </w:r>
      <w:r>
        <w:rPr>
          <w:rFonts w:ascii="Verdana Pro Cond Light" w:eastAsia="Times New Roman" w:hAnsi="Verdana Pro Cond Light"/>
          <w:b/>
          <w:bCs/>
          <w:lang w:eastAsia="lv-LV"/>
        </w:rPr>
        <w:br/>
      </w:r>
      <w:r w:rsidRPr="001D24AD">
        <w:rPr>
          <w:rFonts w:ascii="Verdana Pro Cond Light" w:eastAsia="Times New Roman" w:hAnsi="Verdana Pro Cond Light"/>
          <w:b/>
          <w:bCs/>
          <w:lang w:eastAsia="lv-LV"/>
        </w:rPr>
        <w:t xml:space="preserve">nodarbināto skaitu un bezdarba līmeni Latvijā </w:t>
      </w:r>
      <w:r>
        <w:rPr>
          <w:rFonts w:ascii="Verdana Pro Cond Light" w:eastAsia="Times New Roman" w:hAnsi="Verdana Pro Cond Light"/>
          <w:b/>
          <w:bCs/>
          <w:lang w:eastAsia="lv-LV"/>
        </w:rPr>
        <w:br/>
      </w:r>
      <w:r w:rsidRPr="001D24AD">
        <w:rPr>
          <w:rFonts w:ascii="Verdana Pro Cond Light" w:eastAsia="Times New Roman" w:hAnsi="Verdana Pro Cond Light"/>
          <w:sz w:val="18"/>
          <w:szCs w:val="18"/>
          <w:lang w:eastAsia="lv-LV"/>
        </w:rPr>
        <w:t>salīdzinot ar bāzes scenāriju; 2025. – 2050. gadā</w:t>
      </w:r>
    </w:p>
    <w:p w14:paraId="6B542AA1" w14:textId="77777777" w:rsidR="00812A72" w:rsidRDefault="00812A72" w:rsidP="00812A72">
      <w:pPr>
        <w:widowControl/>
        <w:spacing w:after="120" w:line="240" w:lineRule="auto"/>
        <w:jc w:val="center"/>
        <w:rPr>
          <w:rFonts w:ascii="Verdana Pro Cond Light" w:eastAsia="Times New Roman" w:hAnsi="Verdana Pro Cond Light"/>
          <w:b/>
          <w:bCs/>
          <w:lang w:eastAsia="lv-LV"/>
        </w:rPr>
      </w:pPr>
    </w:p>
    <w:p w14:paraId="16F4573B" w14:textId="77777777" w:rsidR="00812A72" w:rsidRDefault="00812A72" w:rsidP="00812A72">
      <w:pPr>
        <w:widowControl/>
        <w:tabs>
          <w:tab w:val="center" w:pos="2410"/>
          <w:tab w:val="center" w:pos="7230"/>
        </w:tabs>
        <w:spacing w:after="120" w:line="240" w:lineRule="auto"/>
        <w:rPr>
          <w:rFonts w:ascii="Verdana Pro Cond Light" w:eastAsia="Times New Roman" w:hAnsi="Verdana Pro Cond Light"/>
          <w:sz w:val="18"/>
          <w:szCs w:val="18"/>
          <w:lang w:eastAsia="lv-LV"/>
        </w:rPr>
      </w:pPr>
      <w:r>
        <w:rPr>
          <w:rFonts w:ascii="Verdana Pro Cond Light" w:eastAsia="Times New Roman" w:hAnsi="Verdana Pro Cond Light"/>
          <w:b/>
          <w:bCs/>
          <w:sz w:val="18"/>
          <w:szCs w:val="18"/>
          <w:lang w:eastAsia="lv-LV"/>
        </w:rPr>
        <w:tab/>
      </w:r>
      <w:r w:rsidRPr="001D24AD">
        <w:rPr>
          <w:rFonts w:ascii="Verdana Pro Cond Light" w:eastAsia="Times New Roman" w:hAnsi="Verdana Pro Cond Light"/>
          <w:b/>
          <w:bCs/>
          <w:sz w:val="18"/>
          <w:szCs w:val="18"/>
          <w:lang w:eastAsia="lv-LV"/>
        </w:rPr>
        <w:t xml:space="preserve">Ietekme uz nodarbināto skaitu (%) </w:t>
      </w:r>
      <w:r w:rsidRPr="001D24AD">
        <w:rPr>
          <w:rFonts w:ascii="Verdana Pro Cond Light" w:eastAsia="Times New Roman" w:hAnsi="Verdana Pro Cond Light"/>
          <w:b/>
          <w:bCs/>
          <w:sz w:val="18"/>
          <w:szCs w:val="18"/>
          <w:lang w:eastAsia="lv-LV"/>
        </w:rPr>
        <w:tab/>
        <w:t xml:space="preserve">Ietekme uz bezdarba līmeni </w:t>
      </w:r>
      <w:r>
        <w:rPr>
          <w:rFonts w:ascii="Verdana Pro Cond Light" w:eastAsia="Times New Roman" w:hAnsi="Verdana Pro Cond Light"/>
          <w:b/>
          <w:bCs/>
          <w:sz w:val="18"/>
          <w:szCs w:val="18"/>
          <w:lang w:eastAsia="lv-LV"/>
        </w:rPr>
        <w:br/>
      </w:r>
      <w:r w:rsidRPr="001D24AD">
        <w:rPr>
          <w:rFonts w:ascii="Verdana Pro Cond Light" w:eastAsia="Times New Roman" w:hAnsi="Verdana Pro Cond Light"/>
          <w:sz w:val="18"/>
          <w:szCs w:val="18"/>
          <w:lang w:eastAsia="lv-LV"/>
        </w:rPr>
        <w:tab/>
      </w:r>
      <w:r w:rsidRPr="001D24AD">
        <w:rPr>
          <w:rFonts w:ascii="Verdana Pro Cond Light" w:eastAsia="Times New Roman" w:hAnsi="Verdana Pro Cond Light"/>
          <w:sz w:val="18"/>
          <w:szCs w:val="18"/>
          <w:lang w:eastAsia="lv-LV"/>
        </w:rPr>
        <w:tab/>
        <w:t>pp. no ekonomiski aktīvajiem iedzīvotājiem</w:t>
      </w:r>
    </w:p>
    <w:p w14:paraId="36C325E9" w14:textId="77777777" w:rsidR="00812A72" w:rsidRPr="001D24AD" w:rsidRDefault="00812A72" w:rsidP="00812A72">
      <w:pPr>
        <w:widowControl/>
        <w:tabs>
          <w:tab w:val="center" w:pos="2410"/>
          <w:tab w:val="center" w:pos="7230"/>
        </w:tabs>
        <w:spacing w:after="120" w:line="240" w:lineRule="auto"/>
        <w:ind w:right="-143"/>
        <w:rPr>
          <w:rFonts w:ascii="Verdana Pro Cond Light" w:eastAsia="Times New Roman" w:hAnsi="Verdana Pro Cond Light"/>
          <w:sz w:val="18"/>
          <w:szCs w:val="18"/>
          <w:lang w:eastAsia="lv-LV"/>
        </w:rPr>
      </w:pPr>
      <w:r w:rsidRPr="001D24AD">
        <w:rPr>
          <w:rFonts w:ascii="Verdana Pro Cond Light" w:hAnsi="Verdana Pro Cond Light" w:cstheme="minorHAnsi"/>
          <w:noProof/>
        </w:rPr>
        <w:drawing>
          <wp:inline distT="0" distB="0" distL="0" distR="0" wp14:anchorId="1E8DB8B0" wp14:editId="3DF2F9A6">
            <wp:extent cx="3060000" cy="2160000"/>
            <wp:effectExtent l="0" t="0" r="7620" b="0"/>
            <wp:docPr id="1348984744" name="Chart 1348984744">
              <a:extLst xmlns:a="http://schemas.openxmlformats.org/drawingml/2006/main">
                <a:ext uri="{FF2B5EF4-FFF2-40B4-BE49-F238E27FC236}">
                  <a16:creationId xmlns:a16="http://schemas.microsoft.com/office/drawing/2014/main" id="{C0B412E0-20D9-9C02-797F-E1BB76C514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5"/>
              </a:graphicData>
            </a:graphic>
          </wp:inline>
        </w:drawing>
      </w:r>
      <w:r w:rsidRPr="001D24AD">
        <w:rPr>
          <w:rFonts w:ascii="Verdana Pro Cond Light" w:hAnsi="Verdana Pro Cond Light" w:cstheme="minorHAnsi"/>
          <w:noProof/>
        </w:rPr>
        <w:drawing>
          <wp:inline distT="0" distB="0" distL="0" distR="0" wp14:anchorId="2D603A9C" wp14:editId="5FB53C53">
            <wp:extent cx="3060000" cy="2160000"/>
            <wp:effectExtent l="0" t="0" r="0" b="0"/>
            <wp:docPr id="405110227" name="Chart 405110227">
              <a:extLst xmlns:a="http://schemas.openxmlformats.org/drawingml/2006/main">
                <a:ext uri="{FF2B5EF4-FFF2-40B4-BE49-F238E27FC236}">
                  <a16:creationId xmlns:a16="http://schemas.microsoft.com/office/drawing/2014/main" id="{C0B412E0-20D9-9C02-797F-E1BB76C514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6"/>
              </a:graphicData>
            </a:graphic>
          </wp:inline>
        </w:drawing>
      </w:r>
    </w:p>
    <w:p w14:paraId="77922D50" w14:textId="77777777" w:rsidR="00812A72" w:rsidRDefault="00812A72" w:rsidP="00812A72">
      <w:pPr>
        <w:widowControl/>
        <w:spacing w:before="120" w:after="120" w:line="240" w:lineRule="auto"/>
        <w:jc w:val="both"/>
        <w:rPr>
          <w:rFonts w:ascii="Arial Nova Cond Light" w:eastAsia="Times New Roman" w:hAnsi="Arial Nova Cond Light"/>
          <w:sz w:val="16"/>
          <w:szCs w:val="24"/>
          <w:lang w:eastAsia="lv-LV"/>
        </w:rPr>
      </w:pPr>
      <w:r w:rsidRPr="001D24AD">
        <w:rPr>
          <w:rFonts w:ascii="Arial Nova Cond Light" w:eastAsia="Times New Roman" w:hAnsi="Arial Nova Cond Light"/>
          <w:sz w:val="16"/>
          <w:szCs w:val="24"/>
          <w:lang w:eastAsia="lv-LV"/>
        </w:rPr>
        <w:t>Avots: autoru aprēķins, izmantojot VLA modeli.</w:t>
      </w:r>
    </w:p>
    <w:p w14:paraId="3DE155D1" w14:textId="77777777" w:rsidR="00812A72" w:rsidRPr="001D24AD" w:rsidRDefault="00812A72" w:rsidP="00812A72">
      <w:pPr>
        <w:widowControl/>
        <w:spacing w:after="120" w:line="240" w:lineRule="auto"/>
        <w:jc w:val="both"/>
        <w:rPr>
          <w:rFonts w:ascii="Verdana Pro Cond Light" w:eastAsia="Times New Roman" w:hAnsi="Verdana Pro Cond Light" w:cstheme="minorHAnsi"/>
          <w:lang w:eastAsia="lv-LV"/>
        </w:rPr>
      </w:pPr>
    </w:p>
    <w:p w14:paraId="08A6013B" w14:textId="77777777" w:rsidR="00812A72" w:rsidRPr="001D24AD" w:rsidRDefault="00812A72" w:rsidP="00812A72">
      <w:pPr>
        <w:widowControl/>
        <w:spacing w:before="120" w:after="120" w:line="240" w:lineRule="auto"/>
        <w:jc w:val="right"/>
        <w:rPr>
          <w:rFonts w:ascii="Verdana Pro Cond Light" w:eastAsia="Times New Roman" w:hAnsi="Verdana Pro Cond Light" w:cstheme="minorHAnsi"/>
          <w:bCs/>
          <w:lang w:eastAsia="lv-LV"/>
        </w:rPr>
      </w:pPr>
      <w:r w:rsidRPr="001D24AD">
        <w:rPr>
          <w:rFonts w:ascii="Verdana Pro Cond Light" w:eastAsia="Times New Roman" w:hAnsi="Verdana Pro Cond Light" w:cstheme="minorHAnsi"/>
          <w:bCs/>
          <w:lang w:eastAsia="lv-LV"/>
        </w:rPr>
        <w:t>6.2</w:t>
      </w:r>
      <w:r>
        <w:rPr>
          <w:rFonts w:ascii="Verdana Pro Cond Light" w:eastAsia="Times New Roman" w:hAnsi="Verdana Pro Cond Light" w:cstheme="minorHAnsi"/>
          <w:bCs/>
          <w:lang w:eastAsia="lv-LV"/>
        </w:rPr>
        <w:t>9</w:t>
      </w:r>
      <w:r w:rsidRPr="001D24AD">
        <w:rPr>
          <w:rFonts w:ascii="Verdana Pro Cond Light" w:eastAsia="Times New Roman" w:hAnsi="Verdana Pro Cond Light" w:cstheme="minorHAnsi"/>
          <w:bCs/>
          <w:lang w:eastAsia="lv-LV"/>
        </w:rPr>
        <w:t>. attēls</w:t>
      </w:r>
    </w:p>
    <w:p w14:paraId="6389E0CA" w14:textId="77777777" w:rsidR="00812A72" w:rsidRDefault="00812A72" w:rsidP="00812A72">
      <w:pPr>
        <w:widowControl/>
        <w:spacing w:after="120" w:line="240" w:lineRule="auto"/>
        <w:jc w:val="center"/>
        <w:rPr>
          <w:rFonts w:ascii="Verdana Pro Cond Light" w:eastAsia="Times New Roman" w:hAnsi="Verdana Pro Cond Light"/>
          <w:sz w:val="18"/>
          <w:szCs w:val="18"/>
          <w:lang w:eastAsia="lv-LV"/>
        </w:rPr>
      </w:pPr>
      <w:r w:rsidRPr="001D24AD">
        <w:rPr>
          <w:rFonts w:ascii="Verdana Pro Cond Light" w:eastAsia="Times New Roman" w:hAnsi="Verdana Pro Cond Light"/>
          <w:b/>
          <w:bCs/>
          <w:lang w:val="lv-LV" w:eastAsia="lv-LV"/>
        </w:rPr>
        <w:t>Enerģiskās drošības un iekšējā elektrības tirgus</w:t>
      </w:r>
      <w:r w:rsidRPr="001D24AD">
        <w:rPr>
          <w:rFonts w:ascii="Verdana Pro Cond Light" w:eastAsia="Times New Roman" w:hAnsi="Verdana Pro Cond Light"/>
          <w:b/>
          <w:bCs/>
          <w:lang w:eastAsia="lv-LV"/>
        </w:rPr>
        <w:t xml:space="preserve"> pasākumu ietekme uz </w:t>
      </w:r>
      <w:r>
        <w:rPr>
          <w:rFonts w:ascii="Verdana Pro Cond Light" w:eastAsia="Times New Roman" w:hAnsi="Verdana Pro Cond Light"/>
          <w:b/>
          <w:bCs/>
          <w:lang w:eastAsia="lv-LV"/>
        </w:rPr>
        <w:br/>
      </w:r>
      <w:r w:rsidRPr="001D24AD">
        <w:rPr>
          <w:rFonts w:ascii="Verdana Pro Cond Light" w:eastAsia="Times New Roman" w:hAnsi="Verdana Pro Cond Light"/>
          <w:b/>
          <w:bCs/>
          <w:lang w:eastAsia="lv-LV"/>
        </w:rPr>
        <w:t xml:space="preserve">vidējo algu un patēriņa cenām Latvijā </w:t>
      </w:r>
      <w:r>
        <w:rPr>
          <w:rFonts w:ascii="Verdana Pro Cond Light" w:eastAsia="Times New Roman" w:hAnsi="Verdana Pro Cond Light"/>
          <w:b/>
          <w:bCs/>
          <w:lang w:eastAsia="lv-LV"/>
        </w:rPr>
        <w:br/>
      </w:r>
      <w:r w:rsidRPr="001D24AD">
        <w:rPr>
          <w:rFonts w:ascii="Verdana Pro Cond Light" w:eastAsia="Times New Roman" w:hAnsi="Verdana Pro Cond Light"/>
          <w:sz w:val="18"/>
          <w:szCs w:val="18"/>
          <w:lang w:eastAsia="lv-LV"/>
        </w:rPr>
        <w:t>salīdzinot ar bāzes scenāriju; 2025. – 2050. gadā</w:t>
      </w:r>
    </w:p>
    <w:p w14:paraId="3B81939A" w14:textId="77777777" w:rsidR="00812A72" w:rsidRDefault="00812A72" w:rsidP="00812A72">
      <w:pPr>
        <w:widowControl/>
        <w:spacing w:after="120" w:line="240" w:lineRule="auto"/>
        <w:jc w:val="center"/>
        <w:rPr>
          <w:rFonts w:ascii="Verdana Pro Cond Light" w:eastAsia="Times New Roman" w:hAnsi="Verdana Pro Cond Light"/>
          <w:sz w:val="18"/>
          <w:szCs w:val="18"/>
          <w:lang w:eastAsia="lv-LV"/>
        </w:rPr>
      </w:pPr>
    </w:p>
    <w:p w14:paraId="75085C33" w14:textId="77777777" w:rsidR="00812A72" w:rsidRDefault="00812A72" w:rsidP="00812A72">
      <w:pPr>
        <w:widowControl/>
        <w:tabs>
          <w:tab w:val="center" w:pos="2410"/>
          <w:tab w:val="center" w:pos="7230"/>
        </w:tabs>
        <w:spacing w:after="120" w:line="240" w:lineRule="auto"/>
        <w:rPr>
          <w:rFonts w:ascii="Verdana Pro Cond Light" w:eastAsia="Times New Roman" w:hAnsi="Verdana Pro Cond Light"/>
          <w:b/>
          <w:bCs/>
          <w:sz w:val="18"/>
          <w:szCs w:val="18"/>
          <w:lang w:eastAsia="lv-LV"/>
        </w:rPr>
      </w:pPr>
      <w:r>
        <w:rPr>
          <w:rFonts w:ascii="Verdana Pro Cond Light" w:eastAsia="Times New Roman" w:hAnsi="Verdana Pro Cond Light"/>
          <w:b/>
          <w:bCs/>
          <w:sz w:val="18"/>
          <w:szCs w:val="18"/>
          <w:lang w:eastAsia="lv-LV"/>
        </w:rPr>
        <w:tab/>
      </w:r>
      <w:r w:rsidRPr="001D24AD">
        <w:rPr>
          <w:rFonts w:ascii="Verdana Pro Cond Light" w:eastAsia="Times New Roman" w:hAnsi="Verdana Pro Cond Light"/>
          <w:b/>
          <w:bCs/>
          <w:sz w:val="18"/>
          <w:szCs w:val="18"/>
          <w:lang w:eastAsia="lv-LV"/>
        </w:rPr>
        <w:t>Ietekme uz vidējo algu (%; nominālā izteiksmē)</w:t>
      </w:r>
      <w:r w:rsidRPr="001D24AD">
        <w:rPr>
          <w:rFonts w:ascii="Verdana Pro Cond Light" w:eastAsia="Times New Roman" w:hAnsi="Verdana Pro Cond Light"/>
          <w:b/>
          <w:bCs/>
          <w:sz w:val="18"/>
          <w:szCs w:val="18"/>
          <w:lang w:eastAsia="lv-LV"/>
        </w:rPr>
        <w:tab/>
        <w:t>Ietekme uz patēriņa cenu līmeni (%)</w:t>
      </w:r>
    </w:p>
    <w:p w14:paraId="5CC607E3" w14:textId="77777777" w:rsidR="00812A72" w:rsidRPr="001D24AD" w:rsidRDefault="00812A72" w:rsidP="00812A72">
      <w:pPr>
        <w:widowControl/>
        <w:tabs>
          <w:tab w:val="center" w:pos="2410"/>
          <w:tab w:val="center" w:pos="7230"/>
        </w:tabs>
        <w:spacing w:after="120" w:line="240" w:lineRule="auto"/>
        <w:ind w:right="-143"/>
        <w:rPr>
          <w:rFonts w:ascii="Verdana Pro Cond Light" w:eastAsia="Times New Roman" w:hAnsi="Verdana Pro Cond Light"/>
          <w:b/>
          <w:bCs/>
          <w:sz w:val="18"/>
          <w:szCs w:val="18"/>
          <w:lang w:eastAsia="lv-LV"/>
        </w:rPr>
      </w:pPr>
      <w:r w:rsidRPr="003C4B3C">
        <w:rPr>
          <w:rFonts w:ascii="Minion Pro" w:hAnsi="Minion Pro" w:cstheme="minorHAnsi"/>
          <w:noProof/>
          <w:sz w:val="24"/>
          <w:szCs w:val="24"/>
        </w:rPr>
        <w:drawing>
          <wp:inline distT="0" distB="0" distL="0" distR="0" wp14:anchorId="46D82B32" wp14:editId="6DFDFE58">
            <wp:extent cx="3060000" cy="2160000"/>
            <wp:effectExtent l="0" t="0" r="0" b="0"/>
            <wp:docPr id="1806087701" name="Chart 1806087701">
              <a:extLst xmlns:a="http://schemas.openxmlformats.org/drawingml/2006/main">
                <a:ext uri="{FF2B5EF4-FFF2-40B4-BE49-F238E27FC236}">
                  <a16:creationId xmlns:a16="http://schemas.microsoft.com/office/drawing/2014/main" id="{C0B412E0-20D9-9C02-797F-E1BB76C514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7"/>
              </a:graphicData>
            </a:graphic>
          </wp:inline>
        </w:drawing>
      </w:r>
      <w:r w:rsidRPr="003C4B3C">
        <w:rPr>
          <w:rFonts w:ascii="Minion Pro" w:hAnsi="Minion Pro" w:cstheme="minorHAnsi"/>
          <w:noProof/>
          <w:sz w:val="24"/>
          <w:szCs w:val="24"/>
        </w:rPr>
        <w:drawing>
          <wp:inline distT="0" distB="0" distL="0" distR="0" wp14:anchorId="4413665C" wp14:editId="374AC2F2">
            <wp:extent cx="3060000" cy="2160000"/>
            <wp:effectExtent l="0" t="0" r="0" b="0"/>
            <wp:docPr id="1103744706" name="Chart 1103744706">
              <a:extLst xmlns:a="http://schemas.openxmlformats.org/drawingml/2006/main">
                <a:ext uri="{FF2B5EF4-FFF2-40B4-BE49-F238E27FC236}">
                  <a16:creationId xmlns:a16="http://schemas.microsoft.com/office/drawing/2014/main" id="{C0B412E0-20D9-9C02-797F-E1BB76C514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8"/>
              </a:graphicData>
            </a:graphic>
          </wp:inline>
        </w:drawing>
      </w:r>
    </w:p>
    <w:p w14:paraId="342976F1" w14:textId="77777777" w:rsidR="00812A72" w:rsidRPr="001D24AD" w:rsidRDefault="00812A72" w:rsidP="00812A72">
      <w:pPr>
        <w:widowControl/>
        <w:spacing w:before="120" w:after="120" w:line="240" w:lineRule="auto"/>
        <w:jc w:val="both"/>
        <w:rPr>
          <w:rFonts w:ascii="Arial Nova Cond Light" w:eastAsia="Times New Roman" w:hAnsi="Arial Nova Cond Light"/>
          <w:sz w:val="16"/>
          <w:szCs w:val="24"/>
          <w:lang w:eastAsia="lv-LV"/>
        </w:rPr>
      </w:pPr>
      <w:r w:rsidRPr="001D24AD">
        <w:rPr>
          <w:rFonts w:ascii="Arial Nova Cond Light" w:eastAsia="Times New Roman" w:hAnsi="Arial Nova Cond Light"/>
          <w:sz w:val="16"/>
          <w:szCs w:val="24"/>
          <w:lang w:eastAsia="lv-LV"/>
        </w:rPr>
        <w:t>Avots: autoru aprēķins, izmantojot VLA modeli.</w:t>
      </w:r>
    </w:p>
    <w:p w14:paraId="35C4CF79" w14:textId="77777777" w:rsidR="00812A72" w:rsidRDefault="00812A72" w:rsidP="00812A72">
      <w:pPr>
        <w:widowControl/>
        <w:spacing w:after="160" w:line="240" w:lineRule="auto"/>
        <w:rPr>
          <w:rFonts w:ascii="Minion Pro" w:eastAsia="Times New Roman" w:hAnsi="Minion Pro" w:cstheme="minorHAnsi"/>
          <w:sz w:val="16"/>
          <w:szCs w:val="24"/>
          <w:lang w:eastAsia="lv-LV"/>
        </w:rPr>
      </w:pPr>
      <w:r>
        <w:rPr>
          <w:rFonts w:ascii="Minion Pro" w:eastAsia="Times New Roman" w:hAnsi="Minion Pro" w:cstheme="minorHAnsi"/>
          <w:sz w:val="16"/>
          <w:szCs w:val="24"/>
          <w:lang w:eastAsia="lv-LV"/>
        </w:rPr>
        <w:br w:type="page"/>
      </w:r>
    </w:p>
    <w:p w14:paraId="5A581937" w14:textId="77777777" w:rsidR="00812A72" w:rsidRPr="001D24AD" w:rsidRDefault="00812A72" w:rsidP="00812A72">
      <w:pPr>
        <w:widowControl/>
        <w:spacing w:before="120" w:after="120" w:line="240" w:lineRule="auto"/>
        <w:jc w:val="right"/>
        <w:rPr>
          <w:rFonts w:ascii="Verdana Pro Cond Light" w:eastAsia="Times New Roman" w:hAnsi="Verdana Pro Cond Light" w:cstheme="minorHAnsi"/>
          <w:bCs/>
          <w:lang w:eastAsia="lv-LV"/>
        </w:rPr>
      </w:pPr>
      <w:r w:rsidRPr="001D24AD">
        <w:rPr>
          <w:rFonts w:ascii="Verdana Pro Cond Light" w:eastAsia="Times New Roman" w:hAnsi="Verdana Pro Cond Light" w:cstheme="minorHAnsi"/>
          <w:bCs/>
          <w:lang w:eastAsia="lv-LV"/>
        </w:rPr>
        <w:lastRenderedPageBreak/>
        <w:t>6.</w:t>
      </w:r>
      <w:r>
        <w:rPr>
          <w:rFonts w:ascii="Verdana Pro Cond Light" w:eastAsia="Times New Roman" w:hAnsi="Verdana Pro Cond Light" w:cstheme="minorHAnsi"/>
          <w:bCs/>
          <w:lang w:eastAsia="lv-LV"/>
        </w:rPr>
        <w:t>30</w:t>
      </w:r>
      <w:r w:rsidRPr="001D24AD">
        <w:rPr>
          <w:rFonts w:ascii="Verdana Pro Cond Light" w:eastAsia="Times New Roman" w:hAnsi="Verdana Pro Cond Light" w:cstheme="minorHAnsi"/>
          <w:bCs/>
          <w:lang w:eastAsia="lv-LV"/>
        </w:rPr>
        <w:t>. attēls</w:t>
      </w:r>
    </w:p>
    <w:p w14:paraId="00CC3F08" w14:textId="77777777" w:rsidR="00812A72" w:rsidRPr="001D24AD" w:rsidRDefault="00812A72" w:rsidP="00812A72">
      <w:pPr>
        <w:widowControl/>
        <w:spacing w:after="120" w:line="240" w:lineRule="auto"/>
        <w:jc w:val="center"/>
        <w:rPr>
          <w:rFonts w:ascii="Verdana Pro Cond Light" w:eastAsia="Times New Roman" w:hAnsi="Verdana Pro Cond Light"/>
          <w:sz w:val="18"/>
          <w:szCs w:val="18"/>
          <w:lang w:eastAsia="lv-LV"/>
        </w:rPr>
      </w:pPr>
      <w:r w:rsidRPr="001D24AD">
        <w:rPr>
          <w:rFonts w:ascii="Verdana Pro Cond Light" w:eastAsia="Times New Roman" w:hAnsi="Verdana Pro Cond Light"/>
          <w:b/>
          <w:bCs/>
          <w:lang w:val="lv-LV" w:eastAsia="lv-LV"/>
        </w:rPr>
        <w:t>Enerģiskās drošības un iekšējā elektrības tirgus</w:t>
      </w:r>
      <w:r w:rsidRPr="001D24AD">
        <w:rPr>
          <w:rFonts w:ascii="Verdana Pro Cond Light" w:eastAsia="Times New Roman" w:hAnsi="Verdana Pro Cond Light"/>
          <w:b/>
          <w:bCs/>
          <w:lang w:eastAsia="lv-LV"/>
        </w:rPr>
        <w:t xml:space="preserve"> pasākumu </w:t>
      </w:r>
      <w:r>
        <w:rPr>
          <w:rFonts w:ascii="Verdana Pro Cond Light" w:eastAsia="Times New Roman" w:hAnsi="Verdana Pro Cond Light"/>
          <w:b/>
          <w:bCs/>
          <w:lang w:eastAsia="lv-LV"/>
        </w:rPr>
        <w:br/>
      </w:r>
      <w:r w:rsidRPr="001D24AD">
        <w:rPr>
          <w:rFonts w:ascii="Verdana Pro Cond Light" w:eastAsia="Times New Roman" w:hAnsi="Verdana Pro Cond Light"/>
          <w:b/>
          <w:bCs/>
          <w:lang w:eastAsia="lv-LV"/>
        </w:rPr>
        <w:t xml:space="preserve">ietekme uz pievienoto vērtību nozaru dalījumā </w:t>
      </w:r>
      <w:r>
        <w:rPr>
          <w:rFonts w:ascii="Verdana Pro Cond Light" w:eastAsia="Times New Roman" w:hAnsi="Verdana Pro Cond Light"/>
          <w:b/>
          <w:bCs/>
          <w:lang w:eastAsia="lv-LV"/>
        </w:rPr>
        <w:br/>
      </w:r>
      <w:r w:rsidRPr="001D24AD">
        <w:rPr>
          <w:rFonts w:ascii="Verdana Pro Cond Light" w:eastAsia="Times New Roman" w:hAnsi="Verdana Pro Cond Light"/>
          <w:sz w:val="18"/>
          <w:szCs w:val="18"/>
          <w:lang w:eastAsia="lv-LV"/>
        </w:rPr>
        <w:t>%; 2035.</w:t>
      </w:r>
      <w:r>
        <w:rPr>
          <w:rFonts w:ascii="Verdana Pro Cond Light" w:eastAsia="Times New Roman" w:hAnsi="Verdana Pro Cond Light"/>
          <w:sz w:val="18"/>
          <w:szCs w:val="18"/>
          <w:lang w:eastAsia="lv-LV"/>
        </w:rPr>
        <w:t xml:space="preserve"> </w:t>
      </w:r>
      <w:r w:rsidRPr="001D24AD">
        <w:rPr>
          <w:rFonts w:ascii="Verdana Pro Cond Light" w:eastAsia="Times New Roman" w:hAnsi="Verdana Pro Cond Light"/>
          <w:sz w:val="18"/>
          <w:szCs w:val="18"/>
          <w:lang w:eastAsia="lv-LV"/>
        </w:rPr>
        <w:t>– 2039. gadā; salīdzinot ar bāzes scenāriju; 2015. gada cenās</w:t>
      </w:r>
    </w:p>
    <w:p w14:paraId="369AC689" w14:textId="77777777" w:rsidR="00812A72" w:rsidRPr="003C4B3C" w:rsidRDefault="00812A72" w:rsidP="00812A72">
      <w:pPr>
        <w:widowControl/>
        <w:spacing w:line="240" w:lineRule="auto"/>
        <w:jc w:val="center"/>
        <w:rPr>
          <w:rFonts w:ascii="Minion Pro" w:hAnsi="Minion Pro" w:cstheme="minorHAnsi"/>
          <w:b/>
          <w:bCs/>
          <w:sz w:val="24"/>
          <w:szCs w:val="24"/>
        </w:rPr>
      </w:pPr>
      <w:r w:rsidRPr="003C4B3C">
        <w:rPr>
          <w:rFonts w:ascii="Minion Pro" w:hAnsi="Minion Pro" w:cstheme="minorHAnsi"/>
          <w:b/>
          <w:bCs/>
          <w:noProof/>
          <w:sz w:val="24"/>
          <w:szCs w:val="24"/>
        </w:rPr>
        <w:drawing>
          <wp:inline distT="0" distB="0" distL="0" distR="0" wp14:anchorId="4A258A7E" wp14:editId="1D3ECFAE">
            <wp:extent cx="6120000" cy="3600000"/>
            <wp:effectExtent l="0" t="0" r="0" b="0"/>
            <wp:docPr id="1475783296" name="Chart 1475783296">
              <a:extLst xmlns:a="http://schemas.openxmlformats.org/drawingml/2006/main">
                <a:ext uri="{FF2B5EF4-FFF2-40B4-BE49-F238E27FC236}">
                  <a16:creationId xmlns:a16="http://schemas.microsoft.com/office/drawing/2014/main" id="{9CA58CAF-2A31-E6CF-FFCA-A031A940653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9"/>
              </a:graphicData>
            </a:graphic>
          </wp:inline>
        </w:drawing>
      </w:r>
    </w:p>
    <w:p w14:paraId="6ABF4B30" w14:textId="77777777" w:rsidR="00812A72" w:rsidRPr="001D24AD" w:rsidRDefault="00812A72" w:rsidP="00812A72">
      <w:pPr>
        <w:widowControl/>
        <w:spacing w:before="120" w:after="120" w:line="240" w:lineRule="auto"/>
        <w:jc w:val="both"/>
        <w:rPr>
          <w:rFonts w:ascii="Arial Nova Cond Light" w:eastAsia="Times New Roman" w:hAnsi="Arial Nova Cond Light"/>
          <w:sz w:val="16"/>
          <w:szCs w:val="24"/>
          <w:lang w:eastAsia="lv-LV"/>
        </w:rPr>
      </w:pPr>
      <w:r w:rsidRPr="001D24AD">
        <w:rPr>
          <w:rFonts w:ascii="Arial Nova Cond Light" w:eastAsia="Times New Roman" w:hAnsi="Arial Nova Cond Light"/>
          <w:sz w:val="16"/>
          <w:szCs w:val="24"/>
          <w:lang w:eastAsia="lv-LV"/>
        </w:rPr>
        <w:t>Avots: autoru aprēķins, izmantojot VLA modeli.</w:t>
      </w:r>
    </w:p>
    <w:p w14:paraId="47B45870" w14:textId="77777777" w:rsidR="00812A72" w:rsidRPr="001D24AD" w:rsidRDefault="00812A72" w:rsidP="00812A72">
      <w:pPr>
        <w:widowControl/>
        <w:spacing w:after="120" w:line="240" w:lineRule="auto"/>
        <w:jc w:val="right"/>
        <w:rPr>
          <w:rFonts w:ascii="Verdana Pro Cond Light" w:hAnsi="Verdana Pro Cond Light"/>
          <w:bCs/>
          <w:lang w:val="lv-LV"/>
        </w:rPr>
      </w:pPr>
    </w:p>
    <w:p w14:paraId="6CB19F05" w14:textId="77777777" w:rsidR="00812A72" w:rsidRPr="001D24AD" w:rsidRDefault="00812A72" w:rsidP="00812A72">
      <w:pPr>
        <w:widowControl/>
        <w:spacing w:after="120" w:line="240" w:lineRule="auto"/>
        <w:jc w:val="right"/>
        <w:rPr>
          <w:rFonts w:ascii="Verdana Pro Cond Light" w:hAnsi="Verdana Pro Cond Light"/>
          <w:bCs/>
          <w:lang w:val="lv-LV"/>
        </w:rPr>
      </w:pPr>
      <w:r w:rsidRPr="001D24AD">
        <w:rPr>
          <w:rFonts w:ascii="Verdana Pro Cond Light" w:hAnsi="Verdana Pro Cond Light"/>
          <w:bCs/>
          <w:lang w:val="lv-LV"/>
        </w:rPr>
        <w:t>6.5. tabula</w:t>
      </w:r>
    </w:p>
    <w:p w14:paraId="752E76F4" w14:textId="77777777" w:rsidR="00812A72" w:rsidRDefault="00812A72" w:rsidP="00812A72">
      <w:pPr>
        <w:widowControl/>
        <w:spacing w:after="120" w:line="240" w:lineRule="auto"/>
        <w:jc w:val="center"/>
        <w:rPr>
          <w:rFonts w:ascii="Verdana Pro Cond Light" w:hAnsi="Verdana Pro Cond Light"/>
          <w:b/>
          <w:bCs/>
          <w:lang w:val="lv-LV"/>
        </w:rPr>
      </w:pPr>
      <w:r w:rsidRPr="001D24AD">
        <w:rPr>
          <w:rFonts w:ascii="Verdana Pro Cond Light" w:hAnsi="Verdana Pro Cond Light"/>
          <w:b/>
          <w:bCs/>
          <w:lang w:val="lv-LV"/>
        </w:rPr>
        <w:t>Enerģiskās drošības un iekšējās elektrības tirgus pasākumu kopsavilkums</w:t>
      </w:r>
    </w:p>
    <w:tbl>
      <w:tblPr>
        <w:tblStyle w:val="TableGrid"/>
        <w:tblW w:w="963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1701"/>
        <w:gridCol w:w="1871"/>
        <w:gridCol w:w="3231"/>
      </w:tblGrid>
      <w:tr w:rsidR="00812A72" w:rsidRPr="00CB4E89" w14:paraId="5C46D7B6" w14:textId="77777777" w:rsidTr="0002297E">
        <w:trPr>
          <w:cantSplit/>
          <w:trHeight w:val="20"/>
          <w:jc w:val="center"/>
        </w:trPr>
        <w:tc>
          <w:tcPr>
            <w:tcW w:w="2835" w:type="dxa"/>
            <w:shd w:val="clear" w:color="auto" w:fill="4472C4" w:themeFill="accent1"/>
          </w:tcPr>
          <w:p w14:paraId="12965D76" w14:textId="77777777" w:rsidR="00812A72" w:rsidRPr="00CB4E89" w:rsidRDefault="00812A72" w:rsidP="0002297E">
            <w:pPr>
              <w:widowControl/>
              <w:spacing w:before="40" w:after="40" w:line="240" w:lineRule="auto"/>
              <w:jc w:val="center"/>
              <w:rPr>
                <w:rFonts w:asciiTheme="majorHAnsi" w:hAnsiTheme="majorHAnsi" w:cstheme="majorHAnsi"/>
                <w:b/>
                <w:bCs/>
                <w:color w:val="FFFFFF" w:themeColor="background1"/>
                <w:sz w:val="16"/>
                <w:szCs w:val="16"/>
                <w:lang w:val="lv-LV"/>
              </w:rPr>
            </w:pPr>
            <w:r w:rsidRPr="00CB4E89">
              <w:rPr>
                <w:rFonts w:asciiTheme="majorHAnsi" w:hAnsiTheme="majorHAnsi" w:cstheme="majorHAnsi"/>
                <w:b/>
                <w:bCs/>
                <w:color w:val="FFFFFF" w:themeColor="background1"/>
                <w:sz w:val="16"/>
                <w:szCs w:val="16"/>
                <w:lang w:val="lv-LV"/>
              </w:rPr>
              <w:t>Pasākums</w:t>
            </w:r>
          </w:p>
        </w:tc>
        <w:tc>
          <w:tcPr>
            <w:tcW w:w="1701" w:type="dxa"/>
            <w:shd w:val="clear" w:color="auto" w:fill="4472C4" w:themeFill="accent1"/>
          </w:tcPr>
          <w:p w14:paraId="2D8C4438" w14:textId="77777777" w:rsidR="00812A72" w:rsidRPr="00CB4E89" w:rsidRDefault="00812A72" w:rsidP="0002297E">
            <w:pPr>
              <w:widowControl/>
              <w:spacing w:before="40" w:after="40" w:line="240" w:lineRule="auto"/>
              <w:jc w:val="center"/>
              <w:rPr>
                <w:rFonts w:asciiTheme="majorHAnsi" w:hAnsiTheme="majorHAnsi" w:cstheme="majorHAnsi"/>
                <w:b/>
                <w:bCs/>
                <w:color w:val="FFFFFF" w:themeColor="background1"/>
                <w:sz w:val="16"/>
                <w:szCs w:val="16"/>
                <w:lang w:val="lv-LV"/>
              </w:rPr>
            </w:pPr>
            <w:r w:rsidRPr="00CB4E89">
              <w:rPr>
                <w:rFonts w:asciiTheme="majorHAnsi" w:hAnsiTheme="majorHAnsi" w:cstheme="majorHAnsi"/>
                <w:b/>
                <w:bCs/>
                <w:color w:val="FFFFFF" w:themeColor="background1"/>
                <w:sz w:val="16"/>
                <w:szCs w:val="16"/>
                <w:lang w:val="lv-LV"/>
              </w:rPr>
              <w:t>Nozare</w:t>
            </w:r>
          </w:p>
        </w:tc>
        <w:tc>
          <w:tcPr>
            <w:tcW w:w="1871" w:type="dxa"/>
            <w:shd w:val="clear" w:color="auto" w:fill="4472C4" w:themeFill="accent1"/>
          </w:tcPr>
          <w:p w14:paraId="7921F5B4" w14:textId="77777777" w:rsidR="00812A72" w:rsidRPr="00CB4E89" w:rsidRDefault="00812A72" w:rsidP="0002297E">
            <w:pPr>
              <w:widowControl/>
              <w:spacing w:before="40" w:after="40" w:line="240" w:lineRule="auto"/>
              <w:jc w:val="center"/>
              <w:rPr>
                <w:rFonts w:asciiTheme="majorHAnsi" w:hAnsiTheme="majorHAnsi" w:cstheme="majorHAnsi"/>
                <w:b/>
                <w:bCs/>
                <w:color w:val="FFFFFF" w:themeColor="background1"/>
                <w:sz w:val="16"/>
                <w:szCs w:val="16"/>
                <w:lang w:val="lv-LV"/>
              </w:rPr>
            </w:pPr>
            <w:r w:rsidRPr="00CB4E89">
              <w:rPr>
                <w:rFonts w:asciiTheme="majorHAnsi" w:hAnsiTheme="majorHAnsi" w:cstheme="majorHAnsi"/>
                <w:b/>
                <w:bCs/>
                <w:color w:val="FFFFFF" w:themeColor="background1"/>
                <w:sz w:val="16"/>
                <w:szCs w:val="16"/>
                <w:lang w:val="lv-LV"/>
              </w:rPr>
              <w:t>Finansējums</w:t>
            </w:r>
          </w:p>
        </w:tc>
        <w:tc>
          <w:tcPr>
            <w:tcW w:w="3231" w:type="dxa"/>
            <w:shd w:val="clear" w:color="auto" w:fill="4472C4" w:themeFill="accent1"/>
          </w:tcPr>
          <w:p w14:paraId="26DBE0AB" w14:textId="77777777" w:rsidR="00812A72" w:rsidRPr="00CB4E89" w:rsidRDefault="00812A72" w:rsidP="0002297E">
            <w:pPr>
              <w:widowControl/>
              <w:spacing w:before="40" w:after="40" w:line="240" w:lineRule="auto"/>
              <w:jc w:val="center"/>
              <w:rPr>
                <w:rFonts w:asciiTheme="majorHAnsi" w:hAnsiTheme="majorHAnsi" w:cstheme="majorHAnsi"/>
                <w:b/>
                <w:bCs/>
                <w:color w:val="FFFFFF" w:themeColor="background1"/>
                <w:sz w:val="16"/>
                <w:szCs w:val="16"/>
                <w:lang w:val="lv-LV"/>
              </w:rPr>
            </w:pPr>
            <w:r w:rsidRPr="00CB4E89">
              <w:rPr>
                <w:rFonts w:asciiTheme="majorHAnsi" w:hAnsiTheme="majorHAnsi" w:cstheme="majorHAnsi"/>
                <w:b/>
                <w:bCs/>
                <w:color w:val="FFFFFF" w:themeColor="background1"/>
                <w:sz w:val="16"/>
                <w:szCs w:val="16"/>
                <w:lang w:val="lv-LV"/>
              </w:rPr>
              <w:t>Finansējuma avots</w:t>
            </w:r>
          </w:p>
        </w:tc>
      </w:tr>
      <w:tr w:rsidR="00812A72" w:rsidRPr="00D24F07" w14:paraId="723C8E8D" w14:textId="77777777" w:rsidTr="0002297E">
        <w:trPr>
          <w:jc w:val="center"/>
        </w:trPr>
        <w:tc>
          <w:tcPr>
            <w:tcW w:w="2835" w:type="dxa"/>
            <w:shd w:val="clear" w:color="auto" w:fill="D9E2F3" w:themeFill="accent1" w:themeFillTint="33"/>
          </w:tcPr>
          <w:p w14:paraId="24CE47EC" w14:textId="77777777" w:rsidR="00812A72" w:rsidRPr="00B04943" w:rsidRDefault="00812A72" w:rsidP="0002297E">
            <w:pPr>
              <w:widowControl/>
              <w:spacing w:before="40" w:after="40" w:line="240" w:lineRule="auto"/>
              <w:rPr>
                <w:rFonts w:asciiTheme="majorHAnsi" w:hAnsiTheme="majorHAnsi" w:cstheme="majorHAnsi"/>
                <w:b/>
                <w:bCs/>
                <w:sz w:val="16"/>
                <w:szCs w:val="16"/>
                <w:lang w:val="lv-LV"/>
              </w:rPr>
            </w:pPr>
            <w:r w:rsidRPr="00B04943">
              <w:rPr>
                <w:rFonts w:asciiTheme="majorHAnsi" w:hAnsiTheme="majorHAnsi" w:cstheme="majorHAnsi"/>
                <w:sz w:val="16"/>
                <w:szCs w:val="16"/>
              </w:rPr>
              <w:t xml:space="preserve">3.3.1. Baltijas valstu elektrotīklu sinhronizācijas pabeigšanas </w:t>
            </w:r>
          </w:p>
        </w:tc>
        <w:tc>
          <w:tcPr>
            <w:tcW w:w="1701" w:type="dxa"/>
            <w:shd w:val="clear" w:color="auto" w:fill="D9E2F3" w:themeFill="accent1" w:themeFillTint="33"/>
          </w:tcPr>
          <w:p w14:paraId="18A9E44E" w14:textId="77777777" w:rsidR="00812A72" w:rsidRPr="004C4A33" w:rsidRDefault="00812A72" w:rsidP="0002297E">
            <w:pPr>
              <w:widowControl/>
              <w:spacing w:before="40" w:after="40" w:line="240" w:lineRule="auto"/>
              <w:rPr>
                <w:rFonts w:asciiTheme="majorHAnsi" w:hAnsiTheme="majorHAnsi" w:cstheme="majorHAnsi"/>
                <w:b/>
                <w:bCs/>
                <w:color w:val="000000" w:themeColor="text1"/>
                <w:sz w:val="16"/>
                <w:szCs w:val="16"/>
                <w:lang w:val="lv-LV"/>
              </w:rPr>
            </w:pPr>
            <w:r w:rsidRPr="004C4A33">
              <w:rPr>
                <w:rFonts w:asciiTheme="majorHAnsi" w:hAnsiTheme="majorHAnsi" w:cstheme="majorHAnsi"/>
                <w:color w:val="000000" w:themeColor="text1"/>
                <w:sz w:val="16"/>
                <w:szCs w:val="16"/>
              </w:rPr>
              <w:t>Privātie pakalpojumi</w:t>
            </w:r>
          </w:p>
        </w:tc>
        <w:tc>
          <w:tcPr>
            <w:tcW w:w="1871" w:type="dxa"/>
            <w:shd w:val="clear" w:color="auto" w:fill="D9E2F3" w:themeFill="accent1" w:themeFillTint="33"/>
          </w:tcPr>
          <w:p w14:paraId="48A84752" w14:textId="77777777" w:rsidR="00812A72" w:rsidRPr="00B04943" w:rsidRDefault="00812A72" w:rsidP="0002297E">
            <w:pPr>
              <w:widowControl/>
              <w:spacing w:before="40" w:after="40" w:line="240" w:lineRule="auto"/>
              <w:rPr>
                <w:rFonts w:asciiTheme="majorHAnsi" w:hAnsiTheme="majorHAnsi" w:cstheme="majorHAnsi"/>
                <w:b/>
                <w:bCs/>
                <w:sz w:val="16"/>
                <w:szCs w:val="16"/>
                <w:lang w:val="lv-LV"/>
              </w:rPr>
            </w:pPr>
            <w:r w:rsidRPr="00B04943">
              <w:rPr>
                <w:rFonts w:asciiTheme="majorHAnsi" w:hAnsiTheme="majorHAnsi" w:cstheme="majorHAnsi"/>
                <w:sz w:val="16"/>
                <w:szCs w:val="16"/>
              </w:rPr>
              <w:t xml:space="preserve">60,3 milj. eiro 2025. gadā. </w:t>
            </w:r>
          </w:p>
        </w:tc>
        <w:tc>
          <w:tcPr>
            <w:tcW w:w="3231" w:type="dxa"/>
            <w:shd w:val="clear" w:color="auto" w:fill="D9E2F3" w:themeFill="accent1" w:themeFillTint="33"/>
          </w:tcPr>
          <w:p w14:paraId="7AC4FD76" w14:textId="77777777" w:rsidR="00812A72" w:rsidRPr="00B04943" w:rsidRDefault="00812A72" w:rsidP="0002297E">
            <w:pPr>
              <w:widowControl/>
              <w:spacing w:after="0" w:line="240" w:lineRule="auto"/>
              <w:rPr>
                <w:rFonts w:asciiTheme="majorHAnsi" w:eastAsia="Times New Roman" w:hAnsiTheme="majorHAnsi" w:cstheme="majorHAnsi"/>
                <w:b/>
                <w:bCs/>
                <w:color w:val="000000"/>
                <w:sz w:val="16"/>
                <w:szCs w:val="16"/>
                <w:lang w:val="lv-LV" w:eastAsia="lv-LV"/>
              </w:rPr>
            </w:pPr>
            <w:r w:rsidRPr="00097491">
              <w:rPr>
                <w:rFonts w:asciiTheme="majorHAnsi" w:hAnsiTheme="majorHAnsi" w:cstheme="majorHAnsi"/>
                <w:b/>
                <w:bCs/>
                <w:sz w:val="16"/>
                <w:szCs w:val="16"/>
                <w:lang w:val="lv-LV"/>
              </w:rPr>
              <w:t>50 %</w:t>
            </w:r>
            <w:r w:rsidRPr="00097491">
              <w:rPr>
                <w:rFonts w:asciiTheme="majorHAnsi" w:hAnsiTheme="majorHAnsi" w:cstheme="majorHAnsi"/>
                <w:sz w:val="16"/>
                <w:szCs w:val="16"/>
                <w:lang w:val="lv-LV"/>
              </w:rPr>
              <w:t xml:space="preserve"> – jaunais ES fondu finansējums.</w:t>
            </w:r>
            <w:r w:rsidRPr="00097491">
              <w:rPr>
                <w:rFonts w:asciiTheme="majorHAnsi" w:hAnsiTheme="majorHAnsi" w:cstheme="majorHAnsi"/>
                <w:sz w:val="16"/>
                <w:szCs w:val="16"/>
                <w:lang w:val="lv-LV"/>
              </w:rPr>
              <w:br/>
            </w:r>
            <w:r w:rsidRPr="00097491">
              <w:rPr>
                <w:rFonts w:asciiTheme="majorHAnsi" w:hAnsiTheme="majorHAnsi" w:cstheme="majorHAnsi"/>
                <w:b/>
                <w:bCs/>
                <w:sz w:val="16"/>
                <w:szCs w:val="16"/>
                <w:lang w:val="lv-LV"/>
              </w:rPr>
              <w:t>50 %</w:t>
            </w:r>
            <w:r w:rsidRPr="00097491">
              <w:rPr>
                <w:rFonts w:asciiTheme="majorHAnsi" w:hAnsiTheme="majorHAnsi" w:cstheme="majorHAnsi"/>
                <w:sz w:val="16"/>
                <w:szCs w:val="16"/>
                <w:lang w:val="lv-LV"/>
              </w:rPr>
              <w:t xml:space="preserve"> – Latvijas privāto uzņēmumu finansējums </w:t>
            </w:r>
          </w:p>
        </w:tc>
      </w:tr>
      <w:tr w:rsidR="00812A72" w:rsidRPr="00D24F07" w14:paraId="25EF14D5" w14:textId="77777777" w:rsidTr="0002297E">
        <w:trPr>
          <w:jc w:val="center"/>
        </w:trPr>
        <w:tc>
          <w:tcPr>
            <w:tcW w:w="2835" w:type="dxa"/>
            <w:shd w:val="clear" w:color="auto" w:fill="B4C6E7" w:themeFill="accent1" w:themeFillTint="66"/>
          </w:tcPr>
          <w:p w14:paraId="1835ACA3" w14:textId="77777777" w:rsidR="00812A72" w:rsidRPr="00B04943" w:rsidRDefault="00812A72" w:rsidP="0002297E">
            <w:pPr>
              <w:widowControl/>
              <w:spacing w:before="40" w:after="40" w:line="240" w:lineRule="auto"/>
              <w:rPr>
                <w:rFonts w:asciiTheme="majorHAnsi" w:hAnsiTheme="majorHAnsi" w:cstheme="majorHAnsi"/>
                <w:sz w:val="16"/>
                <w:szCs w:val="16"/>
                <w:lang w:val="lv-LV"/>
              </w:rPr>
            </w:pPr>
            <w:r w:rsidRPr="00B04943">
              <w:rPr>
                <w:rFonts w:asciiTheme="majorHAnsi" w:hAnsiTheme="majorHAnsi" w:cstheme="majorHAnsi"/>
                <w:sz w:val="16"/>
                <w:szCs w:val="16"/>
              </w:rPr>
              <w:t xml:space="preserve">3.3.2. PGK modernizācijas projekta īstenošanas </w:t>
            </w:r>
          </w:p>
        </w:tc>
        <w:tc>
          <w:tcPr>
            <w:tcW w:w="1701" w:type="dxa"/>
            <w:shd w:val="clear" w:color="auto" w:fill="B4C6E7" w:themeFill="accent1" w:themeFillTint="66"/>
          </w:tcPr>
          <w:p w14:paraId="5E2CB4F7" w14:textId="77777777" w:rsidR="00812A72" w:rsidRPr="004C4A33" w:rsidRDefault="00812A72" w:rsidP="0002297E">
            <w:pPr>
              <w:widowControl/>
              <w:spacing w:before="40" w:after="40" w:line="240" w:lineRule="auto"/>
              <w:rPr>
                <w:rFonts w:asciiTheme="majorHAnsi" w:hAnsiTheme="majorHAnsi" w:cstheme="majorHAnsi"/>
                <w:color w:val="000000" w:themeColor="text1"/>
                <w:sz w:val="16"/>
                <w:szCs w:val="16"/>
                <w:lang w:val="lv-LV"/>
              </w:rPr>
            </w:pPr>
            <w:r w:rsidRPr="004C4A33">
              <w:rPr>
                <w:rFonts w:asciiTheme="majorHAnsi" w:hAnsiTheme="majorHAnsi" w:cstheme="majorHAnsi"/>
                <w:color w:val="000000" w:themeColor="text1"/>
                <w:sz w:val="16"/>
                <w:szCs w:val="16"/>
              </w:rPr>
              <w:t xml:space="preserve">Gāze </w:t>
            </w:r>
          </w:p>
        </w:tc>
        <w:tc>
          <w:tcPr>
            <w:tcW w:w="1871" w:type="dxa"/>
            <w:shd w:val="clear" w:color="auto" w:fill="B4C6E7" w:themeFill="accent1" w:themeFillTint="66"/>
          </w:tcPr>
          <w:p w14:paraId="74275A11" w14:textId="77777777" w:rsidR="00812A72" w:rsidRPr="00B04943" w:rsidRDefault="00812A72" w:rsidP="0002297E">
            <w:pPr>
              <w:widowControl/>
              <w:spacing w:before="40" w:after="40" w:line="240" w:lineRule="auto"/>
              <w:rPr>
                <w:rFonts w:asciiTheme="majorHAnsi" w:hAnsiTheme="majorHAnsi" w:cstheme="majorHAnsi"/>
                <w:sz w:val="16"/>
                <w:szCs w:val="16"/>
                <w:lang w:val="lv-LV"/>
              </w:rPr>
            </w:pPr>
            <w:r w:rsidRPr="00B04943">
              <w:rPr>
                <w:rFonts w:asciiTheme="majorHAnsi" w:hAnsiTheme="majorHAnsi" w:cstheme="majorHAnsi"/>
                <w:sz w:val="16"/>
                <w:szCs w:val="16"/>
              </w:rPr>
              <w:t>88 milj. eiro 2025. gadā.</w:t>
            </w:r>
          </w:p>
        </w:tc>
        <w:tc>
          <w:tcPr>
            <w:tcW w:w="3231" w:type="dxa"/>
            <w:shd w:val="clear" w:color="auto" w:fill="B4C6E7" w:themeFill="accent1" w:themeFillTint="66"/>
          </w:tcPr>
          <w:p w14:paraId="24B7456C" w14:textId="77777777" w:rsidR="00812A72" w:rsidRPr="00B04943" w:rsidRDefault="00812A72" w:rsidP="0002297E">
            <w:pPr>
              <w:widowControl/>
              <w:spacing w:after="0" w:line="240" w:lineRule="auto"/>
              <w:rPr>
                <w:rFonts w:asciiTheme="majorHAnsi" w:eastAsia="Times New Roman" w:hAnsiTheme="majorHAnsi" w:cstheme="majorHAnsi"/>
                <w:color w:val="000000"/>
                <w:sz w:val="16"/>
                <w:szCs w:val="16"/>
                <w:lang w:val="lv-LV" w:eastAsia="lv-LV"/>
              </w:rPr>
            </w:pPr>
            <w:r w:rsidRPr="00097491">
              <w:rPr>
                <w:rFonts w:asciiTheme="majorHAnsi" w:hAnsiTheme="majorHAnsi" w:cstheme="majorHAnsi"/>
                <w:b/>
                <w:bCs/>
                <w:sz w:val="16"/>
                <w:szCs w:val="16"/>
                <w:lang w:val="lv-LV"/>
              </w:rPr>
              <w:t>50 %</w:t>
            </w:r>
            <w:r w:rsidRPr="00097491">
              <w:rPr>
                <w:rFonts w:asciiTheme="majorHAnsi" w:hAnsiTheme="majorHAnsi" w:cstheme="majorHAnsi"/>
                <w:sz w:val="16"/>
                <w:szCs w:val="16"/>
                <w:lang w:val="lv-LV"/>
              </w:rPr>
              <w:t xml:space="preserve"> – jaunais ES fondu finansējums.</w:t>
            </w:r>
            <w:r w:rsidRPr="00097491">
              <w:rPr>
                <w:rFonts w:asciiTheme="majorHAnsi" w:hAnsiTheme="majorHAnsi" w:cstheme="majorHAnsi"/>
                <w:sz w:val="16"/>
                <w:szCs w:val="16"/>
                <w:lang w:val="lv-LV"/>
              </w:rPr>
              <w:br/>
            </w:r>
            <w:r w:rsidRPr="00097491">
              <w:rPr>
                <w:rFonts w:asciiTheme="majorHAnsi" w:hAnsiTheme="majorHAnsi" w:cstheme="majorHAnsi"/>
                <w:b/>
                <w:bCs/>
                <w:sz w:val="16"/>
                <w:szCs w:val="16"/>
                <w:lang w:val="lv-LV"/>
              </w:rPr>
              <w:t>50 %</w:t>
            </w:r>
            <w:r w:rsidRPr="00097491">
              <w:rPr>
                <w:rFonts w:asciiTheme="majorHAnsi" w:hAnsiTheme="majorHAnsi" w:cstheme="majorHAnsi"/>
                <w:sz w:val="16"/>
                <w:szCs w:val="16"/>
                <w:lang w:val="lv-LV"/>
              </w:rPr>
              <w:t xml:space="preserve"> – Latvijas privāto uzņēmumu finansējums </w:t>
            </w:r>
          </w:p>
        </w:tc>
      </w:tr>
      <w:tr w:rsidR="00812A72" w:rsidRPr="00AB3438" w14:paraId="52D0C125" w14:textId="77777777" w:rsidTr="0002297E">
        <w:trPr>
          <w:jc w:val="center"/>
        </w:trPr>
        <w:tc>
          <w:tcPr>
            <w:tcW w:w="2835" w:type="dxa"/>
            <w:shd w:val="clear" w:color="auto" w:fill="D9E2F3" w:themeFill="accent1" w:themeFillTint="33"/>
          </w:tcPr>
          <w:p w14:paraId="5FFEE5A0" w14:textId="77777777" w:rsidR="00812A72" w:rsidRPr="00B04943"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lv-LV"/>
              </w:rPr>
              <w:t xml:space="preserve">3.3.3. Mainīt valsts naftas drošības rezervju sistēmu, nodrošinot naftas rezervju uzglabāšanu valstī </w:t>
            </w:r>
          </w:p>
        </w:tc>
        <w:tc>
          <w:tcPr>
            <w:tcW w:w="1701" w:type="dxa"/>
            <w:shd w:val="clear" w:color="auto" w:fill="D9E2F3" w:themeFill="accent1" w:themeFillTint="33"/>
          </w:tcPr>
          <w:p w14:paraId="50BC1872" w14:textId="77777777" w:rsidR="00812A72" w:rsidRPr="004C4A33" w:rsidRDefault="00812A72" w:rsidP="0002297E">
            <w:pPr>
              <w:widowControl/>
              <w:spacing w:before="40" w:after="40" w:line="240" w:lineRule="auto"/>
              <w:rPr>
                <w:rFonts w:asciiTheme="majorHAnsi" w:hAnsiTheme="majorHAnsi" w:cstheme="majorHAnsi"/>
                <w:color w:val="000000" w:themeColor="text1"/>
                <w:sz w:val="16"/>
                <w:szCs w:val="16"/>
                <w:lang w:val="lv-LV"/>
              </w:rPr>
            </w:pPr>
            <w:r w:rsidRPr="00097491">
              <w:rPr>
                <w:rFonts w:asciiTheme="majorHAnsi" w:hAnsiTheme="majorHAnsi" w:cstheme="majorHAnsi"/>
                <w:color w:val="000000" w:themeColor="text1"/>
                <w:sz w:val="16"/>
                <w:szCs w:val="16"/>
                <w:lang w:val="lv-LV"/>
              </w:rPr>
              <w:t xml:space="preserve">Modelēts kā degvielas cenas pārmaiņas </w:t>
            </w:r>
          </w:p>
        </w:tc>
        <w:tc>
          <w:tcPr>
            <w:tcW w:w="1871" w:type="dxa"/>
            <w:shd w:val="clear" w:color="auto" w:fill="D9E2F3" w:themeFill="accent1" w:themeFillTint="33"/>
          </w:tcPr>
          <w:p w14:paraId="5B02A7C7" w14:textId="77777777" w:rsidR="00812A72" w:rsidRPr="00B04943" w:rsidRDefault="00812A72" w:rsidP="0002297E">
            <w:pPr>
              <w:widowControl/>
              <w:spacing w:before="40" w:after="40" w:line="240" w:lineRule="auto"/>
              <w:rPr>
                <w:rFonts w:asciiTheme="majorHAnsi" w:hAnsiTheme="majorHAnsi" w:cstheme="majorHAnsi"/>
                <w:sz w:val="16"/>
                <w:szCs w:val="16"/>
                <w:lang w:val="lv-LV"/>
              </w:rPr>
            </w:pPr>
            <w:r w:rsidRPr="00B04943">
              <w:rPr>
                <w:rFonts w:asciiTheme="majorHAnsi" w:hAnsiTheme="majorHAnsi" w:cstheme="majorHAnsi"/>
                <w:sz w:val="16"/>
                <w:szCs w:val="16"/>
              </w:rPr>
              <w:t>627,6 milj. eiro 2025.</w:t>
            </w:r>
            <w:r>
              <w:rPr>
                <w:rFonts w:asciiTheme="majorHAnsi" w:hAnsiTheme="majorHAnsi" w:cstheme="majorHAnsi"/>
                <w:sz w:val="16"/>
                <w:szCs w:val="16"/>
              </w:rPr>
              <w:t xml:space="preserve"> – </w:t>
            </w:r>
            <w:r w:rsidRPr="00B04943">
              <w:rPr>
                <w:rFonts w:asciiTheme="majorHAnsi" w:hAnsiTheme="majorHAnsi" w:cstheme="majorHAnsi"/>
                <w:sz w:val="16"/>
                <w:szCs w:val="16"/>
              </w:rPr>
              <w:t xml:space="preserve">2029. gadā </w:t>
            </w:r>
          </w:p>
        </w:tc>
        <w:tc>
          <w:tcPr>
            <w:tcW w:w="3231" w:type="dxa"/>
            <w:shd w:val="clear" w:color="auto" w:fill="D9E2F3" w:themeFill="accent1" w:themeFillTint="33"/>
          </w:tcPr>
          <w:p w14:paraId="0FEB5962" w14:textId="77777777" w:rsidR="00812A72" w:rsidRPr="00B04943" w:rsidRDefault="00812A72" w:rsidP="0002297E">
            <w:pPr>
              <w:widowControl/>
              <w:spacing w:before="40" w:after="40" w:line="240" w:lineRule="auto"/>
              <w:rPr>
                <w:rFonts w:asciiTheme="majorHAnsi" w:eastAsia="Times New Roman" w:hAnsiTheme="majorHAnsi" w:cstheme="majorHAnsi"/>
                <w:color w:val="000000"/>
                <w:sz w:val="16"/>
                <w:szCs w:val="16"/>
                <w:lang w:val="lv-LV" w:eastAsia="lv-LV"/>
              </w:rPr>
            </w:pPr>
            <w:r w:rsidRPr="00B04943">
              <w:rPr>
                <w:rFonts w:asciiTheme="majorHAnsi" w:hAnsiTheme="majorHAnsi" w:cstheme="majorHAnsi"/>
                <w:b/>
                <w:bCs/>
                <w:sz w:val="16"/>
                <w:szCs w:val="16"/>
              </w:rPr>
              <w:t>100 %</w:t>
            </w:r>
            <w:r w:rsidRPr="00B04943">
              <w:rPr>
                <w:rFonts w:asciiTheme="majorHAnsi" w:hAnsiTheme="majorHAnsi" w:cstheme="majorHAnsi"/>
                <w:sz w:val="16"/>
                <w:szCs w:val="16"/>
              </w:rPr>
              <w:t xml:space="preserve"> </w:t>
            </w:r>
            <w:r>
              <w:rPr>
                <w:rFonts w:asciiTheme="majorHAnsi" w:hAnsiTheme="majorHAnsi" w:cstheme="majorHAnsi"/>
                <w:sz w:val="16"/>
                <w:szCs w:val="16"/>
              </w:rPr>
              <w:t>–</w:t>
            </w:r>
            <w:r w:rsidRPr="00B04943">
              <w:rPr>
                <w:rFonts w:asciiTheme="majorHAnsi" w:hAnsiTheme="majorHAnsi" w:cstheme="majorHAnsi"/>
                <w:sz w:val="16"/>
                <w:szCs w:val="16"/>
              </w:rPr>
              <w:t xml:space="preserve"> finansēts no degvielas cenas pieauguma</w:t>
            </w:r>
          </w:p>
        </w:tc>
      </w:tr>
      <w:tr w:rsidR="00812A72" w:rsidRPr="00D24F07" w14:paraId="39B2AF33" w14:textId="77777777" w:rsidTr="0002297E">
        <w:trPr>
          <w:jc w:val="center"/>
        </w:trPr>
        <w:tc>
          <w:tcPr>
            <w:tcW w:w="2835" w:type="dxa"/>
            <w:shd w:val="clear" w:color="auto" w:fill="B4C6E7" w:themeFill="accent1" w:themeFillTint="66"/>
          </w:tcPr>
          <w:p w14:paraId="2D8E794A" w14:textId="77777777" w:rsidR="00812A72" w:rsidRPr="00B04943" w:rsidRDefault="00812A72" w:rsidP="0002297E">
            <w:pPr>
              <w:widowControl/>
              <w:spacing w:before="40" w:after="40" w:line="240" w:lineRule="auto"/>
              <w:rPr>
                <w:rFonts w:asciiTheme="majorHAnsi" w:hAnsiTheme="majorHAnsi" w:cstheme="majorHAnsi"/>
                <w:sz w:val="16"/>
                <w:szCs w:val="16"/>
                <w:lang w:val="lv-LV"/>
              </w:rPr>
            </w:pPr>
            <w:r w:rsidRPr="00B04943">
              <w:rPr>
                <w:rFonts w:asciiTheme="majorHAnsi" w:hAnsiTheme="majorHAnsi" w:cstheme="majorHAnsi"/>
                <w:sz w:val="16"/>
                <w:szCs w:val="16"/>
              </w:rPr>
              <w:t xml:space="preserve">3.3.5. Īstenot pilotprojektu lielas jaudas elektroenerģijas ražošanas stacijās akumulācijas risinājumu īstenošanai </w:t>
            </w:r>
          </w:p>
        </w:tc>
        <w:tc>
          <w:tcPr>
            <w:tcW w:w="1701" w:type="dxa"/>
            <w:shd w:val="clear" w:color="auto" w:fill="B4C6E7" w:themeFill="accent1" w:themeFillTint="66"/>
          </w:tcPr>
          <w:p w14:paraId="4DCFE559" w14:textId="77777777" w:rsidR="00812A72" w:rsidRPr="004C4A33" w:rsidRDefault="00812A72" w:rsidP="0002297E">
            <w:pPr>
              <w:widowControl/>
              <w:spacing w:before="40" w:after="40" w:line="240" w:lineRule="auto"/>
              <w:rPr>
                <w:rFonts w:asciiTheme="majorHAnsi" w:hAnsiTheme="majorHAnsi" w:cstheme="majorHAnsi"/>
                <w:color w:val="000000" w:themeColor="text1"/>
                <w:sz w:val="16"/>
                <w:szCs w:val="16"/>
                <w:lang w:val="lv-LV"/>
              </w:rPr>
            </w:pPr>
            <w:r w:rsidRPr="004C4A33">
              <w:rPr>
                <w:rFonts w:asciiTheme="majorHAnsi" w:hAnsiTheme="majorHAnsi" w:cstheme="majorHAnsi"/>
                <w:color w:val="000000" w:themeColor="text1"/>
                <w:sz w:val="16"/>
                <w:szCs w:val="16"/>
              </w:rPr>
              <w:t>Elektroenerģijas ražošana</w:t>
            </w:r>
          </w:p>
        </w:tc>
        <w:tc>
          <w:tcPr>
            <w:tcW w:w="1871" w:type="dxa"/>
            <w:shd w:val="clear" w:color="auto" w:fill="B4C6E7" w:themeFill="accent1" w:themeFillTint="66"/>
          </w:tcPr>
          <w:p w14:paraId="3B9E5C87" w14:textId="77777777" w:rsidR="00812A72" w:rsidRPr="00B04943"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sv-SE"/>
              </w:rPr>
              <w:t>20 milj. eiro 2026.-2028. gadā: 6,66 milj eiro katru gadu.</w:t>
            </w:r>
          </w:p>
        </w:tc>
        <w:tc>
          <w:tcPr>
            <w:tcW w:w="3231" w:type="dxa"/>
            <w:shd w:val="clear" w:color="auto" w:fill="B4C6E7" w:themeFill="accent1" w:themeFillTint="66"/>
          </w:tcPr>
          <w:p w14:paraId="45506EAD" w14:textId="77777777" w:rsidR="00812A72" w:rsidRPr="00B04943" w:rsidRDefault="00812A72" w:rsidP="0002297E">
            <w:pPr>
              <w:widowControl/>
              <w:spacing w:after="0" w:line="240" w:lineRule="auto"/>
              <w:rPr>
                <w:rFonts w:asciiTheme="majorHAnsi" w:eastAsia="Times New Roman" w:hAnsiTheme="majorHAnsi" w:cstheme="majorHAnsi"/>
                <w:color w:val="000000"/>
                <w:sz w:val="16"/>
                <w:szCs w:val="16"/>
                <w:lang w:val="lv-LV" w:eastAsia="lv-LV"/>
              </w:rPr>
            </w:pPr>
            <w:r w:rsidRPr="00097491">
              <w:rPr>
                <w:rFonts w:asciiTheme="majorHAnsi" w:hAnsiTheme="majorHAnsi" w:cstheme="majorHAnsi"/>
                <w:b/>
                <w:bCs/>
                <w:sz w:val="16"/>
                <w:szCs w:val="16"/>
                <w:lang w:val="lv-LV"/>
              </w:rPr>
              <w:t>67 %</w:t>
            </w:r>
            <w:r w:rsidRPr="00097491">
              <w:rPr>
                <w:rFonts w:asciiTheme="majorHAnsi" w:hAnsiTheme="majorHAnsi" w:cstheme="majorHAnsi"/>
                <w:sz w:val="16"/>
                <w:szCs w:val="16"/>
                <w:lang w:val="lv-LV"/>
              </w:rPr>
              <w:t xml:space="preserve"> – jaunais ES fondu finansējums.</w:t>
            </w:r>
            <w:r w:rsidRPr="00097491">
              <w:rPr>
                <w:rFonts w:asciiTheme="majorHAnsi" w:hAnsiTheme="majorHAnsi" w:cstheme="majorHAnsi"/>
                <w:sz w:val="16"/>
                <w:szCs w:val="16"/>
                <w:lang w:val="lv-LV"/>
              </w:rPr>
              <w:br/>
            </w:r>
            <w:r w:rsidRPr="00097491">
              <w:rPr>
                <w:rFonts w:asciiTheme="majorHAnsi" w:hAnsiTheme="majorHAnsi" w:cstheme="majorHAnsi"/>
                <w:b/>
                <w:bCs/>
                <w:sz w:val="16"/>
                <w:szCs w:val="16"/>
                <w:lang w:val="lv-LV"/>
              </w:rPr>
              <w:t>33 %</w:t>
            </w:r>
            <w:r w:rsidRPr="00097491">
              <w:rPr>
                <w:rFonts w:asciiTheme="majorHAnsi" w:hAnsiTheme="majorHAnsi" w:cstheme="majorHAnsi"/>
                <w:sz w:val="16"/>
                <w:szCs w:val="16"/>
                <w:lang w:val="lv-LV"/>
              </w:rPr>
              <w:t xml:space="preserve"> – Latvijas privāto uzņēmumu finansējums</w:t>
            </w:r>
          </w:p>
        </w:tc>
      </w:tr>
      <w:tr w:rsidR="00812A72" w:rsidRPr="005F4D7C" w14:paraId="121ED8C9" w14:textId="77777777" w:rsidTr="0002297E">
        <w:trPr>
          <w:jc w:val="center"/>
        </w:trPr>
        <w:tc>
          <w:tcPr>
            <w:tcW w:w="2835" w:type="dxa"/>
            <w:shd w:val="clear" w:color="auto" w:fill="D9E2F3" w:themeFill="accent1" w:themeFillTint="33"/>
          </w:tcPr>
          <w:p w14:paraId="16F814E4" w14:textId="77777777" w:rsidR="00812A72" w:rsidRPr="00B04943"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lv-LV"/>
              </w:rPr>
              <w:t xml:space="preserve">3.3.6. Veicināt elektroenerģijas uzkrāšanas tehnoloģiju izmantošanu komersantos un privātpersonām, t.sk. atbalsta programmu ietvaros </w:t>
            </w:r>
          </w:p>
        </w:tc>
        <w:tc>
          <w:tcPr>
            <w:tcW w:w="1701" w:type="dxa"/>
            <w:shd w:val="clear" w:color="auto" w:fill="D9E2F3" w:themeFill="accent1" w:themeFillTint="33"/>
          </w:tcPr>
          <w:p w14:paraId="46462EBE" w14:textId="77777777" w:rsidR="00812A72" w:rsidRPr="004C4A33" w:rsidRDefault="00812A72" w:rsidP="0002297E">
            <w:pPr>
              <w:widowControl/>
              <w:spacing w:before="40" w:after="40" w:line="240" w:lineRule="auto"/>
              <w:rPr>
                <w:rFonts w:asciiTheme="majorHAnsi" w:hAnsiTheme="majorHAnsi" w:cstheme="majorHAnsi"/>
                <w:color w:val="000000" w:themeColor="text1"/>
                <w:sz w:val="16"/>
                <w:szCs w:val="16"/>
                <w:lang w:val="lv-LV"/>
              </w:rPr>
            </w:pPr>
            <w:r w:rsidRPr="004C4A33">
              <w:rPr>
                <w:rFonts w:asciiTheme="majorHAnsi" w:hAnsiTheme="majorHAnsi" w:cstheme="majorHAnsi"/>
                <w:color w:val="000000" w:themeColor="text1"/>
                <w:sz w:val="16"/>
                <w:szCs w:val="16"/>
              </w:rPr>
              <w:t>Saules paneļi</w:t>
            </w:r>
          </w:p>
        </w:tc>
        <w:tc>
          <w:tcPr>
            <w:tcW w:w="1871" w:type="dxa"/>
            <w:shd w:val="clear" w:color="auto" w:fill="D9E2F3" w:themeFill="accent1" w:themeFillTint="33"/>
          </w:tcPr>
          <w:p w14:paraId="0D7C068B" w14:textId="77777777" w:rsidR="00812A72" w:rsidRPr="00B04943"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sv-SE"/>
              </w:rPr>
              <w:t xml:space="preserve">60 milj. eiro 2026.-2050. gadā: 2,4 milj. eiro katru gadu. </w:t>
            </w:r>
          </w:p>
        </w:tc>
        <w:tc>
          <w:tcPr>
            <w:tcW w:w="3231" w:type="dxa"/>
            <w:shd w:val="clear" w:color="auto" w:fill="D9E2F3" w:themeFill="accent1" w:themeFillTint="33"/>
          </w:tcPr>
          <w:p w14:paraId="6A13BBF7" w14:textId="77777777" w:rsidR="00812A72" w:rsidRPr="00B04943" w:rsidRDefault="00812A72" w:rsidP="0002297E">
            <w:pPr>
              <w:widowControl/>
              <w:spacing w:after="0" w:line="240" w:lineRule="auto"/>
              <w:rPr>
                <w:rFonts w:asciiTheme="majorHAnsi" w:eastAsia="Times New Roman" w:hAnsiTheme="majorHAnsi" w:cstheme="majorHAnsi"/>
                <w:color w:val="000000"/>
                <w:sz w:val="16"/>
                <w:szCs w:val="16"/>
                <w:lang w:val="lv-LV" w:eastAsia="lv-LV"/>
              </w:rPr>
            </w:pPr>
            <w:r w:rsidRPr="00537DE7">
              <w:rPr>
                <w:rFonts w:asciiTheme="majorHAnsi" w:hAnsiTheme="majorHAnsi" w:cstheme="majorHAnsi"/>
                <w:b/>
                <w:bCs/>
                <w:sz w:val="16"/>
                <w:szCs w:val="16"/>
                <w:lang w:val="lv-LV"/>
              </w:rPr>
              <w:t>50 %</w:t>
            </w:r>
            <w:r w:rsidRPr="00537DE7">
              <w:rPr>
                <w:rFonts w:asciiTheme="majorHAnsi" w:hAnsiTheme="majorHAnsi" w:cstheme="majorHAnsi"/>
                <w:sz w:val="16"/>
                <w:szCs w:val="16"/>
                <w:lang w:val="lv-LV"/>
              </w:rPr>
              <w:t xml:space="preserve"> </w:t>
            </w:r>
            <w:r w:rsidRPr="004C4A33">
              <w:rPr>
                <w:rFonts w:asciiTheme="majorHAnsi" w:hAnsiTheme="majorHAnsi" w:cstheme="majorHAnsi"/>
                <w:sz w:val="16"/>
                <w:szCs w:val="16"/>
                <w:lang w:val="lv-LV"/>
              </w:rPr>
              <w:t>–</w:t>
            </w:r>
            <w:r w:rsidRPr="00537DE7">
              <w:rPr>
                <w:rFonts w:asciiTheme="majorHAnsi" w:hAnsiTheme="majorHAnsi" w:cstheme="majorHAnsi"/>
                <w:sz w:val="16"/>
                <w:szCs w:val="16"/>
                <w:lang w:val="lv-LV"/>
              </w:rPr>
              <w:t xml:space="preserve"> jaunais ES fondu finansējums</w:t>
            </w:r>
            <w:r w:rsidRPr="00537DE7">
              <w:rPr>
                <w:rFonts w:asciiTheme="majorHAnsi" w:hAnsiTheme="majorHAnsi" w:cstheme="majorHAnsi"/>
                <w:sz w:val="16"/>
                <w:szCs w:val="16"/>
                <w:lang w:val="lv-LV"/>
              </w:rPr>
              <w:br/>
            </w:r>
            <w:r w:rsidRPr="00537DE7">
              <w:rPr>
                <w:rFonts w:asciiTheme="majorHAnsi" w:hAnsiTheme="majorHAnsi" w:cstheme="majorHAnsi"/>
                <w:b/>
                <w:bCs/>
                <w:sz w:val="16"/>
                <w:szCs w:val="16"/>
                <w:lang w:val="lv-LV"/>
              </w:rPr>
              <w:t>25 %</w:t>
            </w:r>
            <w:r w:rsidRPr="00537DE7">
              <w:rPr>
                <w:rFonts w:asciiTheme="majorHAnsi" w:hAnsiTheme="majorHAnsi" w:cstheme="majorHAnsi"/>
                <w:sz w:val="16"/>
                <w:szCs w:val="16"/>
                <w:lang w:val="lv-LV"/>
              </w:rPr>
              <w:t xml:space="preserve"> </w:t>
            </w:r>
            <w:r w:rsidRPr="004C4A33">
              <w:rPr>
                <w:rFonts w:asciiTheme="majorHAnsi" w:hAnsiTheme="majorHAnsi" w:cstheme="majorHAnsi"/>
                <w:sz w:val="16"/>
                <w:szCs w:val="16"/>
                <w:lang w:val="lv-LV"/>
              </w:rPr>
              <w:t>–</w:t>
            </w:r>
            <w:r w:rsidRPr="00537DE7">
              <w:rPr>
                <w:rFonts w:asciiTheme="majorHAnsi" w:hAnsiTheme="majorHAnsi" w:cstheme="majorHAnsi"/>
                <w:sz w:val="16"/>
                <w:szCs w:val="16"/>
                <w:lang w:val="lv-LV"/>
              </w:rPr>
              <w:t xml:space="preserve"> Latvijas uzņēmumu finansējums, kas aiztāv citas investīcijas</w:t>
            </w:r>
            <w:r w:rsidRPr="00537DE7">
              <w:rPr>
                <w:rFonts w:asciiTheme="majorHAnsi" w:hAnsiTheme="majorHAnsi" w:cstheme="majorHAnsi"/>
                <w:sz w:val="16"/>
                <w:szCs w:val="16"/>
                <w:lang w:val="lv-LV"/>
              </w:rPr>
              <w:br/>
            </w:r>
            <w:r w:rsidRPr="00537DE7">
              <w:rPr>
                <w:rFonts w:asciiTheme="majorHAnsi" w:hAnsiTheme="majorHAnsi" w:cstheme="majorHAnsi"/>
                <w:b/>
                <w:bCs/>
                <w:sz w:val="16"/>
                <w:szCs w:val="16"/>
                <w:lang w:val="lv-LV"/>
              </w:rPr>
              <w:t>25 %</w:t>
            </w:r>
            <w:r w:rsidRPr="00537DE7">
              <w:rPr>
                <w:rFonts w:asciiTheme="majorHAnsi" w:hAnsiTheme="majorHAnsi" w:cstheme="majorHAnsi"/>
                <w:sz w:val="16"/>
                <w:szCs w:val="16"/>
                <w:lang w:val="lv-LV"/>
              </w:rPr>
              <w:t xml:space="preserve"> </w:t>
            </w:r>
            <w:r w:rsidRPr="004C4A33">
              <w:rPr>
                <w:rFonts w:asciiTheme="majorHAnsi" w:hAnsiTheme="majorHAnsi" w:cstheme="majorHAnsi"/>
                <w:sz w:val="16"/>
                <w:szCs w:val="16"/>
                <w:lang w:val="lv-LV"/>
              </w:rPr>
              <w:t>–</w:t>
            </w:r>
            <w:r w:rsidRPr="00537DE7">
              <w:rPr>
                <w:rFonts w:asciiTheme="majorHAnsi" w:hAnsiTheme="majorHAnsi" w:cstheme="majorHAnsi"/>
                <w:sz w:val="16"/>
                <w:szCs w:val="16"/>
                <w:lang w:val="lv-LV"/>
              </w:rPr>
              <w:t xml:space="preserve"> mājsaimniecību finansējums, kas aizstāv citus izdevumus</w:t>
            </w:r>
          </w:p>
        </w:tc>
      </w:tr>
      <w:tr w:rsidR="00812A72" w:rsidRPr="00D24F07" w14:paraId="787609C9" w14:textId="77777777" w:rsidTr="0002297E">
        <w:trPr>
          <w:jc w:val="center"/>
        </w:trPr>
        <w:tc>
          <w:tcPr>
            <w:tcW w:w="2835" w:type="dxa"/>
            <w:shd w:val="clear" w:color="auto" w:fill="B4C6E7" w:themeFill="accent1" w:themeFillTint="66"/>
          </w:tcPr>
          <w:p w14:paraId="446F59A1" w14:textId="77777777" w:rsidR="00812A72" w:rsidRPr="00B04943" w:rsidRDefault="00812A72" w:rsidP="0002297E">
            <w:pPr>
              <w:widowControl/>
              <w:spacing w:before="40" w:after="40" w:line="240" w:lineRule="auto"/>
              <w:rPr>
                <w:rFonts w:asciiTheme="majorHAnsi" w:hAnsiTheme="majorHAnsi" w:cstheme="majorHAnsi"/>
                <w:sz w:val="16"/>
                <w:szCs w:val="16"/>
                <w:lang w:val="lv-LV"/>
              </w:rPr>
            </w:pPr>
            <w:r w:rsidRPr="00537DE7">
              <w:rPr>
                <w:rFonts w:asciiTheme="majorHAnsi" w:hAnsiTheme="majorHAnsi" w:cstheme="majorHAnsi"/>
                <w:sz w:val="16"/>
                <w:szCs w:val="16"/>
                <w:lang w:val="lv-LV"/>
              </w:rPr>
              <w:t xml:space="preserve">3.4.7.1. Mērķētas atbalsta sistēmas enerģijas izmaksu mazināšanai enerģētiskai nabadzībai pakļautajām mājsaimniecībām izveidošana. </w:t>
            </w:r>
          </w:p>
        </w:tc>
        <w:tc>
          <w:tcPr>
            <w:tcW w:w="1701" w:type="dxa"/>
            <w:shd w:val="clear" w:color="auto" w:fill="B4C6E7" w:themeFill="accent1" w:themeFillTint="66"/>
          </w:tcPr>
          <w:p w14:paraId="7ECE61AE" w14:textId="77777777" w:rsidR="00812A72" w:rsidRPr="004C4A33" w:rsidRDefault="00812A72" w:rsidP="0002297E">
            <w:pPr>
              <w:widowControl/>
              <w:spacing w:before="40" w:after="40" w:line="240" w:lineRule="auto"/>
              <w:rPr>
                <w:rFonts w:asciiTheme="majorHAnsi" w:hAnsiTheme="majorHAnsi" w:cstheme="majorHAnsi"/>
                <w:color w:val="000000" w:themeColor="text1"/>
                <w:sz w:val="16"/>
                <w:szCs w:val="16"/>
                <w:lang w:val="lv-LV"/>
              </w:rPr>
            </w:pPr>
            <w:r w:rsidRPr="004C4A33">
              <w:rPr>
                <w:rFonts w:asciiTheme="majorHAnsi" w:hAnsiTheme="majorHAnsi" w:cstheme="majorHAnsi"/>
                <w:color w:val="000000" w:themeColor="text1"/>
                <w:sz w:val="16"/>
                <w:szCs w:val="16"/>
              </w:rPr>
              <w:t>Enerģētikas subsīdijas mājsaimniecībām</w:t>
            </w:r>
          </w:p>
        </w:tc>
        <w:tc>
          <w:tcPr>
            <w:tcW w:w="1871" w:type="dxa"/>
            <w:shd w:val="clear" w:color="auto" w:fill="B4C6E7" w:themeFill="accent1" w:themeFillTint="66"/>
          </w:tcPr>
          <w:p w14:paraId="4E865B81" w14:textId="77777777" w:rsidR="00812A72" w:rsidRPr="00B04943"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sv-SE"/>
              </w:rPr>
              <w:t>156,48 milj. eiro 2020. – 2024. gadā: 31,29 milj. eiro katru gadu.</w:t>
            </w:r>
          </w:p>
        </w:tc>
        <w:tc>
          <w:tcPr>
            <w:tcW w:w="3231" w:type="dxa"/>
            <w:shd w:val="clear" w:color="auto" w:fill="B4C6E7" w:themeFill="accent1" w:themeFillTint="66"/>
          </w:tcPr>
          <w:p w14:paraId="1371311E" w14:textId="77777777" w:rsidR="00812A72" w:rsidRPr="00B04943" w:rsidRDefault="00812A72" w:rsidP="0002297E">
            <w:pPr>
              <w:widowControl/>
              <w:spacing w:before="40" w:after="40" w:line="240" w:lineRule="auto"/>
              <w:rPr>
                <w:rFonts w:asciiTheme="majorHAnsi" w:eastAsia="Times New Roman" w:hAnsiTheme="majorHAnsi" w:cstheme="majorHAnsi"/>
                <w:color w:val="000000"/>
                <w:sz w:val="16"/>
                <w:szCs w:val="16"/>
                <w:lang w:val="lv-LV" w:eastAsia="lv-LV"/>
              </w:rPr>
            </w:pPr>
            <w:r w:rsidRPr="00097491">
              <w:rPr>
                <w:rFonts w:asciiTheme="majorHAnsi" w:hAnsiTheme="majorHAnsi" w:cstheme="majorHAnsi"/>
                <w:b/>
                <w:bCs/>
                <w:sz w:val="16"/>
                <w:szCs w:val="16"/>
                <w:lang w:val="lv-LV"/>
              </w:rPr>
              <w:t>100 %</w:t>
            </w:r>
            <w:r w:rsidRPr="00097491">
              <w:rPr>
                <w:rFonts w:asciiTheme="majorHAnsi" w:hAnsiTheme="majorHAnsi" w:cstheme="majorHAnsi"/>
                <w:sz w:val="16"/>
                <w:szCs w:val="16"/>
                <w:lang w:val="lv-LV"/>
              </w:rPr>
              <w:t xml:space="preserve"> – nacionālais publiskais finansējums papildu izdevumu veidā.</w:t>
            </w:r>
          </w:p>
        </w:tc>
      </w:tr>
    </w:tbl>
    <w:p w14:paraId="63626592" w14:textId="77777777" w:rsidR="00812A72" w:rsidRPr="00097491" w:rsidRDefault="00812A72" w:rsidP="00812A72">
      <w:pPr>
        <w:widowControl/>
        <w:spacing w:before="120" w:after="120" w:line="240" w:lineRule="auto"/>
        <w:jc w:val="both"/>
        <w:rPr>
          <w:rFonts w:ascii="Arial Nova Cond Light" w:eastAsia="Times New Roman" w:hAnsi="Arial Nova Cond Light"/>
          <w:sz w:val="16"/>
          <w:szCs w:val="24"/>
          <w:lang w:val="lv-LV" w:eastAsia="lv-LV"/>
        </w:rPr>
      </w:pPr>
      <w:r w:rsidRPr="00097491">
        <w:rPr>
          <w:rFonts w:ascii="Arial Nova Cond Light" w:eastAsia="Times New Roman" w:hAnsi="Arial Nova Cond Light"/>
          <w:sz w:val="16"/>
          <w:szCs w:val="24"/>
          <w:lang w:val="lv-LV" w:eastAsia="lv-LV"/>
        </w:rPr>
        <w:t>Avots: autoru veidotā tabula pēc NEKP, kā arī Ekonomikas ministrijas nepublicētiem datiem.</w:t>
      </w:r>
    </w:p>
    <w:p w14:paraId="50DF6E20" w14:textId="77777777" w:rsidR="00812A72" w:rsidRDefault="00812A72" w:rsidP="00812A72">
      <w:pPr>
        <w:widowControl/>
        <w:spacing w:after="160" w:line="240" w:lineRule="auto"/>
        <w:rPr>
          <w:rFonts w:ascii="Times New Roman" w:hAnsi="Times New Roman"/>
          <w:bCs/>
          <w:sz w:val="16"/>
          <w:szCs w:val="28"/>
          <w:lang w:val="lv-LV"/>
        </w:rPr>
      </w:pPr>
      <w:r>
        <w:rPr>
          <w:rFonts w:ascii="Times New Roman" w:hAnsi="Times New Roman"/>
          <w:bCs/>
          <w:sz w:val="16"/>
          <w:szCs w:val="28"/>
          <w:lang w:val="lv-LV"/>
        </w:rPr>
        <w:br w:type="page"/>
      </w:r>
    </w:p>
    <w:p w14:paraId="2690A488" w14:textId="77777777" w:rsidR="00812A72" w:rsidRPr="00537DE7" w:rsidRDefault="00812A72" w:rsidP="00812A72">
      <w:pPr>
        <w:pStyle w:val="Heading2"/>
        <w:rPr>
          <w:lang w:val="lv-LV"/>
        </w:rPr>
      </w:pPr>
      <w:bookmarkStart w:id="65" w:name="_Toc176185150"/>
      <w:bookmarkStart w:id="66" w:name="_Toc176778159"/>
      <w:bookmarkStart w:id="67" w:name="_Toc177395400"/>
      <w:bookmarkStart w:id="68" w:name="_Toc178327884"/>
      <w:bookmarkStart w:id="69" w:name="_Toc183697493"/>
      <w:r w:rsidRPr="00537DE7">
        <w:rPr>
          <w:lang w:val="lv-LV"/>
        </w:rPr>
        <w:lastRenderedPageBreak/>
        <w:t xml:space="preserve">Sestais scenārijs </w:t>
      </w:r>
      <w:r>
        <w:rPr>
          <w:lang w:val="lv-LV"/>
        </w:rPr>
        <w:t xml:space="preserve">– </w:t>
      </w:r>
      <w:r w:rsidRPr="00537DE7">
        <w:rPr>
          <w:lang w:val="lv-LV"/>
        </w:rPr>
        <w:t>energoefektivitātes pasākumi</w:t>
      </w:r>
      <w:bookmarkEnd w:id="65"/>
      <w:bookmarkEnd w:id="66"/>
      <w:bookmarkEnd w:id="67"/>
      <w:bookmarkEnd w:id="68"/>
      <w:bookmarkEnd w:id="69"/>
    </w:p>
    <w:p w14:paraId="1604C642" w14:textId="77777777" w:rsidR="00812A72" w:rsidRDefault="00812A72" w:rsidP="00812A72">
      <w:pPr>
        <w:widowControl/>
        <w:spacing w:after="120" w:line="240" w:lineRule="auto"/>
        <w:rPr>
          <w:rFonts w:ascii="Verdana Pro Cond Light" w:hAnsi="Verdana Pro Cond Light"/>
          <w:lang w:val="lv-LV"/>
        </w:rPr>
      </w:pPr>
      <w:r w:rsidRPr="00B04943">
        <w:rPr>
          <w:rFonts w:ascii="Verdana Pro Cond Light" w:hAnsi="Verdana Pro Cond Light"/>
          <w:lang w:val="lv-LV"/>
        </w:rPr>
        <w:t>Modelēto energoefektivitātes pasākumu ieguldījumu kopsumma ir 3804,9 milj. eiro (līdz 2030. gadam ieskaitot), no tiem 52,7</w:t>
      </w:r>
      <w:r>
        <w:rPr>
          <w:rFonts w:ascii="Verdana Pro Cond Light" w:hAnsi="Verdana Pro Cond Light"/>
          <w:lang w:val="lv-LV"/>
        </w:rPr>
        <w:t> </w:t>
      </w:r>
      <w:r w:rsidRPr="00B04943">
        <w:rPr>
          <w:rFonts w:ascii="Verdana Pro Cond Light" w:hAnsi="Verdana Pro Cond Light"/>
          <w:lang w:val="lv-LV"/>
        </w:rPr>
        <w:t>% ir jaunā nauda (ES fondu finansējums), bet 47,3</w:t>
      </w:r>
      <w:r>
        <w:rPr>
          <w:rFonts w:ascii="Verdana Pro Cond Light" w:hAnsi="Verdana Pro Cond Light"/>
          <w:lang w:val="lv-LV"/>
        </w:rPr>
        <w:t> </w:t>
      </w:r>
      <w:r w:rsidRPr="00B04943">
        <w:rPr>
          <w:rFonts w:ascii="Verdana Pro Cond Light" w:hAnsi="Verdana Pro Cond Light"/>
          <w:lang w:val="lv-LV"/>
        </w:rPr>
        <w:t>% ir naudas pārdale (t. sk. 36,6</w:t>
      </w:r>
      <w:r>
        <w:rPr>
          <w:rFonts w:ascii="Verdana Pro Cond Light" w:hAnsi="Verdana Pro Cond Light"/>
          <w:lang w:val="lv-LV"/>
        </w:rPr>
        <w:t> </w:t>
      </w:r>
      <w:r w:rsidRPr="00B04943">
        <w:rPr>
          <w:rFonts w:ascii="Verdana Pro Cond Light" w:hAnsi="Verdana Pro Cond Light"/>
          <w:lang w:val="lv-LV"/>
        </w:rPr>
        <w:t>% ir Latvijas privāto uzņēmumu finansējums, kas aizvieto citus izdevumus un 10,7</w:t>
      </w:r>
      <w:r>
        <w:rPr>
          <w:rFonts w:ascii="Verdana Pro Cond Light" w:hAnsi="Verdana Pro Cond Light"/>
          <w:lang w:val="lv-LV"/>
        </w:rPr>
        <w:t> </w:t>
      </w:r>
      <w:r w:rsidRPr="00B04943">
        <w:rPr>
          <w:rFonts w:ascii="Verdana Pro Cond Light" w:hAnsi="Verdana Pro Cond Light"/>
          <w:lang w:val="lv-LV"/>
        </w:rPr>
        <w:t>% ir nacionālais publiskais finansējums, kas</w:t>
      </w:r>
      <w:r>
        <w:rPr>
          <w:rFonts w:ascii="Verdana Pro Cond Light" w:hAnsi="Verdana Pro Cond Light"/>
          <w:lang w:val="lv-LV"/>
        </w:rPr>
        <w:t xml:space="preserve"> </w:t>
      </w:r>
      <w:r w:rsidRPr="00B04943">
        <w:rPr>
          <w:rFonts w:ascii="Verdana Pro Cond Light" w:hAnsi="Verdana Pro Cond Light"/>
          <w:lang w:val="lv-LV"/>
        </w:rPr>
        <w:t>aizstāj citus budžeta izdevumus). Energoefektivitātes pasākumi tika modelēti kā investīciju pieaugums attiecīgajās nozarēs (visbiežāk</w:t>
      </w:r>
      <w:r>
        <w:rPr>
          <w:rFonts w:ascii="Verdana Pro Cond Light" w:hAnsi="Verdana Pro Cond Light"/>
          <w:lang w:val="lv-LV"/>
        </w:rPr>
        <w:t xml:space="preserve"> – </w:t>
      </w:r>
      <w:r w:rsidRPr="00B04943">
        <w:rPr>
          <w:rFonts w:ascii="Verdana Pro Cond Light" w:hAnsi="Verdana Pro Cond Light"/>
          <w:lang w:val="lv-LV"/>
        </w:rPr>
        <w:t>būvniecībā). Modelējot 3.2.3.3. pasākumu, tika ietverti tikai ieguldījumi līdz 2030. gadam ieskaitot (6.6. tabula).</w:t>
      </w:r>
    </w:p>
    <w:p w14:paraId="50368514" w14:textId="746DEE4F" w:rsidR="00812A72" w:rsidRDefault="00812A72" w:rsidP="00812A72">
      <w:pPr>
        <w:widowControl/>
        <w:spacing w:after="120" w:line="240" w:lineRule="auto"/>
        <w:rPr>
          <w:rFonts w:ascii="Verdana Pro Cond Light" w:hAnsi="Verdana Pro Cond Light"/>
          <w:lang w:val="lv-LV"/>
        </w:rPr>
      </w:pPr>
      <w:r w:rsidRPr="00B04943">
        <w:rPr>
          <w:rFonts w:ascii="Verdana Pro Cond Light" w:hAnsi="Verdana Pro Cond Light"/>
          <w:lang w:val="lv-LV"/>
        </w:rPr>
        <w:t>Pēc apspriešanas ar Ekonomikas ministrijas ekspertiem, modelēšanā netika iekļauti pasākumi 3.2.1.3., 3.2.1.4., 3.2.1.8., 3.2.1.10., 3.2.2.3., 3.2.2.8., 3.2.2.9., jo šie publiskā sektora pasākumi tiks īstenoti esošā finansējuma ietvaros – to vienīgais finansējuma avots pārsvarā ir nacionālais publiskais finansējums, kas</w:t>
      </w:r>
      <w:r>
        <w:rPr>
          <w:rFonts w:ascii="Verdana Pro Cond Light" w:hAnsi="Verdana Pro Cond Light"/>
          <w:lang w:val="lv-LV"/>
        </w:rPr>
        <w:t xml:space="preserve"> </w:t>
      </w:r>
      <w:r w:rsidRPr="00B04943">
        <w:rPr>
          <w:rFonts w:ascii="Verdana Pro Cond Light" w:hAnsi="Verdana Pro Cond Light"/>
          <w:lang w:val="lv-LV"/>
        </w:rPr>
        <w:t>aizstāj citus budžeta izdevumus. Modelēšanā netika arī iekļauts 3.2.3.16. pasākums, jo tas ietverts Ekonomikas ministrijas makroekonomisko prognožu bāzes scenārijā.</w:t>
      </w:r>
      <w:r w:rsidR="0000674C">
        <w:rPr>
          <w:rFonts w:ascii="Verdana Pro Cond Light" w:hAnsi="Verdana Pro Cond Light"/>
          <w:lang w:val="lv-LV"/>
        </w:rPr>
        <w:t xml:space="preserve"> </w:t>
      </w:r>
      <w:bookmarkStart w:id="70" w:name="_Hlk183680396"/>
      <w:bookmarkStart w:id="71" w:name="_Hlk183681744"/>
      <w:r w:rsidR="00985D1B">
        <w:rPr>
          <w:rFonts w:ascii="Verdana Pro Cond Light" w:hAnsi="Verdana Pro Cond Light"/>
          <w:lang w:val="lv-LV"/>
        </w:rPr>
        <w:t xml:space="preserve">Jāatzīmē, ka </w:t>
      </w:r>
      <w:r w:rsidR="0000674C">
        <w:rPr>
          <w:rFonts w:ascii="Verdana Pro Cond Light" w:hAnsi="Verdana Pro Cond Light"/>
          <w:lang w:val="lv-LV"/>
        </w:rPr>
        <w:t xml:space="preserve"> informācijas trūkuma dēļ šobrīd nav ņemtas vērā mazāka </w:t>
      </w:r>
      <w:r w:rsidR="0000674C" w:rsidRPr="0000674C">
        <w:rPr>
          <w:rFonts w:ascii="Verdana Pro Cond Light" w:hAnsi="Verdana Pro Cond Light"/>
          <w:lang w:val="lv-LV"/>
        </w:rPr>
        <w:t>enerģijas/apkures patēriņ</w:t>
      </w:r>
      <w:r w:rsidR="0000674C">
        <w:rPr>
          <w:rFonts w:ascii="Verdana Pro Cond Light" w:hAnsi="Verdana Pro Cond Light"/>
          <w:lang w:val="lv-LV"/>
        </w:rPr>
        <w:t>a</w:t>
      </w:r>
      <w:r w:rsidR="0000674C" w:rsidRPr="0000674C">
        <w:rPr>
          <w:rFonts w:ascii="Verdana Pro Cond Light" w:hAnsi="Verdana Pro Cond Light"/>
          <w:lang w:val="lv-LV"/>
        </w:rPr>
        <w:t xml:space="preserve">, kā </w:t>
      </w:r>
      <w:r w:rsidR="0000674C">
        <w:rPr>
          <w:rFonts w:ascii="Verdana Pro Cond Light" w:hAnsi="Verdana Pro Cond Light"/>
          <w:lang w:val="lv-LV"/>
        </w:rPr>
        <w:t>arī</w:t>
      </w:r>
      <w:r w:rsidR="0000674C" w:rsidRPr="0000674C">
        <w:rPr>
          <w:rFonts w:ascii="Verdana Pro Cond Light" w:hAnsi="Verdana Pro Cond Light"/>
          <w:lang w:val="lv-LV"/>
        </w:rPr>
        <w:t xml:space="preserve"> enerģijas struktūr</w:t>
      </w:r>
      <w:r w:rsidR="0000674C">
        <w:rPr>
          <w:rFonts w:ascii="Verdana Pro Cond Light" w:hAnsi="Verdana Pro Cond Light"/>
          <w:lang w:val="lv-LV"/>
        </w:rPr>
        <w:t>as pārmaiņas ekonomiskās ietekmes</w:t>
      </w:r>
      <w:r w:rsidR="0000674C" w:rsidRPr="0000674C">
        <w:rPr>
          <w:rFonts w:ascii="Verdana Pro Cond Light" w:hAnsi="Verdana Pro Cond Light"/>
          <w:lang w:val="lv-LV"/>
        </w:rPr>
        <w:t>.</w:t>
      </w:r>
      <w:bookmarkEnd w:id="70"/>
      <w:r w:rsidR="0000674C" w:rsidRPr="0000674C">
        <w:rPr>
          <w:lang w:val="lv-LV"/>
        </w:rPr>
        <w:t xml:space="preserve"> </w:t>
      </w:r>
      <w:bookmarkEnd w:id="71"/>
    </w:p>
    <w:p w14:paraId="569C2575" w14:textId="77777777" w:rsidR="00812A72" w:rsidRDefault="00812A72" w:rsidP="00812A72">
      <w:pPr>
        <w:widowControl/>
        <w:spacing w:after="120" w:line="240" w:lineRule="auto"/>
        <w:rPr>
          <w:rFonts w:ascii="Verdana Pro Cond Light" w:hAnsi="Verdana Pro Cond Light"/>
          <w:lang w:val="lv-LV"/>
        </w:rPr>
      </w:pPr>
      <w:r w:rsidRPr="00B04943">
        <w:rPr>
          <w:rFonts w:ascii="Verdana Pro Cond Light" w:hAnsi="Verdana Pro Cond Light"/>
          <w:lang w:val="lv-LV"/>
        </w:rPr>
        <w:t xml:space="preserve">Tā kā energoefektivitātes pasākumi ietver papildu investīcijas, kas palielina fiziskā kapitāla apjomu (un tādējādi arī ražošanas potenciālu) tautsaimniecībā, tiem ir pozitīva ietekme uz IKP </w:t>
      </w:r>
      <w:r>
        <w:rPr>
          <w:rFonts w:ascii="Verdana Pro Cond Light" w:hAnsi="Verdana Pro Cond Light"/>
          <w:lang w:val="lv-LV"/>
        </w:rPr>
        <w:t xml:space="preserve">– </w:t>
      </w:r>
      <w:r w:rsidRPr="00B04943">
        <w:rPr>
          <w:rFonts w:ascii="Verdana Pro Cond Light" w:hAnsi="Verdana Pro Cond Light"/>
          <w:lang w:val="lv-LV"/>
        </w:rPr>
        <w:t xml:space="preserve">ne tikai īstermiņā (t.i., investīciju veikšanas periodā </w:t>
      </w:r>
      <w:r>
        <w:rPr>
          <w:rFonts w:ascii="Verdana Pro Cond Light" w:hAnsi="Verdana Pro Cond Light"/>
          <w:lang w:val="lv-LV"/>
        </w:rPr>
        <w:t>–</w:t>
      </w:r>
      <w:r w:rsidRPr="00B04943">
        <w:rPr>
          <w:rFonts w:ascii="Verdana Pro Cond Light" w:hAnsi="Verdana Pro Cond Light"/>
          <w:lang w:val="lv-LV"/>
        </w:rPr>
        <w:t xml:space="preserve"> līdz 2030. gadam), bet arī ilgtermiņā. Reālā IKP līmenis 2050. gadā ir par 2,6</w:t>
      </w:r>
      <w:r>
        <w:rPr>
          <w:rFonts w:ascii="Verdana Pro Cond Light" w:hAnsi="Verdana Pro Cond Light"/>
          <w:lang w:val="lv-LV"/>
        </w:rPr>
        <w:t> </w:t>
      </w:r>
      <w:r w:rsidRPr="00B04943">
        <w:rPr>
          <w:rFonts w:ascii="Verdana Pro Cond Light" w:hAnsi="Verdana Pro Cond Light"/>
          <w:lang w:val="lv-LV"/>
        </w:rPr>
        <w:t>% lielāks nekā neīstenojot energoefektivitātes pasākumus. No IKP komponentēm visvairāk palielinās investīcijas, pozitīva ietekme ir arī uz privāto patēriņu (6.3</w:t>
      </w:r>
      <w:r>
        <w:rPr>
          <w:rFonts w:ascii="Verdana Pro Cond Light" w:hAnsi="Verdana Pro Cond Light"/>
          <w:lang w:val="lv-LV"/>
        </w:rPr>
        <w:t>1</w:t>
      </w:r>
      <w:r w:rsidRPr="00B04943">
        <w:rPr>
          <w:rFonts w:ascii="Verdana Pro Cond Light" w:hAnsi="Verdana Pro Cond Light"/>
          <w:lang w:val="lv-LV"/>
        </w:rPr>
        <w:t>. attēls).</w:t>
      </w:r>
    </w:p>
    <w:p w14:paraId="3F55E780" w14:textId="77777777" w:rsidR="00812A72" w:rsidRDefault="00812A72" w:rsidP="00812A72">
      <w:pPr>
        <w:widowControl/>
        <w:spacing w:after="120" w:line="240" w:lineRule="auto"/>
        <w:rPr>
          <w:rFonts w:ascii="Verdana Pro Cond Light" w:hAnsi="Verdana Pro Cond Light"/>
          <w:lang w:val="lv-LV"/>
        </w:rPr>
      </w:pPr>
      <w:r w:rsidRPr="00B04943">
        <w:rPr>
          <w:rFonts w:ascii="Verdana Pro Cond Light" w:hAnsi="Verdana Pro Cond Light"/>
          <w:lang w:val="lv-LV"/>
        </w:rPr>
        <w:t>Īstermiņā papildu investīcijas izspiež eksportu, tādējādi pasliktinot tirdzniecības bilanci par 0,6 procentu punktiem no IKP. Ilgtermiņā</w:t>
      </w:r>
      <w:r>
        <w:rPr>
          <w:rFonts w:ascii="Verdana Pro Cond Light" w:hAnsi="Verdana Pro Cond Light"/>
          <w:lang w:val="lv-LV"/>
        </w:rPr>
        <w:t xml:space="preserve"> </w:t>
      </w:r>
      <w:r w:rsidRPr="00B04943">
        <w:rPr>
          <w:rFonts w:ascii="Verdana Pro Cond Light" w:hAnsi="Verdana Pro Cond Light"/>
          <w:lang w:val="lv-LV"/>
        </w:rPr>
        <w:t>eksports tomēr pieaug nedaudz vairāk par importu, uzlabojot tirdzniecības bilanci par 0,6 procentu punktiem no IKP (6.3</w:t>
      </w:r>
      <w:r>
        <w:rPr>
          <w:rFonts w:ascii="Verdana Pro Cond Light" w:hAnsi="Verdana Pro Cond Light"/>
          <w:lang w:val="lv-LV"/>
        </w:rPr>
        <w:t>2</w:t>
      </w:r>
      <w:r w:rsidRPr="00B04943">
        <w:rPr>
          <w:rFonts w:ascii="Verdana Pro Cond Light" w:hAnsi="Verdana Pro Cond Light"/>
          <w:lang w:val="lv-LV"/>
        </w:rPr>
        <w:t>. attēls).</w:t>
      </w:r>
    </w:p>
    <w:p w14:paraId="5D9EE5DA" w14:textId="77777777" w:rsidR="00812A72" w:rsidRDefault="00812A72" w:rsidP="00812A72">
      <w:pPr>
        <w:widowControl/>
        <w:spacing w:after="120" w:line="240" w:lineRule="auto"/>
        <w:rPr>
          <w:rFonts w:ascii="Verdana Pro Cond Light" w:hAnsi="Verdana Pro Cond Light"/>
          <w:lang w:val="lv-LV"/>
        </w:rPr>
      </w:pPr>
      <w:r w:rsidRPr="00B04943">
        <w:rPr>
          <w:rFonts w:ascii="Verdana Pro Cond Light" w:hAnsi="Verdana Pro Cond Light"/>
          <w:lang w:val="lv-LV"/>
        </w:rPr>
        <w:t>Energoefektivitātes pasākumu īstenošanai ir pozitīva ietekme uz produktivitāti, palielinās arī nodarbinātība. Nodarbināto skaits 2050. gadā ir par 1,7</w:t>
      </w:r>
      <w:r>
        <w:rPr>
          <w:rFonts w:ascii="Verdana Pro Cond Light" w:hAnsi="Verdana Pro Cond Light"/>
          <w:lang w:val="lv-LV"/>
        </w:rPr>
        <w:t> </w:t>
      </w:r>
      <w:r w:rsidRPr="00B04943">
        <w:rPr>
          <w:rFonts w:ascii="Verdana Pro Cond Light" w:hAnsi="Verdana Pro Cond Light"/>
          <w:lang w:val="lv-LV"/>
        </w:rPr>
        <w:t>% lielāks nekā bāzes scenārijā, kas samazina bezdarba līmeni par 1,0 procentu punktiem no ekonomiski aktīvajiem iedzīvotājiem (6.3</w:t>
      </w:r>
      <w:r>
        <w:rPr>
          <w:rFonts w:ascii="Verdana Pro Cond Light" w:hAnsi="Verdana Pro Cond Light"/>
          <w:lang w:val="lv-LV"/>
        </w:rPr>
        <w:t>3</w:t>
      </w:r>
      <w:r w:rsidRPr="00B04943">
        <w:rPr>
          <w:rFonts w:ascii="Verdana Pro Cond Light" w:hAnsi="Verdana Pro Cond Light"/>
          <w:lang w:val="lv-LV"/>
        </w:rPr>
        <w:t>. attēls).</w:t>
      </w:r>
    </w:p>
    <w:p w14:paraId="33E4B98F" w14:textId="77777777" w:rsidR="00812A72" w:rsidRDefault="00812A72" w:rsidP="00812A72">
      <w:pPr>
        <w:widowControl/>
        <w:spacing w:after="120" w:line="240" w:lineRule="auto"/>
        <w:rPr>
          <w:rFonts w:ascii="Verdana Pro Cond Light" w:hAnsi="Verdana Pro Cond Light"/>
          <w:lang w:val="lv-LV"/>
        </w:rPr>
      </w:pPr>
      <w:r w:rsidRPr="00B04943">
        <w:rPr>
          <w:rFonts w:ascii="Verdana Pro Cond Light" w:hAnsi="Verdana Pro Cond Light"/>
          <w:lang w:val="lv-LV"/>
        </w:rPr>
        <w:t>Lielāks darbaspēka pieprasījums nosaka arī augstākas algas. Vidējā alga nominālā izteiksmē 2030. – 2034. gadā ir par 0,4</w:t>
      </w:r>
      <w:r>
        <w:rPr>
          <w:rFonts w:ascii="Verdana Pro Cond Light" w:hAnsi="Verdana Pro Cond Light"/>
          <w:lang w:val="lv-LV"/>
        </w:rPr>
        <w:t> </w:t>
      </w:r>
      <w:r w:rsidRPr="00B04943">
        <w:rPr>
          <w:rFonts w:ascii="Verdana Pro Cond Light" w:hAnsi="Verdana Pro Cond Light"/>
          <w:lang w:val="lv-LV"/>
        </w:rPr>
        <w:t>% lielāka nekā bāzes scenārijā. Energoefektivitātes pasākumu īstenošana palielina patēriņa cenu līmeni īstermiņā (tautsaimniecības augšupejas ietekmē); bet samazina to ilgtermiņā, jo papildu investīcijas vairo tautsaimniecības kapacitāti jeb potenciālo IKP (6.3</w:t>
      </w:r>
      <w:r>
        <w:rPr>
          <w:rFonts w:ascii="Verdana Pro Cond Light" w:hAnsi="Verdana Pro Cond Light"/>
          <w:lang w:val="lv-LV"/>
        </w:rPr>
        <w:t>4</w:t>
      </w:r>
      <w:r w:rsidRPr="00B04943">
        <w:rPr>
          <w:rFonts w:ascii="Verdana Pro Cond Light" w:hAnsi="Verdana Pro Cond Light"/>
          <w:lang w:val="lv-LV"/>
        </w:rPr>
        <w:t>. attēls). Tādējādi ietekme uz reālo algu (t.i., vidējās algas pirktspēju) ilgtermiņā ir pozitīva.</w:t>
      </w:r>
    </w:p>
    <w:p w14:paraId="68AF62DC" w14:textId="77777777" w:rsidR="00812A72" w:rsidRDefault="00812A72" w:rsidP="00812A72">
      <w:pPr>
        <w:widowControl/>
        <w:spacing w:after="120" w:line="240" w:lineRule="auto"/>
        <w:rPr>
          <w:rFonts w:ascii="Verdana Pro Cond Light" w:hAnsi="Verdana Pro Cond Light"/>
          <w:lang w:val="lv-LV"/>
        </w:rPr>
      </w:pPr>
      <w:r w:rsidRPr="00B04943">
        <w:rPr>
          <w:rFonts w:ascii="Verdana Pro Cond Light" w:hAnsi="Verdana Pro Cond Light"/>
          <w:lang w:val="lv-LV"/>
        </w:rPr>
        <w:t>Augstāks IKP un īstermiņā arī lielāks cenu līmenis nosaka pozitīvu energoefektivitātes pasākumu ietekmi uz valsts budžeta ieņēmumiem, t.sk. uz nodokļu ieņēmumiem. Tādējādi valsts budžeta ieņēmumi 2050.</w:t>
      </w:r>
      <w:r>
        <w:rPr>
          <w:rFonts w:ascii="Verdana Pro Cond Light" w:hAnsi="Verdana Pro Cond Light"/>
          <w:lang w:val="lv-LV"/>
        </w:rPr>
        <w:t> </w:t>
      </w:r>
      <w:r w:rsidRPr="00B04943">
        <w:rPr>
          <w:rFonts w:ascii="Verdana Pro Cond Light" w:hAnsi="Verdana Pro Cond Light"/>
          <w:lang w:val="lv-LV"/>
        </w:rPr>
        <w:t>gadā ir par 1,7</w:t>
      </w:r>
      <w:r>
        <w:rPr>
          <w:rFonts w:ascii="Verdana Pro Cond Light" w:hAnsi="Verdana Pro Cond Light"/>
          <w:lang w:val="lv-LV"/>
        </w:rPr>
        <w:t> </w:t>
      </w:r>
      <w:r w:rsidRPr="00B04943">
        <w:rPr>
          <w:rFonts w:ascii="Verdana Pro Cond Light" w:hAnsi="Verdana Pro Cond Light"/>
          <w:lang w:val="lv-LV"/>
        </w:rPr>
        <w:t>% lielāki nekā bāzes scenārijā (6.3</w:t>
      </w:r>
      <w:r>
        <w:rPr>
          <w:rFonts w:ascii="Verdana Pro Cond Light" w:hAnsi="Verdana Pro Cond Light"/>
          <w:lang w:val="lv-LV"/>
        </w:rPr>
        <w:t>5</w:t>
      </w:r>
      <w:r w:rsidRPr="00B04943">
        <w:rPr>
          <w:rFonts w:ascii="Verdana Pro Cond Light" w:hAnsi="Verdana Pro Cond Light"/>
          <w:lang w:val="lv-LV"/>
        </w:rPr>
        <w:t>. attēls).</w:t>
      </w:r>
    </w:p>
    <w:p w14:paraId="2B708FCE" w14:textId="77777777" w:rsidR="00812A72" w:rsidRDefault="00812A72" w:rsidP="00812A72">
      <w:pPr>
        <w:widowControl/>
        <w:spacing w:after="120" w:line="240" w:lineRule="auto"/>
        <w:rPr>
          <w:rFonts w:ascii="Verdana Pro Cond Light" w:hAnsi="Verdana Pro Cond Light"/>
          <w:lang w:val="lv-LV"/>
        </w:rPr>
      </w:pPr>
      <w:r w:rsidRPr="00B04943">
        <w:rPr>
          <w:rFonts w:ascii="Verdana Pro Cond Light" w:hAnsi="Verdana Pro Cond Light"/>
          <w:lang w:val="lv-LV"/>
        </w:rPr>
        <w:t>Nozaru dalījumā vislielākā pozitīva ietekme īstermiņā ir uz pievienoto vērtību būvniecībā un nemetālisko minerālu ražošanu (to produkcija ir būvniecības izejmateriāli). Ilgtermiņā pozitīva ietekme ir vienmērīgi sadalīta uz visām privātā sektora nozarēm; 6.3</w:t>
      </w:r>
      <w:r>
        <w:rPr>
          <w:rFonts w:ascii="Verdana Pro Cond Light" w:hAnsi="Verdana Pro Cond Light"/>
          <w:lang w:val="lv-LV"/>
        </w:rPr>
        <w:t>6</w:t>
      </w:r>
      <w:r w:rsidRPr="00B04943">
        <w:rPr>
          <w:rFonts w:ascii="Verdana Pro Cond Light" w:hAnsi="Verdana Pro Cond Light"/>
          <w:lang w:val="lv-LV"/>
        </w:rPr>
        <w:t>. attēls).</w:t>
      </w:r>
    </w:p>
    <w:p w14:paraId="18498B4F" w14:textId="77777777" w:rsidR="00812A72" w:rsidRPr="00B04943" w:rsidRDefault="00812A72" w:rsidP="00812A72">
      <w:pPr>
        <w:widowControl/>
        <w:spacing w:after="120" w:line="240" w:lineRule="auto"/>
        <w:rPr>
          <w:rFonts w:ascii="Verdana Pro Cond Light" w:hAnsi="Verdana Pro Cond Light"/>
          <w:lang w:val="lv-LV"/>
        </w:rPr>
      </w:pPr>
      <w:r w:rsidRPr="00B04943">
        <w:rPr>
          <w:rFonts w:ascii="Verdana Pro Cond Light" w:hAnsi="Verdana Pro Cond Light"/>
          <w:lang w:val="lv-LV"/>
        </w:rPr>
        <w:br w:type="page"/>
      </w:r>
    </w:p>
    <w:p w14:paraId="58721563" w14:textId="77777777" w:rsidR="00812A72" w:rsidRPr="00B04943" w:rsidRDefault="00812A72" w:rsidP="00812A72">
      <w:pPr>
        <w:widowControl/>
        <w:spacing w:before="120" w:after="120" w:line="240" w:lineRule="auto"/>
        <w:jc w:val="right"/>
        <w:rPr>
          <w:rFonts w:ascii="Verdana Pro Cond Light" w:eastAsia="Times New Roman" w:hAnsi="Verdana Pro Cond Light" w:cstheme="minorHAnsi"/>
          <w:bCs/>
          <w:lang w:val="lv-LV" w:eastAsia="lv-LV"/>
        </w:rPr>
      </w:pPr>
      <w:r w:rsidRPr="00B04943">
        <w:rPr>
          <w:rFonts w:ascii="Verdana Pro Cond Light" w:eastAsia="Times New Roman" w:hAnsi="Verdana Pro Cond Light" w:cstheme="minorHAnsi"/>
          <w:bCs/>
          <w:lang w:val="lv-LV" w:eastAsia="lv-LV"/>
        </w:rPr>
        <w:lastRenderedPageBreak/>
        <w:t>6.3</w:t>
      </w:r>
      <w:r>
        <w:rPr>
          <w:rFonts w:ascii="Verdana Pro Cond Light" w:eastAsia="Times New Roman" w:hAnsi="Verdana Pro Cond Light" w:cstheme="minorHAnsi"/>
          <w:bCs/>
          <w:lang w:val="lv-LV" w:eastAsia="lv-LV"/>
        </w:rPr>
        <w:t>1</w:t>
      </w:r>
      <w:r w:rsidRPr="00B04943">
        <w:rPr>
          <w:rFonts w:ascii="Verdana Pro Cond Light" w:eastAsia="Times New Roman" w:hAnsi="Verdana Pro Cond Light" w:cstheme="minorHAnsi"/>
          <w:bCs/>
          <w:lang w:val="lv-LV" w:eastAsia="lv-LV"/>
        </w:rPr>
        <w:t>. attēls</w:t>
      </w:r>
    </w:p>
    <w:p w14:paraId="2BAB5FF1" w14:textId="77777777" w:rsidR="00812A72" w:rsidRPr="00B04943" w:rsidRDefault="00812A72" w:rsidP="00812A72">
      <w:pPr>
        <w:widowControl/>
        <w:spacing w:after="120" w:line="240" w:lineRule="auto"/>
        <w:jc w:val="center"/>
        <w:rPr>
          <w:rFonts w:ascii="Verdana Pro Cond Light" w:eastAsia="Times New Roman" w:hAnsi="Verdana Pro Cond Light"/>
          <w:sz w:val="18"/>
          <w:szCs w:val="18"/>
          <w:lang w:val="lv-LV" w:eastAsia="lv-LV"/>
        </w:rPr>
      </w:pPr>
      <w:r w:rsidRPr="00B04943">
        <w:rPr>
          <w:rFonts w:ascii="Verdana Pro Cond Light" w:eastAsia="Times New Roman" w:hAnsi="Verdana Pro Cond Light"/>
          <w:b/>
          <w:bCs/>
          <w:lang w:val="lv-LV" w:eastAsia="lv-LV"/>
        </w:rPr>
        <w:t xml:space="preserve">Energoefektivitātes pasākumu ietekme uz Latvijas iekšzemes </w:t>
      </w:r>
      <w:r>
        <w:rPr>
          <w:rFonts w:ascii="Verdana Pro Cond Light" w:eastAsia="Times New Roman" w:hAnsi="Verdana Pro Cond Light"/>
          <w:b/>
          <w:bCs/>
          <w:lang w:val="lv-LV" w:eastAsia="lv-LV"/>
        </w:rPr>
        <w:br/>
      </w:r>
      <w:r w:rsidRPr="00B04943">
        <w:rPr>
          <w:rFonts w:ascii="Verdana Pro Cond Light" w:eastAsia="Times New Roman" w:hAnsi="Verdana Pro Cond Light"/>
          <w:b/>
          <w:bCs/>
          <w:lang w:val="lv-LV" w:eastAsia="lv-LV"/>
        </w:rPr>
        <w:t xml:space="preserve">kopprodukta līmeni un tā iekšzemes komponentēm </w:t>
      </w:r>
      <w:r>
        <w:rPr>
          <w:rFonts w:ascii="Verdana Pro Cond Light" w:eastAsia="Times New Roman" w:hAnsi="Verdana Pro Cond Light"/>
          <w:b/>
          <w:bCs/>
          <w:lang w:val="lv-LV" w:eastAsia="lv-LV"/>
        </w:rPr>
        <w:br/>
      </w:r>
      <w:r w:rsidRPr="00B04943">
        <w:rPr>
          <w:rFonts w:ascii="Verdana Pro Cond Light" w:eastAsia="Times New Roman" w:hAnsi="Verdana Pro Cond Light"/>
          <w:sz w:val="18"/>
          <w:szCs w:val="18"/>
          <w:lang w:val="lv-LV" w:eastAsia="lv-LV"/>
        </w:rPr>
        <w:t>%; salīdzinot ar bāzes scenāriju; 2015. gada cenās; 2025. – 2050. gadā</w:t>
      </w:r>
    </w:p>
    <w:p w14:paraId="688C6662" w14:textId="77777777" w:rsidR="00812A72" w:rsidRPr="00B04943" w:rsidRDefault="00812A72" w:rsidP="00812A72">
      <w:pPr>
        <w:widowControl/>
        <w:spacing w:after="120" w:line="240" w:lineRule="auto"/>
        <w:jc w:val="center"/>
        <w:rPr>
          <w:rFonts w:ascii="Verdana Pro Cond Light" w:hAnsi="Verdana Pro Cond Light"/>
          <w:b/>
          <w:bCs/>
          <w:sz w:val="18"/>
          <w:szCs w:val="18"/>
          <w:lang w:val="lv-LV"/>
        </w:rPr>
      </w:pPr>
    </w:p>
    <w:p w14:paraId="6D40A287" w14:textId="77777777" w:rsidR="00812A72" w:rsidRDefault="00812A72" w:rsidP="00812A72">
      <w:pPr>
        <w:widowControl/>
        <w:tabs>
          <w:tab w:val="center" w:pos="2410"/>
          <w:tab w:val="center" w:pos="7230"/>
        </w:tabs>
        <w:spacing w:after="120" w:line="240" w:lineRule="auto"/>
        <w:rPr>
          <w:rFonts w:ascii="Verdana Pro Cond Light" w:hAnsi="Verdana Pro Cond Light"/>
          <w:b/>
          <w:bCs/>
          <w:sz w:val="18"/>
          <w:szCs w:val="18"/>
          <w:lang w:val="lv-LV"/>
        </w:rPr>
      </w:pPr>
      <w:r>
        <w:rPr>
          <w:rFonts w:ascii="Verdana Pro Cond Light" w:hAnsi="Verdana Pro Cond Light"/>
          <w:b/>
          <w:bCs/>
          <w:sz w:val="18"/>
          <w:szCs w:val="18"/>
          <w:lang w:val="lv-LV"/>
        </w:rPr>
        <w:tab/>
      </w:r>
      <w:r w:rsidRPr="00B04943">
        <w:rPr>
          <w:rFonts w:ascii="Verdana Pro Cond Light" w:hAnsi="Verdana Pro Cond Light"/>
          <w:b/>
          <w:bCs/>
          <w:sz w:val="18"/>
          <w:szCs w:val="18"/>
          <w:lang w:val="lv-LV"/>
        </w:rPr>
        <w:t>Ietekme uz iekšzemes kopprodukta līmeni</w:t>
      </w:r>
      <w:r w:rsidRPr="00B04943">
        <w:rPr>
          <w:rFonts w:ascii="Verdana Pro Cond Light" w:hAnsi="Verdana Pro Cond Light"/>
          <w:b/>
          <w:bCs/>
          <w:sz w:val="18"/>
          <w:szCs w:val="18"/>
          <w:lang w:val="lv-LV"/>
        </w:rPr>
        <w:tab/>
        <w:t>Ietekme uz investīcijām un patēriņu</w:t>
      </w:r>
    </w:p>
    <w:p w14:paraId="63A80895" w14:textId="77777777" w:rsidR="00812A72" w:rsidRPr="00B04943" w:rsidRDefault="00812A72" w:rsidP="00812A72">
      <w:pPr>
        <w:widowControl/>
        <w:spacing w:after="120" w:line="240" w:lineRule="auto"/>
        <w:ind w:right="-143"/>
        <w:jc w:val="center"/>
        <w:rPr>
          <w:rFonts w:ascii="Verdana Pro Cond Light" w:hAnsi="Verdana Pro Cond Light"/>
          <w:b/>
          <w:bCs/>
          <w:sz w:val="18"/>
          <w:szCs w:val="18"/>
          <w:lang w:val="lv-LV"/>
        </w:rPr>
      </w:pPr>
      <w:r w:rsidRPr="00B04943">
        <w:rPr>
          <w:rFonts w:ascii="Verdana Pro Cond Light" w:hAnsi="Verdana Pro Cond Light" w:cstheme="minorHAnsi"/>
          <w:noProof/>
        </w:rPr>
        <w:drawing>
          <wp:inline distT="0" distB="0" distL="0" distR="0" wp14:anchorId="0DB1F9C4" wp14:editId="7FC7867A">
            <wp:extent cx="3060000" cy="2160000"/>
            <wp:effectExtent l="0" t="0" r="7620" b="0"/>
            <wp:docPr id="1875944635" name="Chart 1875944635">
              <a:extLst xmlns:a="http://schemas.openxmlformats.org/drawingml/2006/main">
                <a:ext uri="{FF2B5EF4-FFF2-40B4-BE49-F238E27FC236}">
                  <a16:creationId xmlns:a16="http://schemas.microsoft.com/office/drawing/2014/main" id="{C0B412E0-20D9-9C02-797F-E1BB76C514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0"/>
              </a:graphicData>
            </a:graphic>
          </wp:inline>
        </w:drawing>
      </w:r>
      <w:r w:rsidRPr="00B04943">
        <w:rPr>
          <w:rFonts w:ascii="Verdana Pro Cond Light" w:hAnsi="Verdana Pro Cond Light" w:cstheme="minorHAnsi"/>
          <w:noProof/>
        </w:rPr>
        <w:drawing>
          <wp:inline distT="0" distB="0" distL="0" distR="0" wp14:anchorId="247EF1F4" wp14:editId="3514EC64">
            <wp:extent cx="3060000" cy="2160000"/>
            <wp:effectExtent l="0" t="0" r="0" b="0"/>
            <wp:docPr id="1090210578" name="Chart 1090210578">
              <a:extLst xmlns:a="http://schemas.openxmlformats.org/drawingml/2006/main">
                <a:ext uri="{FF2B5EF4-FFF2-40B4-BE49-F238E27FC236}">
                  <a16:creationId xmlns:a16="http://schemas.microsoft.com/office/drawing/2014/main" id="{DA49B370-F5C9-6939-A1AB-36EBEF097AC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1"/>
              </a:graphicData>
            </a:graphic>
          </wp:inline>
        </w:drawing>
      </w:r>
    </w:p>
    <w:p w14:paraId="405E1991" w14:textId="77777777" w:rsidR="00812A72" w:rsidRPr="00097491" w:rsidRDefault="00812A72" w:rsidP="00812A72">
      <w:pPr>
        <w:widowControl/>
        <w:spacing w:before="120" w:after="120" w:line="240" w:lineRule="auto"/>
        <w:jc w:val="both"/>
        <w:rPr>
          <w:rFonts w:ascii="Arial Nova Cond Light" w:eastAsia="Times New Roman" w:hAnsi="Arial Nova Cond Light"/>
          <w:sz w:val="16"/>
          <w:szCs w:val="24"/>
          <w:lang w:val="lv-LV" w:eastAsia="lv-LV"/>
        </w:rPr>
      </w:pPr>
      <w:r w:rsidRPr="00097491">
        <w:rPr>
          <w:rFonts w:ascii="Arial Nova Cond Light" w:eastAsia="Times New Roman" w:hAnsi="Arial Nova Cond Light"/>
          <w:sz w:val="16"/>
          <w:szCs w:val="24"/>
          <w:lang w:val="lv-LV" w:eastAsia="lv-LV"/>
        </w:rPr>
        <w:t>Avots: autoru aprēķins, izmantojot VLA modeli.</w:t>
      </w:r>
    </w:p>
    <w:p w14:paraId="7507968E" w14:textId="77777777" w:rsidR="00812A72" w:rsidRPr="00097491" w:rsidRDefault="00812A72" w:rsidP="00812A72">
      <w:pPr>
        <w:widowControl/>
        <w:spacing w:line="240" w:lineRule="auto"/>
        <w:jc w:val="right"/>
        <w:rPr>
          <w:rFonts w:ascii="Verdana Pro Cond Light" w:eastAsia="Times New Roman" w:hAnsi="Verdana Pro Cond Light" w:cstheme="minorHAnsi"/>
          <w:bCs/>
          <w:lang w:val="lv-LV" w:eastAsia="lv-LV"/>
        </w:rPr>
      </w:pPr>
    </w:p>
    <w:p w14:paraId="3F27BF58" w14:textId="77777777" w:rsidR="00812A72" w:rsidRPr="00097491" w:rsidRDefault="00812A72" w:rsidP="00812A72">
      <w:pPr>
        <w:widowControl/>
        <w:spacing w:line="240" w:lineRule="auto"/>
        <w:jc w:val="right"/>
        <w:rPr>
          <w:rFonts w:ascii="Verdana Pro Cond Light" w:eastAsia="Times New Roman" w:hAnsi="Verdana Pro Cond Light" w:cstheme="minorHAnsi"/>
          <w:bCs/>
          <w:lang w:val="lv-LV" w:eastAsia="lv-LV"/>
        </w:rPr>
      </w:pPr>
      <w:r w:rsidRPr="00097491">
        <w:rPr>
          <w:rFonts w:ascii="Verdana Pro Cond Light" w:eastAsia="Times New Roman" w:hAnsi="Verdana Pro Cond Light" w:cstheme="minorHAnsi"/>
          <w:bCs/>
          <w:lang w:val="lv-LV" w:eastAsia="lv-LV"/>
        </w:rPr>
        <w:t>6.32. attēls</w:t>
      </w:r>
    </w:p>
    <w:p w14:paraId="72E47340" w14:textId="77777777" w:rsidR="00812A72" w:rsidRPr="00097491" w:rsidRDefault="00812A72" w:rsidP="00812A72">
      <w:pPr>
        <w:widowControl/>
        <w:spacing w:before="120" w:after="120" w:line="240" w:lineRule="auto"/>
        <w:jc w:val="center"/>
        <w:rPr>
          <w:rFonts w:ascii="Verdana Pro Cond Light" w:eastAsia="Times New Roman" w:hAnsi="Verdana Pro Cond Light"/>
          <w:sz w:val="18"/>
          <w:szCs w:val="18"/>
          <w:lang w:val="lv-LV" w:eastAsia="lv-LV"/>
        </w:rPr>
      </w:pPr>
      <w:r w:rsidRPr="00B04943">
        <w:rPr>
          <w:rFonts w:ascii="Verdana Pro Cond Light" w:eastAsia="Times New Roman" w:hAnsi="Verdana Pro Cond Light"/>
          <w:b/>
          <w:bCs/>
          <w:lang w:val="lv-LV" w:eastAsia="lv-LV"/>
        </w:rPr>
        <w:t>Energoefektivitātes</w:t>
      </w:r>
      <w:r w:rsidRPr="00097491">
        <w:rPr>
          <w:rFonts w:ascii="Verdana Pro Cond Light" w:eastAsia="Times New Roman" w:hAnsi="Verdana Pro Cond Light"/>
          <w:b/>
          <w:bCs/>
          <w:lang w:val="lv-LV" w:eastAsia="lv-LV"/>
        </w:rPr>
        <w:t xml:space="preserve"> pasākumu ietekme uz Latvijas eksportu, importu un tirdzniecības bilanci </w:t>
      </w:r>
      <w:r w:rsidRPr="00097491">
        <w:rPr>
          <w:rFonts w:ascii="Verdana Pro Cond Light" w:eastAsia="Times New Roman" w:hAnsi="Verdana Pro Cond Light"/>
          <w:b/>
          <w:bCs/>
          <w:lang w:val="lv-LV" w:eastAsia="lv-LV"/>
        </w:rPr>
        <w:br/>
      </w:r>
      <w:r w:rsidRPr="00097491">
        <w:rPr>
          <w:rFonts w:ascii="Verdana Pro Cond Light" w:eastAsia="Times New Roman" w:hAnsi="Verdana Pro Cond Light"/>
          <w:sz w:val="18"/>
          <w:szCs w:val="18"/>
          <w:lang w:val="lv-LV" w:eastAsia="lv-LV"/>
        </w:rPr>
        <w:t>salīdzinot ar bāzes scenāriju; 2025. – 2050. gadā</w:t>
      </w:r>
    </w:p>
    <w:p w14:paraId="412647C0" w14:textId="77777777" w:rsidR="00812A72" w:rsidRPr="00097491" w:rsidRDefault="00812A72" w:rsidP="00812A72">
      <w:pPr>
        <w:widowControl/>
        <w:spacing w:before="120" w:after="120" w:line="240" w:lineRule="auto"/>
        <w:jc w:val="center"/>
        <w:rPr>
          <w:rFonts w:ascii="Verdana Pro Cond Light" w:eastAsia="Times New Roman" w:hAnsi="Verdana Pro Cond Light"/>
          <w:sz w:val="18"/>
          <w:szCs w:val="18"/>
          <w:lang w:val="lv-LV" w:eastAsia="lv-LV"/>
        </w:rPr>
      </w:pPr>
    </w:p>
    <w:p w14:paraId="749B60FF" w14:textId="77777777" w:rsidR="00812A72" w:rsidRPr="00097491" w:rsidRDefault="00812A72" w:rsidP="00812A72">
      <w:pPr>
        <w:widowControl/>
        <w:tabs>
          <w:tab w:val="center" w:pos="2410"/>
          <w:tab w:val="center" w:pos="7230"/>
        </w:tabs>
        <w:spacing w:before="120" w:after="120" w:line="240" w:lineRule="auto"/>
        <w:rPr>
          <w:rFonts w:ascii="Verdana Pro Cond Light" w:eastAsia="Times New Roman" w:hAnsi="Verdana Pro Cond Light"/>
          <w:b/>
          <w:bCs/>
          <w:sz w:val="18"/>
          <w:szCs w:val="18"/>
          <w:lang w:val="lv-LV" w:eastAsia="lv-LV"/>
        </w:rPr>
      </w:pPr>
      <w:r w:rsidRPr="00097491">
        <w:rPr>
          <w:rFonts w:ascii="Verdana Pro Cond Light" w:eastAsia="Times New Roman" w:hAnsi="Verdana Pro Cond Light"/>
          <w:b/>
          <w:bCs/>
          <w:sz w:val="18"/>
          <w:szCs w:val="18"/>
          <w:lang w:val="lv-LV" w:eastAsia="lv-LV"/>
        </w:rPr>
        <w:tab/>
        <w:t>Ietekme uz Latvijas eksportu un importu (%)</w:t>
      </w:r>
      <w:r w:rsidRPr="00097491">
        <w:rPr>
          <w:rFonts w:ascii="Verdana Pro Cond Light" w:eastAsia="Times New Roman" w:hAnsi="Verdana Pro Cond Light"/>
          <w:b/>
          <w:bCs/>
          <w:sz w:val="18"/>
          <w:szCs w:val="18"/>
          <w:lang w:val="lv-LV" w:eastAsia="lv-LV"/>
        </w:rPr>
        <w:tab/>
        <w:t>Ietekme uz Latvijas tirdzniecības bilanci (pp. no IKP)</w:t>
      </w:r>
    </w:p>
    <w:p w14:paraId="07E50516" w14:textId="77777777" w:rsidR="00812A72" w:rsidRPr="00B04943" w:rsidRDefault="00812A72" w:rsidP="00812A72">
      <w:pPr>
        <w:widowControl/>
        <w:tabs>
          <w:tab w:val="center" w:pos="2410"/>
          <w:tab w:val="center" w:pos="7230"/>
        </w:tabs>
        <w:spacing w:before="120" w:after="120" w:line="240" w:lineRule="auto"/>
        <w:ind w:right="-143"/>
        <w:rPr>
          <w:rFonts w:ascii="Verdana Pro Cond Light" w:eastAsia="Times New Roman" w:hAnsi="Verdana Pro Cond Light"/>
          <w:b/>
          <w:bCs/>
          <w:sz w:val="18"/>
          <w:szCs w:val="18"/>
          <w:lang w:eastAsia="lv-LV"/>
        </w:rPr>
      </w:pPr>
      <w:r w:rsidRPr="00B04943">
        <w:rPr>
          <w:rFonts w:ascii="Verdana Pro Cond Light" w:hAnsi="Verdana Pro Cond Light" w:cstheme="minorHAnsi"/>
          <w:noProof/>
        </w:rPr>
        <w:drawing>
          <wp:inline distT="0" distB="0" distL="0" distR="0" wp14:anchorId="7EBD8E7E" wp14:editId="491073A1">
            <wp:extent cx="3060000" cy="2160000"/>
            <wp:effectExtent l="0" t="0" r="0" b="0"/>
            <wp:docPr id="1287651259" name="Chart 1287651259">
              <a:extLst xmlns:a="http://schemas.openxmlformats.org/drawingml/2006/main">
                <a:ext uri="{FF2B5EF4-FFF2-40B4-BE49-F238E27FC236}">
                  <a16:creationId xmlns:a16="http://schemas.microsoft.com/office/drawing/2014/main" id="{013AA65C-5627-335A-2509-D049CDF1205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2"/>
              </a:graphicData>
            </a:graphic>
          </wp:inline>
        </w:drawing>
      </w:r>
      <w:r w:rsidRPr="00B04943">
        <w:rPr>
          <w:rFonts w:ascii="Verdana Pro Cond Light" w:hAnsi="Verdana Pro Cond Light" w:cstheme="minorHAnsi"/>
          <w:noProof/>
        </w:rPr>
        <w:drawing>
          <wp:inline distT="0" distB="0" distL="0" distR="0" wp14:anchorId="1730CB12" wp14:editId="45EB3460">
            <wp:extent cx="3060000" cy="2160000"/>
            <wp:effectExtent l="0" t="0" r="0" b="0"/>
            <wp:docPr id="1564516086" name="Chart 1564516086">
              <a:extLst xmlns:a="http://schemas.openxmlformats.org/drawingml/2006/main">
                <a:ext uri="{FF2B5EF4-FFF2-40B4-BE49-F238E27FC236}">
                  <a16:creationId xmlns:a16="http://schemas.microsoft.com/office/drawing/2014/main" id="{C0B412E0-20D9-9C02-797F-E1BB76C514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3"/>
              </a:graphicData>
            </a:graphic>
          </wp:inline>
        </w:drawing>
      </w:r>
    </w:p>
    <w:p w14:paraId="7800C693" w14:textId="77777777" w:rsidR="00812A72" w:rsidRDefault="00812A72" w:rsidP="00812A72">
      <w:pPr>
        <w:widowControl/>
        <w:spacing w:before="120" w:after="120" w:line="240" w:lineRule="auto"/>
        <w:jc w:val="both"/>
        <w:rPr>
          <w:rFonts w:ascii="Arial Nova Cond Light" w:eastAsia="Times New Roman" w:hAnsi="Arial Nova Cond Light"/>
          <w:sz w:val="16"/>
          <w:szCs w:val="24"/>
          <w:lang w:eastAsia="lv-LV"/>
        </w:rPr>
      </w:pPr>
      <w:r w:rsidRPr="00F810E4">
        <w:rPr>
          <w:rFonts w:ascii="Arial Nova Cond Light" w:eastAsia="Times New Roman" w:hAnsi="Arial Nova Cond Light"/>
          <w:sz w:val="16"/>
          <w:szCs w:val="24"/>
          <w:lang w:eastAsia="lv-LV"/>
        </w:rPr>
        <w:t>Avots: autoru aprēķins, izmantojot VLA modeli.</w:t>
      </w:r>
    </w:p>
    <w:p w14:paraId="50CEEE56" w14:textId="77777777" w:rsidR="00812A72" w:rsidRPr="00B04943" w:rsidRDefault="00812A72" w:rsidP="00812A72">
      <w:pPr>
        <w:widowControl/>
        <w:spacing w:after="160" w:line="240" w:lineRule="auto"/>
        <w:rPr>
          <w:rFonts w:ascii="Verdana Pro Cond Light" w:eastAsia="Times New Roman" w:hAnsi="Verdana Pro Cond Light"/>
          <w:lang w:eastAsia="lv-LV"/>
        </w:rPr>
      </w:pPr>
      <w:r w:rsidRPr="00B04943">
        <w:rPr>
          <w:rFonts w:ascii="Verdana Pro Cond Light" w:eastAsia="Times New Roman" w:hAnsi="Verdana Pro Cond Light"/>
          <w:lang w:eastAsia="lv-LV"/>
        </w:rPr>
        <w:br w:type="page"/>
      </w:r>
    </w:p>
    <w:p w14:paraId="2D9A39AD" w14:textId="77777777" w:rsidR="00812A72" w:rsidRPr="00B04943" w:rsidRDefault="00812A72" w:rsidP="00812A72">
      <w:pPr>
        <w:widowControl/>
        <w:spacing w:before="120" w:after="120" w:line="240" w:lineRule="auto"/>
        <w:jc w:val="right"/>
        <w:rPr>
          <w:rFonts w:ascii="Verdana Pro Cond Light" w:eastAsia="Times New Roman" w:hAnsi="Verdana Pro Cond Light" w:cstheme="minorHAnsi"/>
          <w:lang w:eastAsia="lv-LV"/>
        </w:rPr>
      </w:pPr>
      <w:r w:rsidRPr="00B04943">
        <w:rPr>
          <w:rFonts w:ascii="Verdana Pro Cond Light" w:eastAsia="Times New Roman" w:hAnsi="Verdana Pro Cond Light" w:cstheme="minorHAnsi"/>
          <w:bCs/>
          <w:lang w:eastAsia="lv-LV"/>
        </w:rPr>
        <w:lastRenderedPageBreak/>
        <w:t>6.3</w:t>
      </w:r>
      <w:r>
        <w:rPr>
          <w:rFonts w:ascii="Verdana Pro Cond Light" w:eastAsia="Times New Roman" w:hAnsi="Verdana Pro Cond Light" w:cstheme="minorHAnsi"/>
          <w:bCs/>
          <w:lang w:eastAsia="lv-LV"/>
        </w:rPr>
        <w:t>3</w:t>
      </w:r>
      <w:r w:rsidRPr="00B04943">
        <w:rPr>
          <w:rFonts w:ascii="Verdana Pro Cond Light" w:eastAsia="Times New Roman" w:hAnsi="Verdana Pro Cond Light" w:cstheme="minorHAnsi"/>
          <w:bCs/>
          <w:lang w:eastAsia="lv-LV"/>
        </w:rPr>
        <w:t>. attēls</w:t>
      </w:r>
    </w:p>
    <w:p w14:paraId="10A372EC" w14:textId="77777777" w:rsidR="00812A72" w:rsidRPr="00F810E4" w:rsidRDefault="00812A72" w:rsidP="00812A72">
      <w:pPr>
        <w:widowControl/>
        <w:spacing w:after="120" w:line="240" w:lineRule="auto"/>
        <w:jc w:val="center"/>
        <w:rPr>
          <w:rFonts w:ascii="Verdana Pro Cond Light" w:eastAsia="Times New Roman" w:hAnsi="Verdana Pro Cond Light"/>
          <w:sz w:val="18"/>
          <w:szCs w:val="18"/>
          <w:lang w:eastAsia="lv-LV"/>
        </w:rPr>
      </w:pPr>
      <w:r w:rsidRPr="00B04943">
        <w:rPr>
          <w:rFonts w:ascii="Verdana Pro Cond Light" w:eastAsia="Times New Roman" w:hAnsi="Verdana Pro Cond Light"/>
          <w:b/>
          <w:bCs/>
          <w:lang w:val="lv-LV" w:eastAsia="lv-LV"/>
        </w:rPr>
        <w:t>Energoefektivitātes</w:t>
      </w:r>
      <w:r w:rsidRPr="00B04943">
        <w:rPr>
          <w:rFonts w:ascii="Verdana Pro Cond Light" w:eastAsia="Times New Roman" w:hAnsi="Verdana Pro Cond Light"/>
          <w:b/>
          <w:bCs/>
          <w:lang w:eastAsia="lv-LV"/>
        </w:rPr>
        <w:t xml:space="preserve"> pasākumu ietekme uz nodarbināto skaitu un bezdarba līmeni Latvijā </w:t>
      </w:r>
      <w:r>
        <w:rPr>
          <w:rFonts w:ascii="Verdana Pro Cond Light" w:eastAsia="Times New Roman" w:hAnsi="Verdana Pro Cond Light"/>
          <w:b/>
          <w:bCs/>
          <w:lang w:eastAsia="lv-LV"/>
        </w:rPr>
        <w:br/>
      </w:r>
      <w:r w:rsidRPr="00F810E4">
        <w:rPr>
          <w:rFonts w:ascii="Verdana Pro Cond Light" w:eastAsia="Times New Roman" w:hAnsi="Verdana Pro Cond Light"/>
          <w:sz w:val="18"/>
          <w:szCs w:val="18"/>
          <w:lang w:eastAsia="lv-LV"/>
        </w:rPr>
        <w:t>salīdzinot ar bāzes scenāriju; 2025. – 2050. gadā</w:t>
      </w:r>
    </w:p>
    <w:p w14:paraId="697C8FBD" w14:textId="77777777" w:rsidR="00812A72" w:rsidRPr="00F810E4" w:rsidRDefault="00812A72" w:rsidP="00812A72">
      <w:pPr>
        <w:widowControl/>
        <w:spacing w:after="120" w:line="240" w:lineRule="auto"/>
        <w:jc w:val="center"/>
        <w:rPr>
          <w:rFonts w:ascii="Verdana Pro Cond Light" w:eastAsia="Times New Roman" w:hAnsi="Verdana Pro Cond Light"/>
          <w:b/>
          <w:bCs/>
          <w:sz w:val="18"/>
          <w:szCs w:val="18"/>
          <w:lang w:eastAsia="lv-LV"/>
        </w:rPr>
      </w:pPr>
    </w:p>
    <w:p w14:paraId="6AA334DA" w14:textId="77777777" w:rsidR="00812A72" w:rsidRDefault="00812A72" w:rsidP="00812A72">
      <w:pPr>
        <w:widowControl/>
        <w:tabs>
          <w:tab w:val="center" w:pos="2410"/>
          <w:tab w:val="center" w:pos="7230"/>
        </w:tabs>
        <w:spacing w:after="120" w:line="240" w:lineRule="auto"/>
        <w:rPr>
          <w:rFonts w:ascii="Verdana Pro Cond Light" w:eastAsia="Times New Roman" w:hAnsi="Verdana Pro Cond Light"/>
          <w:sz w:val="18"/>
          <w:szCs w:val="18"/>
          <w:lang w:eastAsia="lv-LV"/>
        </w:rPr>
      </w:pPr>
      <w:r>
        <w:rPr>
          <w:rFonts w:ascii="Verdana Pro Cond Light" w:eastAsia="Times New Roman" w:hAnsi="Verdana Pro Cond Light"/>
          <w:b/>
          <w:bCs/>
          <w:sz w:val="18"/>
          <w:szCs w:val="18"/>
          <w:lang w:eastAsia="lv-LV"/>
        </w:rPr>
        <w:tab/>
      </w:r>
      <w:r w:rsidRPr="00F810E4">
        <w:rPr>
          <w:rFonts w:ascii="Verdana Pro Cond Light" w:eastAsia="Times New Roman" w:hAnsi="Verdana Pro Cond Light"/>
          <w:b/>
          <w:bCs/>
          <w:sz w:val="18"/>
          <w:szCs w:val="18"/>
          <w:lang w:eastAsia="lv-LV"/>
        </w:rPr>
        <w:t xml:space="preserve">Ietekme uz nodarbināto skaitu (%) </w:t>
      </w:r>
      <w:r w:rsidRPr="00F810E4">
        <w:rPr>
          <w:rFonts w:ascii="Verdana Pro Cond Light" w:eastAsia="Times New Roman" w:hAnsi="Verdana Pro Cond Light"/>
          <w:b/>
          <w:bCs/>
          <w:sz w:val="18"/>
          <w:szCs w:val="18"/>
          <w:lang w:eastAsia="lv-LV"/>
        </w:rPr>
        <w:tab/>
        <w:t xml:space="preserve">Ietekme uz bezdarba līmeni </w:t>
      </w:r>
      <w:r>
        <w:rPr>
          <w:rFonts w:ascii="Verdana Pro Cond Light" w:eastAsia="Times New Roman" w:hAnsi="Verdana Pro Cond Light"/>
          <w:b/>
          <w:bCs/>
          <w:sz w:val="18"/>
          <w:szCs w:val="18"/>
          <w:lang w:eastAsia="lv-LV"/>
        </w:rPr>
        <w:br/>
      </w:r>
      <w:r>
        <w:rPr>
          <w:rFonts w:ascii="Verdana Pro Cond Light" w:eastAsia="Times New Roman" w:hAnsi="Verdana Pro Cond Light"/>
          <w:b/>
          <w:bCs/>
          <w:sz w:val="18"/>
          <w:szCs w:val="18"/>
          <w:lang w:eastAsia="lv-LV"/>
        </w:rPr>
        <w:tab/>
      </w:r>
      <w:r>
        <w:rPr>
          <w:rFonts w:ascii="Verdana Pro Cond Light" w:eastAsia="Times New Roman" w:hAnsi="Verdana Pro Cond Light"/>
          <w:b/>
          <w:bCs/>
          <w:sz w:val="18"/>
          <w:szCs w:val="18"/>
          <w:lang w:eastAsia="lv-LV"/>
        </w:rPr>
        <w:tab/>
      </w:r>
      <w:r w:rsidRPr="00F810E4">
        <w:rPr>
          <w:rFonts w:ascii="Verdana Pro Cond Light" w:eastAsia="Times New Roman" w:hAnsi="Verdana Pro Cond Light"/>
          <w:sz w:val="18"/>
          <w:szCs w:val="18"/>
          <w:lang w:eastAsia="lv-LV"/>
        </w:rPr>
        <w:t>pp. no ekonomiski aktīvajiem iedzīvotājiem</w:t>
      </w:r>
    </w:p>
    <w:p w14:paraId="122F7E51" w14:textId="77777777" w:rsidR="00812A72" w:rsidRPr="00F810E4" w:rsidRDefault="00812A72" w:rsidP="00812A72">
      <w:pPr>
        <w:widowControl/>
        <w:tabs>
          <w:tab w:val="center" w:pos="2410"/>
          <w:tab w:val="center" w:pos="7230"/>
        </w:tabs>
        <w:spacing w:after="120" w:line="240" w:lineRule="auto"/>
        <w:ind w:right="-143"/>
        <w:rPr>
          <w:rFonts w:ascii="Verdana Pro Cond Light" w:eastAsia="Times New Roman" w:hAnsi="Verdana Pro Cond Light"/>
          <w:sz w:val="18"/>
          <w:szCs w:val="18"/>
          <w:lang w:eastAsia="lv-LV"/>
        </w:rPr>
      </w:pPr>
      <w:r w:rsidRPr="00B04943">
        <w:rPr>
          <w:rFonts w:ascii="Verdana Pro Cond Light" w:hAnsi="Verdana Pro Cond Light" w:cstheme="minorHAnsi"/>
          <w:noProof/>
        </w:rPr>
        <w:drawing>
          <wp:inline distT="0" distB="0" distL="0" distR="0" wp14:anchorId="6B45219C" wp14:editId="56275C99">
            <wp:extent cx="3060000" cy="2160000"/>
            <wp:effectExtent l="0" t="0" r="0" b="0"/>
            <wp:docPr id="475484049" name="Chart 475484049">
              <a:extLst xmlns:a="http://schemas.openxmlformats.org/drawingml/2006/main">
                <a:ext uri="{FF2B5EF4-FFF2-40B4-BE49-F238E27FC236}">
                  <a16:creationId xmlns:a16="http://schemas.microsoft.com/office/drawing/2014/main" id="{C0B412E0-20D9-9C02-797F-E1BB76C514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4"/>
              </a:graphicData>
            </a:graphic>
          </wp:inline>
        </w:drawing>
      </w:r>
      <w:r w:rsidRPr="00B04943">
        <w:rPr>
          <w:rFonts w:ascii="Verdana Pro Cond Light" w:hAnsi="Verdana Pro Cond Light" w:cstheme="minorHAnsi"/>
          <w:noProof/>
        </w:rPr>
        <w:drawing>
          <wp:inline distT="0" distB="0" distL="0" distR="0" wp14:anchorId="3F184E65" wp14:editId="2284595A">
            <wp:extent cx="3060000" cy="2160000"/>
            <wp:effectExtent l="0" t="0" r="7620" b="0"/>
            <wp:docPr id="2029853810" name="Chart 2029853810">
              <a:extLst xmlns:a="http://schemas.openxmlformats.org/drawingml/2006/main">
                <a:ext uri="{FF2B5EF4-FFF2-40B4-BE49-F238E27FC236}">
                  <a16:creationId xmlns:a16="http://schemas.microsoft.com/office/drawing/2014/main" id="{C0B412E0-20D9-9C02-797F-E1BB76C514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5"/>
              </a:graphicData>
            </a:graphic>
          </wp:inline>
        </w:drawing>
      </w:r>
    </w:p>
    <w:p w14:paraId="430DAB37" w14:textId="77777777" w:rsidR="00812A72" w:rsidRDefault="00812A72" w:rsidP="00812A72">
      <w:pPr>
        <w:widowControl/>
        <w:spacing w:before="120" w:after="120" w:line="240" w:lineRule="auto"/>
        <w:jc w:val="both"/>
        <w:rPr>
          <w:rFonts w:ascii="Arial Nova Cond Light" w:eastAsia="Times New Roman" w:hAnsi="Arial Nova Cond Light"/>
          <w:sz w:val="16"/>
          <w:szCs w:val="24"/>
          <w:lang w:eastAsia="lv-LV"/>
        </w:rPr>
      </w:pPr>
      <w:r w:rsidRPr="00F810E4">
        <w:rPr>
          <w:rFonts w:ascii="Arial Nova Cond Light" w:eastAsia="Times New Roman" w:hAnsi="Arial Nova Cond Light"/>
          <w:sz w:val="16"/>
          <w:szCs w:val="24"/>
          <w:lang w:eastAsia="lv-LV"/>
        </w:rPr>
        <w:t>Avots: autoru aprēķins, izmantojot VLA modeli.</w:t>
      </w:r>
    </w:p>
    <w:p w14:paraId="7E6E22E3" w14:textId="77777777" w:rsidR="00812A72" w:rsidRPr="00B04943" w:rsidRDefault="00812A72" w:rsidP="00812A72">
      <w:pPr>
        <w:widowControl/>
        <w:spacing w:after="120" w:line="240" w:lineRule="auto"/>
        <w:jc w:val="both"/>
        <w:rPr>
          <w:rFonts w:ascii="Verdana Pro Cond Light" w:eastAsia="Times New Roman" w:hAnsi="Verdana Pro Cond Light" w:cstheme="minorHAnsi"/>
          <w:b/>
          <w:bCs/>
          <w:lang w:eastAsia="lv-LV"/>
        </w:rPr>
      </w:pPr>
    </w:p>
    <w:p w14:paraId="623D4A5C" w14:textId="77777777" w:rsidR="00812A72" w:rsidRPr="00B04943" w:rsidRDefault="00812A72" w:rsidP="00812A72">
      <w:pPr>
        <w:widowControl/>
        <w:spacing w:after="120" w:line="240" w:lineRule="auto"/>
        <w:jc w:val="right"/>
        <w:rPr>
          <w:rFonts w:ascii="Verdana Pro Cond Light" w:eastAsia="Times New Roman" w:hAnsi="Verdana Pro Cond Light" w:cstheme="minorHAnsi"/>
          <w:bCs/>
          <w:lang w:eastAsia="lv-LV"/>
        </w:rPr>
      </w:pPr>
      <w:r w:rsidRPr="00B04943">
        <w:rPr>
          <w:rFonts w:ascii="Verdana Pro Cond Light" w:eastAsia="Times New Roman" w:hAnsi="Verdana Pro Cond Light" w:cstheme="minorHAnsi"/>
          <w:bCs/>
          <w:lang w:eastAsia="lv-LV"/>
        </w:rPr>
        <w:t>6.3</w:t>
      </w:r>
      <w:r>
        <w:rPr>
          <w:rFonts w:ascii="Verdana Pro Cond Light" w:eastAsia="Times New Roman" w:hAnsi="Verdana Pro Cond Light" w:cstheme="minorHAnsi"/>
          <w:bCs/>
          <w:lang w:eastAsia="lv-LV"/>
        </w:rPr>
        <w:t>4</w:t>
      </w:r>
      <w:r w:rsidRPr="00B04943">
        <w:rPr>
          <w:rFonts w:ascii="Verdana Pro Cond Light" w:eastAsia="Times New Roman" w:hAnsi="Verdana Pro Cond Light" w:cstheme="minorHAnsi"/>
          <w:bCs/>
          <w:lang w:eastAsia="lv-LV"/>
        </w:rPr>
        <w:t>. attēls</w:t>
      </w:r>
    </w:p>
    <w:p w14:paraId="645A9AD7" w14:textId="77777777" w:rsidR="00812A72" w:rsidRPr="00F810E4" w:rsidRDefault="00812A72" w:rsidP="00812A72">
      <w:pPr>
        <w:widowControl/>
        <w:spacing w:after="120" w:line="240" w:lineRule="auto"/>
        <w:jc w:val="center"/>
        <w:rPr>
          <w:rFonts w:ascii="Verdana Pro Cond Light" w:eastAsia="Times New Roman" w:hAnsi="Verdana Pro Cond Light"/>
          <w:sz w:val="18"/>
          <w:szCs w:val="18"/>
          <w:lang w:eastAsia="lv-LV"/>
        </w:rPr>
      </w:pPr>
      <w:r w:rsidRPr="00B04943">
        <w:rPr>
          <w:rFonts w:ascii="Verdana Pro Cond Light" w:eastAsia="Times New Roman" w:hAnsi="Verdana Pro Cond Light"/>
          <w:b/>
          <w:bCs/>
          <w:lang w:val="lv-LV" w:eastAsia="lv-LV"/>
        </w:rPr>
        <w:t>Energoefektivitātes</w:t>
      </w:r>
      <w:r w:rsidRPr="00B04943">
        <w:rPr>
          <w:rFonts w:ascii="Verdana Pro Cond Light" w:eastAsia="Times New Roman" w:hAnsi="Verdana Pro Cond Light"/>
          <w:b/>
          <w:bCs/>
          <w:lang w:eastAsia="lv-LV"/>
        </w:rPr>
        <w:t xml:space="preserve"> pasākumu ietekme uz vidējo algu un patēriņa cenām Latvijā </w:t>
      </w:r>
      <w:r>
        <w:rPr>
          <w:rFonts w:ascii="Verdana Pro Cond Light" w:eastAsia="Times New Roman" w:hAnsi="Verdana Pro Cond Light"/>
          <w:b/>
          <w:bCs/>
          <w:lang w:eastAsia="lv-LV"/>
        </w:rPr>
        <w:br/>
      </w:r>
      <w:r w:rsidRPr="00F810E4">
        <w:rPr>
          <w:rFonts w:ascii="Verdana Pro Cond Light" w:eastAsia="Times New Roman" w:hAnsi="Verdana Pro Cond Light"/>
          <w:sz w:val="18"/>
          <w:szCs w:val="18"/>
          <w:lang w:eastAsia="lv-LV"/>
        </w:rPr>
        <w:t>salīdzinot ar bāzes scenāriju; 2025. – 2050. gadā</w:t>
      </w:r>
    </w:p>
    <w:p w14:paraId="02F307C5" w14:textId="77777777" w:rsidR="00812A72" w:rsidRPr="00F810E4" w:rsidRDefault="00812A72" w:rsidP="00812A72">
      <w:pPr>
        <w:widowControl/>
        <w:spacing w:after="120" w:line="240" w:lineRule="auto"/>
        <w:jc w:val="center"/>
        <w:rPr>
          <w:rFonts w:ascii="Verdana Pro Cond Light" w:eastAsia="Times New Roman" w:hAnsi="Verdana Pro Cond Light"/>
          <w:b/>
          <w:bCs/>
          <w:sz w:val="18"/>
          <w:szCs w:val="18"/>
          <w:lang w:eastAsia="lv-LV"/>
        </w:rPr>
      </w:pPr>
    </w:p>
    <w:p w14:paraId="407DC5FE" w14:textId="77777777" w:rsidR="00812A72" w:rsidRDefault="00812A72" w:rsidP="00812A72">
      <w:pPr>
        <w:widowControl/>
        <w:tabs>
          <w:tab w:val="center" w:pos="2410"/>
          <w:tab w:val="center" w:pos="7230"/>
        </w:tabs>
        <w:spacing w:after="120" w:line="240" w:lineRule="auto"/>
        <w:rPr>
          <w:rFonts w:ascii="Verdana Pro Cond Light" w:eastAsia="Times New Roman" w:hAnsi="Verdana Pro Cond Light"/>
          <w:b/>
          <w:bCs/>
          <w:sz w:val="18"/>
          <w:szCs w:val="18"/>
          <w:lang w:eastAsia="lv-LV"/>
        </w:rPr>
      </w:pPr>
      <w:r>
        <w:rPr>
          <w:rFonts w:ascii="Verdana Pro Cond Light" w:eastAsia="Times New Roman" w:hAnsi="Verdana Pro Cond Light"/>
          <w:b/>
          <w:bCs/>
          <w:sz w:val="18"/>
          <w:szCs w:val="18"/>
          <w:lang w:eastAsia="lv-LV"/>
        </w:rPr>
        <w:tab/>
      </w:r>
      <w:r w:rsidRPr="00F810E4">
        <w:rPr>
          <w:rFonts w:ascii="Verdana Pro Cond Light" w:eastAsia="Times New Roman" w:hAnsi="Verdana Pro Cond Light"/>
          <w:b/>
          <w:bCs/>
          <w:sz w:val="18"/>
          <w:szCs w:val="18"/>
          <w:lang w:eastAsia="lv-LV"/>
        </w:rPr>
        <w:t>Ietekme uz vidējo algu (%; nominālā izteiksmē)</w:t>
      </w:r>
      <w:r w:rsidRPr="00F810E4">
        <w:rPr>
          <w:rFonts w:ascii="Verdana Pro Cond Light" w:eastAsia="Times New Roman" w:hAnsi="Verdana Pro Cond Light"/>
          <w:b/>
          <w:bCs/>
          <w:sz w:val="18"/>
          <w:szCs w:val="18"/>
          <w:lang w:eastAsia="lv-LV"/>
        </w:rPr>
        <w:tab/>
        <w:t>Ietekme uz patēriņa cenu līmeni (%)</w:t>
      </w:r>
    </w:p>
    <w:p w14:paraId="3421684F" w14:textId="77777777" w:rsidR="00812A72" w:rsidRPr="00F810E4" w:rsidRDefault="00812A72" w:rsidP="00812A72">
      <w:pPr>
        <w:widowControl/>
        <w:tabs>
          <w:tab w:val="center" w:pos="2410"/>
          <w:tab w:val="center" w:pos="7230"/>
        </w:tabs>
        <w:spacing w:after="120" w:line="240" w:lineRule="auto"/>
        <w:ind w:right="-143"/>
        <w:rPr>
          <w:rFonts w:ascii="Verdana Pro Cond Light" w:eastAsia="Times New Roman" w:hAnsi="Verdana Pro Cond Light"/>
          <w:b/>
          <w:bCs/>
          <w:sz w:val="18"/>
          <w:szCs w:val="18"/>
          <w:lang w:eastAsia="lv-LV"/>
        </w:rPr>
      </w:pPr>
      <w:r w:rsidRPr="00B04943">
        <w:rPr>
          <w:rFonts w:ascii="Verdana Pro Cond Light" w:hAnsi="Verdana Pro Cond Light" w:cstheme="minorHAnsi"/>
          <w:noProof/>
        </w:rPr>
        <w:drawing>
          <wp:inline distT="0" distB="0" distL="0" distR="0" wp14:anchorId="4A64914F" wp14:editId="0F2765B5">
            <wp:extent cx="3060000" cy="2160000"/>
            <wp:effectExtent l="0" t="0" r="0" b="0"/>
            <wp:docPr id="912018056" name="Chart 912018056">
              <a:extLst xmlns:a="http://schemas.openxmlformats.org/drawingml/2006/main">
                <a:ext uri="{FF2B5EF4-FFF2-40B4-BE49-F238E27FC236}">
                  <a16:creationId xmlns:a16="http://schemas.microsoft.com/office/drawing/2014/main" id="{C0B412E0-20D9-9C02-797F-E1BB76C514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6"/>
              </a:graphicData>
            </a:graphic>
          </wp:inline>
        </w:drawing>
      </w:r>
      <w:r w:rsidRPr="00B04943">
        <w:rPr>
          <w:rFonts w:ascii="Verdana Pro Cond Light" w:hAnsi="Verdana Pro Cond Light" w:cstheme="minorHAnsi"/>
          <w:noProof/>
        </w:rPr>
        <w:drawing>
          <wp:inline distT="0" distB="0" distL="0" distR="0" wp14:anchorId="75759AB5" wp14:editId="3BBCF64F">
            <wp:extent cx="3060000" cy="2160000"/>
            <wp:effectExtent l="0" t="0" r="0" b="0"/>
            <wp:docPr id="742351426" name="Chart 742351426">
              <a:extLst xmlns:a="http://schemas.openxmlformats.org/drawingml/2006/main">
                <a:ext uri="{FF2B5EF4-FFF2-40B4-BE49-F238E27FC236}">
                  <a16:creationId xmlns:a16="http://schemas.microsoft.com/office/drawing/2014/main" id="{C0B412E0-20D9-9C02-797F-E1BB76C514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7"/>
              </a:graphicData>
            </a:graphic>
          </wp:inline>
        </w:drawing>
      </w:r>
    </w:p>
    <w:p w14:paraId="00AB70AD" w14:textId="77777777" w:rsidR="00812A72" w:rsidRPr="00F810E4" w:rsidRDefault="00812A72" w:rsidP="00812A72">
      <w:pPr>
        <w:widowControl/>
        <w:spacing w:before="120" w:after="120" w:line="240" w:lineRule="auto"/>
        <w:jc w:val="both"/>
        <w:rPr>
          <w:rFonts w:ascii="Arial Nova Cond Light" w:eastAsia="Times New Roman" w:hAnsi="Arial Nova Cond Light"/>
          <w:sz w:val="16"/>
          <w:szCs w:val="24"/>
          <w:lang w:eastAsia="lv-LV"/>
        </w:rPr>
      </w:pPr>
      <w:r w:rsidRPr="00F810E4">
        <w:rPr>
          <w:rFonts w:ascii="Arial Nova Cond Light" w:eastAsia="Times New Roman" w:hAnsi="Arial Nova Cond Light"/>
          <w:sz w:val="16"/>
          <w:szCs w:val="24"/>
          <w:lang w:eastAsia="lv-LV"/>
        </w:rPr>
        <w:t>Avots: autoru aprēķins, izmantojot VLA modeli.</w:t>
      </w:r>
    </w:p>
    <w:p w14:paraId="4C0E4562" w14:textId="77777777" w:rsidR="00812A72" w:rsidRPr="00B04943" w:rsidRDefault="00812A72" w:rsidP="00812A72">
      <w:pPr>
        <w:widowControl/>
        <w:spacing w:after="160" w:line="240" w:lineRule="auto"/>
        <w:rPr>
          <w:rFonts w:ascii="Verdana Pro Cond Light" w:eastAsia="Times New Roman" w:hAnsi="Verdana Pro Cond Light" w:cstheme="minorHAnsi"/>
          <w:lang w:eastAsia="lv-LV"/>
        </w:rPr>
      </w:pPr>
      <w:r w:rsidRPr="00B04943">
        <w:rPr>
          <w:rFonts w:ascii="Verdana Pro Cond Light" w:eastAsia="Times New Roman" w:hAnsi="Verdana Pro Cond Light" w:cstheme="minorHAnsi"/>
          <w:lang w:eastAsia="lv-LV"/>
        </w:rPr>
        <w:br w:type="page"/>
      </w:r>
    </w:p>
    <w:p w14:paraId="5A88A4B5" w14:textId="77777777" w:rsidR="00812A72" w:rsidRPr="00B04943" w:rsidRDefault="00812A72" w:rsidP="00812A72">
      <w:pPr>
        <w:widowControl/>
        <w:spacing w:before="120" w:after="120" w:line="240" w:lineRule="auto"/>
        <w:jc w:val="right"/>
        <w:rPr>
          <w:rFonts w:ascii="Verdana Pro Cond Light" w:eastAsia="Times New Roman" w:hAnsi="Verdana Pro Cond Light" w:cstheme="minorHAnsi"/>
          <w:lang w:eastAsia="lv-LV"/>
        </w:rPr>
      </w:pPr>
      <w:r w:rsidRPr="00B04943">
        <w:rPr>
          <w:rFonts w:ascii="Verdana Pro Cond Light" w:eastAsia="Times New Roman" w:hAnsi="Verdana Pro Cond Light" w:cstheme="minorHAnsi"/>
          <w:lang w:eastAsia="lv-LV"/>
        </w:rPr>
        <w:lastRenderedPageBreak/>
        <w:t>6.3</w:t>
      </w:r>
      <w:r>
        <w:rPr>
          <w:rFonts w:ascii="Verdana Pro Cond Light" w:eastAsia="Times New Roman" w:hAnsi="Verdana Pro Cond Light" w:cstheme="minorHAnsi"/>
          <w:lang w:eastAsia="lv-LV"/>
        </w:rPr>
        <w:t>5</w:t>
      </w:r>
      <w:r w:rsidRPr="00B04943">
        <w:rPr>
          <w:rFonts w:ascii="Verdana Pro Cond Light" w:eastAsia="Times New Roman" w:hAnsi="Verdana Pro Cond Light" w:cstheme="minorHAnsi"/>
          <w:lang w:eastAsia="lv-LV"/>
        </w:rPr>
        <w:t>. attēls</w:t>
      </w:r>
    </w:p>
    <w:p w14:paraId="47238C78" w14:textId="77777777" w:rsidR="00812A72" w:rsidRPr="00F810E4" w:rsidRDefault="00812A72" w:rsidP="00812A72">
      <w:pPr>
        <w:widowControl/>
        <w:spacing w:after="120" w:line="240" w:lineRule="auto"/>
        <w:jc w:val="center"/>
        <w:rPr>
          <w:rFonts w:ascii="Verdana Pro Cond Light" w:eastAsia="Times New Roman" w:hAnsi="Verdana Pro Cond Light"/>
          <w:sz w:val="18"/>
          <w:szCs w:val="18"/>
          <w:lang w:eastAsia="lv-LV"/>
        </w:rPr>
      </w:pPr>
      <w:r w:rsidRPr="00B04943">
        <w:rPr>
          <w:rFonts w:ascii="Verdana Pro Cond Light" w:eastAsia="Times New Roman" w:hAnsi="Verdana Pro Cond Light"/>
          <w:b/>
          <w:bCs/>
          <w:lang w:val="lv-LV" w:eastAsia="lv-LV"/>
        </w:rPr>
        <w:t>Energoefektivitātes</w:t>
      </w:r>
      <w:r w:rsidRPr="00B04943">
        <w:rPr>
          <w:rFonts w:ascii="Verdana Pro Cond Light" w:eastAsia="Times New Roman" w:hAnsi="Verdana Pro Cond Light"/>
          <w:b/>
          <w:bCs/>
          <w:lang w:eastAsia="lv-LV"/>
        </w:rPr>
        <w:t xml:space="preserve"> pasākumu ietekme uz Latvijas vispārējā konsolidētā </w:t>
      </w:r>
      <w:r>
        <w:rPr>
          <w:rFonts w:ascii="Verdana Pro Cond Light" w:eastAsia="Times New Roman" w:hAnsi="Verdana Pro Cond Light"/>
          <w:b/>
          <w:bCs/>
          <w:lang w:eastAsia="lv-LV"/>
        </w:rPr>
        <w:br/>
      </w:r>
      <w:r w:rsidRPr="00B04943">
        <w:rPr>
          <w:rFonts w:ascii="Verdana Pro Cond Light" w:eastAsia="Times New Roman" w:hAnsi="Verdana Pro Cond Light"/>
          <w:b/>
          <w:bCs/>
          <w:lang w:eastAsia="lv-LV"/>
        </w:rPr>
        <w:t>kopbudžeta ieņēmumiem un atsevišķu nodokļu ieņēmumiem</w:t>
      </w:r>
      <w:r>
        <w:rPr>
          <w:rFonts w:ascii="Verdana Pro Cond Light" w:eastAsia="Times New Roman" w:hAnsi="Verdana Pro Cond Light"/>
          <w:b/>
          <w:bCs/>
          <w:lang w:eastAsia="lv-LV"/>
        </w:rPr>
        <w:br/>
      </w:r>
      <w:r w:rsidRPr="00F810E4">
        <w:rPr>
          <w:rFonts w:ascii="Verdana Pro Cond Light" w:eastAsia="Times New Roman" w:hAnsi="Verdana Pro Cond Light"/>
          <w:sz w:val="18"/>
          <w:szCs w:val="18"/>
          <w:lang w:eastAsia="lv-LV"/>
        </w:rPr>
        <w:t>%; salīdzinot ar bāzes scenāriju; 2025. – 2050. gadā</w:t>
      </w:r>
    </w:p>
    <w:p w14:paraId="39D0B3D5" w14:textId="77777777" w:rsidR="00812A72" w:rsidRDefault="00812A72" w:rsidP="00812A72">
      <w:pPr>
        <w:widowControl/>
        <w:spacing w:after="120" w:line="240" w:lineRule="auto"/>
        <w:jc w:val="center"/>
        <w:rPr>
          <w:rFonts w:ascii="Verdana Pro Cond Light" w:eastAsia="Times New Roman" w:hAnsi="Verdana Pro Cond Light"/>
          <w:b/>
          <w:bCs/>
          <w:lang w:eastAsia="lv-LV"/>
        </w:rPr>
      </w:pPr>
    </w:p>
    <w:p w14:paraId="168FBCDC" w14:textId="77777777" w:rsidR="00812A72" w:rsidRDefault="00812A72" w:rsidP="00812A72">
      <w:pPr>
        <w:widowControl/>
        <w:tabs>
          <w:tab w:val="center" w:pos="2410"/>
          <w:tab w:val="center" w:pos="7230"/>
        </w:tabs>
        <w:spacing w:after="120" w:line="240" w:lineRule="auto"/>
        <w:rPr>
          <w:rFonts w:ascii="Verdana Pro Cond Light" w:eastAsia="Times New Roman" w:hAnsi="Verdana Pro Cond Light"/>
          <w:b/>
          <w:bCs/>
          <w:sz w:val="18"/>
          <w:szCs w:val="18"/>
          <w:lang w:eastAsia="lv-LV"/>
        </w:rPr>
      </w:pPr>
      <w:r>
        <w:rPr>
          <w:rFonts w:ascii="Verdana Pro Cond Light" w:eastAsia="Times New Roman" w:hAnsi="Verdana Pro Cond Light"/>
          <w:b/>
          <w:bCs/>
          <w:sz w:val="18"/>
          <w:szCs w:val="18"/>
          <w:lang w:eastAsia="lv-LV"/>
        </w:rPr>
        <w:tab/>
      </w:r>
      <w:r w:rsidRPr="00F810E4">
        <w:rPr>
          <w:rFonts w:ascii="Verdana Pro Cond Light" w:eastAsia="Times New Roman" w:hAnsi="Verdana Pro Cond Light"/>
          <w:b/>
          <w:bCs/>
          <w:sz w:val="18"/>
          <w:szCs w:val="18"/>
          <w:lang w:eastAsia="lv-LV"/>
        </w:rPr>
        <w:t>Ietekme uz vispārējā konsolidētā kopbudžeta ieņēmumiem (%)</w:t>
      </w:r>
      <w:r w:rsidRPr="00F810E4">
        <w:rPr>
          <w:rFonts w:ascii="Verdana Pro Cond Light" w:eastAsia="Times New Roman" w:hAnsi="Verdana Pro Cond Light"/>
          <w:b/>
          <w:bCs/>
          <w:sz w:val="18"/>
          <w:szCs w:val="18"/>
          <w:lang w:eastAsia="lv-LV"/>
        </w:rPr>
        <w:tab/>
        <w:t>Ietekme uz atsevišķu nodokļu ieņēmumiem (%)</w:t>
      </w:r>
    </w:p>
    <w:p w14:paraId="234D0C88" w14:textId="77777777" w:rsidR="00812A72" w:rsidRPr="00F810E4" w:rsidRDefault="00812A72" w:rsidP="00812A72">
      <w:pPr>
        <w:widowControl/>
        <w:tabs>
          <w:tab w:val="center" w:pos="2410"/>
          <w:tab w:val="center" w:pos="7230"/>
        </w:tabs>
        <w:spacing w:after="120" w:line="240" w:lineRule="auto"/>
        <w:rPr>
          <w:rFonts w:ascii="Verdana Pro Cond Light" w:eastAsia="Times New Roman" w:hAnsi="Verdana Pro Cond Light"/>
          <w:b/>
          <w:bCs/>
          <w:sz w:val="18"/>
          <w:szCs w:val="18"/>
          <w:lang w:eastAsia="lv-LV"/>
        </w:rPr>
      </w:pPr>
      <w:r w:rsidRPr="00B04943">
        <w:rPr>
          <w:rFonts w:ascii="Verdana Pro Cond Light" w:hAnsi="Verdana Pro Cond Light" w:cstheme="minorHAnsi"/>
          <w:noProof/>
        </w:rPr>
        <w:drawing>
          <wp:inline distT="0" distB="0" distL="0" distR="0" wp14:anchorId="5B42058C" wp14:editId="0EDBA554">
            <wp:extent cx="3060000" cy="2160000"/>
            <wp:effectExtent l="0" t="0" r="0" b="0"/>
            <wp:docPr id="33923213" name="Chart 33923213">
              <a:extLst xmlns:a="http://schemas.openxmlformats.org/drawingml/2006/main">
                <a:ext uri="{FF2B5EF4-FFF2-40B4-BE49-F238E27FC236}">
                  <a16:creationId xmlns:a16="http://schemas.microsoft.com/office/drawing/2014/main" id="{2DCBF45D-DE3F-2971-5D7A-6034F91B2D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8"/>
              </a:graphicData>
            </a:graphic>
          </wp:inline>
        </w:drawing>
      </w:r>
      <w:r w:rsidRPr="00B04943">
        <w:rPr>
          <w:rFonts w:ascii="Verdana Pro Cond Light" w:hAnsi="Verdana Pro Cond Light" w:cstheme="minorHAnsi"/>
          <w:noProof/>
        </w:rPr>
        <w:drawing>
          <wp:inline distT="0" distB="0" distL="0" distR="0" wp14:anchorId="1B623659" wp14:editId="0C697379">
            <wp:extent cx="3060000" cy="2160000"/>
            <wp:effectExtent l="0" t="0" r="0" b="0"/>
            <wp:docPr id="1187636656" name="Chart 1187636656">
              <a:extLst xmlns:a="http://schemas.openxmlformats.org/drawingml/2006/main">
                <a:ext uri="{FF2B5EF4-FFF2-40B4-BE49-F238E27FC236}">
                  <a16:creationId xmlns:a16="http://schemas.microsoft.com/office/drawing/2014/main" id="{E8729AA3-B962-A2D9-7C5A-6B606779FF6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9"/>
              </a:graphicData>
            </a:graphic>
          </wp:inline>
        </w:drawing>
      </w:r>
    </w:p>
    <w:p w14:paraId="5DE67141" w14:textId="77777777" w:rsidR="00812A72" w:rsidRDefault="00812A72" w:rsidP="00812A72">
      <w:pPr>
        <w:widowControl/>
        <w:spacing w:before="120" w:after="120" w:line="240" w:lineRule="auto"/>
        <w:jc w:val="both"/>
        <w:rPr>
          <w:rFonts w:ascii="Arial Nova Cond Light" w:eastAsia="Times New Roman" w:hAnsi="Arial Nova Cond Light"/>
          <w:sz w:val="16"/>
          <w:szCs w:val="24"/>
          <w:lang w:eastAsia="lv-LV"/>
        </w:rPr>
      </w:pPr>
      <w:r w:rsidRPr="00F810E4">
        <w:rPr>
          <w:rFonts w:ascii="Arial Nova Cond Light" w:eastAsia="Times New Roman" w:hAnsi="Arial Nova Cond Light"/>
          <w:sz w:val="16"/>
          <w:szCs w:val="24"/>
          <w:lang w:eastAsia="lv-LV"/>
        </w:rPr>
        <w:t>Avots: autoru aprēķins, izmantojot VLA modeli.</w:t>
      </w:r>
    </w:p>
    <w:p w14:paraId="6C93BF20" w14:textId="77777777" w:rsidR="00812A72" w:rsidRPr="00B04943" w:rsidRDefault="00812A72" w:rsidP="00812A72">
      <w:pPr>
        <w:widowControl/>
        <w:spacing w:after="0" w:line="240" w:lineRule="auto"/>
        <w:jc w:val="both"/>
        <w:rPr>
          <w:rFonts w:ascii="Verdana Pro Cond Light" w:eastAsia="Times New Roman" w:hAnsi="Verdana Pro Cond Light" w:cstheme="minorHAnsi"/>
          <w:b/>
          <w:bCs/>
          <w:lang w:eastAsia="lv-LV"/>
        </w:rPr>
      </w:pPr>
    </w:p>
    <w:p w14:paraId="7B1819C5" w14:textId="77777777" w:rsidR="00812A72" w:rsidRPr="00B04943" w:rsidRDefault="00812A72" w:rsidP="00812A72">
      <w:pPr>
        <w:widowControl/>
        <w:spacing w:after="240" w:line="240" w:lineRule="auto"/>
        <w:jc w:val="right"/>
        <w:rPr>
          <w:rFonts w:ascii="Verdana Pro Cond Light" w:eastAsia="Times New Roman" w:hAnsi="Verdana Pro Cond Light" w:cstheme="minorHAnsi"/>
          <w:bCs/>
          <w:lang w:eastAsia="lv-LV"/>
        </w:rPr>
      </w:pPr>
      <w:r w:rsidRPr="00B04943">
        <w:rPr>
          <w:rFonts w:ascii="Verdana Pro Cond Light" w:eastAsia="Times New Roman" w:hAnsi="Verdana Pro Cond Light" w:cstheme="minorHAnsi"/>
          <w:bCs/>
          <w:lang w:eastAsia="lv-LV"/>
        </w:rPr>
        <w:t>6.3</w:t>
      </w:r>
      <w:r>
        <w:rPr>
          <w:rFonts w:ascii="Verdana Pro Cond Light" w:eastAsia="Times New Roman" w:hAnsi="Verdana Pro Cond Light" w:cstheme="minorHAnsi"/>
          <w:bCs/>
          <w:lang w:eastAsia="lv-LV"/>
        </w:rPr>
        <w:t>6</w:t>
      </w:r>
      <w:r w:rsidRPr="00B04943">
        <w:rPr>
          <w:rFonts w:ascii="Verdana Pro Cond Light" w:eastAsia="Times New Roman" w:hAnsi="Verdana Pro Cond Light" w:cstheme="minorHAnsi"/>
          <w:bCs/>
          <w:lang w:eastAsia="lv-LV"/>
        </w:rPr>
        <w:t>. attēls</w:t>
      </w:r>
    </w:p>
    <w:p w14:paraId="66A1912D" w14:textId="77777777" w:rsidR="00812A72" w:rsidRPr="00F810E4" w:rsidRDefault="00812A72" w:rsidP="00812A72">
      <w:pPr>
        <w:widowControl/>
        <w:spacing w:before="120" w:after="120" w:line="240" w:lineRule="auto"/>
        <w:jc w:val="center"/>
        <w:rPr>
          <w:rFonts w:ascii="Verdana Pro Cond Light" w:eastAsia="Times New Roman" w:hAnsi="Verdana Pro Cond Light"/>
          <w:sz w:val="18"/>
          <w:szCs w:val="18"/>
          <w:lang w:eastAsia="lv-LV"/>
        </w:rPr>
      </w:pPr>
      <w:r w:rsidRPr="00B04943">
        <w:rPr>
          <w:rFonts w:ascii="Verdana Pro Cond Light" w:eastAsia="Times New Roman" w:hAnsi="Verdana Pro Cond Light"/>
          <w:b/>
          <w:bCs/>
          <w:lang w:val="lv-LV" w:eastAsia="lv-LV"/>
        </w:rPr>
        <w:t>Energoefektivitātes</w:t>
      </w:r>
      <w:r w:rsidRPr="00B04943">
        <w:rPr>
          <w:rFonts w:ascii="Verdana Pro Cond Light" w:eastAsia="Times New Roman" w:hAnsi="Verdana Pro Cond Light"/>
          <w:b/>
          <w:bCs/>
          <w:lang w:eastAsia="lv-LV"/>
        </w:rPr>
        <w:t xml:space="preserve"> pasākumu ietekme uz pievienoto vērtību nozaru dalījumā </w:t>
      </w:r>
      <w:r>
        <w:rPr>
          <w:rFonts w:ascii="Verdana Pro Cond Light" w:eastAsia="Times New Roman" w:hAnsi="Verdana Pro Cond Light"/>
          <w:b/>
          <w:bCs/>
          <w:lang w:eastAsia="lv-LV"/>
        </w:rPr>
        <w:br/>
      </w:r>
      <w:r w:rsidRPr="00F810E4">
        <w:rPr>
          <w:rFonts w:ascii="Verdana Pro Cond Light" w:eastAsia="Times New Roman" w:hAnsi="Verdana Pro Cond Light"/>
          <w:sz w:val="18"/>
          <w:szCs w:val="18"/>
          <w:lang w:eastAsia="lv-LV"/>
        </w:rPr>
        <w:t>%; 2035. – 2039. gadā; salīdzinot ar bāzes scenāriju; 2015. gada cenās</w:t>
      </w:r>
    </w:p>
    <w:p w14:paraId="5F4B59DE" w14:textId="77777777" w:rsidR="00812A72" w:rsidRPr="003C4B3C" w:rsidRDefault="00812A72" w:rsidP="00812A72">
      <w:pPr>
        <w:widowControl/>
        <w:spacing w:line="240" w:lineRule="auto"/>
        <w:jc w:val="center"/>
        <w:rPr>
          <w:rFonts w:ascii="Minion Pro" w:hAnsi="Minion Pro" w:cstheme="minorHAnsi"/>
          <w:b/>
          <w:bCs/>
          <w:sz w:val="24"/>
          <w:szCs w:val="24"/>
        </w:rPr>
      </w:pPr>
      <w:r w:rsidRPr="003C4B3C">
        <w:rPr>
          <w:rFonts w:ascii="Minion Pro" w:hAnsi="Minion Pro" w:cstheme="minorHAnsi"/>
          <w:b/>
          <w:bCs/>
          <w:noProof/>
          <w:sz w:val="24"/>
          <w:szCs w:val="24"/>
        </w:rPr>
        <w:drawing>
          <wp:inline distT="0" distB="0" distL="0" distR="0" wp14:anchorId="1FF6BF16" wp14:editId="580D65FD">
            <wp:extent cx="6120000" cy="3600000"/>
            <wp:effectExtent l="0" t="0" r="0" b="0"/>
            <wp:docPr id="301063131" name="Chart 301063131">
              <a:extLst xmlns:a="http://schemas.openxmlformats.org/drawingml/2006/main">
                <a:ext uri="{FF2B5EF4-FFF2-40B4-BE49-F238E27FC236}">
                  <a16:creationId xmlns:a16="http://schemas.microsoft.com/office/drawing/2014/main" id="{9CA58CAF-2A31-E6CF-FFCA-A031A940653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0"/>
              </a:graphicData>
            </a:graphic>
          </wp:inline>
        </w:drawing>
      </w:r>
    </w:p>
    <w:p w14:paraId="68C3706A" w14:textId="77777777" w:rsidR="00812A72" w:rsidRPr="00495E90" w:rsidRDefault="00812A72" w:rsidP="00812A72">
      <w:pPr>
        <w:widowControl/>
        <w:spacing w:before="120" w:after="120" w:line="240" w:lineRule="auto"/>
        <w:jc w:val="both"/>
        <w:rPr>
          <w:rFonts w:ascii="Arial Nova Cond Light" w:eastAsia="Times New Roman" w:hAnsi="Arial Nova Cond Light"/>
          <w:sz w:val="16"/>
          <w:szCs w:val="24"/>
          <w:lang w:eastAsia="lv-LV"/>
        </w:rPr>
      </w:pPr>
      <w:r w:rsidRPr="00495E90">
        <w:rPr>
          <w:rFonts w:ascii="Arial Nova Cond Light" w:eastAsia="Times New Roman" w:hAnsi="Arial Nova Cond Light"/>
          <w:sz w:val="16"/>
          <w:szCs w:val="24"/>
          <w:lang w:eastAsia="lv-LV"/>
        </w:rPr>
        <w:t>Avots: autoru aprēķins, izmantojot VLA modeli.</w:t>
      </w:r>
    </w:p>
    <w:p w14:paraId="2CBC7963" w14:textId="77777777" w:rsidR="00812A72" w:rsidRDefault="00812A72" w:rsidP="00812A72">
      <w:pPr>
        <w:widowControl/>
        <w:spacing w:after="160" w:line="240" w:lineRule="auto"/>
        <w:rPr>
          <w:rFonts w:ascii="Minion Pro" w:eastAsia="Times New Roman" w:hAnsi="Minion Pro" w:cstheme="minorHAnsi"/>
          <w:sz w:val="24"/>
          <w:szCs w:val="24"/>
          <w:lang w:eastAsia="lv-LV"/>
        </w:rPr>
      </w:pPr>
      <w:r>
        <w:rPr>
          <w:rFonts w:ascii="Minion Pro" w:eastAsia="Times New Roman" w:hAnsi="Minion Pro" w:cstheme="minorHAnsi"/>
          <w:sz w:val="24"/>
          <w:szCs w:val="24"/>
          <w:lang w:eastAsia="lv-LV"/>
        </w:rPr>
        <w:br w:type="page"/>
      </w:r>
    </w:p>
    <w:p w14:paraId="55898D80" w14:textId="77777777" w:rsidR="00812A72" w:rsidRPr="00495E90" w:rsidRDefault="00812A72" w:rsidP="00812A72">
      <w:pPr>
        <w:widowControl/>
        <w:spacing w:before="120" w:after="120" w:line="240" w:lineRule="auto"/>
        <w:jc w:val="right"/>
        <w:rPr>
          <w:rFonts w:ascii="Verdana Pro Cond Light" w:hAnsi="Verdana Pro Cond Light"/>
          <w:bCs/>
        </w:rPr>
      </w:pPr>
      <w:r w:rsidRPr="00495E90">
        <w:rPr>
          <w:rFonts w:ascii="Verdana Pro Cond Light" w:hAnsi="Verdana Pro Cond Light"/>
          <w:bCs/>
        </w:rPr>
        <w:lastRenderedPageBreak/>
        <w:t>6.6. tabula</w:t>
      </w:r>
    </w:p>
    <w:p w14:paraId="19064CBB" w14:textId="77777777" w:rsidR="00812A72" w:rsidRDefault="00812A72" w:rsidP="00812A72">
      <w:pPr>
        <w:widowControl/>
        <w:spacing w:after="120" w:line="240" w:lineRule="auto"/>
        <w:jc w:val="center"/>
        <w:rPr>
          <w:rFonts w:ascii="Verdana Pro Cond Light" w:hAnsi="Verdana Pro Cond Light"/>
          <w:b/>
          <w:bCs/>
        </w:rPr>
      </w:pPr>
      <w:r w:rsidRPr="00495E90">
        <w:rPr>
          <w:rFonts w:ascii="Verdana Pro Cond Light" w:hAnsi="Verdana Pro Cond Light"/>
          <w:b/>
          <w:bCs/>
        </w:rPr>
        <w:t>Energoefektivitātes pasākumu kopsavilkums</w:t>
      </w:r>
    </w:p>
    <w:tbl>
      <w:tblPr>
        <w:tblStyle w:val="TableGrid"/>
        <w:tblW w:w="963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1701"/>
        <w:gridCol w:w="1871"/>
        <w:gridCol w:w="3231"/>
      </w:tblGrid>
      <w:tr w:rsidR="00812A72" w:rsidRPr="00CB4E89" w14:paraId="1CFC1054" w14:textId="77777777" w:rsidTr="0002297E">
        <w:trPr>
          <w:cantSplit/>
          <w:trHeight w:val="20"/>
          <w:jc w:val="center"/>
        </w:trPr>
        <w:tc>
          <w:tcPr>
            <w:tcW w:w="2835" w:type="dxa"/>
            <w:shd w:val="clear" w:color="auto" w:fill="4472C4" w:themeFill="accent1"/>
          </w:tcPr>
          <w:p w14:paraId="21BA649F" w14:textId="77777777" w:rsidR="00812A72" w:rsidRPr="00CB4E89" w:rsidRDefault="00812A72" w:rsidP="0002297E">
            <w:pPr>
              <w:widowControl/>
              <w:spacing w:before="40" w:after="40" w:line="240" w:lineRule="auto"/>
              <w:jc w:val="center"/>
              <w:rPr>
                <w:rFonts w:asciiTheme="majorHAnsi" w:hAnsiTheme="majorHAnsi" w:cstheme="majorHAnsi"/>
                <w:b/>
                <w:bCs/>
                <w:color w:val="FFFFFF" w:themeColor="background1"/>
                <w:sz w:val="16"/>
                <w:szCs w:val="16"/>
                <w:lang w:val="lv-LV"/>
              </w:rPr>
            </w:pPr>
            <w:r w:rsidRPr="00CB4E89">
              <w:rPr>
                <w:rFonts w:asciiTheme="majorHAnsi" w:hAnsiTheme="majorHAnsi" w:cstheme="majorHAnsi"/>
                <w:b/>
                <w:bCs/>
                <w:color w:val="FFFFFF" w:themeColor="background1"/>
                <w:sz w:val="16"/>
                <w:szCs w:val="16"/>
                <w:lang w:val="lv-LV"/>
              </w:rPr>
              <w:t>Pasākums</w:t>
            </w:r>
          </w:p>
        </w:tc>
        <w:tc>
          <w:tcPr>
            <w:tcW w:w="1701" w:type="dxa"/>
            <w:shd w:val="clear" w:color="auto" w:fill="4472C4" w:themeFill="accent1"/>
          </w:tcPr>
          <w:p w14:paraId="06B2F491" w14:textId="77777777" w:rsidR="00812A72" w:rsidRPr="00CB4E89" w:rsidRDefault="00812A72" w:rsidP="0002297E">
            <w:pPr>
              <w:widowControl/>
              <w:spacing w:before="40" w:after="40" w:line="240" w:lineRule="auto"/>
              <w:jc w:val="center"/>
              <w:rPr>
                <w:rFonts w:asciiTheme="majorHAnsi" w:hAnsiTheme="majorHAnsi" w:cstheme="majorHAnsi"/>
                <w:b/>
                <w:bCs/>
                <w:color w:val="FFFFFF" w:themeColor="background1"/>
                <w:sz w:val="16"/>
                <w:szCs w:val="16"/>
                <w:lang w:val="lv-LV"/>
              </w:rPr>
            </w:pPr>
            <w:r w:rsidRPr="00CB4E89">
              <w:rPr>
                <w:rFonts w:asciiTheme="majorHAnsi" w:hAnsiTheme="majorHAnsi" w:cstheme="majorHAnsi"/>
                <w:b/>
                <w:bCs/>
                <w:color w:val="FFFFFF" w:themeColor="background1"/>
                <w:sz w:val="16"/>
                <w:szCs w:val="16"/>
                <w:lang w:val="lv-LV"/>
              </w:rPr>
              <w:t>Nozare</w:t>
            </w:r>
          </w:p>
        </w:tc>
        <w:tc>
          <w:tcPr>
            <w:tcW w:w="1871" w:type="dxa"/>
            <w:shd w:val="clear" w:color="auto" w:fill="4472C4" w:themeFill="accent1"/>
          </w:tcPr>
          <w:p w14:paraId="1A5D191F" w14:textId="77777777" w:rsidR="00812A72" w:rsidRPr="00CB4E89" w:rsidRDefault="00812A72" w:rsidP="0002297E">
            <w:pPr>
              <w:widowControl/>
              <w:spacing w:before="40" w:after="40" w:line="240" w:lineRule="auto"/>
              <w:jc w:val="center"/>
              <w:rPr>
                <w:rFonts w:asciiTheme="majorHAnsi" w:hAnsiTheme="majorHAnsi" w:cstheme="majorHAnsi"/>
                <w:b/>
                <w:bCs/>
                <w:color w:val="FFFFFF" w:themeColor="background1"/>
                <w:sz w:val="16"/>
                <w:szCs w:val="16"/>
                <w:lang w:val="lv-LV"/>
              </w:rPr>
            </w:pPr>
            <w:r w:rsidRPr="00CB4E89">
              <w:rPr>
                <w:rFonts w:asciiTheme="majorHAnsi" w:hAnsiTheme="majorHAnsi" w:cstheme="majorHAnsi"/>
                <w:b/>
                <w:bCs/>
                <w:color w:val="FFFFFF" w:themeColor="background1"/>
                <w:sz w:val="16"/>
                <w:szCs w:val="16"/>
                <w:lang w:val="lv-LV"/>
              </w:rPr>
              <w:t>Finansējums</w:t>
            </w:r>
          </w:p>
        </w:tc>
        <w:tc>
          <w:tcPr>
            <w:tcW w:w="3231" w:type="dxa"/>
            <w:shd w:val="clear" w:color="auto" w:fill="4472C4" w:themeFill="accent1"/>
          </w:tcPr>
          <w:p w14:paraId="009987D1" w14:textId="77777777" w:rsidR="00812A72" w:rsidRPr="00CB4E89" w:rsidRDefault="00812A72" w:rsidP="0002297E">
            <w:pPr>
              <w:widowControl/>
              <w:spacing w:before="40" w:after="40" w:line="240" w:lineRule="auto"/>
              <w:jc w:val="center"/>
              <w:rPr>
                <w:rFonts w:asciiTheme="majorHAnsi" w:hAnsiTheme="majorHAnsi" w:cstheme="majorHAnsi"/>
                <w:b/>
                <w:bCs/>
                <w:color w:val="FFFFFF" w:themeColor="background1"/>
                <w:sz w:val="16"/>
                <w:szCs w:val="16"/>
                <w:lang w:val="lv-LV"/>
              </w:rPr>
            </w:pPr>
            <w:r w:rsidRPr="00CB4E89">
              <w:rPr>
                <w:rFonts w:asciiTheme="majorHAnsi" w:hAnsiTheme="majorHAnsi" w:cstheme="majorHAnsi"/>
                <w:b/>
                <w:bCs/>
                <w:color w:val="FFFFFF" w:themeColor="background1"/>
                <w:sz w:val="16"/>
                <w:szCs w:val="16"/>
                <w:lang w:val="lv-LV"/>
              </w:rPr>
              <w:t>Finansējuma avots</w:t>
            </w:r>
          </w:p>
        </w:tc>
      </w:tr>
      <w:tr w:rsidR="00812A72" w:rsidRPr="00D24F07" w14:paraId="0DA0A815" w14:textId="77777777" w:rsidTr="0002297E">
        <w:trPr>
          <w:jc w:val="center"/>
        </w:trPr>
        <w:tc>
          <w:tcPr>
            <w:tcW w:w="2835" w:type="dxa"/>
            <w:shd w:val="clear" w:color="auto" w:fill="D9E2F3" w:themeFill="accent1" w:themeFillTint="33"/>
          </w:tcPr>
          <w:p w14:paraId="0D0B3139" w14:textId="77777777" w:rsidR="00812A72" w:rsidRPr="00495E90" w:rsidRDefault="00812A72" w:rsidP="0002297E">
            <w:pPr>
              <w:widowControl/>
              <w:spacing w:before="40" w:after="40" w:line="240" w:lineRule="auto"/>
              <w:rPr>
                <w:rFonts w:asciiTheme="majorHAnsi" w:hAnsiTheme="majorHAnsi" w:cstheme="majorHAnsi"/>
                <w:b/>
                <w:bCs/>
                <w:sz w:val="16"/>
                <w:szCs w:val="16"/>
                <w:lang w:val="lv-LV"/>
              </w:rPr>
            </w:pPr>
            <w:r w:rsidRPr="00495E90">
              <w:rPr>
                <w:rFonts w:asciiTheme="majorHAnsi" w:hAnsiTheme="majorHAnsi" w:cstheme="majorHAnsi"/>
                <w:sz w:val="16"/>
                <w:szCs w:val="16"/>
              </w:rPr>
              <w:t xml:space="preserve">3.2.1.3. Metodoloģiju izstrāde statistikas datu vākšanai, apstrādei un apkopošanai </w:t>
            </w:r>
          </w:p>
        </w:tc>
        <w:tc>
          <w:tcPr>
            <w:tcW w:w="1701" w:type="dxa"/>
            <w:shd w:val="clear" w:color="auto" w:fill="D9E2F3" w:themeFill="accent1" w:themeFillTint="33"/>
          </w:tcPr>
          <w:p w14:paraId="016C1A5C" w14:textId="77777777" w:rsidR="00812A72" w:rsidRPr="004C4A33" w:rsidRDefault="00812A72" w:rsidP="0002297E">
            <w:pPr>
              <w:widowControl/>
              <w:spacing w:before="40" w:after="40" w:line="240" w:lineRule="auto"/>
              <w:rPr>
                <w:rFonts w:asciiTheme="majorHAnsi" w:hAnsiTheme="majorHAnsi" w:cstheme="majorHAnsi"/>
                <w:b/>
                <w:bCs/>
                <w:color w:val="000000" w:themeColor="text1"/>
                <w:sz w:val="16"/>
                <w:szCs w:val="16"/>
                <w:lang w:val="lv-LV"/>
              </w:rPr>
            </w:pPr>
            <w:r w:rsidRPr="004C4A33">
              <w:rPr>
                <w:rFonts w:asciiTheme="majorHAnsi" w:hAnsiTheme="majorHAnsi" w:cstheme="majorHAnsi"/>
                <w:color w:val="000000" w:themeColor="text1"/>
                <w:sz w:val="16"/>
                <w:szCs w:val="16"/>
              </w:rPr>
              <w:t>Publiskie pakalpojumi</w:t>
            </w:r>
          </w:p>
        </w:tc>
        <w:tc>
          <w:tcPr>
            <w:tcW w:w="1871" w:type="dxa"/>
            <w:shd w:val="clear" w:color="auto" w:fill="D9E2F3" w:themeFill="accent1" w:themeFillTint="33"/>
          </w:tcPr>
          <w:p w14:paraId="2B3BF18F" w14:textId="77777777" w:rsidR="00812A72" w:rsidRPr="00495E90" w:rsidRDefault="00812A72" w:rsidP="0002297E">
            <w:pPr>
              <w:widowControl/>
              <w:spacing w:before="40" w:after="40" w:line="240" w:lineRule="auto"/>
              <w:rPr>
                <w:rFonts w:asciiTheme="majorHAnsi" w:hAnsiTheme="majorHAnsi" w:cstheme="majorHAnsi"/>
                <w:b/>
                <w:bCs/>
                <w:sz w:val="16"/>
                <w:szCs w:val="16"/>
                <w:lang w:val="lv-LV"/>
              </w:rPr>
            </w:pPr>
            <w:r w:rsidRPr="00495E90">
              <w:rPr>
                <w:rFonts w:asciiTheme="majorHAnsi" w:hAnsiTheme="majorHAnsi" w:cstheme="majorHAnsi"/>
                <w:sz w:val="16"/>
                <w:szCs w:val="16"/>
              </w:rPr>
              <w:t>1,20 milj. eiro 2025. gadā.</w:t>
            </w:r>
          </w:p>
        </w:tc>
        <w:tc>
          <w:tcPr>
            <w:tcW w:w="3231" w:type="dxa"/>
            <w:shd w:val="clear" w:color="auto" w:fill="D9E2F3" w:themeFill="accent1" w:themeFillTint="33"/>
          </w:tcPr>
          <w:p w14:paraId="35AECAA3" w14:textId="77777777" w:rsidR="00812A72" w:rsidRPr="00495E90" w:rsidRDefault="00812A72" w:rsidP="0002297E">
            <w:pPr>
              <w:widowControl/>
              <w:spacing w:after="0" w:line="240" w:lineRule="auto"/>
              <w:rPr>
                <w:rFonts w:asciiTheme="majorHAnsi" w:eastAsia="Times New Roman" w:hAnsiTheme="majorHAnsi" w:cstheme="majorHAnsi"/>
                <w:b/>
                <w:bCs/>
                <w:color w:val="000000"/>
                <w:sz w:val="16"/>
                <w:szCs w:val="16"/>
                <w:lang w:val="lv-LV" w:eastAsia="lv-LV"/>
              </w:rPr>
            </w:pPr>
            <w:r w:rsidRPr="00097491">
              <w:rPr>
                <w:rFonts w:asciiTheme="majorHAnsi" w:hAnsiTheme="majorHAnsi" w:cstheme="majorHAnsi"/>
                <w:b/>
                <w:bCs/>
                <w:sz w:val="16"/>
                <w:szCs w:val="16"/>
                <w:lang w:val="lv-LV"/>
              </w:rPr>
              <w:t>100 %</w:t>
            </w:r>
            <w:r w:rsidRPr="00097491">
              <w:rPr>
                <w:rFonts w:asciiTheme="majorHAnsi" w:hAnsiTheme="majorHAnsi" w:cstheme="majorHAnsi"/>
                <w:sz w:val="16"/>
                <w:szCs w:val="16"/>
                <w:lang w:val="lv-LV"/>
              </w:rPr>
              <w:t xml:space="preserve"> – nacionālais publiskais finansējums, kas aizstāj citus budžeta izdevumus.</w:t>
            </w:r>
          </w:p>
        </w:tc>
      </w:tr>
      <w:tr w:rsidR="00812A72" w:rsidRPr="00D24F07" w14:paraId="3F943921" w14:textId="77777777" w:rsidTr="0002297E">
        <w:trPr>
          <w:jc w:val="center"/>
        </w:trPr>
        <w:tc>
          <w:tcPr>
            <w:tcW w:w="2835" w:type="dxa"/>
            <w:shd w:val="clear" w:color="auto" w:fill="B4C6E7" w:themeFill="accent1" w:themeFillTint="66"/>
          </w:tcPr>
          <w:p w14:paraId="675CF170" w14:textId="77777777" w:rsidR="00812A72" w:rsidRPr="00495E90"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lv-LV"/>
              </w:rPr>
              <w:t xml:space="preserve">3.2.1.4. Esošo energoietaupījumu aprēķinu metodoloģijas aktualizēšanas un jaunas metodoloģijas izstrādes visās nozarēs veiktajiem pasākumiem, t.sk. atbalsta programmām </w:t>
            </w:r>
          </w:p>
        </w:tc>
        <w:tc>
          <w:tcPr>
            <w:tcW w:w="1701" w:type="dxa"/>
            <w:shd w:val="clear" w:color="auto" w:fill="B4C6E7" w:themeFill="accent1" w:themeFillTint="66"/>
          </w:tcPr>
          <w:p w14:paraId="73A73E49" w14:textId="77777777" w:rsidR="00812A72" w:rsidRPr="004C4A33" w:rsidRDefault="00812A72" w:rsidP="0002297E">
            <w:pPr>
              <w:widowControl/>
              <w:spacing w:before="40" w:after="40" w:line="240" w:lineRule="auto"/>
              <w:rPr>
                <w:rFonts w:asciiTheme="majorHAnsi" w:hAnsiTheme="majorHAnsi" w:cstheme="majorHAnsi"/>
                <w:color w:val="000000" w:themeColor="text1"/>
                <w:sz w:val="16"/>
                <w:szCs w:val="16"/>
                <w:lang w:val="lv-LV"/>
              </w:rPr>
            </w:pPr>
            <w:r w:rsidRPr="004C4A33">
              <w:rPr>
                <w:rFonts w:asciiTheme="majorHAnsi" w:hAnsiTheme="majorHAnsi" w:cstheme="majorHAnsi"/>
                <w:color w:val="000000" w:themeColor="text1"/>
                <w:sz w:val="16"/>
                <w:szCs w:val="16"/>
              </w:rPr>
              <w:t>Publiskie pakalpojumi</w:t>
            </w:r>
          </w:p>
        </w:tc>
        <w:tc>
          <w:tcPr>
            <w:tcW w:w="1871" w:type="dxa"/>
            <w:shd w:val="clear" w:color="auto" w:fill="B4C6E7" w:themeFill="accent1" w:themeFillTint="66"/>
          </w:tcPr>
          <w:p w14:paraId="720D663C" w14:textId="77777777" w:rsidR="00812A72" w:rsidRPr="00495E90" w:rsidRDefault="00812A72" w:rsidP="0002297E">
            <w:pPr>
              <w:widowControl/>
              <w:spacing w:before="40" w:after="40" w:line="240" w:lineRule="auto"/>
              <w:rPr>
                <w:rFonts w:asciiTheme="majorHAnsi" w:hAnsiTheme="majorHAnsi" w:cstheme="majorHAnsi"/>
                <w:sz w:val="16"/>
                <w:szCs w:val="16"/>
                <w:lang w:val="lv-LV"/>
              </w:rPr>
            </w:pPr>
            <w:r w:rsidRPr="00495E90">
              <w:rPr>
                <w:rFonts w:asciiTheme="majorHAnsi" w:hAnsiTheme="majorHAnsi" w:cstheme="majorHAnsi"/>
                <w:sz w:val="16"/>
                <w:szCs w:val="16"/>
              </w:rPr>
              <w:t>0,50 milj. eiro 2025. gadā.</w:t>
            </w:r>
          </w:p>
        </w:tc>
        <w:tc>
          <w:tcPr>
            <w:tcW w:w="3231" w:type="dxa"/>
            <w:shd w:val="clear" w:color="auto" w:fill="B4C6E7" w:themeFill="accent1" w:themeFillTint="66"/>
          </w:tcPr>
          <w:p w14:paraId="07180569" w14:textId="77777777" w:rsidR="00812A72" w:rsidRPr="00495E90" w:rsidRDefault="00812A72" w:rsidP="0002297E">
            <w:pPr>
              <w:widowControl/>
              <w:spacing w:after="0" w:line="240" w:lineRule="auto"/>
              <w:rPr>
                <w:rFonts w:asciiTheme="majorHAnsi" w:eastAsia="Times New Roman" w:hAnsiTheme="majorHAnsi" w:cstheme="majorHAnsi"/>
                <w:color w:val="000000"/>
                <w:sz w:val="16"/>
                <w:szCs w:val="16"/>
                <w:lang w:val="lv-LV" w:eastAsia="lv-LV"/>
              </w:rPr>
            </w:pPr>
            <w:r w:rsidRPr="00097491">
              <w:rPr>
                <w:rFonts w:asciiTheme="majorHAnsi" w:hAnsiTheme="majorHAnsi" w:cstheme="majorHAnsi"/>
                <w:b/>
                <w:bCs/>
                <w:sz w:val="16"/>
                <w:szCs w:val="16"/>
                <w:lang w:val="lv-LV"/>
              </w:rPr>
              <w:t>100 %</w:t>
            </w:r>
            <w:r w:rsidRPr="00097491">
              <w:rPr>
                <w:rFonts w:asciiTheme="majorHAnsi" w:hAnsiTheme="majorHAnsi" w:cstheme="majorHAnsi"/>
                <w:sz w:val="16"/>
                <w:szCs w:val="16"/>
                <w:lang w:val="lv-LV"/>
              </w:rPr>
              <w:t xml:space="preserve"> – nacionālais publiskais finansējums, kas aizstāj citus budžeta izdevumus.</w:t>
            </w:r>
          </w:p>
        </w:tc>
      </w:tr>
      <w:tr w:rsidR="00812A72" w:rsidRPr="00AB3438" w14:paraId="1C306990" w14:textId="77777777" w:rsidTr="0002297E">
        <w:trPr>
          <w:jc w:val="center"/>
        </w:trPr>
        <w:tc>
          <w:tcPr>
            <w:tcW w:w="2835" w:type="dxa"/>
            <w:shd w:val="clear" w:color="auto" w:fill="D9E2F3" w:themeFill="accent1" w:themeFillTint="33"/>
          </w:tcPr>
          <w:p w14:paraId="3460725E" w14:textId="77777777" w:rsidR="00812A72" w:rsidRPr="00495E90"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lv-LV"/>
              </w:rPr>
              <w:t xml:space="preserve">3.2.1.7. Dabasgāzes skaitītāju modernizācijas turpināšanas un viedo skaitītāju dabasgāzes patēriņa uzskaites ieviešanas tur, kur tas ir ar atbilstošu ekonomiskās efektivitātes pamatojumu </w:t>
            </w:r>
          </w:p>
        </w:tc>
        <w:tc>
          <w:tcPr>
            <w:tcW w:w="1701" w:type="dxa"/>
            <w:shd w:val="clear" w:color="auto" w:fill="D9E2F3" w:themeFill="accent1" w:themeFillTint="33"/>
          </w:tcPr>
          <w:p w14:paraId="73104FA5" w14:textId="77777777" w:rsidR="00812A72" w:rsidRPr="004C4A33" w:rsidRDefault="00812A72" w:rsidP="0002297E">
            <w:pPr>
              <w:widowControl/>
              <w:spacing w:before="40" w:after="40" w:line="240" w:lineRule="auto"/>
              <w:rPr>
                <w:rFonts w:asciiTheme="majorHAnsi" w:hAnsiTheme="majorHAnsi" w:cstheme="majorHAnsi"/>
                <w:color w:val="000000" w:themeColor="text1"/>
                <w:sz w:val="16"/>
                <w:szCs w:val="16"/>
                <w:lang w:val="lv-LV"/>
              </w:rPr>
            </w:pPr>
            <w:r w:rsidRPr="00097491">
              <w:rPr>
                <w:rFonts w:asciiTheme="majorHAnsi" w:hAnsiTheme="majorHAnsi" w:cstheme="majorHAnsi"/>
                <w:color w:val="000000" w:themeColor="text1"/>
                <w:sz w:val="16"/>
                <w:szCs w:val="16"/>
                <w:lang w:val="lv-LV"/>
              </w:rPr>
              <w:t>Modernizētās apkures un ēdināšanas ierīces</w:t>
            </w:r>
          </w:p>
        </w:tc>
        <w:tc>
          <w:tcPr>
            <w:tcW w:w="1871" w:type="dxa"/>
            <w:shd w:val="clear" w:color="auto" w:fill="D9E2F3" w:themeFill="accent1" w:themeFillTint="33"/>
          </w:tcPr>
          <w:p w14:paraId="53CC626E" w14:textId="77777777" w:rsidR="00812A72" w:rsidRPr="00495E90"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sv-SE"/>
              </w:rPr>
              <w:t>5 milj. eiro 2025. – 2030. gadā: 0,83 milj. eiro katru gadu.</w:t>
            </w:r>
          </w:p>
        </w:tc>
        <w:tc>
          <w:tcPr>
            <w:tcW w:w="3231" w:type="dxa"/>
            <w:shd w:val="clear" w:color="auto" w:fill="D9E2F3" w:themeFill="accent1" w:themeFillTint="33"/>
          </w:tcPr>
          <w:p w14:paraId="62E8E89B" w14:textId="77777777" w:rsidR="00812A72" w:rsidRPr="00495E90" w:rsidRDefault="00812A72" w:rsidP="0002297E">
            <w:pPr>
              <w:widowControl/>
              <w:spacing w:before="40" w:after="40" w:line="240" w:lineRule="auto"/>
              <w:rPr>
                <w:rFonts w:asciiTheme="majorHAnsi" w:eastAsia="Times New Roman" w:hAnsiTheme="majorHAnsi" w:cstheme="majorHAnsi"/>
                <w:color w:val="000000"/>
                <w:sz w:val="16"/>
                <w:szCs w:val="16"/>
                <w:lang w:val="lv-LV" w:eastAsia="lv-LV"/>
              </w:rPr>
            </w:pPr>
            <w:r w:rsidRPr="00495E90">
              <w:rPr>
                <w:rFonts w:asciiTheme="majorHAnsi" w:hAnsiTheme="majorHAnsi" w:cstheme="majorHAnsi"/>
                <w:b/>
                <w:bCs/>
                <w:sz w:val="16"/>
                <w:szCs w:val="16"/>
              </w:rPr>
              <w:t>100 %</w:t>
            </w:r>
            <w:r w:rsidRPr="00495E90">
              <w:rPr>
                <w:rFonts w:asciiTheme="majorHAnsi" w:hAnsiTheme="majorHAnsi" w:cstheme="majorHAnsi"/>
                <w:sz w:val="16"/>
                <w:szCs w:val="16"/>
              </w:rPr>
              <w:t xml:space="preserve"> </w:t>
            </w:r>
            <w:r>
              <w:rPr>
                <w:rFonts w:asciiTheme="majorHAnsi" w:hAnsiTheme="majorHAnsi" w:cstheme="majorHAnsi"/>
                <w:sz w:val="16"/>
                <w:szCs w:val="16"/>
              </w:rPr>
              <w:t>–</w:t>
            </w:r>
            <w:r w:rsidRPr="00495E90">
              <w:rPr>
                <w:rFonts w:asciiTheme="majorHAnsi" w:hAnsiTheme="majorHAnsi" w:cstheme="majorHAnsi"/>
                <w:sz w:val="16"/>
                <w:szCs w:val="16"/>
              </w:rPr>
              <w:t xml:space="preserve"> Latvijas privāto uzņēmumu finansējums.</w:t>
            </w:r>
          </w:p>
        </w:tc>
      </w:tr>
      <w:tr w:rsidR="00812A72" w:rsidRPr="00D24F07" w14:paraId="6121F46F" w14:textId="77777777" w:rsidTr="0002297E">
        <w:trPr>
          <w:jc w:val="center"/>
        </w:trPr>
        <w:tc>
          <w:tcPr>
            <w:tcW w:w="2835" w:type="dxa"/>
            <w:shd w:val="clear" w:color="auto" w:fill="B4C6E7" w:themeFill="accent1" w:themeFillTint="66"/>
          </w:tcPr>
          <w:p w14:paraId="084E7855" w14:textId="77777777" w:rsidR="00812A72" w:rsidRPr="00495E90" w:rsidRDefault="00812A72" w:rsidP="0002297E">
            <w:pPr>
              <w:widowControl/>
              <w:spacing w:before="40" w:after="40" w:line="240" w:lineRule="auto"/>
              <w:rPr>
                <w:rFonts w:asciiTheme="majorHAnsi" w:hAnsiTheme="majorHAnsi" w:cstheme="majorHAnsi"/>
                <w:sz w:val="16"/>
                <w:szCs w:val="16"/>
                <w:lang w:val="lv-LV"/>
              </w:rPr>
            </w:pPr>
            <w:r w:rsidRPr="00495E90">
              <w:rPr>
                <w:rFonts w:asciiTheme="majorHAnsi" w:hAnsiTheme="majorHAnsi" w:cstheme="majorHAnsi"/>
                <w:sz w:val="16"/>
                <w:szCs w:val="16"/>
              </w:rPr>
              <w:t xml:space="preserve">3.2.1.8. Izstrādāt projekta īstenošanas rezultātā nodrošināto energoietaupījumu aprēķināšanas rīku </w:t>
            </w:r>
          </w:p>
        </w:tc>
        <w:tc>
          <w:tcPr>
            <w:tcW w:w="1701" w:type="dxa"/>
            <w:shd w:val="clear" w:color="auto" w:fill="B4C6E7" w:themeFill="accent1" w:themeFillTint="66"/>
          </w:tcPr>
          <w:p w14:paraId="456AFF23" w14:textId="77777777" w:rsidR="00812A72" w:rsidRPr="004C4A33" w:rsidRDefault="00812A72" w:rsidP="0002297E">
            <w:pPr>
              <w:widowControl/>
              <w:spacing w:before="40" w:after="40" w:line="240" w:lineRule="auto"/>
              <w:rPr>
                <w:rFonts w:asciiTheme="majorHAnsi" w:hAnsiTheme="majorHAnsi" w:cstheme="majorHAnsi"/>
                <w:color w:val="000000" w:themeColor="text1"/>
                <w:sz w:val="16"/>
                <w:szCs w:val="16"/>
                <w:lang w:val="lv-LV"/>
              </w:rPr>
            </w:pPr>
            <w:r w:rsidRPr="004C4A33">
              <w:rPr>
                <w:rFonts w:asciiTheme="majorHAnsi" w:hAnsiTheme="majorHAnsi" w:cstheme="majorHAnsi"/>
                <w:color w:val="000000" w:themeColor="text1"/>
                <w:sz w:val="16"/>
                <w:szCs w:val="16"/>
              </w:rPr>
              <w:t>Publiskie pakalpojumi</w:t>
            </w:r>
          </w:p>
        </w:tc>
        <w:tc>
          <w:tcPr>
            <w:tcW w:w="1871" w:type="dxa"/>
            <w:shd w:val="clear" w:color="auto" w:fill="B4C6E7" w:themeFill="accent1" w:themeFillTint="66"/>
          </w:tcPr>
          <w:p w14:paraId="34CACCA3" w14:textId="77777777" w:rsidR="00812A72" w:rsidRPr="00495E90"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sv-SE"/>
              </w:rPr>
              <w:t>0,70 milj. eiro 2025. – 2026. gadā: 0,35 milj. eiro katru gadu.</w:t>
            </w:r>
          </w:p>
        </w:tc>
        <w:tc>
          <w:tcPr>
            <w:tcW w:w="3231" w:type="dxa"/>
            <w:shd w:val="clear" w:color="auto" w:fill="B4C6E7" w:themeFill="accent1" w:themeFillTint="66"/>
          </w:tcPr>
          <w:p w14:paraId="63196AC5" w14:textId="77777777" w:rsidR="00812A72" w:rsidRPr="00495E90" w:rsidRDefault="00812A72" w:rsidP="0002297E">
            <w:pPr>
              <w:widowControl/>
              <w:spacing w:after="0" w:line="240" w:lineRule="auto"/>
              <w:rPr>
                <w:rFonts w:asciiTheme="majorHAnsi" w:eastAsia="Times New Roman" w:hAnsiTheme="majorHAnsi" w:cstheme="majorHAnsi"/>
                <w:color w:val="000000"/>
                <w:sz w:val="16"/>
                <w:szCs w:val="16"/>
                <w:lang w:val="lv-LV" w:eastAsia="lv-LV"/>
              </w:rPr>
            </w:pPr>
            <w:r w:rsidRPr="00097491">
              <w:rPr>
                <w:rFonts w:asciiTheme="majorHAnsi" w:hAnsiTheme="majorHAnsi" w:cstheme="majorHAnsi"/>
                <w:b/>
                <w:bCs/>
                <w:sz w:val="16"/>
                <w:szCs w:val="16"/>
                <w:lang w:val="lv-LV"/>
              </w:rPr>
              <w:t>100 %</w:t>
            </w:r>
            <w:r w:rsidRPr="00097491">
              <w:rPr>
                <w:rFonts w:asciiTheme="majorHAnsi" w:hAnsiTheme="majorHAnsi" w:cstheme="majorHAnsi"/>
                <w:sz w:val="16"/>
                <w:szCs w:val="16"/>
                <w:lang w:val="lv-LV"/>
              </w:rPr>
              <w:t xml:space="preserve"> – nacionālais publiskais finansējums, kas aizstāj citus budžeta izdevumus.</w:t>
            </w:r>
          </w:p>
        </w:tc>
      </w:tr>
      <w:tr w:rsidR="00812A72" w:rsidRPr="00D24F07" w14:paraId="0BAECE6A" w14:textId="77777777" w:rsidTr="0002297E">
        <w:trPr>
          <w:jc w:val="center"/>
        </w:trPr>
        <w:tc>
          <w:tcPr>
            <w:tcW w:w="2835" w:type="dxa"/>
            <w:shd w:val="clear" w:color="auto" w:fill="D9E2F3" w:themeFill="accent1" w:themeFillTint="33"/>
          </w:tcPr>
          <w:p w14:paraId="6EAB439A" w14:textId="77777777" w:rsidR="00812A72" w:rsidRPr="00495E90"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lv-LV"/>
              </w:rPr>
              <w:t xml:space="preserve">3.2.1.10. Veikt sabiedrības informēšanas un izglītošanas pasākumi, lai veicinātu izturēšanās maiņu energoefektivitātes virzienā, t.sk., informējot sabiedrību par produktu energoefektivitāti </w:t>
            </w:r>
          </w:p>
        </w:tc>
        <w:tc>
          <w:tcPr>
            <w:tcW w:w="1701" w:type="dxa"/>
            <w:shd w:val="clear" w:color="auto" w:fill="D9E2F3" w:themeFill="accent1" w:themeFillTint="33"/>
          </w:tcPr>
          <w:p w14:paraId="3B4D5FC2" w14:textId="77777777" w:rsidR="00812A72" w:rsidRPr="004C4A33" w:rsidRDefault="00812A72" w:rsidP="0002297E">
            <w:pPr>
              <w:widowControl/>
              <w:spacing w:before="40" w:after="40" w:line="240" w:lineRule="auto"/>
              <w:rPr>
                <w:rFonts w:asciiTheme="majorHAnsi" w:hAnsiTheme="majorHAnsi" w:cstheme="majorHAnsi"/>
                <w:color w:val="000000" w:themeColor="text1"/>
                <w:sz w:val="16"/>
                <w:szCs w:val="16"/>
                <w:lang w:val="lv-LV"/>
              </w:rPr>
            </w:pPr>
            <w:r w:rsidRPr="004C4A33">
              <w:rPr>
                <w:rFonts w:asciiTheme="majorHAnsi" w:hAnsiTheme="majorHAnsi" w:cstheme="majorHAnsi"/>
                <w:color w:val="000000" w:themeColor="text1"/>
                <w:sz w:val="16"/>
                <w:szCs w:val="16"/>
              </w:rPr>
              <w:t>Privātie pakalpojumi</w:t>
            </w:r>
          </w:p>
        </w:tc>
        <w:tc>
          <w:tcPr>
            <w:tcW w:w="1871" w:type="dxa"/>
            <w:shd w:val="clear" w:color="auto" w:fill="D9E2F3" w:themeFill="accent1" w:themeFillTint="33"/>
          </w:tcPr>
          <w:p w14:paraId="225F7636" w14:textId="77777777" w:rsidR="00812A72" w:rsidRPr="00495E90"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sv-SE"/>
              </w:rPr>
              <w:t>0,04 milj. eiro 2025. – 2030. gadā: 0,006 milj. eiro katru gadu.</w:t>
            </w:r>
          </w:p>
        </w:tc>
        <w:tc>
          <w:tcPr>
            <w:tcW w:w="3231" w:type="dxa"/>
            <w:shd w:val="clear" w:color="auto" w:fill="D9E2F3" w:themeFill="accent1" w:themeFillTint="33"/>
          </w:tcPr>
          <w:p w14:paraId="4346BC33" w14:textId="77777777" w:rsidR="00812A72" w:rsidRPr="00495E90" w:rsidRDefault="00812A72" w:rsidP="0002297E">
            <w:pPr>
              <w:widowControl/>
              <w:spacing w:after="0" w:line="240" w:lineRule="auto"/>
              <w:rPr>
                <w:rFonts w:asciiTheme="majorHAnsi" w:eastAsia="Times New Roman" w:hAnsiTheme="majorHAnsi" w:cstheme="majorHAnsi"/>
                <w:color w:val="000000"/>
                <w:sz w:val="16"/>
                <w:szCs w:val="16"/>
                <w:lang w:val="lv-LV" w:eastAsia="lv-LV"/>
              </w:rPr>
            </w:pPr>
            <w:r w:rsidRPr="00097491">
              <w:rPr>
                <w:rFonts w:asciiTheme="majorHAnsi" w:hAnsiTheme="majorHAnsi" w:cstheme="majorHAnsi"/>
                <w:b/>
                <w:bCs/>
                <w:sz w:val="16"/>
                <w:szCs w:val="16"/>
                <w:lang w:val="lv-LV"/>
              </w:rPr>
              <w:t>100 %</w:t>
            </w:r>
            <w:r w:rsidRPr="00097491">
              <w:rPr>
                <w:rFonts w:asciiTheme="majorHAnsi" w:hAnsiTheme="majorHAnsi" w:cstheme="majorHAnsi"/>
                <w:sz w:val="16"/>
                <w:szCs w:val="16"/>
                <w:lang w:val="lv-LV"/>
              </w:rPr>
              <w:t xml:space="preserve"> – nacionālais publiskais finansējums, kas aizstāj citus budžeta izdevumus.</w:t>
            </w:r>
          </w:p>
        </w:tc>
      </w:tr>
      <w:tr w:rsidR="00812A72" w:rsidRPr="00AB3438" w14:paraId="3A4072FA" w14:textId="77777777" w:rsidTr="0002297E">
        <w:trPr>
          <w:jc w:val="center"/>
        </w:trPr>
        <w:tc>
          <w:tcPr>
            <w:tcW w:w="2835" w:type="dxa"/>
            <w:shd w:val="clear" w:color="auto" w:fill="B4C6E7" w:themeFill="accent1" w:themeFillTint="66"/>
          </w:tcPr>
          <w:p w14:paraId="4C3182D6" w14:textId="77777777" w:rsidR="00812A72" w:rsidRPr="00495E90"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lv-LV"/>
              </w:rPr>
              <w:t>3.2.2.2. Finansiālā un zināšanu atbalsta pašvaldībām e</w:t>
            </w:r>
            <w:r w:rsidRPr="00097491">
              <w:rPr>
                <w:rFonts w:asciiTheme="majorHAnsi" w:eastAsia="Times New Roman" w:hAnsiTheme="majorHAnsi" w:cstheme="majorHAnsi"/>
                <w:color w:val="000000"/>
                <w:sz w:val="16"/>
                <w:szCs w:val="16"/>
                <w:lang w:val="lv-LV" w:eastAsia="lv-LV"/>
              </w:rPr>
              <w:t xml:space="preserve">nergoefektivitātes pasākumu veicināšanai un īstenošanai </w:t>
            </w:r>
          </w:p>
        </w:tc>
        <w:tc>
          <w:tcPr>
            <w:tcW w:w="1701" w:type="dxa"/>
            <w:shd w:val="clear" w:color="auto" w:fill="B4C6E7" w:themeFill="accent1" w:themeFillTint="66"/>
          </w:tcPr>
          <w:p w14:paraId="22752CC7" w14:textId="77777777" w:rsidR="00812A72" w:rsidRPr="004C4A33" w:rsidRDefault="00812A72" w:rsidP="0002297E">
            <w:pPr>
              <w:widowControl/>
              <w:spacing w:before="40" w:after="40" w:line="240" w:lineRule="auto"/>
              <w:rPr>
                <w:rFonts w:asciiTheme="majorHAnsi" w:hAnsiTheme="majorHAnsi" w:cstheme="majorHAnsi"/>
                <w:color w:val="000000" w:themeColor="text1"/>
                <w:sz w:val="16"/>
                <w:szCs w:val="16"/>
                <w:lang w:val="lv-LV"/>
              </w:rPr>
            </w:pPr>
            <w:r w:rsidRPr="004C4A33">
              <w:rPr>
                <w:rFonts w:asciiTheme="majorHAnsi" w:hAnsiTheme="majorHAnsi" w:cstheme="majorHAnsi"/>
                <w:color w:val="000000" w:themeColor="text1"/>
                <w:sz w:val="16"/>
                <w:szCs w:val="16"/>
              </w:rPr>
              <w:t>Būvniecības nozare</w:t>
            </w:r>
          </w:p>
        </w:tc>
        <w:tc>
          <w:tcPr>
            <w:tcW w:w="1871" w:type="dxa"/>
            <w:shd w:val="clear" w:color="auto" w:fill="B4C6E7" w:themeFill="accent1" w:themeFillTint="66"/>
          </w:tcPr>
          <w:p w14:paraId="04438A64" w14:textId="77777777" w:rsidR="00812A72" w:rsidRPr="00495E90"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sv-SE"/>
              </w:rPr>
              <w:t>8 milj. eiro 2025. – 2030. gadā: 1,33 milj. eiro katru gadu.</w:t>
            </w:r>
          </w:p>
        </w:tc>
        <w:tc>
          <w:tcPr>
            <w:tcW w:w="3231" w:type="dxa"/>
            <w:shd w:val="clear" w:color="auto" w:fill="B4C6E7" w:themeFill="accent1" w:themeFillTint="66"/>
          </w:tcPr>
          <w:p w14:paraId="2E20C55E" w14:textId="77777777" w:rsidR="00812A72" w:rsidRPr="00495E90" w:rsidRDefault="00812A72" w:rsidP="0002297E">
            <w:pPr>
              <w:widowControl/>
              <w:spacing w:before="40" w:after="40" w:line="240" w:lineRule="auto"/>
              <w:rPr>
                <w:rFonts w:asciiTheme="majorHAnsi" w:eastAsia="Times New Roman" w:hAnsiTheme="majorHAnsi" w:cstheme="majorHAnsi"/>
                <w:color w:val="000000"/>
                <w:sz w:val="16"/>
                <w:szCs w:val="16"/>
                <w:lang w:val="lv-LV" w:eastAsia="lv-LV"/>
              </w:rPr>
            </w:pPr>
            <w:r w:rsidRPr="00097491">
              <w:rPr>
                <w:rFonts w:asciiTheme="majorHAnsi" w:hAnsiTheme="majorHAnsi" w:cstheme="majorHAnsi"/>
                <w:b/>
                <w:bCs/>
                <w:sz w:val="16"/>
                <w:szCs w:val="16"/>
                <w:lang w:val="lv-LV"/>
              </w:rPr>
              <w:t>67 %</w:t>
            </w:r>
            <w:r w:rsidRPr="00097491">
              <w:rPr>
                <w:rFonts w:asciiTheme="majorHAnsi" w:hAnsiTheme="majorHAnsi" w:cstheme="majorHAnsi"/>
                <w:sz w:val="16"/>
                <w:szCs w:val="16"/>
                <w:lang w:val="lv-LV"/>
              </w:rPr>
              <w:t xml:space="preserve"> – nacionālais publiskais finansējums, kas aizstāj citus budžeta izdevumus.</w:t>
            </w:r>
            <w:r w:rsidRPr="00097491">
              <w:rPr>
                <w:rFonts w:asciiTheme="majorHAnsi" w:hAnsiTheme="majorHAnsi" w:cstheme="majorHAnsi"/>
                <w:sz w:val="16"/>
                <w:szCs w:val="16"/>
                <w:lang w:val="lv-LV"/>
              </w:rPr>
              <w:br/>
            </w:r>
            <w:r w:rsidRPr="00495E90">
              <w:rPr>
                <w:rFonts w:asciiTheme="majorHAnsi" w:hAnsiTheme="majorHAnsi" w:cstheme="majorHAnsi"/>
                <w:b/>
                <w:bCs/>
                <w:sz w:val="16"/>
                <w:szCs w:val="16"/>
              </w:rPr>
              <w:t>33 %</w:t>
            </w:r>
            <w:r w:rsidRPr="00495E90">
              <w:rPr>
                <w:rFonts w:asciiTheme="majorHAnsi" w:hAnsiTheme="majorHAnsi" w:cstheme="majorHAnsi"/>
                <w:sz w:val="16"/>
                <w:szCs w:val="16"/>
              </w:rPr>
              <w:t xml:space="preserve"> </w:t>
            </w:r>
            <w:r>
              <w:rPr>
                <w:rFonts w:asciiTheme="majorHAnsi" w:hAnsiTheme="majorHAnsi" w:cstheme="majorHAnsi"/>
                <w:sz w:val="16"/>
                <w:szCs w:val="16"/>
              </w:rPr>
              <w:t>–</w:t>
            </w:r>
            <w:r w:rsidRPr="00495E90">
              <w:rPr>
                <w:rFonts w:asciiTheme="majorHAnsi" w:hAnsiTheme="majorHAnsi" w:cstheme="majorHAnsi"/>
                <w:sz w:val="16"/>
                <w:szCs w:val="16"/>
              </w:rPr>
              <w:t xml:space="preserve"> jaunais ES fondu finansējums.</w:t>
            </w:r>
          </w:p>
        </w:tc>
      </w:tr>
      <w:tr w:rsidR="00812A72" w:rsidRPr="00D24F07" w14:paraId="30104BB9" w14:textId="77777777" w:rsidTr="0002297E">
        <w:trPr>
          <w:jc w:val="center"/>
        </w:trPr>
        <w:tc>
          <w:tcPr>
            <w:tcW w:w="2835" w:type="dxa"/>
            <w:shd w:val="clear" w:color="auto" w:fill="D9E2F3" w:themeFill="accent1" w:themeFillTint="33"/>
          </w:tcPr>
          <w:p w14:paraId="5587B3C4" w14:textId="77777777" w:rsidR="00812A72" w:rsidRPr="00495E90" w:rsidRDefault="00812A72" w:rsidP="0002297E">
            <w:pPr>
              <w:widowControl/>
              <w:spacing w:before="40" w:after="40" w:line="240" w:lineRule="auto"/>
              <w:rPr>
                <w:rFonts w:asciiTheme="majorHAnsi" w:hAnsiTheme="majorHAnsi" w:cstheme="majorHAnsi"/>
                <w:b/>
                <w:bCs/>
                <w:sz w:val="16"/>
                <w:szCs w:val="16"/>
                <w:lang w:val="lv-LV"/>
              </w:rPr>
            </w:pPr>
            <w:r w:rsidRPr="00495E90">
              <w:rPr>
                <w:rFonts w:asciiTheme="majorHAnsi" w:hAnsiTheme="majorHAnsi" w:cstheme="majorHAnsi"/>
                <w:sz w:val="16"/>
                <w:szCs w:val="16"/>
              </w:rPr>
              <w:t xml:space="preserve">3.2.2.3. Publisko ēku saraksta izveide </w:t>
            </w:r>
          </w:p>
        </w:tc>
        <w:tc>
          <w:tcPr>
            <w:tcW w:w="1701" w:type="dxa"/>
            <w:shd w:val="clear" w:color="auto" w:fill="D9E2F3" w:themeFill="accent1" w:themeFillTint="33"/>
          </w:tcPr>
          <w:p w14:paraId="520842F7" w14:textId="77777777" w:rsidR="00812A72" w:rsidRPr="004C4A33" w:rsidRDefault="00812A72" w:rsidP="0002297E">
            <w:pPr>
              <w:widowControl/>
              <w:spacing w:before="40" w:after="40" w:line="240" w:lineRule="auto"/>
              <w:rPr>
                <w:rFonts w:asciiTheme="majorHAnsi" w:hAnsiTheme="majorHAnsi" w:cstheme="majorHAnsi"/>
                <w:b/>
                <w:bCs/>
                <w:color w:val="000000" w:themeColor="text1"/>
                <w:sz w:val="16"/>
                <w:szCs w:val="16"/>
                <w:lang w:val="lv-LV"/>
              </w:rPr>
            </w:pPr>
            <w:r w:rsidRPr="004C4A33">
              <w:rPr>
                <w:rFonts w:asciiTheme="majorHAnsi" w:hAnsiTheme="majorHAnsi" w:cstheme="majorHAnsi"/>
                <w:color w:val="000000" w:themeColor="text1"/>
                <w:sz w:val="16"/>
                <w:szCs w:val="16"/>
              </w:rPr>
              <w:t>Publiskie pakalpojumi</w:t>
            </w:r>
          </w:p>
        </w:tc>
        <w:tc>
          <w:tcPr>
            <w:tcW w:w="1871" w:type="dxa"/>
            <w:shd w:val="clear" w:color="auto" w:fill="D9E2F3" w:themeFill="accent1" w:themeFillTint="33"/>
          </w:tcPr>
          <w:p w14:paraId="21FDD2A0" w14:textId="77777777" w:rsidR="00812A72" w:rsidRPr="00495E90" w:rsidRDefault="00812A72" w:rsidP="0002297E">
            <w:pPr>
              <w:widowControl/>
              <w:spacing w:before="40" w:after="40" w:line="240" w:lineRule="auto"/>
              <w:rPr>
                <w:rFonts w:asciiTheme="majorHAnsi" w:hAnsiTheme="majorHAnsi" w:cstheme="majorHAnsi"/>
                <w:b/>
                <w:bCs/>
                <w:sz w:val="16"/>
                <w:szCs w:val="16"/>
                <w:lang w:val="lv-LV"/>
              </w:rPr>
            </w:pPr>
            <w:r w:rsidRPr="00495E90">
              <w:rPr>
                <w:rFonts w:asciiTheme="majorHAnsi" w:hAnsiTheme="majorHAnsi" w:cstheme="majorHAnsi"/>
                <w:sz w:val="16"/>
                <w:szCs w:val="16"/>
              </w:rPr>
              <w:t>0,50 milj. eiro 2025. gadā.</w:t>
            </w:r>
          </w:p>
        </w:tc>
        <w:tc>
          <w:tcPr>
            <w:tcW w:w="3231" w:type="dxa"/>
            <w:shd w:val="clear" w:color="auto" w:fill="D9E2F3" w:themeFill="accent1" w:themeFillTint="33"/>
          </w:tcPr>
          <w:p w14:paraId="21861640" w14:textId="77777777" w:rsidR="00812A72" w:rsidRPr="00495E90" w:rsidRDefault="00812A72" w:rsidP="0002297E">
            <w:pPr>
              <w:widowControl/>
              <w:spacing w:after="0" w:line="240" w:lineRule="auto"/>
              <w:rPr>
                <w:rFonts w:asciiTheme="majorHAnsi" w:eastAsia="Times New Roman" w:hAnsiTheme="majorHAnsi" w:cstheme="majorHAnsi"/>
                <w:b/>
                <w:bCs/>
                <w:color w:val="000000"/>
                <w:sz w:val="16"/>
                <w:szCs w:val="16"/>
                <w:lang w:val="lv-LV" w:eastAsia="lv-LV"/>
              </w:rPr>
            </w:pPr>
            <w:r w:rsidRPr="00097491">
              <w:rPr>
                <w:rFonts w:asciiTheme="majorHAnsi" w:hAnsiTheme="majorHAnsi" w:cstheme="majorHAnsi"/>
                <w:b/>
                <w:bCs/>
                <w:sz w:val="16"/>
                <w:szCs w:val="16"/>
                <w:lang w:val="lv-LV"/>
              </w:rPr>
              <w:t>60 %</w:t>
            </w:r>
            <w:r w:rsidRPr="00097491">
              <w:rPr>
                <w:rFonts w:asciiTheme="majorHAnsi" w:hAnsiTheme="majorHAnsi" w:cstheme="majorHAnsi"/>
                <w:sz w:val="16"/>
                <w:szCs w:val="16"/>
                <w:lang w:val="lv-LV"/>
              </w:rPr>
              <w:t xml:space="preserve"> – jaunais ES fondu finansējums.</w:t>
            </w:r>
            <w:r w:rsidRPr="00097491">
              <w:rPr>
                <w:rFonts w:asciiTheme="majorHAnsi" w:hAnsiTheme="majorHAnsi" w:cstheme="majorHAnsi"/>
                <w:sz w:val="16"/>
                <w:szCs w:val="16"/>
                <w:lang w:val="lv-LV"/>
              </w:rPr>
              <w:br/>
            </w:r>
            <w:r w:rsidRPr="00097491">
              <w:rPr>
                <w:rFonts w:asciiTheme="majorHAnsi" w:hAnsiTheme="majorHAnsi" w:cstheme="majorHAnsi"/>
                <w:b/>
                <w:bCs/>
                <w:sz w:val="16"/>
                <w:szCs w:val="16"/>
                <w:lang w:val="lv-LV"/>
              </w:rPr>
              <w:t>40 %</w:t>
            </w:r>
            <w:r w:rsidRPr="00097491">
              <w:rPr>
                <w:rFonts w:asciiTheme="majorHAnsi" w:hAnsiTheme="majorHAnsi" w:cstheme="majorHAnsi"/>
                <w:sz w:val="16"/>
                <w:szCs w:val="16"/>
                <w:lang w:val="lv-LV"/>
              </w:rPr>
              <w:t xml:space="preserve"> – nacionālais publiskais finansējums, kas aizstāj citus budžeta izdevumus.</w:t>
            </w:r>
          </w:p>
        </w:tc>
      </w:tr>
      <w:tr w:rsidR="00812A72" w:rsidRPr="00D24F07" w14:paraId="3884BF59" w14:textId="77777777" w:rsidTr="0002297E">
        <w:trPr>
          <w:jc w:val="center"/>
        </w:trPr>
        <w:tc>
          <w:tcPr>
            <w:tcW w:w="2835" w:type="dxa"/>
            <w:shd w:val="clear" w:color="auto" w:fill="B4C6E7" w:themeFill="accent1" w:themeFillTint="66"/>
          </w:tcPr>
          <w:p w14:paraId="7C35D411" w14:textId="77777777" w:rsidR="00812A72" w:rsidRPr="00495E90"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sv-SE"/>
              </w:rPr>
              <w:t xml:space="preserve">3.2.2.4. Publiskā sektora ēku energoefektivitātes uzlabošana </w:t>
            </w:r>
          </w:p>
        </w:tc>
        <w:tc>
          <w:tcPr>
            <w:tcW w:w="1701" w:type="dxa"/>
            <w:shd w:val="clear" w:color="auto" w:fill="B4C6E7" w:themeFill="accent1" w:themeFillTint="66"/>
          </w:tcPr>
          <w:p w14:paraId="3815848A" w14:textId="77777777" w:rsidR="00812A72" w:rsidRPr="004C4A33" w:rsidRDefault="00812A72" w:rsidP="0002297E">
            <w:pPr>
              <w:widowControl/>
              <w:spacing w:before="40" w:after="40" w:line="240" w:lineRule="auto"/>
              <w:rPr>
                <w:rFonts w:asciiTheme="majorHAnsi" w:hAnsiTheme="majorHAnsi" w:cstheme="majorHAnsi"/>
                <w:color w:val="000000" w:themeColor="text1"/>
                <w:sz w:val="16"/>
                <w:szCs w:val="16"/>
                <w:lang w:val="lv-LV"/>
              </w:rPr>
            </w:pPr>
            <w:r w:rsidRPr="004C4A33">
              <w:rPr>
                <w:rFonts w:asciiTheme="majorHAnsi" w:hAnsiTheme="majorHAnsi" w:cstheme="majorHAnsi"/>
                <w:color w:val="000000" w:themeColor="text1"/>
                <w:sz w:val="16"/>
                <w:szCs w:val="16"/>
              </w:rPr>
              <w:t>Būvniecības nozare</w:t>
            </w:r>
          </w:p>
        </w:tc>
        <w:tc>
          <w:tcPr>
            <w:tcW w:w="1871" w:type="dxa"/>
            <w:shd w:val="clear" w:color="auto" w:fill="B4C6E7" w:themeFill="accent1" w:themeFillTint="66"/>
          </w:tcPr>
          <w:p w14:paraId="2C8A7F6C" w14:textId="77777777" w:rsidR="00812A72" w:rsidRPr="00495E90"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sv-SE"/>
              </w:rPr>
              <w:t>800 milj. eiro 2025. – 2030. gadā: 133,33 milj. eiro katru gadu.</w:t>
            </w:r>
          </w:p>
        </w:tc>
        <w:tc>
          <w:tcPr>
            <w:tcW w:w="3231" w:type="dxa"/>
            <w:shd w:val="clear" w:color="auto" w:fill="B4C6E7" w:themeFill="accent1" w:themeFillTint="66"/>
          </w:tcPr>
          <w:p w14:paraId="58470B2E" w14:textId="77777777" w:rsidR="00812A72" w:rsidRPr="00495E90" w:rsidRDefault="00812A72" w:rsidP="0002297E">
            <w:pPr>
              <w:widowControl/>
              <w:spacing w:after="0" w:line="240" w:lineRule="auto"/>
              <w:rPr>
                <w:rFonts w:asciiTheme="majorHAnsi" w:eastAsia="Times New Roman" w:hAnsiTheme="majorHAnsi" w:cstheme="majorHAnsi"/>
                <w:color w:val="000000"/>
                <w:sz w:val="16"/>
                <w:szCs w:val="16"/>
                <w:lang w:val="lv-LV" w:eastAsia="lv-LV"/>
              </w:rPr>
            </w:pPr>
          </w:p>
        </w:tc>
      </w:tr>
      <w:tr w:rsidR="00812A72" w:rsidRPr="00D24F07" w14:paraId="17DF424C" w14:textId="77777777" w:rsidTr="0002297E">
        <w:trPr>
          <w:jc w:val="center"/>
        </w:trPr>
        <w:tc>
          <w:tcPr>
            <w:tcW w:w="2835" w:type="dxa"/>
            <w:shd w:val="clear" w:color="auto" w:fill="D9E2F3" w:themeFill="accent1" w:themeFillTint="33"/>
          </w:tcPr>
          <w:p w14:paraId="57AD98CA" w14:textId="77777777" w:rsidR="00812A72" w:rsidRPr="00495E90"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sv-SE"/>
              </w:rPr>
              <w:t xml:space="preserve">3.2.2.5. Publiskā sektora ēku energoefektivitātes uzlabošanas ar bioloģiskas izcelsmes materiāliem </w:t>
            </w:r>
          </w:p>
        </w:tc>
        <w:tc>
          <w:tcPr>
            <w:tcW w:w="1701" w:type="dxa"/>
            <w:shd w:val="clear" w:color="auto" w:fill="D9E2F3" w:themeFill="accent1" w:themeFillTint="33"/>
          </w:tcPr>
          <w:p w14:paraId="39CB66F5" w14:textId="77777777" w:rsidR="00812A72" w:rsidRPr="004C4A33" w:rsidRDefault="00812A72" w:rsidP="0002297E">
            <w:pPr>
              <w:widowControl/>
              <w:spacing w:before="40" w:after="40" w:line="240" w:lineRule="auto"/>
              <w:rPr>
                <w:rFonts w:asciiTheme="majorHAnsi" w:hAnsiTheme="majorHAnsi" w:cstheme="majorHAnsi"/>
                <w:color w:val="000000" w:themeColor="text1"/>
                <w:sz w:val="16"/>
                <w:szCs w:val="16"/>
                <w:lang w:val="lv-LV"/>
              </w:rPr>
            </w:pPr>
            <w:r w:rsidRPr="004C4A33">
              <w:rPr>
                <w:rFonts w:asciiTheme="majorHAnsi" w:hAnsiTheme="majorHAnsi" w:cstheme="majorHAnsi"/>
                <w:color w:val="000000" w:themeColor="text1"/>
                <w:sz w:val="16"/>
                <w:szCs w:val="16"/>
              </w:rPr>
              <w:t>Būvniecības nozare</w:t>
            </w:r>
          </w:p>
        </w:tc>
        <w:tc>
          <w:tcPr>
            <w:tcW w:w="1871" w:type="dxa"/>
            <w:shd w:val="clear" w:color="auto" w:fill="D9E2F3" w:themeFill="accent1" w:themeFillTint="33"/>
          </w:tcPr>
          <w:p w14:paraId="4B399C38" w14:textId="77777777" w:rsidR="00812A72" w:rsidRPr="00495E90"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sv-SE"/>
              </w:rPr>
              <w:t>90 milj. eiro 2025. – 2030. gadā: 15 milj. eiro katru gadu.</w:t>
            </w:r>
            <w:r w:rsidRPr="00097491">
              <w:rPr>
                <w:rFonts w:asciiTheme="majorHAnsi" w:hAnsiTheme="majorHAnsi" w:cstheme="majorHAnsi"/>
                <w:sz w:val="16"/>
                <w:szCs w:val="16"/>
                <w:lang w:val="sv-SE"/>
              </w:rPr>
              <w:br/>
            </w:r>
          </w:p>
        </w:tc>
        <w:tc>
          <w:tcPr>
            <w:tcW w:w="3231" w:type="dxa"/>
            <w:shd w:val="clear" w:color="auto" w:fill="D9E2F3" w:themeFill="accent1" w:themeFillTint="33"/>
          </w:tcPr>
          <w:p w14:paraId="7C2AFAAA" w14:textId="77777777" w:rsidR="00812A72" w:rsidRPr="00495E90" w:rsidRDefault="00812A72" w:rsidP="0002297E">
            <w:pPr>
              <w:widowControl/>
              <w:spacing w:before="40" w:after="40" w:line="240" w:lineRule="auto"/>
              <w:rPr>
                <w:rFonts w:asciiTheme="majorHAnsi" w:eastAsia="Times New Roman" w:hAnsiTheme="majorHAnsi" w:cstheme="majorHAnsi"/>
                <w:color w:val="000000"/>
                <w:sz w:val="16"/>
                <w:szCs w:val="16"/>
                <w:lang w:val="lv-LV" w:eastAsia="lv-LV"/>
              </w:rPr>
            </w:pPr>
            <w:r w:rsidRPr="00097491">
              <w:rPr>
                <w:rFonts w:asciiTheme="majorHAnsi" w:hAnsiTheme="majorHAnsi" w:cstheme="majorHAnsi"/>
                <w:b/>
                <w:bCs/>
                <w:sz w:val="16"/>
                <w:szCs w:val="16"/>
                <w:lang w:val="lv-LV"/>
              </w:rPr>
              <w:t>60 %</w:t>
            </w:r>
            <w:r w:rsidRPr="00097491">
              <w:rPr>
                <w:rFonts w:asciiTheme="majorHAnsi" w:hAnsiTheme="majorHAnsi" w:cstheme="majorHAnsi"/>
                <w:sz w:val="16"/>
                <w:szCs w:val="16"/>
                <w:lang w:val="lv-LV"/>
              </w:rPr>
              <w:t xml:space="preserve"> – jaunais ES fondu finansējums.</w:t>
            </w:r>
            <w:r w:rsidRPr="00097491">
              <w:rPr>
                <w:rFonts w:asciiTheme="majorHAnsi" w:hAnsiTheme="majorHAnsi" w:cstheme="majorHAnsi"/>
                <w:sz w:val="16"/>
                <w:szCs w:val="16"/>
                <w:lang w:val="lv-LV"/>
              </w:rPr>
              <w:br/>
            </w:r>
            <w:r w:rsidRPr="00097491">
              <w:rPr>
                <w:rFonts w:asciiTheme="majorHAnsi" w:hAnsiTheme="majorHAnsi" w:cstheme="majorHAnsi"/>
                <w:b/>
                <w:bCs/>
                <w:sz w:val="16"/>
                <w:szCs w:val="16"/>
                <w:lang w:val="lv-LV"/>
              </w:rPr>
              <w:t>40 %</w:t>
            </w:r>
            <w:r w:rsidRPr="00097491">
              <w:rPr>
                <w:rFonts w:asciiTheme="majorHAnsi" w:hAnsiTheme="majorHAnsi" w:cstheme="majorHAnsi"/>
                <w:sz w:val="16"/>
                <w:szCs w:val="16"/>
                <w:lang w:val="lv-LV"/>
              </w:rPr>
              <w:t xml:space="preserve"> – nacionālais publiskais finansējums, kas aizstāj citus budžeta izdevumus.</w:t>
            </w:r>
          </w:p>
        </w:tc>
      </w:tr>
      <w:tr w:rsidR="00812A72" w:rsidRPr="00D24F07" w14:paraId="7858BB55" w14:textId="77777777" w:rsidTr="0002297E">
        <w:trPr>
          <w:jc w:val="center"/>
        </w:trPr>
        <w:tc>
          <w:tcPr>
            <w:tcW w:w="2835" w:type="dxa"/>
            <w:shd w:val="clear" w:color="auto" w:fill="B4C6E7" w:themeFill="accent1" w:themeFillTint="66"/>
          </w:tcPr>
          <w:p w14:paraId="6AFF1EDF" w14:textId="77777777" w:rsidR="00812A72" w:rsidRPr="00495E90"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lv-LV"/>
              </w:rPr>
              <w:t xml:space="preserve">3.2.2.8. Izstrādāt metodiku un atbilstošu datu bāzi reģionālo datu par SEG emisijām aprēķināšanai </w:t>
            </w:r>
          </w:p>
        </w:tc>
        <w:tc>
          <w:tcPr>
            <w:tcW w:w="1701" w:type="dxa"/>
            <w:shd w:val="clear" w:color="auto" w:fill="B4C6E7" w:themeFill="accent1" w:themeFillTint="66"/>
          </w:tcPr>
          <w:p w14:paraId="585032DE" w14:textId="77777777" w:rsidR="00812A72" w:rsidRPr="004C4A33" w:rsidRDefault="00812A72" w:rsidP="0002297E">
            <w:pPr>
              <w:widowControl/>
              <w:spacing w:before="40" w:after="40" w:line="240" w:lineRule="auto"/>
              <w:rPr>
                <w:rFonts w:asciiTheme="majorHAnsi" w:hAnsiTheme="majorHAnsi" w:cstheme="majorHAnsi"/>
                <w:color w:val="000000" w:themeColor="text1"/>
                <w:sz w:val="16"/>
                <w:szCs w:val="16"/>
                <w:lang w:val="lv-LV"/>
              </w:rPr>
            </w:pPr>
            <w:r w:rsidRPr="004C4A33">
              <w:rPr>
                <w:rFonts w:asciiTheme="majorHAnsi" w:hAnsiTheme="majorHAnsi" w:cstheme="majorHAnsi"/>
                <w:color w:val="000000" w:themeColor="text1"/>
                <w:sz w:val="16"/>
                <w:szCs w:val="16"/>
              </w:rPr>
              <w:t>Publiskie pakalpojumi</w:t>
            </w:r>
          </w:p>
        </w:tc>
        <w:tc>
          <w:tcPr>
            <w:tcW w:w="1871" w:type="dxa"/>
            <w:shd w:val="clear" w:color="auto" w:fill="B4C6E7" w:themeFill="accent1" w:themeFillTint="66"/>
          </w:tcPr>
          <w:p w14:paraId="17BC512F" w14:textId="77777777" w:rsidR="00812A72" w:rsidRPr="00495E90" w:rsidRDefault="00812A72" w:rsidP="0002297E">
            <w:pPr>
              <w:widowControl/>
              <w:spacing w:before="40" w:after="40" w:line="240" w:lineRule="auto"/>
              <w:rPr>
                <w:rFonts w:asciiTheme="majorHAnsi" w:hAnsiTheme="majorHAnsi" w:cstheme="majorHAnsi"/>
                <w:sz w:val="16"/>
                <w:szCs w:val="16"/>
                <w:lang w:val="lv-LV"/>
              </w:rPr>
            </w:pPr>
            <w:r w:rsidRPr="00495E90">
              <w:rPr>
                <w:rFonts w:asciiTheme="majorHAnsi" w:hAnsiTheme="majorHAnsi" w:cstheme="majorHAnsi"/>
                <w:sz w:val="16"/>
                <w:szCs w:val="16"/>
              </w:rPr>
              <w:t>0,069 milj. eiro 2025. gadā.</w:t>
            </w:r>
          </w:p>
        </w:tc>
        <w:tc>
          <w:tcPr>
            <w:tcW w:w="3231" w:type="dxa"/>
            <w:shd w:val="clear" w:color="auto" w:fill="B4C6E7" w:themeFill="accent1" w:themeFillTint="66"/>
          </w:tcPr>
          <w:p w14:paraId="2E832615" w14:textId="77777777" w:rsidR="00812A72" w:rsidRPr="00495E90" w:rsidRDefault="00812A72" w:rsidP="0002297E">
            <w:pPr>
              <w:widowControl/>
              <w:spacing w:after="0" w:line="240" w:lineRule="auto"/>
              <w:rPr>
                <w:rFonts w:asciiTheme="majorHAnsi" w:eastAsia="Times New Roman" w:hAnsiTheme="majorHAnsi" w:cstheme="majorHAnsi"/>
                <w:color w:val="000000"/>
                <w:sz w:val="16"/>
                <w:szCs w:val="16"/>
                <w:lang w:val="lv-LV" w:eastAsia="lv-LV"/>
              </w:rPr>
            </w:pPr>
            <w:r w:rsidRPr="00097491">
              <w:rPr>
                <w:rFonts w:asciiTheme="majorHAnsi" w:hAnsiTheme="majorHAnsi" w:cstheme="majorHAnsi"/>
                <w:b/>
                <w:bCs/>
                <w:sz w:val="16"/>
                <w:szCs w:val="16"/>
                <w:lang w:val="lv-LV"/>
              </w:rPr>
              <w:t xml:space="preserve">100 % </w:t>
            </w:r>
            <w:r w:rsidRPr="00097491">
              <w:rPr>
                <w:rFonts w:asciiTheme="majorHAnsi" w:hAnsiTheme="majorHAnsi" w:cstheme="majorHAnsi"/>
                <w:sz w:val="16"/>
                <w:szCs w:val="16"/>
                <w:lang w:val="lv-LV"/>
              </w:rPr>
              <w:t>– nacionālais publiskais finansējums, kas aizstāj citus budžeta izdevumus.</w:t>
            </w:r>
          </w:p>
        </w:tc>
      </w:tr>
      <w:tr w:rsidR="00812A72" w:rsidRPr="00D24F07" w14:paraId="1BA177C8" w14:textId="77777777" w:rsidTr="0002297E">
        <w:trPr>
          <w:jc w:val="center"/>
        </w:trPr>
        <w:tc>
          <w:tcPr>
            <w:tcW w:w="2835" w:type="dxa"/>
            <w:shd w:val="clear" w:color="auto" w:fill="D9E2F3" w:themeFill="accent1" w:themeFillTint="33"/>
          </w:tcPr>
          <w:p w14:paraId="7F17A58F" w14:textId="77777777" w:rsidR="00812A72" w:rsidRPr="00495E90"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lv-LV"/>
              </w:rPr>
              <w:t xml:space="preserve">3.2.2.9. Sabiedrības un pašvaldību un plānošanas reģionu informētības un zināšanu par oglekļa mazietilpīgu attīstību, inovatīvajām tehnoloģijām uzlabošana </w:t>
            </w:r>
          </w:p>
        </w:tc>
        <w:tc>
          <w:tcPr>
            <w:tcW w:w="1701" w:type="dxa"/>
            <w:shd w:val="clear" w:color="auto" w:fill="D9E2F3" w:themeFill="accent1" w:themeFillTint="33"/>
          </w:tcPr>
          <w:p w14:paraId="49375E8D" w14:textId="77777777" w:rsidR="00812A72" w:rsidRPr="004C4A33" w:rsidRDefault="00812A72" w:rsidP="0002297E">
            <w:pPr>
              <w:widowControl/>
              <w:spacing w:before="40" w:after="40" w:line="240" w:lineRule="auto"/>
              <w:rPr>
                <w:rFonts w:asciiTheme="majorHAnsi" w:hAnsiTheme="majorHAnsi" w:cstheme="majorHAnsi"/>
                <w:color w:val="000000" w:themeColor="text1"/>
                <w:sz w:val="16"/>
                <w:szCs w:val="16"/>
                <w:lang w:val="lv-LV"/>
              </w:rPr>
            </w:pPr>
            <w:r w:rsidRPr="004C4A33">
              <w:rPr>
                <w:rFonts w:asciiTheme="majorHAnsi" w:hAnsiTheme="majorHAnsi" w:cstheme="majorHAnsi"/>
                <w:color w:val="000000" w:themeColor="text1"/>
                <w:sz w:val="16"/>
                <w:szCs w:val="16"/>
              </w:rPr>
              <w:t>Privātie pakalpojumi</w:t>
            </w:r>
          </w:p>
        </w:tc>
        <w:tc>
          <w:tcPr>
            <w:tcW w:w="1871" w:type="dxa"/>
            <w:shd w:val="clear" w:color="auto" w:fill="D9E2F3" w:themeFill="accent1" w:themeFillTint="33"/>
          </w:tcPr>
          <w:p w14:paraId="6C332DF2" w14:textId="77777777" w:rsidR="00812A72" w:rsidRPr="00495E90"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sv-SE"/>
              </w:rPr>
              <w:t>0,093 milj. eiro 2025. – 2030. gadā: 0,015 milj. eiro katru gadu.</w:t>
            </w:r>
          </w:p>
        </w:tc>
        <w:tc>
          <w:tcPr>
            <w:tcW w:w="3231" w:type="dxa"/>
            <w:shd w:val="clear" w:color="auto" w:fill="D9E2F3" w:themeFill="accent1" w:themeFillTint="33"/>
          </w:tcPr>
          <w:p w14:paraId="02769E3F" w14:textId="77777777" w:rsidR="00812A72" w:rsidRPr="00495E90" w:rsidRDefault="00812A72" w:rsidP="0002297E">
            <w:pPr>
              <w:widowControl/>
              <w:spacing w:after="0" w:line="240" w:lineRule="auto"/>
              <w:rPr>
                <w:rFonts w:asciiTheme="majorHAnsi" w:eastAsia="Times New Roman" w:hAnsiTheme="majorHAnsi" w:cstheme="majorHAnsi"/>
                <w:color w:val="000000"/>
                <w:sz w:val="16"/>
                <w:szCs w:val="16"/>
                <w:lang w:val="lv-LV" w:eastAsia="lv-LV"/>
              </w:rPr>
            </w:pPr>
            <w:r w:rsidRPr="00097491">
              <w:rPr>
                <w:rFonts w:asciiTheme="majorHAnsi" w:hAnsiTheme="majorHAnsi" w:cstheme="majorHAnsi"/>
                <w:b/>
                <w:bCs/>
                <w:sz w:val="16"/>
                <w:szCs w:val="16"/>
                <w:lang w:val="lv-LV"/>
              </w:rPr>
              <w:t xml:space="preserve">100 % </w:t>
            </w:r>
            <w:r w:rsidRPr="00097491">
              <w:rPr>
                <w:rFonts w:asciiTheme="majorHAnsi" w:hAnsiTheme="majorHAnsi" w:cstheme="majorHAnsi"/>
                <w:sz w:val="16"/>
                <w:szCs w:val="16"/>
                <w:lang w:val="lv-LV"/>
              </w:rPr>
              <w:t>– nacionālais publiskais finansējums, kas aizstāj citus budžeta izdevumus.</w:t>
            </w:r>
          </w:p>
        </w:tc>
      </w:tr>
      <w:tr w:rsidR="00812A72" w:rsidRPr="00D24F07" w14:paraId="0D2ECD90" w14:textId="77777777" w:rsidTr="0002297E">
        <w:trPr>
          <w:jc w:val="center"/>
        </w:trPr>
        <w:tc>
          <w:tcPr>
            <w:tcW w:w="2835" w:type="dxa"/>
            <w:shd w:val="clear" w:color="auto" w:fill="B4C6E7" w:themeFill="accent1" w:themeFillTint="66"/>
          </w:tcPr>
          <w:p w14:paraId="1C7D0389" w14:textId="77777777" w:rsidR="00812A72" w:rsidRPr="00495E90"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lv-LV"/>
              </w:rPr>
              <w:t xml:space="preserve">3.2.2.10. Inovatīvu risinājumu attīstīšanas un ieviešanas pašvaldību sniegtajos pakalpojumos energoefektivitātes uzlabošanai </w:t>
            </w:r>
          </w:p>
        </w:tc>
        <w:tc>
          <w:tcPr>
            <w:tcW w:w="1701" w:type="dxa"/>
            <w:shd w:val="clear" w:color="auto" w:fill="B4C6E7" w:themeFill="accent1" w:themeFillTint="66"/>
          </w:tcPr>
          <w:p w14:paraId="02FD5B04" w14:textId="77777777" w:rsidR="00812A72" w:rsidRPr="004C4A33" w:rsidRDefault="00812A72" w:rsidP="0002297E">
            <w:pPr>
              <w:widowControl/>
              <w:spacing w:before="40" w:after="40" w:line="240" w:lineRule="auto"/>
              <w:rPr>
                <w:rFonts w:asciiTheme="majorHAnsi" w:hAnsiTheme="majorHAnsi" w:cstheme="majorHAnsi"/>
                <w:color w:val="000000" w:themeColor="text1"/>
                <w:sz w:val="16"/>
                <w:szCs w:val="16"/>
                <w:lang w:val="lv-LV"/>
              </w:rPr>
            </w:pPr>
            <w:r w:rsidRPr="004C4A33">
              <w:rPr>
                <w:rFonts w:asciiTheme="majorHAnsi" w:hAnsiTheme="majorHAnsi" w:cstheme="majorHAnsi"/>
                <w:color w:val="000000" w:themeColor="text1"/>
                <w:sz w:val="16"/>
                <w:szCs w:val="16"/>
              </w:rPr>
              <w:t>Privātie pakalpojumi</w:t>
            </w:r>
          </w:p>
        </w:tc>
        <w:tc>
          <w:tcPr>
            <w:tcW w:w="1871" w:type="dxa"/>
            <w:shd w:val="clear" w:color="auto" w:fill="B4C6E7" w:themeFill="accent1" w:themeFillTint="66"/>
          </w:tcPr>
          <w:p w14:paraId="4C995D6D" w14:textId="77777777" w:rsidR="00812A72" w:rsidRPr="00495E90"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sv-SE"/>
              </w:rPr>
              <w:t>6,10 milj. eiro 2025. – 2030. gadā: 1,01 milj. eiro katru gadu.</w:t>
            </w:r>
          </w:p>
        </w:tc>
        <w:tc>
          <w:tcPr>
            <w:tcW w:w="3231" w:type="dxa"/>
            <w:shd w:val="clear" w:color="auto" w:fill="B4C6E7" w:themeFill="accent1" w:themeFillTint="66"/>
          </w:tcPr>
          <w:p w14:paraId="32A2088D" w14:textId="77777777" w:rsidR="00812A72" w:rsidRPr="00495E90" w:rsidRDefault="00812A72" w:rsidP="0002297E">
            <w:pPr>
              <w:widowControl/>
              <w:spacing w:before="40" w:after="40" w:line="240" w:lineRule="auto"/>
              <w:rPr>
                <w:rFonts w:asciiTheme="majorHAnsi" w:eastAsia="Times New Roman" w:hAnsiTheme="majorHAnsi" w:cstheme="majorHAnsi"/>
                <w:color w:val="000000"/>
                <w:sz w:val="16"/>
                <w:szCs w:val="16"/>
                <w:lang w:val="lv-LV" w:eastAsia="lv-LV"/>
              </w:rPr>
            </w:pPr>
            <w:r w:rsidRPr="00097491">
              <w:rPr>
                <w:rFonts w:asciiTheme="majorHAnsi" w:hAnsiTheme="majorHAnsi" w:cstheme="majorHAnsi"/>
                <w:b/>
                <w:bCs/>
                <w:sz w:val="16"/>
                <w:szCs w:val="16"/>
                <w:lang w:val="lv-LV"/>
              </w:rPr>
              <w:t>50 %</w:t>
            </w:r>
            <w:r w:rsidRPr="00097491">
              <w:rPr>
                <w:rFonts w:asciiTheme="majorHAnsi" w:hAnsiTheme="majorHAnsi" w:cstheme="majorHAnsi"/>
                <w:sz w:val="16"/>
                <w:szCs w:val="16"/>
                <w:lang w:val="lv-LV"/>
              </w:rPr>
              <w:t xml:space="preserve"> – jaunais ES fondu finansējums.</w:t>
            </w:r>
            <w:r w:rsidRPr="00097491">
              <w:rPr>
                <w:rFonts w:asciiTheme="majorHAnsi" w:hAnsiTheme="majorHAnsi" w:cstheme="majorHAnsi"/>
                <w:sz w:val="16"/>
                <w:szCs w:val="16"/>
                <w:lang w:val="lv-LV"/>
              </w:rPr>
              <w:br/>
            </w:r>
            <w:r w:rsidRPr="00097491">
              <w:rPr>
                <w:rFonts w:asciiTheme="majorHAnsi" w:hAnsiTheme="majorHAnsi" w:cstheme="majorHAnsi"/>
                <w:b/>
                <w:bCs/>
                <w:sz w:val="16"/>
                <w:szCs w:val="16"/>
                <w:lang w:val="lv-LV"/>
              </w:rPr>
              <w:t>50 %</w:t>
            </w:r>
            <w:r w:rsidRPr="00097491">
              <w:rPr>
                <w:rFonts w:asciiTheme="majorHAnsi" w:hAnsiTheme="majorHAnsi" w:cstheme="majorHAnsi"/>
                <w:sz w:val="16"/>
                <w:szCs w:val="16"/>
                <w:lang w:val="lv-LV"/>
              </w:rPr>
              <w:t xml:space="preserve"> – nacionālais publiskais finansējums, kas aizstāj citus budžeta izdevumus.</w:t>
            </w:r>
          </w:p>
        </w:tc>
      </w:tr>
      <w:tr w:rsidR="00812A72" w:rsidRPr="00AB3438" w14:paraId="3ABEE8AB" w14:textId="77777777" w:rsidTr="0002297E">
        <w:trPr>
          <w:jc w:val="center"/>
        </w:trPr>
        <w:tc>
          <w:tcPr>
            <w:tcW w:w="2835" w:type="dxa"/>
            <w:shd w:val="clear" w:color="auto" w:fill="D9E2F3" w:themeFill="accent1" w:themeFillTint="33"/>
          </w:tcPr>
          <w:p w14:paraId="5790B39A" w14:textId="77777777" w:rsidR="00812A72" w:rsidRPr="00495E90" w:rsidRDefault="00812A72" w:rsidP="0002297E">
            <w:pPr>
              <w:widowControl/>
              <w:spacing w:before="40" w:after="40" w:line="240" w:lineRule="auto"/>
              <w:rPr>
                <w:rFonts w:asciiTheme="majorHAnsi" w:hAnsiTheme="majorHAnsi" w:cstheme="majorHAnsi"/>
                <w:b/>
                <w:bCs/>
                <w:sz w:val="16"/>
                <w:szCs w:val="16"/>
                <w:lang w:val="lv-LV"/>
              </w:rPr>
            </w:pPr>
            <w:r w:rsidRPr="00097491">
              <w:rPr>
                <w:rFonts w:asciiTheme="majorHAnsi" w:hAnsiTheme="majorHAnsi" w:cstheme="majorHAnsi"/>
                <w:sz w:val="16"/>
                <w:szCs w:val="16"/>
                <w:lang w:val="lv-LV"/>
              </w:rPr>
              <w:t>3.2.3.2. Dzīvojamo māju, daudzdzīvokļu ēku vai nedzīvojamo ēku/būvju pieslēgšanai pie efektīvas CSAS</w:t>
            </w:r>
          </w:p>
        </w:tc>
        <w:tc>
          <w:tcPr>
            <w:tcW w:w="1701" w:type="dxa"/>
            <w:shd w:val="clear" w:color="auto" w:fill="D9E2F3" w:themeFill="accent1" w:themeFillTint="33"/>
          </w:tcPr>
          <w:p w14:paraId="6546EDD0" w14:textId="77777777" w:rsidR="00812A72" w:rsidRPr="004C4A33" w:rsidRDefault="00812A72" w:rsidP="0002297E">
            <w:pPr>
              <w:widowControl/>
              <w:spacing w:before="40" w:after="40" w:line="240" w:lineRule="auto"/>
              <w:rPr>
                <w:rFonts w:asciiTheme="majorHAnsi" w:hAnsiTheme="majorHAnsi" w:cstheme="majorHAnsi"/>
                <w:b/>
                <w:bCs/>
                <w:color w:val="000000" w:themeColor="text1"/>
                <w:sz w:val="16"/>
                <w:szCs w:val="16"/>
                <w:lang w:val="lv-LV"/>
              </w:rPr>
            </w:pPr>
            <w:r w:rsidRPr="004C4A33">
              <w:rPr>
                <w:rFonts w:asciiTheme="majorHAnsi" w:hAnsiTheme="majorHAnsi" w:cstheme="majorHAnsi"/>
                <w:color w:val="000000" w:themeColor="text1"/>
                <w:sz w:val="16"/>
                <w:szCs w:val="16"/>
              </w:rPr>
              <w:t>Visas nozares</w:t>
            </w:r>
          </w:p>
        </w:tc>
        <w:tc>
          <w:tcPr>
            <w:tcW w:w="1871" w:type="dxa"/>
            <w:shd w:val="clear" w:color="auto" w:fill="D9E2F3" w:themeFill="accent1" w:themeFillTint="33"/>
          </w:tcPr>
          <w:p w14:paraId="6D1E40B7" w14:textId="77777777" w:rsidR="00812A72" w:rsidRPr="00495E90" w:rsidRDefault="00812A72" w:rsidP="0002297E">
            <w:pPr>
              <w:widowControl/>
              <w:spacing w:before="40" w:after="40" w:line="240" w:lineRule="auto"/>
              <w:rPr>
                <w:rFonts w:asciiTheme="majorHAnsi" w:hAnsiTheme="majorHAnsi" w:cstheme="majorHAnsi"/>
                <w:b/>
                <w:bCs/>
                <w:sz w:val="16"/>
                <w:szCs w:val="16"/>
                <w:lang w:val="lv-LV"/>
              </w:rPr>
            </w:pPr>
            <w:r w:rsidRPr="00097491">
              <w:rPr>
                <w:rFonts w:asciiTheme="majorHAnsi" w:hAnsiTheme="majorHAnsi" w:cstheme="majorHAnsi"/>
                <w:sz w:val="16"/>
                <w:szCs w:val="16"/>
                <w:lang w:val="sv-SE"/>
              </w:rPr>
              <w:t>50 milj. eiro 2025. – 2030. gadā: 8,33 milj. eiro katru gadu.</w:t>
            </w:r>
          </w:p>
        </w:tc>
        <w:tc>
          <w:tcPr>
            <w:tcW w:w="3231" w:type="dxa"/>
            <w:shd w:val="clear" w:color="auto" w:fill="D9E2F3" w:themeFill="accent1" w:themeFillTint="33"/>
          </w:tcPr>
          <w:p w14:paraId="3CA5ABDC" w14:textId="77777777" w:rsidR="00812A72" w:rsidRPr="00495E90" w:rsidRDefault="00812A72" w:rsidP="0002297E">
            <w:pPr>
              <w:widowControl/>
              <w:spacing w:after="0" w:line="240" w:lineRule="auto"/>
              <w:rPr>
                <w:rFonts w:asciiTheme="majorHAnsi" w:eastAsia="Times New Roman" w:hAnsiTheme="majorHAnsi" w:cstheme="majorHAnsi"/>
                <w:b/>
                <w:bCs/>
                <w:color w:val="000000"/>
                <w:sz w:val="16"/>
                <w:szCs w:val="16"/>
                <w:lang w:val="lv-LV" w:eastAsia="lv-LV"/>
              </w:rPr>
            </w:pPr>
            <w:r w:rsidRPr="00495E90">
              <w:rPr>
                <w:rFonts w:asciiTheme="majorHAnsi" w:hAnsiTheme="majorHAnsi" w:cstheme="majorHAnsi"/>
                <w:b/>
                <w:bCs/>
                <w:sz w:val="16"/>
                <w:szCs w:val="16"/>
              </w:rPr>
              <w:t>85 %</w:t>
            </w:r>
            <w:r w:rsidRPr="00495E90">
              <w:rPr>
                <w:rFonts w:asciiTheme="majorHAnsi" w:hAnsiTheme="majorHAnsi" w:cstheme="majorHAnsi"/>
                <w:sz w:val="16"/>
                <w:szCs w:val="16"/>
              </w:rPr>
              <w:t xml:space="preserve"> </w:t>
            </w:r>
            <w:r>
              <w:rPr>
                <w:rFonts w:asciiTheme="majorHAnsi" w:hAnsiTheme="majorHAnsi" w:cstheme="majorHAnsi"/>
                <w:sz w:val="16"/>
                <w:szCs w:val="16"/>
              </w:rPr>
              <w:t>–</w:t>
            </w:r>
            <w:r w:rsidRPr="00495E90">
              <w:rPr>
                <w:rFonts w:asciiTheme="majorHAnsi" w:hAnsiTheme="majorHAnsi" w:cstheme="majorHAnsi"/>
                <w:sz w:val="16"/>
                <w:szCs w:val="16"/>
              </w:rPr>
              <w:t xml:space="preserve"> jaunais ES fondu finansējums; </w:t>
            </w:r>
            <w:r>
              <w:rPr>
                <w:rFonts w:asciiTheme="majorHAnsi" w:hAnsiTheme="majorHAnsi" w:cstheme="majorHAnsi"/>
                <w:sz w:val="16"/>
                <w:szCs w:val="16"/>
              </w:rPr>
              <w:br/>
            </w:r>
            <w:r w:rsidRPr="00495E90">
              <w:rPr>
                <w:rFonts w:asciiTheme="majorHAnsi" w:hAnsiTheme="majorHAnsi" w:cstheme="majorHAnsi"/>
                <w:b/>
                <w:bCs/>
                <w:sz w:val="16"/>
                <w:szCs w:val="16"/>
              </w:rPr>
              <w:t>15 %</w:t>
            </w:r>
            <w:r w:rsidRPr="00495E90">
              <w:rPr>
                <w:rFonts w:asciiTheme="majorHAnsi" w:hAnsiTheme="majorHAnsi" w:cstheme="majorHAnsi"/>
                <w:sz w:val="16"/>
                <w:szCs w:val="16"/>
              </w:rPr>
              <w:t xml:space="preserve"> </w:t>
            </w:r>
            <w:r>
              <w:rPr>
                <w:rFonts w:asciiTheme="majorHAnsi" w:hAnsiTheme="majorHAnsi" w:cstheme="majorHAnsi"/>
                <w:sz w:val="16"/>
                <w:szCs w:val="16"/>
              </w:rPr>
              <w:t>–</w:t>
            </w:r>
            <w:r w:rsidRPr="00495E90">
              <w:rPr>
                <w:rFonts w:asciiTheme="majorHAnsi" w:hAnsiTheme="majorHAnsi" w:cstheme="majorHAnsi"/>
                <w:sz w:val="16"/>
                <w:szCs w:val="16"/>
              </w:rPr>
              <w:t xml:space="preserve"> valsts budžeta finansējums</w:t>
            </w:r>
          </w:p>
        </w:tc>
      </w:tr>
      <w:tr w:rsidR="00812A72" w:rsidRPr="00AB3438" w14:paraId="1555D3A4" w14:textId="77777777" w:rsidTr="0002297E">
        <w:trPr>
          <w:jc w:val="center"/>
        </w:trPr>
        <w:tc>
          <w:tcPr>
            <w:tcW w:w="2835" w:type="dxa"/>
            <w:shd w:val="clear" w:color="auto" w:fill="B4C6E7" w:themeFill="accent1" w:themeFillTint="66"/>
          </w:tcPr>
          <w:p w14:paraId="48F0C87B" w14:textId="77777777" w:rsidR="00812A72" w:rsidRPr="00495E90" w:rsidRDefault="00812A72" w:rsidP="0002297E">
            <w:pPr>
              <w:widowControl/>
              <w:spacing w:before="40" w:after="40" w:line="240" w:lineRule="auto"/>
              <w:rPr>
                <w:rFonts w:asciiTheme="majorHAnsi" w:hAnsiTheme="majorHAnsi" w:cstheme="majorHAnsi"/>
                <w:sz w:val="16"/>
                <w:szCs w:val="16"/>
                <w:lang w:val="lv-LV"/>
              </w:rPr>
            </w:pPr>
            <w:r w:rsidRPr="00495E90">
              <w:rPr>
                <w:rFonts w:asciiTheme="majorHAnsi" w:hAnsiTheme="majorHAnsi" w:cstheme="majorHAnsi"/>
                <w:sz w:val="16"/>
                <w:szCs w:val="16"/>
              </w:rPr>
              <w:t>3.2.3.3. Noteikt pienākumu pieslēgt valsts īpašumā esošās ēkas efektīvām CSAS, kur tas ir ekonomiski pamatoti</w:t>
            </w:r>
          </w:p>
        </w:tc>
        <w:tc>
          <w:tcPr>
            <w:tcW w:w="1701" w:type="dxa"/>
            <w:shd w:val="clear" w:color="auto" w:fill="B4C6E7" w:themeFill="accent1" w:themeFillTint="66"/>
          </w:tcPr>
          <w:p w14:paraId="5847E0C9" w14:textId="77777777" w:rsidR="00812A72" w:rsidRPr="004C4A33" w:rsidRDefault="00812A72" w:rsidP="0002297E">
            <w:pPr>
              <w:widowControl/>
              <w:spacing w:before="40" w:after="40" w:line="240" w:lineRule="auto"/>
              <w:rPr>
                <w:rFonts w:asciiTheme="majorHAnsi" w:hAnsiTheme="majorHAnsi" w:cstheme="majorHAnsi"/>
                <w:color w:val="000000" w:themeColor="text1"/>
                <w:sz w:val="16"/>
                <w:szCs w:val="16"/>
                <w:lang w:val="lv-LV"/>
              </w:rPr>
            </w:pPr>
            <w:r w:rsidRPr="004C4A33">
              <w:rPr>
                <w:rFonts w:asciiTheme="majorHAnsi" w:hAnsiTheme="majorHAnsi" w:cstheme="majorHAnsi"/>
                <w:color w:val="000000" w:themeColor="text1"/>
                <w:sz w:val="16"/>
                <w:szCs w:val="16"/>
              </w:rPr>
              <w:t>Visas nozares</w:t>
            </w:r>
          </w:p>
        </w:tc>
        <w:tc>
          <w:tcPr>
            <w:tcW w:w="1871" w:type="dxa"/>
            <w:shd w:val="clear" w:color="auto" w:fill="B4C6E7" w:themeFill="accent1" w:themeFillTint="66"/>
          </w:tcPr>
          <w:p w14:paraId="58877182" w14:textId="77777777" w:rsidR="00812A72" w:rsidRPr="00495E90"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sv-SE"/>
              </w:rPr>
              <w:t xml:space="preserve">50 milj. eiro 2025. – 2035. gadā: 8,33 milj. eiro katru gadu. </w:t>
            </w:r>
          </w:p>
        </w:tc>
        <w:tc>
          <w:tcPr>
            <w:tcW w:w="3231" w:type="dxa"/>
            <w:shd w:val="clear" w:color="auto" w:fill="B4C6E7" w:themeFill="accent1" w:themeFillTint="66"/>
          </w:tcPr>
          <w:p w14:paraId="5F1A770B" w14:textId="77777777" w:rsidR="00812A72" w:rsidRPr="00495E90" w:rsidRDefault="00812A72" w:rsidP="0002297E">
            <w:pPr>
              <w:widowControl/>
              <w:spacing w:after="0" w:line="240" w:lineRule="auto"/>
              <w:rPr>
                <w:rFonts w:asciiTheme="majorHAnsi" w:eastAsia="Times New Roman" w:hAnsiTheme="majorHAnsi" w:cstheme="majorHAnsi"/>
                <w:color w:val="000000"/>
                <w:sz w:val="16"/>
                <w:szCs w:val="16"/>
                <w:lang w:val="lv-LV" w:eastAsia="lv-LV"/>
              </w:rPr>
            </w:pPr>
            <w:r w:rsidRPr="00495E90">
              <w:rPr>
                <w:rFonts w:asciiTheme="majorHAnsi" w:hAnsiTheme="majorHAnsi" w:cstheme="majorHAnsi"/>
                <w:b/>
                <w:bCs/>
                <w:sz w:val="16"/>
                <w:szCs w:val="16"/>
              </w:rPr>
              <w:t>85 %</w:t>
            </w:r>
            <w:r w:rsidRPr="00495E90">
              <w:rPr>
                <w:rFonts w:asciiTheme="majorHAnsi" w:hAnsiTheme="majorHAnsi" w:cstheme="majorHAnsi"/>
                <w:sz w:val="16"/>
                <w:szCs w:val="16"/>
              </w:rPr>
              <w:t xml:space="preserve"> </w:t>
            </w:r>
            <w:r>
              <w:rPr>
                <w:rFonts w:asciiTheme="majorHAnsi" w:hAnsiTheme="majorHAnsi" w:cstheme="majorHAnsi"/>
                <w:sz w:val="16"/>
                <w:szCs w:val="16"/>
              </w:rPr>
              <w:t>–</w:t>
            </w:r>
            <w:r w:rsidRPr="00495E90">
              <w:rPr>
                <w:rFonts w:asciiTheme="majorHAnsi" w:hAnsiTheme="majorHAnsi" w:cstheme="majorHAnsi"/>
                <w:sz w:val="16"/>
                <w:szCs w:val="16"/>
              </w:rPr>
              <w:t xml:space="preserve"> jaunais ES fondu finansējums; </w:t>
            </w:r>
            <w:r>
              <w:rPr>
                <w:rFonts w:asciiTheme="majorHAnsi" w:hAnsiTheme="majorHAnsi" w:cstheme="majorHAnsi"/>
                <w:sz w:val="16"/>
                <w:szCs w:val="16"/>
              </w:rPr>
              <w:br/>
            </w:r>
            <w:r w:rsidRPr="00495E90">
              <w:rPr>
                <w:rFonts w:asciiTheme="majorHAnsi" w:hAnsiTheme="majorHAnsi" w:cstheme="majorHAnsi"/>
                <w:b/>
                <w:bCs/>
                <w:sz w:val="16"/>
                <w:szCs w:val="16"/>
              </w:rPr>
              <w:t>15 %</w:t>
            </w:r>
            <w:r w:rsidRPr="00495E90">
              <w:rPr>
                <w:rFonts w:asciiTheme="majorHAnsi" w:hAnsiTheme="majorHAnsi" w:cstheme="majorHAnsi"/>
                <w:sz w:val="16"/>
                <w:szCs w:val="16"/>
              </w:rPr>
              <w:t xml:space="preserve"> </w:t>
            </w:r>
            <w:r>
              <w:rPr>
                <w:rFonts w:asciiTheme="majorHAnsi" w:hAnsiTheme="majorHAnsi" w:cstheme="majorHAnsi"/>
                <w:sz w:val="16"/>
                <w:szCs w:val="16"/>
              </w:rPr>
              <w:t>–</w:t>
            </w:r>
            <w:r w:rsidRPr="00495E90">
              <w:rPr>
                <w:rFonts w:asciiTheme="majorHAnsi" w:hAnsiTheme="majorHAnsi" w:cstheme="majorHAnsi"/>
                <w:sz w:val="16"/>
                <w:szCs w:val="16"/>
              </w:rPr>
              <w:t xml:space="preserve"> valsts budžeta finansējums</w:t>
            </w:r>
            <w:r>
              <w:rPr>
                <w:rFonts w:asciiTheme="majorHAnsi" w:hAnsiTheme="majorHAnsi" w:cstheme="majorHAnsi"/>
                <w:sz w:val="16"/>
                <w:szCs w:val="16"/>
              </w:rPr>
              <w:t>.</w:t>
            </w:r>
          </w:p>
        </w:tc>
      </w:tr>
      <w:tr w:rsidR="00812A72" w:rsidRPr="00D24F07" w14:paraId="029B9728" w14:textId="77777777" w:rsidTr="0002297E">
        <w:trPr>
          <w:jc w:val="center"/>
        </w:trPr>
        <w:tc>
          <w:tcPr>
            <w:tcW w:w="2835" w:type="dxa"/>
            <w:shd w:val="clear" w:color="auto" w:fill="D9E2F3" w:themeFill="accent1" w:themeFillTint="33"/>
          </w:tcPr>
          <w:p w14:paraId="18A4EA9C" w14:textId="77777777" w:rsidR="00812A72" w:rsidRPr="00495E90" w:rsidRDefault="00812A72" w:rsidP="0002297E">
            <w:pPr>
              <w:widowControl/>
              <w:spacing w:before="40" w:after="40" w:line="240" w:lineRule="auto"/>
              <w:rPr>
                <w:rFonts w:asciiTheme="majorHAnsi" w:hAnsiTheme="majorHAnsi" w:cstheme="majorHAnsi"/>
                <w:sz w:val="16"/>
                <w:szCs w:val="16"/>
                <w:lang w:val="lv-LV"/>
              </w:rPr>
            </w:pPr>
            <w:r w:rsidRPr="00495E90">
              <w:rPr>
                <w:rFonts w:asciiTheme="majorHAnsi" w:hAnsiTheme="majorHAnsi" w:cstheme="majorHAnsi"/>
                <w:sz w:val="16"/>
                <w:szCs w:val="16"/>
              </w:rPr>
              <w:t>3.2.3.4. Daudzdzīvokļu ēku energoefektivitātes uzlabošana</w:t>
            </w:r>
          </w:p>
        </w:tc>
        <w:tc>
          <w:tcPr>
            <w:tcW w:w="1701" w:type="dxa"/>
            <w:shd w:val="clear" w:color="auto" w:fill="D9E2F3" w:themeFill="accent1" w:themeFillTint="33"/>
          </w:tcPr>
          <w:p w14:paraId="09C926B6" w14:textId="77777777" w:rsidR="00812A72" w:rsidRPr="004C4A33" w:rsidRDefault="00812A72" w:rsidP="0002297E">
            <w:pPr>
              <w:widowControl/>
              <w:spacing w:before="40" w:after="40" w:line="240" w:lineRule="auto"/>
              <w:rPr>
                <w:rFonts w:asciiTheme="majorHAnsi" w:hAnsiTheme="majorHAnsi" w:cstheme="majorHAnsi"/>
                <w:color w:val="000000" w:themeColor="text1"/>
                <w:sz w:val="16"/>
                <w:szCs w:val="16"/>
                <w:lang w:val="lv-LV"/>
              </w:rPr>
            </w:pPr>
            <w:r w:rsidRPr="004C4A33">
              <w:rPr>
                <w:rFonts w:asciiTheme="majorHAnsi" w:hAnsiTheme="majorHAnsi" w:cstheme="majorHAnsi"/>
                <w:color w:val="000000" w:themeColor="text1"/>
                <w:sz w:val="16"/>
                <w:szCs w:val="16"/>
              </w:rPr>
              <w:t>Būvniecības nozare</w:t>
            </w:r>
          </w:p>
        </w:tc>
        <w:tc>
          <w:tcPr>
            <w:tcW w:w="1871" w:type="dxa"/>
            <w:shd w:val="clear" w:color="auto" w:fill="D9E2F3" w:themeFill="accent1" w:themeFillTint="33"/>
          </w:tcPr>
          <w:p w14:paraId="04DEC4E6" w14:textId="77777777" w:rsidR="00812A72" w:rsidRPr="00495E90"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sv-SE"/>
              </w:rPr>
              <w:t>1500 milj. eiro 2025. – 2030. gadā: 250 milj. eiro katru gadu.</w:t>
            </w:r>
          </w:p>
        </w:tc>
        <w:tc>
          <w:tcPr>
            <w:tcW w:w="3231" w:type="dxa"/>
            <w:shd w:val="clear" w:color="auto" w:fill="D9E2F3" w:themeFill="accent1" w:themeFillTint="33"/>
          </w:tcPr>
          <w:p w14:paraId="7134688B" w14:textId="77777777" w:rsidR="00812A72" w:rsidRPr="00495E90" w:rsidRDefault="00812A72" w:rsidP="0002297E">
            <w:pPr>
              <w:widowControl/>
              <w:spacing w:before="40" w:after="40" w:line="240" w:lineRule="auto"/>
              <w:rPr>
                <w:rFonts w:asciiTheme="majorHAnsi" w:eastAsia="Times New Roman" w:hAnsiTheme="majorHAnsi" w:cstheme="majorHAnsi"/>
                <w:color w:val="000000"/>
                <w:sz w:val="16"/>
                <w:szCs w:val="16"/>
                <w:lang w:val="lv-LV" w:eastAsia="lv-LV"/>
              </w:rPr>
            </w:pPr>
            <w:r w:rsidRPr="00097491">
              <w:rPr>
                <w:rFonts w:asciiTheme="majorHAnsi" w:hAnsiTheme="majorHAnsi" w:cstheme="majorHAnsi"/>
                <w:b/>
                <w:bCs/>
                <w:sz w:val="16"/>
                <w:szCs w:val="16"/>
                <w:lang w:val="lv-LV"/>
              </w:rPr>
              <w:t>50 %</w:t>
            </w:r>
            <w:r w:rsidRPr="00097491">
              <w:rPr>
                <w:rFonts w:asciiTheme="majorHAnsi" w:hAnsiTheme="majorHAnsi" w:cstheme="majorHAnsi"/>
                <w:sz w:val="16"/>
                <w:szCs w:val="16"/>
                <w:lang w:val="lv-LV"/>
              </w:rPr>
              <w:t xml:space="preserve"> – jaunais ES fondu finansējums; </w:t>
            </w:r>
            <w:r w:rsidRPr="00097491">
              <w:rPr>
                <w:rFonts w:asciiTheme="majorHAnsi" w:hAnsiTheme="majorHAnsi" w:cstheme="majorHAnsi"/>
                <w:sz w:val="16"/>
                <w:szCs w:val="16"/>
                <w:lang w:val="lv-LV"/>
              </w:rPr>
              <w:br/>
            </w:r>
            <w:r w:rsidRPr="00097491">
              <w:rPr>
                <w:rFonts w:asciiTheme="majorHAnsi" w:hAnsiTheme="majorHAnsi" w:cstheme="majorHAnsi"/>
                <w:b/>
                <w:bCs/>
                <w:sz w:val="16"/>
                <w:szCs w:val="16"/>
                <w:lang w:val="lv-LV"/>
              </w:rPr>
              <w:t>50 %</w:t>
            </w:r>
            <w:r w:rsidRPr="00097491">
              <w:rPr>
                <w:rFonts w:asciiTheme="majorHAnsi" w:hAnsiTheme="majorHAnsi" w:cstheme="majorHAnsi"/>
                <w:sz w:val="16"/>
                <w:szCs w:val="16"/>
                <w:lang w:val="lv-LV"/>
              </w:rPr>
              <w:t xml:space="preserve"> – mājsaimniecību finansējums (kas samazina citus izdevumus).</w:t>
            </w:r>
          </w:p>
        </w:tc>
      </w:tr>
      <w:tr w:rsidR="00812A72" w:rsidRPr="00D24F07" w14:paraId="5AABF785" w14:textId="77777777" w:rsidTr="0002297E">
        <w:trPr>
          <w:jc w:val="center"/>
        </w:trPr>
        <w:tc>
          <w:tcPr>
            <w:tcW w:w="2835" w:type="dxa"/>
            <w:shd w:val="clear" w:color="auto" w:fill="B4C6E7" w:themeFill="accent1" w:themeFillTint="66"/>
          </w:tcPr>
          <w:p w14:paraId="26029A59" w14:textId="77777777" w:rsidR="00812A72" w:rsidRPr="00495E90"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lv-LV"/>
              </w:rPr>
              <w:t>3.2.3.5. Daudzdzīvokļu ēku energoefektivitātes darbību ietvaros atbalsta enerģētikas nabadzības riskam pakļautajiem iedzīvotājiem sniegšana</w:t>
            </w:r>
          </w:p>
        </w:tc>
        <w:tc>
          <w:tcPr>
            <w:tcW w:w="1701" w:type="dxa"/>
            <w:shd w:val="clear" w:color="auto" w:fill="B4C6E7" w:themeFill="accent1" w:themeFillTint="66"/>
          </w:tcPr>
          <w:p w14:paraId="4CE80061" w14:textId="77777777" w:rsidR="00812A72" w:rsidRPr="004C4A33" w:rsidRDefault="00812A72" w:rsidP="0002297E">
            <w:pPr>
              <w:widowControl/>
              <w:spacing w:before="40" w:after="40" w:line="240" w:lineRule="auto"/>
              <w:rPr>
                <w:rFonts w:asciiTheme="majorHAnsi" w:hAnsiTheme="majorHAnsi" w:cstheme="majorHAnsi"/>
                <w:color w:val="000000" w:themeColor="text1"/>
                <w:sz w:val="16"/>
                <w:szCs w:val="16"/>
                <w:lang w:val="lv-LV"/>
              </w:rPr>
            </w:pPr>
            <w:r w:rsidRPr="004C4A33">
              <w:rPr>
                <w:rFonts w:asciiTheme="majorHAnsi" w:hAnsiTheme="majorHAnsi" w:cstheme="majorHAnsi"/>
                <w:color w:val="000000" w:themeColor="text1"/>
                <w:sz w:val="16"/>
                <w:szCs w:val="16"/>
              </w:rPr>
              <w:t>Būvniecības nozare</w:t>
            </w:r>
          </w:p>
        </w:tc>
        <w:tc>
          <w:tcPr>
            <w:tcW w:w="1871" w:type="dxa"/>
            <w:shd w:val="clear" w:color="auto" w:fill="B4C6E7" w:themeFill="accent1" w:themeFillTint="66"/>
          </w:tcPr>
          <w:p w14:paraId="7B6374FB" w14:textId="77777777" w:rsidR="00812A72" w:rsidRPr="00495E90"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sv-SE"/>
              </w:rPr>
              <w:t>10 milj. eiro 2025. – 2030. gadā: 1,66 milj. eiro katru gadu.</w:t>
            </w:r>
          </w:p>
        </w:tc>
        <w:tc>
          <w:tcPr>
            <w:tcW w:w="3231" w:type="dxa"/>
            <w:shd w:val="clear" w:color="auto" w:fill="B4C6E7" w:themeFill="accent1" w:themeFillTint="66"/>
          </w:tcPr>
          <w:p w14:paraId="318BC908" w14:textId="77777777" w:rsidR="00812A72" w:rsidRPr="00495E90" w:rsidRDefault="00812A72" w:rsidP="0002297E">
            <w:pPr>
              <w:widowControl/>
              <w:spacing w:after="0" w:line="240" w:lineRule="auto"/>
              <w:rPr>
                <w:rFonts w:asciiTheme="majorHAnsi" w:eastAsia="Times New Roman" w:hAnsiTheme="majorHAnsi" w:cstheme="majorHAnsi"/>
                <w:color w:val="000000"/>
                <w:sz w:val="16"/>
                <w:szCs w:val="16"/>
                <w:lang w:val="lv-LV" w:eastAsia="lv-LV"/>
              </w:rPr>
            </w:pPr>
            <w:r w:rsidRPr="00097491">
              <w:rPr>
                <w:rFonts w:asciiTheme="majorHAnsi" w:hAnsiTheme="majorHAnsi" w:cstheme="majorHAnsi"/>
                <w:b/>
                <w:bCs/>
                <w:sz w:val="16"/>
                <w:szCs w:val="16"/>
                <w:lang w:val="lv-LV"/>
              </w:rPr>
              <w:t>50 %</w:t>
            </w:r>
            <w:r w:rsidRPr="00097491">
              <w:rPr>
                <w:rFonts w:asciiTheme="majorHAnsi" w:hAnsiTheme="majorHAnsi" w:cstheme="majorHAnsi"/>
                <w:sz w:val="16"/>
                <w:szCs w:val="16"/>
                <w:lang w:val="lv-LV"/>
              </w:rPr>
              <w:t xml:space="preserve"> – jaunais ES fondu finansējums; </w:t>
            </w:r>
            <w:r w:rsidRPr="00097491">
              <w:rPr>
                <w:rFonts w:asciiTheme="majorHAnsi" w:hAnsiTheme="majorHAnsi" w:cstheme="majorHAnsi"/>
                <w:sz w:val="16"/>
                <w:szCs w:val="16"/>
                <w:lang w:val="lv-LV"/>
              </w:rPr>
              <w:br/>
            </w:r>
            <w:r w:rsidRPr="00097491">
              <w:rPr>
                <w:rFonts w:asciiTheme="majorHAnsi" w:hAnsiTheme="majorHAnsi" w:cstheme="majorHAnsi"/>
                <w:b/>
                <w:bCs/>
                <w:sz w:val="16"/>
                <w:szCs w:val="16"/>
                <w:lang w:val="lv-LV"/>
              </w:rPr>
              <w:t>50 %</w:t>
            </w:r>
            <w:r w:rsidRPr="00097491">
              <w:rPr>
                <w:rFonts w:asciiTheme="majorHAnsi" w:hAnsiTheme="majorHAnsi" w:cstheme="majorHAnsi"/>
                <w:sz w:val="16"/>
                <w:szCs w:val="16"/>
                <w:lang w:val="lv-LV"/>
              </w:rPr>
              <w:t xml:space="preserve"> – mājsaimniecību finansējums (kas samazina citus izdevumus).</w:t>
            </w:r>
          </w:p>
        </w:tc>
      </w:tr>
    </w:tbl>
    <w:p w14:paraId="12438B53" w14:textId="77777777" w:rsidR="00812A72" w:rsidRPr="00097491" w:rsidRDefault="00812A72" w:rsidP="00812A72">
      <w:pPr>
        <w:rPr>
          <w:lang w:val="lv-LV"/>
        </w:rPr>
      </w:pPr>
      <w:r w:rsidRPr="00097491">
        <w:rPr>
          <w:lang w:val="lv-LV"/>
        </w:rPr>
        <w:br w:type="page"/>
      </w:r>
    </w:p>
    <w:tbl>
      <w:tblPr>
        <w:tblStyle w:val="TableGrid"/>
        <w:tblW w:w="963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1701"/>
        <w:gridCol w:w="1871"/>
        <w:gridCol w:w="3231"/>
      </w:tblGrid>
      <w:tr w:rsidR="00812A72" w:rsidRPr="00CB4E89" w14:paraId="7AE83DD6" w14:textId="77777777" w:rsidTr="0002297E">
        <w:trPr>
          <w:cantSplit/>
          <w:trHeight w:val="20"/>
          <w:jc w:val="center"/>
        </w:trPr>
        <w:tc>
          <w:tcPr>
            <w:tcW w:w="2835" w:type="dxa"/>
            <w:shd w:val="clear" w:color="auto" w:fill="4472C4" w:themeFill="accent1"/>
          </w:tcPr>
          <w:p w14:paraId="4444B91B" w14:textId="77777777" w:rsidR="00812A72" w:rsidRPr="00CB4E89" w:rsidRDefault="00812A72" w:rsidP="0002297E">
            <w:pPr>
              <w:widowControl/>
              <w:spacing w:before="40" w:after="40" w:line="240" w:lineRule="auto"/>
              <w:jc w:val="center"/>
              <w:rPr>
                <w:rFonts w:asciiTheme="majorHAnsi" w:hAnsiTheme="majorHAnsi" w:cstheme="majorHAnsi"/>
                <w:b/>
                <w:bCs/>
                <w:color w:val="FFFFFF" w:themeColor="background1"/>
                <w:sz w:val="16"/>
                <w:szCs w:val="16"/>
                <w:lang w:val="lv-LV"/>
              </w:rPr>
            </w:pPr>
            <w:r w:rsidRPr="00CB4E89">
              <w:rPr>
                <w:rFonts w:asciiTheme="majorHAnsi" w:hAnsiTheme="majorHAnsi" w:cstheme="majorHAnsi"/>
                <w:b/>
                <w:bCs/>
                <w:color w:val="FFFFFF" w:themeColor="background1"/>
                <w:sz w:val="16"/>
                <w:szCs w:val="16"/>
                <w:lang w:val="lv-LV"/>
              </w:rPr>
              <w:lastRenderedPageBreak/>
              <w:t>Pasākums</w:t>
            </w:r>
          </w:p>
        </w:tc>
        <w:tc>
          <w:tcPr>
            <w:tcW w:w="1701" w:type="dxa"/>
            <w:shd w:val="clear" w:color="auto" w:fill="4472C4" w:themeFill="accent1"/>
          </w:tcPr>
          <w:p w14:paraId="1B7E255D" w14:textId="77777777" w:rsidR="00812A72" w:rsidRPr="00CB4E89" w:rsidRDefault="00812A72" w:rsidP="0002297E">
            <w:pPr>
              <w:widowControl/>
              <w:spacing w:before="40" w:after="40" w:line="240" w:lineRule="auto"/>
              <w:jc w:val="center"/>
              <w:rPr>
                <w:rFonts w:asciiTheme="majorHAnsi" w:hAnsiTheme="majorHAnsi" w:cstheme="majorHAnsi"/>
                <w:b/>
                <w:bCs/>
                <w:color w:val="FFFFFF" w:themeColor="background1"/>
                <w:sz w:val="16"/>
                <w:szCs w:val="16"/>
                <w:lang w:val="lv-LV"/>
              </w:rPr>
            </w:pPr>
            <w:r w:rsidRPr="00CB4E89">
              <w:rPr>
                <w:rFonts w:asciiTheme="majorHAnsi" w:hAnsiTheme="majorHAnsi" w:cstheme="majorHAnsi"/>
                <w:b/>
                <w:bCs/>
                <w:color w:val="FFFFFF" w:themeColor="background1"/>
                <w:sz w:val="16"/>
                <w:szCs w:val="16"/>
                <w:lang w:val="lv-LV"/>
              </w:rPr>
              <w:t>Nozare</w:t>
            </w:r>
          </w:p>
        </w:tc>
        <w:tc>
          <w:tcPr>
            <w:tcW w:w="1871" w:type="dxa"/>
            <w:shd w:val="clear" w:color="auto" w:fill="4472C4" w:themeFill="accent1"/>
          </w:tcPr>
          <w:p w14:paraId="516C317B" w14:textId="77777777" w:rsidR="00812A72" w:rsidRPr="00CB4E89" w:rsidRDefault="00812A72" w:rsidP="0002297E">
            <w:pPr>
              <w:widowControl/>
              <w:spacing w:before="40" w:after="40" w:line="240" w:lineRule="auto"/>
              <w:jc w:val="center"/>
              <w:rPr>
                <w:rFonts w:asciiTheme="majorHAnsi" w:hAnsiTheme="majorHAnsi" w:cstheme="majorHAnsi"/>
                <w:b/>
                <w:bCs/>
                <w:color w:val="FFFFFF" w:themeColor="background1"/>
                <w:sz w:val="16"/>
                <w:szCs w:val="16"/>
                <w:lang w:val="lv-LV"/>
              </w:rPr>
            </w:pPr>
            <w:r w:rsidRPr="00CB4E89">
              <w:rPr>
                <w:rFonts w:asciiTheme="majorHAnsi" w:hAnsiTheme="majorHAnsi" w:cstheme="majorHAnsi"/>
                <w:b/>
                <w:bCs/>
                <w:color w:val="FFFFFF" w:themeColor="background1"/>
                <w:sz w:val="16"/>
                <w:szCs w:val="16"/>
                <w:lang w:val="lv-LV"/>
              </w:rPr>
              <w:t>Finansējums</w:t>
            </w:r>
          </w:p>
        </w:tc>
        <w:tc>
          <w:tcPr>
            <w:tcW w:w="3231" w:type="dxa"/>
            <w:shd w:val="clear" w:color="auto" w:fill="4472C4" w:themeFill="accent1"/>
          </w:tcPr>
          <w:p w14:paraId="3EB32D93" w14:textId="77777777" w:rsidR="00812A72" w:rsidRPr="00CB4E89" w:rsidRDefault="00812A72" w:rsidP="0002297E">
            <w:pPr>
              <w:widowControl/>
              <w:spacing w:before="40" w:after="40" w:line="240" w:lineRule="auto"/>
              <w:jc w:val="center"/>
              <w:rPr>
                <w:rFonts w:asciiTheme="majorHAnsi" w:hAnsiTheme="majorHAnsi" w:cstheme="majorHAnsi"/>
                <w:b/>
                <w:bCs/>
                <w:color w:val="FFFFFF" w:themeColor="background1"/>
                <w:sz w:val="16"/>
                <w:szCs w:val="16"/>
                <w:lang w:val="lv-LV"/>
              </w:rPr>
            </w:pPr>
            <w:r w:rsidRPr="00CB4E89">
              <w:rPr>
                <w:rFonts w:asciiTheme="majorHAnsi" w:hAnsiTheme="majorHAnsi" w:cstheme="majorHAnsi"/>
                <w:b/>
                <w:bCs/>
                <w:color w:val="FFFFFF" w:themeColor="background1"/>
                <w:sz w:val="16"/>
                <w:szCs w:val="16"/>
                <w:lang w:val="lv-LV"/>
              </w:rPr>
              <w:t>Finansējuma avots</w:t>
            </w:r>
          </w:p>
        </w:tc>
      </w:tr>
      <w:tr w:rsidR="00812A72" w:rsidRPr="00D24F07" w14:paraId="1F089452" w14:textId="77777777" w:rsidTr="0002297E">
        <w:trPr>
          <w:jc w:val="center"/>
        </w:trPr>
        <w:tc>
          <w:tcPr>
            <w:tcW w:w="2835" w:type="dxa"/>
            <w:shd w:val="clear" w:color="auto" w:fill="D9E2F3" w:themeFill="accent1" w:themeFillTint="33"/>
          </w:tcPr>
          <w:p w14:paraId="3A9927FD" w14:textId="77777777" w:rsidR="00812A72" w:rsidRPr="00495E90"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sv-SE"/>
              </w:rPr>
              <w:t>3.2.3.6. Energoefektivitātes uzlabošanas kvartālu renovācijas darbības ietvaros</w:t>
            </w:r>
          </w:p>
        </w:tc>
        <w:tc>
          <w:tcPr>
            <w:tcW w:w="1701" w:type="dxa"/>
            <w:shd w:val="clear" w:color="auto" w:fill="D9E2F3" w:themeFill="accent1" w:themeFillTint="33"/>
          </w:tcPr>
          <w:p w14:paraId="209FE875" w14:textId="77777777" w:rsidR="00812A72" w:rsidRPr="004C4A33" w:rsidRDefault="00812A72" w:rsidP="0002297E">
            <w:pPr>
              <w:widowControl/>
              <w:spacing w:before="40" w:after="40" w:line="240" w:lineRule="auto"/>
              <w:rPr>
                <w:rFonts w:asciiTheme="majorHAnsi" w:hAnsiTheme="majorHAnsi" w:cstheme="majorHAnsi"/>
                <w:color w:val="000000" w:themeColor="text1"/>
                <w:sz w:val="16"/>
                <w:szCs w:val="16"/>
                <w:lang w:val="lv-LV"/>
              </w:rPr>
            </w:pPr>
            <w:r w:rsidRPr="004C4A33">
              <w:rPr>
                <w:rFonts w:asciiTheme="majorHAnsi" w:hAnsiTheme="majorHAnsi" w:cstheme="majorHAnsi"/>
                <w:color w:val="000000" w:themeColor="text1"/>
                <w:sz w:val="16"/>
                <w:szCs w:val="16"/>
              </w:rPr>
              <w:t>Būvniecības nozare</w:t>
            </w:r>
          </w:p>
        </w:tc>
        <w:tc>
          <w:tcPr>
            <w:tcW w:w="1871" w:type="dxa"/>
            <w:shd w:val="clear" w:color="auto" w:fill="D9E2F3" w:themeFill="accent1" w:themeFillTint="33"/>
          </w:tcPr>
          <w:p w14:paraId="31A59849" w14:textId="77777777" w:rsidR="00812A72" w:rsidRPr="00495E90"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sv-SE"/>
              </w:rPr>
              <w:t>875 milj. eiro 2025. – 2030. gadā: 145,83 milj. eiro katru gadu.</w:t>
            </w:r>
          </w:p>
        </w:tc>
        <w:tc>
          <w:tcPr>
            <w:tcW w:w="3231" w:type="dxa"/>
            <w:shd w:val="clear" w:color="auto" w:fill="D9E2F3" w:themeFill="accent1" w:themeFillTint="33"/>
          </w:tcPr>
          <w:p w14:paraId="38D002CF" w14:textId="77777777" w:rsidR="00812A72" w:rsidRPr="00495E90" w:rsidRDefault="00812A72" w:rsidP="0002297E">
            <w:pPr>
              <w:widowControl/>
              <w:spacing w:after="0" w:line="240" w:lineRule="auto"/>
              <w:rPr>
                <w:rFonts w:asciiTheme="majorHAnsi" w:eastAsia="Times New Roman" w:hAnsiTheme="majorHAnsi" w:cstheme="majorHAnsi"/>
                <w:color w:val="000000"/>
                <w:sz w:val="16"/>
                <w:szCs w:val="16"/>
                <w:lang w:val="lv-LV" w:eastAsia="lv-LV"/>
              </w:rPr>
            </w:pPr>
            <w:r w:rsidRPr="00097491">
              <w:rPr>
                <w:rFonts w:asciiTheme="majorHAnsi" w:hAnsiTheme="majorHAnsi" w:cstheme="majorHAnsi"/>
                <w:b/>
                <w:bCs/>
                <w:sz w:val="16"/>
                <w:szCs w:val="16"/>
                <w:lang w:val="lv-LV"/>
              </w:rPr>
              <w:t>50 %</w:t>
            </w:r>
            <w:r w:rsidRPr="00097491">
              <w:rPr>
                <w:rFonts w:asciiTheme="majorHAnsi" w:hAnsiTheme="majorHAnsi" w:cstheme="majorHAnsi"/>
                <w:sz w:val="16"/>
                <w:szCs w:val="16"/>
                <w:lang w:val="lv-LV"/>
              </w:rPr>
              <w:t xml:space="preserve"> – jaunais ES fondu finansējums; </w:t>
            </w:r>
            <w:r w:rsidRPr="00097491">
              <w:rPr>
                <w:rFonts w:asciiTheme="majorHAnsi" w:hAnsiTheme="majorHAnsi" w:cstheme="majorHAnsi"/>
                <w:sz w:val="16"/>
                <w:szCs w:val="16"/>
                <w:lang w:val="lv-LV"/>
              </w:rPr>
              <w:br/>
            </w:r>
            <w:r w:rsidRPr="00097491">
              <w:rPr>
                <w:rFonts w:asciiTheme="majorHAnsi" w:hAnsiTheme="majorHAnsi" w:cstheme="majorHAnsi"/>
                <w:b/>
                <w:bCs/>
                <w:sz w:val="16"/>
                <w:szCs w:val="16"/>
                <w:lang w:val="lv-LV"/>
              </w:rPr>
              <w:t>50 %</w:t>
            </w:r>
            <w:r w:rsidRPr="00097491">
              <w:rPr>
                <w:rFonts w:asciiTheme="majorHAnsi" w:hAnsiTheme="majorHAnsi" w:cstheme="majorHAnsi"/>
                <w:sz w:val="16"/>
                <w:szCs w:val="16"/>
                <w:lang w:val="lv-LV"/>
              </w:rPr>
              <w:t xml:space="preserve"> – mājsaimniecību finansējums (kas samazina citus izdevumus)</w:t>
            </w:r>
          </w:p>
        </w:tc>
      </w:tr>
      <w:tr w:rsidR="00812A72" w:rsidRPr="00D24F07" w14:paraId="26568429" w14:textId="77777777" w:rsidTr="0002297E">
        <w:trPr>
          <w:jc w:val="center"/>
        </w:trPr>
        <w:tc>
          <w:tcPr>
            <w:tcW w:w="2835" w:type="dxa"/>
            <w:shd w:val="clear" w:color="auto" w:fill="B4C6E7" w:themeFill="accent1" w:themeFillTint="66"/>
          </w:tcPr>
          <w:p w14:paraId="272ECE74" w14:textId="77777777" w:rsidR="00812A72" w:rsidRPr="00495E90"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sv-SE"/>
              </w:rPr>
              <w:t>3.2.3.7. Daudzdzīvokļu ēku energoefektivitātes vienkāršotu atbalsta programma</w:t>
            </w:r>
          </w:p>
        </w:tc>
        <w:tc>
          <w:tcPr>
            <w:tcW w:w="1701" w:type="dxa"/>
            <w:shd w:val="clear" w:color="auto" w:fill="B4C6E7" w:themeFill="accent1" w:themeFillTint="66"/>
          </w:tcPr>
          <w:p w14:paraId="49B3089D" w14:textId="77777777" w:rsidR="00812A72" w:rsidRPr="004C4A33" w:rsidRDefault="00812A72" w:rsidP="0002297E">
            <w:pPr>
              <w:widowControl/>
              <w:spacing w:before="40" w:after="40" w:line="240" w:lineRule="auto"/>
              <w:rPr>
                <w:rFonts w:asciiTheme="majorHAnsi" w:hAnsiTheme="majorHAnsi" w:cstheme="majorHAnsi"/>
                <w:color w:val="000000" w:themeColor="text1"/>
                <w:sz w:val="16"/>
                <w:szCs w:val="16"/>
                <w:lang w:val="lv-LV"/>
              </w:rPr>
            </w:pPr>
            <w:r w:rsidRPr="004C4A33">
              <w:rPr>
                <w:rFonts w:asciiTheme="majorHAnsi" w:hAnsiTheme="majorHAnsi" w:cstheme="majorHAnsi"/>
                <w:color w:val="000000" w:themeColor="text1"/>
                <w:sz w:val="16"/>
                <w:szCs w:val="16"/>
              </w:rPr>
              <w:t>Būvniecības nozare</w:t>
            </w:r>
          </w:p>
        </w:tc>
        <w:tc>
          <w:tcPr>
            <w:tcW w:w="1871" w:type="dxa"/>
            <w:shd w:val="clear" w:color="auto" w:fill="B4C6E7" w:themeFill="accent1" w:themeFillTint="66"/>
          </w:tcPr>
          <w:p w14:paraId="745E4C05" w14:textId="77777777" w:rsidR="00812A72" w:rsidRPr="00495E90"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sv-SE"/>
              </w:rPr>
              <w:t>250 milj. eiro 2025. – 2030. gadā: 15,62 milj. eiro katru gadu.</w:t>
            </w:r>
          </w:p>
        </w:tc>
        <w:tc>
          <w:tcPr>
            <w:tcW w:w="3231" w:type="dxa"/>
            <w:shd w:val="clear" w:color="auto" w:fill="B4C6E7" w:themeFill="accent1" w:themeFillTint="66"/>
          </w:tcPr>
          <w:p w14:paraId="6097459D" w14:textId="77777777" w:rsidR="00812A72" w:rsidRPr="00495E90" w:rsidRDefault="00812A72" w:rsidP="0002297E">
            <w:pPr>
              <w:widowControl/>
              <w:spacing w:before="40" w:after="40" w:line="240" w:lineRule="auto"/>
              <w:rPr>
                <w:rFonts w:asciiTheme="majorHAnsi" w:eastAsia="Times New Roman" w:hAnsiTheme="majorHAnsi" w:cstheme="majorHAnsi"/>
                <w:color w:val="000000"/>
                <w:sz w:val="16"/>
                <w:szCs w:val="16"/>
                <w:lang w:val="lv-LV" w:eastAsia="lv-LV"/>
              </w:rPr>
            </w:pPr>
            <w:r w:rsidRPr="00097491">
              <w:rPr>
                <w:rFonts w:asciiTheme="majorHAnsi" w:hAnsiTheme="majorHAnsi" w:cstheme="majorHAnsi"/>
                <w:b/>
                <w:bCs/>
                <w:sz w:val="16"/>
                <w:szCs w:val="16"/>
                <w:lang w:val="lv-LV"/>
              </w:rPr>
              <w:t>50 %</w:t>
            </w:r>
            <w:r w:rsidRPr="00097491">
              <w:rPr>
                <w:rFonts w:asciiTheme="majorHAnsi" w:hAnsiTheme="majorHAnsi" w:cstheme="majorHAnsi"/>
                <w:sz w:val="16"/>
                <w:szCs w:val="16"/>
                <w:lang w:val="lv-LV"/>
              </w:rPr>
              <w:t xml:space="preserve"> – jaunais ES fondu finansējums; </w:t>
            </w:r>
            <w:r w:rsidRPr="00097491">
              <w:rPr>
                <w:rFonts w:asciiTheme="majorHAnsi" w:hAnsiTheme="majorHAnsi" w:cstheme="majorHAnsi"/>
                <w:sz w:val="16"/>
                <w:szCs w:val="16"/>
                <w:lang w:val="lv-LV"/>
              </w:rPr>
              <w:br/>
            </w:r>
            <w:r w:rsidRPr="00097491">
              <w:rPr>
                <w:rFonts w:asciiTheme="majorHAnsi" w:hAnsiTheme="majorHAnsi" w:cstheme="majorHAnsi"/>
                <w:b/>
                <w:bCs/>
                <w:sz w:val="16"/>
                <w:szCs w:val="16"/>
                <w:lang w:val="lv-LV"/>
              </w:rPr>
              <w:t>50 %</w:t>
            </w:r>
            <w:r w:rsidRPr="00097491">
              <w:rPr>
                <w:rFonts w:asciiTheme="majorHAnsi" w:hAnsiTheme="majorHAnsi" w:cstheme="majorHAnsi"/>
                <w:sz w:val="16"/>
                <w:szCs w:val="16"/>
                <w:lang w:val="lv-LV"/>
              </w:rPr>
              <w:t xml:space="preserve"> – mājsaimniecību finansējums (kas samazina citus izdevumus)</w:t>
            </w:r>
          </w:p>
        </w:tc>
      </w:tr>
      <w:tr w:rsidR="00812A72" w:rsidRPr="00D24F07" w14:paraId="1EBBA68E" w14:textId="77777777" w:rsidTr="0002297E">
        <w:trPr>
          <w:jc w:val="center"/>
        </w:trPr>
        <w:tc>
          <w:tcPr>
            <w:tcW w:w="2835" w:type="dxa"/>
            <w:shd w:val="clear" w:color="auto" w:fill="D9E2F3" w:themeFill="accent1" w:themeFillTint="33"/>
          </w:tcPr>
          <w:p w14:paraId="6018D07D" w14:textId="77777777" w:rsidR="00812A72" w:rsidRPr="00495E90" w:rsidRDefault="00812A72" w:rsidP="0002297E">
            <w:pPr>
              <w:widowControl/>
              <w:spacing w:before="40" w:after="40" w:line="240" w:lineRule="auto"/>
              <w:rPr>
                <w:rFonts w:asciiTheme="majorHAnsi" w:hAnsiTheme="majorHAnsi" w:cstheme="majorHAnsi"/>
                <w:b/>
                <w:bCs/>
                <w:sz w:val="16"/>
                <w:szCs w:val="16"/>
                <w:lang w:val="lv-LV"/>
              </w:rPr>
            </w:pPr>
            <w:r w:rsidRPr="00495E90">
              <w:rPr>
                <w:rFonts w:asciiTheme="majorHAnsi" w:hAnsiTheme="majorHAnsi" w:cstheme="majorHAnsi"/>
                <w:sz w:val="16"/>
                <w:szCs w:val="16"/>
              </w:rPr>
              <w:t>3.2.3.8. Privātmāju energoefektivitātes uzlabošana</w:t>
            </w:r>
          </w:p>
        </w:tc>
        <w:tc>
          <w:tcPr>
            <w:tcW w:w="1701" w:type="dxa"/>
            <w:shd w:val="clear" w:color="auto" w:fill="D9E2F3" w:themeFill="accent1" w:themeFillTint="33"/>
          </w:tcPr>
          <w:p w14:paraId="33034312" w14:textId="77777777" w:rsidR="00812A72" w:rsidRPr="004C4A33" w:rsidRDefault="00812A72" w:rsidP="0002297E">
            <w:pPr>
              <w:widowControl/>
              <w:spacing w:before="40" w:after="40" w:line="240" w:lineRule="auto"/>
              <w:rPr>
                <w:rFonts w:asciiTheme="majorHAnsi" w:hAnsiTheme="majorHAnsi" w:cstheme="majorHAnsi"/>
                <w:b/>
                <w:bCs/>
                <w:color w:val="000000" w:themeColor="text1"/>
                <w:sz w:val="16"/>
                <w:szCs w:val="16"/>
                <w:lang w:val="lv-LV"/>
              </w:rPr>
            </w:pPr>
            <w:r w:rsidRPr="004C4A33">
              <w:rPr>
                <w:rFonts w:asciiTheme="majorHAnsi" w:hAnsiTheme="majorHAnsi" w:cstheme="majorHAnsi"/>
                <w:color w:val="000000" w:themeColor="text1"/>
                <w:sz w:val="16"/>
                <w:szCs w:val="16"/>
              </w:rPr>
              <w:t>Būvniecības nozare</w:t>
            </w:r>
          </w:p>
        </w:tc>
        <w:tc>
          <w:tcPr>
            <w:tcW w:w="1871" w:type="dxa"/>
            <w:shd w:val="clear" w:color="auto" w:fill="D9E2F3" w:themeFill="accent1" w:themeFillTint="33"/>
          </w:tcPr>
          <w:p w14:paraId="1F30E674" w14:textId="77777777" w:rsidR="00812A72" w:rsidRPr="00495E90" w:rsidRDefault="00812A72" w:rsidP="0002297E">
            <w:pPr>
              <w:widowControl/>
              <w:spacing w:before="40" w:after="40" w:line="240" w:lineRule="auto"/>
              <w:rPr>
                <w:rFonts w:asciiTheme="majorHAnsi" w:hAnsiTheme="majorHAnsi" w:cstheme="majorHAnsi"/>
                <w:b/>
                <w:bCs/>
                <w:sz w:val="16"/>
                <w:szCs w:val="16"/>
                <w:lang w:val="lv-LV"/>
              </w:rPr>
            </w:pPr>
            <w:r w:rsidRPr="00097491">
              <w:rPr>
                <w:rFonts w:asciiTheme="majorHAnsi" w:hAnsiTheme="majorHAnsi" w:cstheme="majorHAnsi"/>
                <w:sz w:val="16"/>
                <w:szCs w:val="16"/>
                <w:lang w:val="sv-SE"/>
              </w:rPr>
              <w:t>100 milj. eiro 2025. – 2030. gadā: 16,66 milj. eiro katru gadu.</w:t>
            </w:r>
          </w:p>
        </w:tc>
        <w:tc>
          <w:tcPr>
            <w:tcW w:w="3231" w:type="dxa"/>
            <w:shd w:val="clear" w:color="auto" w:fill="D9E2F3" w:themeFill="accent1" w:themeFillTint="33"/>
          </w:tcPr>
          <w:p w14:paraId="3205AC9C" w14:textId="77777777" w:rsidR="00812A72" w:rsidRPr="00495E90" w:rsidRDefault="00812A72" w:rsidP="0002297E">
            <w:pPr>
              <w:widowControl/>
              <w:spacing w:after="0" w:line="240" w:lineRule="auto"/>
              <w:rPr>
                <w:rFonts w:asciiTheme="majorHAnsi" w:eastAsia="Times New Roman" w:hAnsiTheme="majorHAnsi" w:cstheme="majorHAnsi"/>
                <w:b/>
                <w:bCs/>
                <w:color w:val="000000"/>
                <w:sz w:val="16"/>
                <w:szCs w:val="16"/>
                <w:lang w:val="lv-LV" w:eastAsia="lv-LV"/>
              </w:rPr>
            </w:pPr>
            <w:r w:rsidRPr="00097491">
              <w:rPr>
                <w:rFonts w:asciiTheme="majorHAnsi" w:hAnsiTheme="majorHAnsi" w:cstheme="majorHAnsi"/>
                <w:b/>
                <w:bCs/>
                <w:sz w:val="16"/>
                <w:szCs w:val="16"/>
                <w:lang w:val="lv-LV"/>
              </w:rPr>
              <w:t>50 %</w:t>
            </w:r>
            <w:r w:rsidRPr="00097491">
              <w:rPr>
                <w:rFonts w:asciiTheme="majorHAnsi" w:hAnsiTheme="majorHAnsi" w:cstheme="majorHAnsi"/>
                <w:sz w:val="16"/>
                <w:szCs w:val="16"/>
                <w:lang w:val="lv-LV"/>
              </w:rPr>
              <w:t xml:space="preserve"> – jaunais ES fondu finansējums; </w:t>
            </w:r>
            <w:r w:rsidRPr="00097491">
              <w:rPr>
                <w:rFonts w:asciiTheme="majorHAnsi" w:hAnsiTheme="majorHAnsi" w:cstheme="majorHAnsi"/>
                <w:sz w:val="16"/>
                <w:szCs w:val="16"/>
                <w:lang w:val="lv-LV"/>
              </w:rPr>
              <w:br/>
            </w:r>
            <w:r w:rsidRPr="00097491">
              <w:rPr>
                <w:rFonts w:asciiTheme="majorHAnsi" w:hAnsiTheme="majorHAnsi" w:cstheme="majorHAnsi"/>
                <w:b/>
                <w:bCs/>
                <w:sz w:val="16"/>
                <w:szCs w:val="16"/>
                <w:lang w:val="lv-LV"/>
              </w:rPr>
              <w:t>50 %</w:t>
            </w:r>
            <w:r w:rsidRPr="00097491">
              <w:rPr>
                <w:rFonts w:asciiTheme="majorHAnsi" w:hAnsiTheme="majorHAnsi" w:cstheme="majorHAnsi"/>
                <w:sz w:val="16"/>
                <w:szCs w:val="16"/>
                <w:lang w:val="lv-LV"/>
              </w:rPr>
              <w:t xml:space="preserve"> – mājsaimniecību finansējums (kas samazina citus izdevumus)</w:t>
            </w:r>
          </w:p>
        </w:tc>
      </w:tr>
      <w:tr w:rsidR="00812A72" w:rsidRPr="00D24F07" w14:paraId="3E207536" w14:textId="77777777" w:rsidTr="0002297E">
        <w:trPr>
          <w:jc w:val="center"/>
        </w:trPr>
        <w:tc>
          <w:tcPr>
            <w:tcW w:w="2835" w:type="dxa"/>
            <w:shd w:val="clear" w:color="auto" w:fill="B4C6E7" w:themeFill="accent1" w:themeFillTint="66"/>
          </w:tcPr>
          <w:p w14:paraId="1FF14CCF" w14:textId="77777777" w:rsidR="00812A72" w:rsidRPr="00495E90"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lv-LV"/>
              </w:rPr>
              <w:t>3.2.3.9. Daudzdzīvokļu dzīvojamo māju siltumapgādes sistēmu termoregulēšanas iekārtu uzstādīšanas veicināšana</w:t>
            </w:r>
          </w:p>
        </w:tc>
        <w:tc>
          <w:tcPr>
            <w:tcW w:w="1701" w:type="dxa"/>
            <w:shd w:val="clear" w:color="auto" w:fill="B4C6E7" w:themeFill="accent1" w:themeFillTint="66"/>
          </w:tcPr>
          <w:p w14:paraId="071C7606" w14:textId="77777777" w:rsidR="00812A72" w:rsidRPr="004C4A33" w:rsidRDefault="00812A72" w:rsidP="0002297E">
            <w:pPr>
              <w:widowControl/>
              <w:spacing w:before="40" w:after="40" w:line="240" w:lineRule="auto"/>
              <w:rPr>
                <w:rFonts w:asciiTheme="majorHAnsi" w:hAnsiTheme="majorHAnsi" w:cstheme="majorHAnsi"/>
                <w:color w:val="000000" w:themeColor="text1"/>
                <w:sz w:val="16"/>
                <w:szCs w:val="16"/>
                <w:lang w:val="lv-LV"/>
              </w:rPr>
            </w:pPr>
            <w:r w:rsidRPr="00097491">
              <w:rPr>
                <w:rFonts w:asciiTheme="majorHAnsi" w:hAnsiTheme="majorHAnsi" w:cstheme="majorHAnsi"/>
                <w:color w:val="000000" w:themeColor="text1"/>
                <w:sz w:val="16"/>
                <w:szCs w:val="16"/>
                <w:lang w:val="lv-LV"/>
              </w:rPr>
              <w:t>Modernizētās apkures un ēdināšanas ierīces</w:t>
            </w:r>
          </w:p>
        </w:tc>
        <w:tc>
          <w:tcPr>
            <w:tcW w:w="1871" w:type="dxa"/>
            <w:shd w:val="clear" w:color="auto" w:fill="B4C6E7" w:themeFill="accent1" w:themeFillTint="66"/>
          </w:tcPr>
          <w:p w14:paraId="69E868F8" w14:textId="77777777" w:rsidR="00812A72" w:rsidRPr="00495E90"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sv-SE"/>
              </w:rPr>
              <w:t>53,50 milj. eiro 2025. – 2030. gadā: 8,91 milj. eiro katru gadu.</w:t>
            </w:r>
          </w:p>
        </w:tc>
        <w:tc>
          <w:tcPr>
            <w:tcW w:w="3231" w:type="dxa"/>
            <w:shd w:val="clear" w:color="auto" w:fill="B4C6E7" w:themeFill="accent1" w:themeFillTint="66"/>
          </w:tcPr>
          <w:p w14:paraId="140FD30E" w14:textId="77777777" w:rsidR="00812A72" w:rsidRPr="00495E90" w:rsidRDefault="00812A72" w:rsidP="0002297E">
            <w:pPr>
              <w:widowControl/>
              <w:spacing w:after="0" w:line="240" w:lineRule="auto"/>
              <w:rPr>
                <w:rFonts w:asciiTheme="majorHAnsi" w:eastAsia="Times New Roman" w:hAnsiTheme="majorHAnsi" w:cstheme="majorHAnsi"/>
                <w:color w:val="000000"/>
                <w:sz w:val="16"/>
                <w:szCs w:val="16"/>
                <w:lang w:val="lv-LV" w:eastAsia="lv-LV"/>
              </w:rPr>
            </w:pPr>
            <w:r w:rsidRPr="00097491">
              <w:rPr>
                <w:rFonts w:asciiTheme="majorHAnsi" w:hAnsiTheme="majorHAnsi" w:cstheme="majorHAnsi"/>
                <w:b/>
                <w:bCs/>
                <w:sz w:val="16"/>
                <w:szCs w:val="16"/>
                <w:lang w:val="lv-LV"/>
              </w:rPr>
              <w:t>50 %</w:t>
            </w:r>
            <w:r w:rsidRPr="00097491">
              <w:rPr>
                <w:rFonts w:asciiTheme="majorHAnsi" w:hAnsiTheme="majorHAnsi" w:cstheme="majorHAnsi"/>
                <w:sz w:val="16"/>
                <w:szCs w:val="16"/>
                <w:lang w:val="lv-LV"/>
              </w:rPr>
              <w:t xml:space="preserve"> – jaunais ES fondu finansējums. </w:t>
            </w:r>
            <w:r w:rsidRPr="00097491">
              <w:rPr>
                <w:rFonts w:asciiTheme="majorHAnsi" w:hAnsiTheme="majorHAnsi" w:cstheme="majorHAnsi"/>
                <w:sz w:val="16"/>
                <w:szCs w:val="16"/>
                <w:lang w:val="lv-LV"/>
              </w:rPr>
              <w:br/>
            </w:r>
            <w:r w:rsidRPr="00097491">
              <w:rPr>
                <w:rFonts w:asciiTheme="majorHAnsi" w:hAnsiTheme="majorHAnsi" w:cstheme="majorHAnsi"/>
                <w:b/>
                <w:bCs/>
                <w:sz w:val="16"/>
                <w:szCs w:val="16"/>
                <w:lang w:val="lv-LV"/>
              </w:rPr>
              <w:t>50 %</w:t>
            </w:r>
            <w:r w:rsidRPr="00097491">
              <w:rPr>
                <w:rFonts w:asciiTheme="majorHAnsi" w:hAnsiTheme="majorHAnsi" w:cstheme="majorHAnsi"/>
                <w:sz w:val="16"/>
                <w:szCs w:val="16"/>
                <w:lang w:val="lv-LV"/>
              </w:rPr>
              <w:t xml:space="preserve"> – mājsaimniecību finansējums (kas samazina citus izdevumus)</w:t>
            </w:r>
          </w:p>
        </w:tc>
      </w:tr>
      <w:tr w:rsidR="00812A72" w:rsidRPr="00D24F07" w14:paraId="7934DB25" w14:textId="77777777" w:rsidTr="0002297E">
        <w:trPr>
          <w:jc w:val="center"/>
        </w:trPr>
        <w:tc>
          <w:tcPr>
            <w:tcW w:w="2835" w:type="dxa"/>
            <w:shd w:val="clear" w:color="auto" w:fill="D9E2F3" w:themeFill="accent1" w:themeFillTint="33"/>
          </w:tcPr>
          <w:p w14:paraId="7E3D6A23" w14:textId="77777777" w:rsidR="00812A72" w:rsidRPr="00495E90"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lv-LV"/>
              </w:rPr>
              <w:t>3.2.3.14. Attīstot ESKO tirgu, piesaistīt privātās investīcijas energoefektivitātes paaugstināšanas projektiem, novēršot ESKO tirgus nepilnības</w:t>
            </w:r>
          </w:p>
        </w:tc>
        <w:tc>
          <w:tcPr>
            <w:tcW w:w="1701" w:type="dxa"/>
            <w:shd w:val="clear" w:color="auto" w:fill="D9E2F3" w:themeFill="accent1" w:themeFillTint="33"/>
          </w:tcPr>
          <w:p w14:paraId="151DB289" w14:textId="77777777" w:rsidR="00812A72" w:rsidRPr="004C4A33" w:rsidRDefault="00812A72" w:rsidP="0002297E">
            <w:pPr>
              <w:widowControl/>
              <w:spacing w:before="40" w:after="40" w:line="240" w:lineRule="auto"/>
              <w:rPr>
                <w:rFonts w:asciiTheme="majorHAnsi" w:hAnsiTheme="majorHAnsi" w:cstheme="majorHAnsi"/>
                <w:color w:val="000000" w:themeColor="text1"/>
                <w:sz w:val="16"/>
                <w:szCs w:val="16"/>
                <w:lang w:val="lv-LV"/>
              </w:rPr>
            </w:pPr>
            <w:r w:rsidRPr="004C4A33">
              <w:rPr>
                <w:rFonts w:asciiTheme="majorHAnsi" w:hAnsiTheme="majorHAnsi" w:cstheme="majorHAnsi"/>
                <w:color w:val="000000" w:themeColor="text1"/>
                <w:sz w:val="16"/>
                <w:szCs w:val="16"/>
              </w:rPr>
              <w:t>Būvniecības nozare</w:t>
            </w:r>
          </w:p>
        </w:tc>
        <w:tc>
          <w:tcPr>
            <w:tcW w:w="1871" w:type="dxa"/>
            <w:shd w:val="clear" w:color="auto" w:fill="D9E2F3" w:themeFill="accent1" w:themeFillTint="33"/>
          </w:tcPr>
          <w:p w14:paraId="2F56E1F3" w14:textId="77777777" w:rsidR="00812A72" w:rsidRPr="00495E90"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sv-SE"/>
              </w:rPr>
              <w:t>15 milj. eiro 2025. – 2030. gadā: 2,50 milj. eiro katru gadu.</w:t>
            </w:r>
          </w:p>
        </w:tc>
        <w:tc>
          <w:tcPr>
            <w:tcW w:w="3231" w:type="dxa"/>
            <w:shd w:val="clear" w:color="auto" w:fill="D9E2F3" w:themeFill="accent1" w:themeFillTint="33"/>
          </w:tcPr>
          <w:p w14:paraId="3326F940" w14:textId="77777777" w:rsidR="00812A72" w:rsidRPr="00495E90" w:rsidRDefault="00812A72" w:rsidP="0002297E">
            <w:pPr>
              <w:widowControl/>
              <w:spacing w:before="40" w:after="40" w:line="240" w:lineRule="auto"/>
              <w:rPr>
                <w:rFonts w:asciiTheme="majorHAnsi" w:eastAsia="Times New Roman" w:hAnsiTheme="majorHAnsi" w:cstheme="majorHAnsi"/>
                <w:color w:val="000000"/>
                <w:sz w:val="16"/>
                <w:szCs w:val="16"/>
                <w:lang w:val="lv-LV" w:eastAsia="lv-LV"/>
              </w:rPr>
            </w:pPr>
            <w:r w:rsidRPr="00097491">
              <w:rPr>
                <w:rFonts w:asciiTheme="majorHAnsi" w:hAnsiTheme="majorHAnsi" w:cstheme="majorHAnsi"/>
                <w:b/>
                <w:bCs/>
                <w:sz w:val="16"/>
                <w:szCs w:val="16"/>
                <w:lang w:val="lv-LV"/>
              </w:rPr>
              <w:t>50 %</w:t>
            </w:r>
            <w:r w:rsidRPr="00097491">
              <w:rPr>
                <w:rFonts w:asciiTheme="majorHAnsi" w:hAnsiTheme="majorHAnsi" w:cstheme="majorHAnsi"/>
                <w:sz w:val="16"/>
                <w:szCs w:val="16"/>
                <w:lang w:val="lv-LV"/>
              </w:rPr>
              <w:t xml:space="preserve"> – jaunais ES fondu finansējums. </w:t>
            </w:r>
            <w:r w:rsidRPr="00097491">
              <w:rPr>
                <w:rFonts w:asciiTheme="majorHAnsi" w:hAnsiTheme="majorHAnsi" w:cstheme="majorHAnsi"/>
                <w:sz w:val="16"/>
                <w:szCs w:val="16"/>
                <w:lang w:val="lv-LV"/>
              </w:rPr>
              <w:br/>
            </w:r>
            <w:r w:rsidRPr="00097491">
              <w:rPr>
                <w:rFonts w:asciiTheme="majorHAnsi" w:hAnsiTheme="majorHAnsi" w:cstheme="majorHAnsi"/>
                <w:b/>
                <w:bCs/>
                <w:sz w:val="16"/>
                <w:szCs w:val="16"/>
                <w:lang w:val="lv-LV"/>
              </w:rPr>
              <w:t>50 %</w:t>
            </w:r>
            <w:r w:rsidRPr="00097491">
              <w:rPr>
                <w:rFonts w:asciiTheme="majorHAnsi" w:hAnsiTheme="majorHAnsi" w:cstheme="majorHAnsi"/>
                <w:sz w:val="16"/>
                <w:szCs w:val="16"/>
                <w:lang w:val="lv-LV"/>
              </w:rPr>
              <w:t xml:space="preserve"> – Latvijas privāto uzņēmumu finansējums. </w:t>
            </w:r>
          </w:p>
        </w:tc>
      </w:tr>
      <w:tr w:rsidR="00812A72" w:rsidRPr="00AB3438" w14:paraId="4AE41DD9" w14:textId="77777777" w:rsidTr="0002297E">
        <w:trPr>
          <w:jc w:val="center"/>
        </w:trPr>
        <w:tc>
          <w:tcPr>
            <w:tcW w:w="2835" w:type="dxa"/>
            <w:shd w:val="clear" w:color="auto" w:fill="B4C6E7" w:themeFill="accent1" w:themeFillTint="66"/>
          </w:tcPr>
          <w:p w14:paraId="7BC824E8" w14:textId="77777777" w:rsidR="00812A72" w:rsidRPr="00495E90"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lv-LV"/>
              </w:rPr>
              <w:t>3.2.3.15. Attīstot PESKO iespējas, nodrošināt pašvaldību iesaisti energoefektivitātes paaugstināšanā projektu atbalstīšanā</w:t>
            </w:r>
          </w:p>
        </w:tc>
        <w:tc>
          <w:tcPr>
            <w:tcW w:w="1701" w:type="dxa"/>
            <w:shd w:val="clear" w:color="auto" w:fill="B4C6E7" w:themeFill="accent1" w:themeFillTint="66"/>
          </w:tcPr>
          <w:p w14:paraId="483CCBE5" w14:textId="77777777" w:rsidR="00812A72" w:rsidRPr="004C4A33" w:rsidRDefault="00812A72" w:rsidP="0002297E">
            <w:pPr>
              <w:widowControl/>
              <w:spacing w:before="40" w:after="40" w:line="240" w:lineRule="auto"/>
              <w:rPr>
                <w:rFonts w:asciiTheme="majorHAnsi" w:hAnsiTheme="majorHAnsi" w:cstheme="majorHAnsi"/>
                <w:color w:val="000000" w:themeColor="text1"/>
                <w:sz w:val="16"/>
                <w:szCs w:val="16"/>
                <w:lang w:val="lv-LV"/>
              </w:rPr>
            </w:pPr>
            <w:r w:rsidRPr="004C4A33">
              <w:rPr>
                <w:rFonts w:asciiTheme="majorHAnsi" w:hAnsiTheme="majorHAnsi" w:cstheme="majorHAnsi"/>
                <w:color w:val="000000" w:themeColor="text1"/>
                <w:sz w:val="16"/>
                <w:szCs w:val="16"/>
              </w:rPr>
              <w:t>Būvniecības nozare</w:t>
            </w:r>
          </w:p>
        </w:tc>
        <w:tc>
          <w:tcPr>
            <w:tcW w:w="1871" w:type="dxa"/>
            <w:shd w:val="clear" w:color="auto" w:fill="B4C6E7" w:themeFill="accent1" w:themeFillTint="66"/>
          </w:tcPr>
          <w:p w14:paraId="5F66F485" w14:textId="77777777" w:rsidR="00812A72" w:rsidRPr="00495E90"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sv-SE"/>
              </w:rPr>
              <w:t>15 milj. eiro 2025. – 2030. gadā: 2,50 milj. eiro katru gadu.</w:t>
            </w:r>
          </w:p>
        </w:tc>
        <w:tc>
          <w:tcPr>
            <w:tcW w:w="3231" w:type="dxa"/>
            <w:shd w:val="clear" w:color="auto" w:fill="B4C6E7" w:themeFill="accent1" w:themeFillTint="66"/>
          </w:tcPr>
          <w:p w14:paraId="0BBF747A" w14:textId="77777777" w:rsidR="00812A72" w:rsidRPr="00495E90" w:rsidRDefault="00812A72" w:rsidP="0002297E">
            <w:pPr>
              <w:widowControl/>
              <w:spacing w:after="0" w:line="240" w:lineRule="auto"/>
              <w:rPr>
                <w:rFonts w:asciiTheme="majorHAnsi" w:eastAsia="Times New Roman" w:hAnsiTheme="majorHAnsi" w:cstheme="majorHAnsi"/>
                <w:color w:val="000000"/>
                <w:sz w:val="16"/>
                <w:szCs w:val="16"/>
                <w:lang w:val="lv-LV" w:eastAsia="lv-LV"/>
              </w:rPr>
            </w:pPr>
            <w:r w:rsidRPr="00097491">
              <w:rPr>
                <w:rFonts w:asciiTheme="majorHAnsi" w:hAnsiTheme="majorHAnsi" w:cstheme="majorHAnsi"/>
                <w:b/>
                <w:bCs/>
                <w:sz w:val="16"/>
                <w:szCs w:val="16"/>
                <w:lang w:val="lv-LV"/>
              </w:rPr>
              <w:t>67 %</w:t>
            </w:r>
            <w:r w:rsidRPr="00097491">
              <w:rPr>
                <w:rFonts w:asciiTheme="majorHAnsi" w:hAnsiTheme="majorHAnsi" w:cstheme="majorHAnsi"/>
                <w:sz w:val="16"/>
                <w:szCs w:val="16"/>
                <w:lang w:val="lv-LV"/>
              </w:rPr>
              <w:t xml:space="preserve"> – finansējums, kas aizstāj citus budžeta izdevumus.</w:t>
            </w:r>
            <w:r w:rsidRPr="00097491">
              <w:rPr>
                <w:rFonts w:asciiTheme="majorHAnsi" w:hAnsiTheme="majorHAnsi" w:cstheme="majorHAnsi"/>
                <w:sz w:val="16"/>
                <w:szCs w:val="16"/>
                <w:lang w:val="lv-LV"/>
              </w:rPr>
              <w:br/>
            </w:r>
            <w:r w:rsidRPr="00495E90">
              <w:rPr>
                <w:rFonts w:asciiTheme="majorHAnsi" w:hAnsiTheme="majorHAnsi" w:cstheme="majorHAnsi"/>
                <w:b/>
                <w:bCs/>
                <w:sz w:val="16"/>
                <w:szCs w:val="16"/>
              </w:rPr>
              <w:t>33 %</w:t>
            </w:r>
            <w:r>
              <w:rPr>
                <w:rFonts w:asciiTheme="majorHAnsi" w:hAnsiTheme="majorHAnsi" w:cstheme="majorHAnsi"/>
                <w:sz w:val="16"/>
                <w:szCs w:val="16"/>
              </w:rPr>
              <w:t xml:space="preserve"> – </w:t>
            </w:r>
            <w:r w:rsidRPr="00495E90">
              <w:rPr>
                <w:rFonts w:asciiTheme="majorHAnsi" w:hAnsiTheme="majorHAnsi" w:cstheme="majorHAnsi"/>
                <w:sz w:val="16"/>
                <w:szCs w:val="16"/>
              </w:rPr>
              <w:t>jaunais ES fondu finansējums.</w:t>
            </w:r>
          </w:p>
        </w:tc>
      </w:tr>
      <w:tr w:rsidR="00812A72" w:rsidRPr="00D24F07" w14:paraId="482C695F" w14:textId="77777777" w:rsidTr="0002297E">
        <w:trPr>
          <w:jc w:val="center"/>
        </w:trPr>
        <w:tc>
          <w:tcPr>
            <w:tcW w:w="2835" w:type="dxa"/>
            <w:shd w:val="clear" w:color="auto" w:fill="D9E2F3" w:themeFill="accent1" w:themeFillTint="33"/>
          </w:tcPr>
          <w:p w14:paraId="2C59EA25" w14:textId="77777777" w:rsidR="00812A72" w:rsidRPr="00495E90" w:rsidRDefault="00812A72" w:rsidP="0002297E">
            <w:pPr>
              <w:widowControl/>
              <w:spacing w:before="40" w:after="40" w:line="240" w:lineRule="auto"/>
              <w:rPr>
                <w:rFonts w:asciiTheme="majorHAnsi" w:hAnsiTheme="majorHAnsi" w:cstheme="majorHAnsi"/>
                <w:sz w:val="16"/>
                <w:szCs w:val="16"/>
                <w:lang w:val="lv-LV"/>
              </w:rPr>
            </w:pPr>
            <w:r w:rsidRPr="00495E90">
              <w:rPr>
                <w:rFonts w:asciiTheme="majorHAnsi" w:hAnsiTheme="majorHAnsi" w:cstheme="majorHAnsi"/>
                <w:sz w:val="16"/>
                <w:szCs w:val="16"/>
              </w:rPr>
              <w:t xml:space="preserve">3.2.3.16. Turpināt “Dzīvo siltāk” programmas īstenošanu </w:t>
            </w:r>
          </w:p>
        </w:tc>
        <w:tc>
          <w:tcPr>
            <w:tcW w:w="1701" w:type="dxa"/>
            <w:shd w:val="clear" w:color="auto" w:fill="D9E2F3" w:themeFill="accent1" w:themeFillTint="33"/>
          </w:tcPr>
          <w:p w14:paraId="10785EE4" w14:textId="77777777" w:rsidR="00812A72" w:rsidRPr="004C4A33" w:rsidRDefault="00812A72" w:rsidP="0002297E">
            <w:pPr>
              <w:widowControl/>
              <w:spacing w:before="40" w:after="40" w:line="240" w:lineRule="auto"/>
              <w:rPr>
                <w:rFonts w:asciiTheme="majorHAnsi" w:hAnsiTheme="majorHAnsi" w:cstheme="majorHAnsi"/>
                <w:color w:val="000000" w:themeColor="text1"/>
                <w:sz w:val="16"/>
                <w:szCs w:val="16"/>
                <w:lang w:val="lv-LV"/>
              </w:rPr>
            </w:pPr>
            <w:r w:rsidRPr="004C4A33">
              <w:rPr>
                <w:rFonts w:asciiTheme="majorHAnsi" w:hAnsiTheme="majorHAnsi" w:cstheme="majorHAnsi"/>
                <w:color w:val="000000" w:themeColor="text1"/>
                <w:sz w:val="16"/>
                <w:szCs w:val="16"/>
              </w:rPr>
              <w:t>Būvniecības nozare</w:t>
            </w:r>
          </w:p>
        </w:tc>
        <w:tc>
          <w:tcPr>
            <w:tcW w:w="1871" w:type="dxa"/>
            <w:shd w:val="clear" w:color="auto" w:fill="D9E2F3" w:themeFill="accent1" w:themeFillTint="33"/>
          </w:tcPr>
          <w:p w14:paraId="74DD154F" w14:textId="77777777" w:rsidR="00812A72" w:rsidRPr="00495E90"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sv-SE"/>
              </w:rPr>
              <w:t>0,75 milj. eiro 2025. – 2030. gadā: 0,125 milj. eiro katru gadu.</w:t>
            </w:r>
          </w:p>
        </w:tc>
        <w:tc>
          <w:tcPr>
            <w:tcW w:w="3231" w:type="dxa"/>
            <w:shd w:val="clear" w:color="auto" w:fill="D9E2F3" w:themeFill="accent1" w:themeFillTint="33"/>
          </w:tcPr>
          <w:p w14:paraId="608778A6" w14:textId="77777777" w:rsidR="00812A72" w:rsidRPr="00495E90" w:rsidRDefault="00812A72" w:rsidP="0002297E">
            <w:pPr>
              <w:widowControl/>
              <w:spacing w:after="0" w:line="240" w:lineRule="auto"/>
              <w:rPr>
                <w:rFonts w:asciiTheme="majorHAnsi" w:eastAsia="Times New Roman" w:hAnsiTheme="majorHAnsi" w:cstheme="majorHAnsi"/>
                <w:color w:val="000000"/>
                <w:sz w:val="16"/>
                <w:szCs w:val="16"/>
                <w:lang w:val="lv-LV" w:eastAsia="lv-LV"/>
              </w:rPr>
            </w:pPr>
            <w:r w:rsidRPr="00097491">
              <w:rPr>
                <w:rFonts w:asciiTheme="majorHAnsi" w:hAnsiTheme="majorHAnsi" w:cstheme="majorHAnsi"/>
                <w:b/>
                <w:bCs/>
                <w:sz w:val="16"/>
                <w:szCs w:val="16"/>
                <w:lang w:val="lv-LV"/>
              </w:rPr>
              <w:t>50 %</w:t>
            </w:r>
            <w:r w:rsidRPr="00097491">
              <w:rPr>
                <w:rFonts w:asciiTheme="majorHAnsi" w:hAnsiTheme="majorHAnsi" w:cstheme="majorHAnsi"/>
                <w:sz w:val="16"/>
                <w:szCs w:val="16"/>
                <w:lang w:val="lv-LV"/>
              </w:rPr>
              <w:t xml:space="preserve"> – jaunais ES fondu finansējums.</w:t>
            </w:r>
            <w:r w:rsidRPr="00097491">
              <w:rPr>
                <w:rFonts w:asciiTheme="majorHAnsi" w:hAnsiTheme="majorHAnsi" w:cstheme="majorHAnsi"/>
                <w:sz w:val="16"/>
                <w:szCs w:val="16"/>
                <w:lang w:val="lv-LV"/>
              </w:rPr>
              <w:br/>
            </w:r>
            <w:r w:rsidRPr="00097491">
              <w:rPr>
                <w:rFonts w:asciiTheme="majorHAnsi" w:hAnsiTheme="majorHAnsi" w:cstheme="majorHAnsi"/>
                <w:b/>
                <w:bCs/>
                <w:sz w:val="16"/>
                <w:szCs w:val="16"/>
                <w:lang w:val="lv-LV"/>
              </w:rPr>
              <w:t>50 %</w:t>
            </w:r>
            <w:r w:rsidRPr="00097491">
              <w:rPr>
                <w:rFonts w:asciiTheme="majorHAnsi" w:hAnsiTheme="majorHAnsi" w:cstheme="majorHAnsi"/>
                <w:sz w:val="16"/>
                <w:szCs w:val="16"/>
                <w:lang w:val="lv-LV"/>
              </w:rPr>
              <w:t xml:space="preserve"> – nacionālais publiskais finansējums, kas aizstāj citus budžeta izdevumus.</w:t>
            </w:r>
          </w:p>
        </w:tc>
      </w:tr>
    </w:tbl>
    <w:p w14:paraId="6AD33F05" w14:textId="77777777" w:rsidR="00812A72" w:rsidRPr="00097491" w:rsidRDefault="00812A72" w:rsidP="00812A72">
      <w:pPr>
        <w:widowControl/>
        <w:spacing w:before="120" w:after="120" w:line="240" w:lineRule="auto"/>
        <w:jc w:val="both"/>
        <w:rPr>
          <w:rFonts w:ascii="Arial Nova Cond Light" w:eastAsia="Times New Roman" w:hAnsi="Arial Nova Cond Light"/>
          <w:sz w:val="16"/>
          <w:szCs w:val="24"/>
          <w:lang w:val="lv-LV" w:eastAsia="lv-LV"/>
        </w:rPr>
      </w:pPr>
      <w:r w:rsidRPr="00097491">
        <w:rPr>
          <w:rFonts w:ascii="Arial Nova Cond Light" w:eastAsia="Times New Roman" w:hAnsi="Arial Nova Cond Light"/>
          <w:sz w:val="16"/>
          <w:szCs w:val="24"/>
          <w:lang w:val="lv-LV" w:eastAsia="lv-LV"/>
        </w:rPr>
        <w:t>Avots: autoru veidotā tabula pēc NEKP, kā arī Ekonomikas ministrijas nepublicētiem datiem.</w:t>
      </w:r>
    </w:p>
    <w:p w14:paraId="713F0440" w14:textId="77777777" w:rsidR="00ED3083" w:rsidRPr="00ED3083" w:rsidRDefault="00ED3083" w:rsidP="00ED3083">
      <w:pPr>
        <w:widowControl/>
        <w:spacing w:after="120" w:line="240" w:lineRule="auto"/>
        <w:rPr>
          <w:rFonts w:ascii="Verdana Pro Cond Light" w:eastAsia="Times New Roman" w:hAnsi="Verdana Pro Cond Light" w:cstheme="minorHAnsi"/>
          <w:lang w:val="lv-LV" w:eastAsia="lv-LV"/>
        </w:rPr>
      </w:pPr>
    </w:p>
    <w:p w14:paraId="35BE7A68" w14:textId="77777777" w:rsidR="00ED3083" w:rsidRPr="00ED3083" w:rsidRDefault="00ED3083" w:rsidP="00ED3083">
      <w:pPr>
        <w:widowControl/>
        <w:spacing w:after="120" w:line="240" w:lineRule="auto"/>
        <w:rPr>
          <w:rFonts w:ascii="Verdana Pro Cond Light" w:eastAsia="Times New Roman" w:hAnsi="Verdana Pro Cond Light" w:cstheme="minorHAnsi"/>
          <w:lang w:val="lv-LV" w:eastAsia="lv-LV"/>
        </w:rPr>
      </w:pPr>
    </w:p>
    <w:p w14:paraId="4E1FDD41" w14:textId="4255EF0A" w:rsidR="00812A72" w:rsidRDefault="00812A72" w:rsidP="00812A72">
      <w:pPr>
        <w:pStyle w:val="Heading2"/>
        <w:rPr>
          <w:lang w:val="lv-LV"/>
        </w:rPr>
      </w:pPr>
      <w:bookmarkStart w:id="72" w:name="_Toc183697494"/>
      <w:bookmarkStart w:id="73" w:name="_Toc176185151"/>
      <w:bookmarkStart w:id="74" w:name="_Toc176778160"/>
      <w:bookmarkStart w:id="75" w:name="_Toc177395401"/>
      <w:bookmarkStart w:id="76" w:name="_Toc178327885"/>
      <w:r w:rsidRPr="00537DE7">
        <w:rPr>
          <w:lang w:val="lv-LV"/>
        </w:rPr>
        <w:t>Septītais scenārijs</w:t>
      </w:r>
      <w:r>
        <w:rPr>
          <w:lang w:val="lv-LV"/>
        </w:rPr>
        <w:t xml:space="preserve"> – </w:t>
      </w:r>
      <w:r w:rsidR="00097491" w:rsidRPr="00097491">
        <w:rPr>
          <w:lang w:val="lv-LV"/>
        </w:rPr>
        <w:t>kopējais scenārijs, kas ietver 1.-</w:t>
      </w:r>
      <w:r w:rsidR="00097491">
        <w:rPr>
          <w:lang w:val="lv-LV"/>
        </w:rPr>
        <w:t>6</w:t>
      </w:r>
      <w:r w:rsidR="00097491" w:rsidRPr="00097491">
        <w:rPr>
          <w:lang w:val="lv-LV"/>
        </w:rPr>
        <w:t>. scenāriju īstenošanu nepieciešamā finansējuma apjomā</w:t>
      </w:r>
      <w:bookmarkEnd w:id="72"/>
      <w:r w:rsidR="00097491" w:rsidRPr="00537DE7">
        <w:rPr>
          <w:lang w:val="lv-LV"/>
        </w:rPr>
        <w:t xml:space="preserve"> </w:t>
      </w:r>
      <w:bookmarkEnd w:id="73"/>
      <w:bookmarkEnd w:id="74"/>
      <w:bookmarkEnd w:id="75"/>
      <w:bookmarkEnd w:id="76"/>
    </w:p>
    <w:p w14:paraId="5AC3CDA4" w14:textId="77777777" w:rsidR="00ED3083" w:rsidRPr="00ED3083" w:rsidRDefault="00ED3083" w:rsidP="00ED3083">
      <w:pPr>
        <w:widowControl/>
        <w:spacing w:after="120" w:line="240" w:lineRule="auto"/>
        <w:rPr>
          <w:rFonts w:ascii="Verdana Pro Cond Light" w:hAnsi="Verdana Pro Cond Light"/>
          <w:lang w:val="lv-LV"/>
        </w:rPr>
      </w:pPr>
    </w:p>
    <w:p w14:paraId="69A139BD" w14:textId="5506DB87" w:rsidR="00812A72" w:rsidRDefault="00812A72" w:rsidP="00812A72">
      <w:pPr>
        <w:widowControl/>
        <w:spacing w:after="120" w:line="240" w:lineRule="auto"/>
        <w:rPr>
          <w:rFonts w:ascii="Verdana Pro Cond Light" w:hAnsi="Verdana Pro Cond Light"/>
          <w:lang w:val="lv-LV"/>
        </w:rPr>
      </w:pPr>
      <w:bookmarkStart w:id="77" w:name="_Hlk177832742"/>
      <w:r w:rsidRPr="00D7546E">
        <w:rPr>
          <w:rFonts w:ascii="Verdana Pro Cond Light" w:hAnsi="Verdana Pro Cond Light"/>
          <w:lang w:val="lv-LV"/>
        </w:rPr>
        <w:t>NEKP pasākumu īstenošana nepieciešamā finansējuma apjomā paredz 6</w:t>
      </w:r>
      <w:r w:rsidR="003C2C92">
        <w:rPr>
          <w:rFonts w:ascii="Verdana Pro Cond Light" w:hAnsi="Verdana Pro Cond Light"/>
          <w:lang w:val="lv-LV"/>
        </w:rPr>
        <w:t>,</w:t>
      </w:r>
      <w:r w:rsidRPr="00D7546E">
        <w:rPr>
          <w:rFonts w:ascii="Verdana Pro Cond Light" w:hAnsi="Verdana Pro Cond Light"/>
          <w:lang w:val="lv-LV"/>
        </w:rPr>
        <w:t>3 miljardu eiro jaunās naudas ieplūdināšanu Latvijas ekonomikā līdz 2030. gadam ieskaitot, galvenokārt investīciju veidā</w:t>
      </w:r>
      <w:bookmarkEnd w:id="77"/>
      <w:r w:rsidRPr="00D7546E">
        <w:rPr>
          <w:rFonts w:ascii="Verdana Pro Cond Light" w:hAnsi="Verdana Pro Cond Light"/>
          <w:lang w:val="lv-LV"/>
        </w:rPr>
        <w:t xml:space="preserve"> (6.7. tabula).</w:t>
      </w:r>
    </w:p>
    <w:p w14:paraId="6930EC49" w14:textId="77777777" w:rsidR="00812A72" w:rsidRDefault="00812A72" w:rsidP="00812A72">
      <w:pPr>
        <w:widowControl/>
        <w:spacing w:before="120" w:after="120" w:line="240" w:lineRule="auto"/>
        <w:jc w:val="right"/>
        <w:rPr>
          <w:rFonts w:ascii="Verdana Pro Cond Light" w:hAnsi="Verdana Pro Cond Light"/>
          <w:lang w:val="lv-LV"/>
        </w:rPr>
      </w:pPr>
      <w:r w:rsidRPr="00D7546E">
        <w:rPr>
          <w:rFonts w:ascii="Verdana Pro Cond Light" w:hAnsi="Verdana Pro Cond Light"/>
          <w:lang w:val="lv-LV"/>
        </w:rPr>
        <w:t>6.7. tabula</w:t>
      </w:r>
    </w:p>
    <w:p w14:paraId="14E5AA8D" w14:textId="77777777" w:rsidR="00812A72" w:rsidRDefault="00812A72" w:rsidP="00812A72">
      <w:pPr>
        <w:widowControl/>
        <w:spacing w:after="120" w:line="240" w:lineRule="auto"/>
        <w:jc w:val="center"/>
        <w:rPr>
          <w:rFonts w:ascii="Verdana Pro Cond Light" w:hAnsi="Verdana Pro Cond Light"/>
          <w:sz w:val="18"/>
          <w:szCs w:val="18"/>
          <w:lang w:val="lv-LV"/>
        </w:rPr>
      </w:pPr>
      <w:r w:rsidRPr="00D7546E">
        <w:rPr>
          <w:rFonts w:ascii="Verdana Pro Cond Light" w:hAnsi="Verdana Pro Cond Light"/>
          <w:b/>
          <w:bCs/>
          <w:lang w:val="lv-LV"/>
        </w:rPr>
        <w:t xml:space="preserve">Modelēto pasākumu nepieciešamais finansējums </w:t>
      </w:r>
      <w:r>
        <w:rPr>
          <w:rFonts w:ascii="Verdana Pro Cond Light" w:hAnsi="Verdana Pro Cond Light"/>
          <w:b/>
          <w:bCs/>
          <w:lang w:val="lv-LV"/>
        </w:rPr>
        <w:br/>
      </w:r>
      <w:r w:rsidRPr="00D7546E">
        <w:rPr>
          <w:rFonts w:ascii="Verdana Pro Cond Light" w:hAnsi="Verdana Pro Cond Light"/>
          <w:sz w:val="18"/>
          <w:szCs w:val="18"/>
          <w:lang w:val="lv-LV"/>
        </w:rPr>
        <w:t>milj. eiro; līdz 2030. gadam ieskaitot</w:t>
      </w:r>
    </w:p>
    <w:tbl>
      <w:tblPr>
        <w:tblStyle w:val="TableGrid"/>
        <w:tblW w:w="963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2"/>
        <w:gridCol w:w="2268"/>
        <w:gridCol w:w="2268"/>
      </w:tblGrid>
      <w:tr w:rsidR="00812A72" w:rsidRPr="00CB4E89" w14:paraId="23BC5B09" w14:textId="77777777" w:rsidTr="0002297E">
        <w:trPr>
          <w:cantSplit/>
          <w:trHeight w:val="20"/>
          <w:jc w:val="center"/>
        </w:trPr>
        <w:tc>
          <w:tcPr>
            <w:tcW w:w="5102" w:type="dxa"/>
            <w:shd w:val="clear" w:color="auto" w:fill="4472C4" w:themeFill="accent1"/>
          </w:tcPr>
          <w:p w14:paraId="49CCAAA1" w14:textId="77777777" w:rsidR="00812A72" w:rsidRPr="00CB4E89" w:rsidRDefault="00812A72" w:rsidP="0002297E">
            <w:pPr>
              <w:widowControl/>
              <w:spacing w:before="40" w:after="40" w:line="240" w:lineRule="auto"/>
              <w:jc w:val="center"/>
              <w:rPr>
                <w:rFonts w:asciiTheme="majorHAnsi" w:hAnsiTheme="majorHAnsi" w:cstheme="majorHAnsi"/>
                <w:b/>
                <w:bCs/>
                <w:color w:val="FFFFFF" w:themeColor="background1"/>
                <w:sz w:val="16"/>
                <w:szCs w:val="16"/>
                <w:lang w:val="lv-LV"/>
              </w:rPr>
            </w:pPr>
            <w:r w:rsidRPr="00CB4E89">
              <w:rPr>
                <w:rFonts w:asciiTheme="majorHAnsi" w:hAnsiTheme="majorHAnsi" w:cstheme="majorHAnsi"/>
                <w:b/>
                <w:bCs/>
                <w:color w:val="FFFFFF" w:themeColor="background1"/>
                <w:sz w:val="16"/>
                <w:szCs w:val="16"/>
                <w:lang w:val="lv-LV"/>
              </w:rPr>
              <w:t>Pasākum</w:t>
            </w:r>
            <w:r>
              <w:rPr>
                <w:rFonts w:asciiTheme="majorHAnsi" w:hAnsiTheme="majorHAnsi" w:cstheme="majorHAnsi"/>
                <w:b/>
                <w:bCs/>
                <w:color w:val="FFFFFF" w:themeColor="background1"/>
                <w:sz w:val="16"/>
                <w:szCs w:val="16"/>
                <w:lang w:val="lv-LV"/>
              </w:rPr>
              <w:t>u grupa</w:t>
            </w:r>
          </w:p>
        </w:tc>
        <w:tc>
          <w:tcPr>
            <w:tcW w:w="2268" w:type="dxa"/>
            <w:shd w:val="clear" w:color="auto" w:fill="4472C4" w:themeFill="accent1"/>
          </w:tcPr>
          <w:p w14:paraId="4BBAC04C" w14:textId="77777777" w:rsidR="00812A72" w:rsidRPr="00CB4E89" w:rsidRDefault="00812A72" w:rsidP="0002297E">
            <w:pPr>
              <w:widowControl/>
              <w:spacing w:before="40" w:after="40" w:line="240" w:lineRule="auto"/>
              <w:jc w:val="center"/>
              <w:rPr>
                <w:rFonts w:asciiTheme="majorHAnsi" w:hAnsiTheme="majorHAnsi" w:cstheme="majorHAnsi"/>
                <w:b/>
                <w:bCs/>
                <w:color w:val="FFFFFF" w:themeColor="background1"/>
                <w:sz w:val="16"/>
                <w:szCs w:val="16"/>
                <w:lang w:val="lv-LV"/>
              </w:rPr>
            </w:pPr>
            <w:r>
              <w:rPr>
                <w:rFonts w:asciiTheme="majorHAnsi" w:hAnsiTheme="majorHAnsi" w:cstheme="majorHAnsi"/>
                <w:b/>
                <w:bCs/>
                <w:color w:val="FFFFFF" w:themeColor="background1"/>
                <w:sz w:val="16"/>
                <w:szCs w:val="16"/>
                <w:lang w:val="lv-LV"/>
              </w:rPr>
              <w:t>Nepieciešamais f</w:t>
            </w:r>
            <w:r w:rsidRPr="00CB4E89">
              <w:rPr>
                <w:rFonts w:asciiTheme="majorHAnsi" w:hAnsiTheme="majorHAnsi" w:cstheme="majorHAnsi"/>
                <w:b/>
                <w:bCs/>
                <w:color w:val="FFFFFF" w:themeColor="background1"/>
                <w:sz w:val="16"/>
                <w:szCs w:val="16"/>
                <w:lang w:val="lv-LV"/>
              </w:rPr>
              <w:t>inansējums</w:t>
            </w:r>
          </w:p>
        </w:tc>
        <w:tc>
          <w:tcPr>
            <w:tcW w:w="2268" w:type="dxa"/>
            <w:shd w:val="clear" w:color="auto" w:fill="4472C4" w:themeFill="accent1"/>
          </w:tcPr>
          <w:p w14:paraId="56700D55" w14:textId="77777777" w:rsidR="00812A72" w:rsidRPr="00CB4E89" w:rsidRDefault="00812A72" w:rsidP="0002297E">
            <w:pPr>
              <w:widowControl/>
              <w:spacing w:before="40" w:after="40" w:line="240" w:lineRule="auto"/>
              <w:jc w:val="center"/>
              <w:rPr>
                <w:rFonts w:asciiTheme="majorHAnsi" w:hAnsiTheme="majorHAnsi" w:cstheme="majorHAnsi"/>
                <w:b/>
                <w:bCs/>
                <w:color w:val="FFFFFF" w:themeColor="background1"/>
                <w:sz w:val="16"/>
                <w:szCs w:val="16"/>
                <w:lang w:val="lv-LV"/>
              </w:rPr>
            </w:pPr>
            <w:r>
              <w:rPr>
                <w:rFonts w:asciiTheme="majorHAnsi" w:hAnsiTheme="majorHAnsi" w:cstheme="majorHAnsi"/>
                <w:b/>
                <w:bCs/>
                <w:color w:val="FFFFFF" w:themeColor="background1"/>
                <w:sz w:val="16"/>
                <w:szCs w:val="16"/>
                <w:lang w:val="lv-LV"/>
              </w:rPr>
              <w:t>Tai skaitā: jaunā nauda</w:t>
            </w:r>
          </w:p>
        </w:tc>
      </w:tr>
      <w:tr w:rsidR="00812A72" w:rsidRPr="00AB3438" w14:paraId="0D0374A3" w14:textId="77777777" w:rsidTr="0002297E">
        <w:trPr>
          <w:jc w:val="center"/>
        </w:trPr>
        <w:tc>
          <w:tcPr>
            <w:tcW w:w="5102" w:type="dxa"/>
            <w:shd w:val="clear" w:color="auto" w:fill="D9E2F3" w:themeFill="accent1" w:themeFillTint="33"/>
          </w:tcPr>
          <w:p w14:paraId="0BFD23FE" w14:textId="77777777" w:rsidR="00812A72" w:rsidRPr="000F151C" w:rsidRDefault="00812A72" w:rsidP="0002297E">
            <w:pPr>
              <w:widowControl/>
              <w:spacing w:before="40" w:after="40" w:line="240" w:lineRule="auto"/>
              <w:rPr>
                <w:rFonts w:asciiTheme="majorHAnsi" w:hAnsiTheme="majorHAnsi" w:cstheme="majorHAnsi"/>
                <w:b/>
                <w:bCs/>
                <w:sz w:val="16"/>
                <w:szCs w:val="16"/>
                <w:lang w:val="lv-LV"/>
              </w:rPr>
            </w:pPr>
            <w:r w:rsidRPr="000F151C">
              <w:rPr>
                <w:rFonts w:asciiTheme="majorHAnsi" w:hAnsiTheme="majorHAnsi" w:cstheme="majorHAnsi"/>
                <w:sz w:val="16"/>
                <w:szCs w:val="16"/>
                <w:lang w:val="lv-LV"/>
              </w:rPr>
              <w:t xml:space="preserve">ZIZIMM sektora pasākumi </w:t>
            </w:r>
          </w:p>
        </w:tc>
        <w:tc>
          <w:tcPr>
            <w:tcW w:w="2268" w:type="dxa"/>
            <w:shd w:val="clear" w:color="auto" w:fill="D9E2F3" w:themeFill="accent1" w:themeFillTint="33"/>
          </w:tcPr>
          <w:p w14:paraId="095A71D6" w14:textId="77777777" w:rsidR="00812A72" w:rsidRPr="00B75FEB" w:rsidRDefault="00812A72" w:rsidP="0002297E">
            <w:pPr>
              <w:widowControl/>
              <w:spacing w:before="40" w:after="40" w:line="240" w:lineRule="auto"/>
              <w:jc w:val="center"/>
              <w:rPr>
                <w:rFonts w:asciiTheme="majorHAnsi" w:hAnsiTheme="majorHAnsi" w:cstheme="majorHAnsi"/>
                <w:b/>
                <w:bCs/>
                <w:color w:val="000000" w:themeColor="text1"/>
                <w:sz w:val="16"/>
                <w:szCs w:val="16"/>
                <w:lang w:val="lv-LV"/>
              </w:rPr>
            </w:pPr>
            <w:r w:rsidRPr="00B75FEB">
              <w:rPr>
                <w:rFonts w:asciiTheme="majorHAnsi" w:hAnsiTheme="majorHAnsi" w:cstheme="majorHAnsi"/>
                <w:color w:val="000000" w:themeColor="text1"/>
                <w:sz w:val="16"/>
                <w:szCs w:val="16"/>
                <w:lang w:val="lv-LV"/>
              </w:rPr>
              <w:t>2 195,2</w:t>
            </w:r>
          </w:p>
        </w:tc>
        <w:tc>
          <w:tcPr>
            <w:tcW w:w="2268" w:type="dxa"/>
            <w:shd w:val="clear" w:color="auto" w:fill="D9E2F3" w:themeFill="accent1" w:themeFillTint="33"/>
          </w:tcPr>
          <w:p w14:paraId="6DCDD8CF" w14:textId="77777777" w:rsidR="00812A72" w:rsidRPr="000F151C" w:rsidRDefault="00812A72" w:rsidP="0002297E">
            <w:pPr>
              <w:widowControl/>
              <w:spacing w:before="40" w:after="40" w:line="240" w:lineRule="auto"/>
              <w:jc w:val="center"/>
              <w:rPr>
                <w:rFonts w:asciiTheme="majorHAnsi" w:hAnsiTheme="majorHAnsi" w:cstheme="majorHAnsi"/>
                <w:b/>
                <w:bCs/>
                <w:sz w:val="16"/>
                <w:szCs w:val="16"/>
                <w:lang w:val="lv-LV"/>
              </w:rPr>
            </w:pPr>
            <w:r w:rsidRPr="000F151C">
              <w:rPr>
                <w:rFonts w:asciiTheme="majorHAnsi" w:hAnsiTheme="majorHAnsi" w:cstheme="majorHAnsi"/>
                <w:sz w:val="16"/>
                <w:szCs w:val="16"/>
                <w:lang w:val="lv-LV"/>
              </w:rPr>
              <w:t>1</w:t>
            </w:r>
            <w:r>
              <w:rPr>
                <w:rFonts w:asciiTheme="majorHAnsi" w:hAnsiTheme="majorHAnsi" w:cstheme="majorHAnsi"/>
                <w:sz w:val="16"/>
                <w:szCs w:val="16"/>
                <w:lang w:val="lv-LV"/>
              </w:rPr>
              <w:t xml:space="preserve"> </w:t>
            </w:r>
            <w:r w:rsidRPr="000F151C">
              <w:rPr>
                <w:rFonts w:asciiTheme="majorHAnsi" w:hAnsiTheme="majorHAnsi" w:cstheme="majorHAnsi"/>
                <w:sz w:val="16"/>
                <w:szCs w:val="16"/>
                <w:lang w:val="lv-LV"/>
              </w:rPr>
              <w:t>307,7</w:t>
            </w:r>
          </w:p>
        </w:tc>
      </w:tr>
      <w:tr w:rsidR="00812A72" w:rsidRPr="00AB3438" w14:paraId="2F185306" w14:textId="77777777" w:rsidTr="0002297E">
        <w:trPr>
          <w:jc w:val="center"/>
        </w:trPr>
        <w:tc>
          <w:tcPr>
            <w:tcW w:w="5102" w:type="dxa"/>
            <w:shd w:val="clear" w:color="auto" w:fill="B4C6E7" w:themeFill="accent1" w:themeFillTint="66"/>
          </w:tcPr>
          <w:p w14:paraId="589E595F" w14:textId="77777777" w:rsidR="00812A72" w:rsidRPr="000F151C" w:rsidRDefault="00812A72" w:rsidP="0002297E">
            <w:pPr>
              <w:widowControl/>
              <w:spacing w:before="40" w:after="40" w:line="240" w:lineRule="auto"/>
              <w:rPr>
                <w:rFonts w:asciiTheme="majorHAnsi" w:hAnsiTheme="majorHAnsi" w:cstheme="majorHAnsi"/>
                <w:sz w:val="16"/>
                <w:szCs w:val="16"/>
                <w:lang w:val="lv-LV"/>
              </w:rPr>
            </w:pPr>
            <w:r w:rsidRPr="000F151C">
              <w:rPr>
                <w:rFonts w:asciiTheme="majorHAnsi" w:hAnsiTheme="majorHAnsi" w:cstheme="majorHAnsi"/>
                <w:sz w:val="16"/>
                <w:szCs w:val="16"/>
                <w:lang w:val="lv-LV"/>
              </w:rPr>
              <w:t xml:space="preserve">Transporta pasākumi </w:t>
            </w:r>
          </w:p>
        </w:tc>
        <w:tc>
          <w:tcPr>
            <w:tcW w:w="2268" w:type="dxa"/>
            <w:shd w:val="clear" w:color="auto" w:fill="B4C6E7" w:themeFill="accent1" w:themeFillTint="66"/>
          </w:tcPr>
          <w:p w14:paraId="4DD76847" w14:textId="77777777" w:rsidR="00812A72" w:rsidRPr="00B75FEB" w:rsidRDefault="00812A72" w:rsidP="0002297E">
            <w:pPr>
              <w:widowControl/>
              <w:spacing w:before="40" w:after="40" w:line="240" w:lineRule="auto"/>
              <w:jc w:val="center"/>
              <w:rPr>
                <w:rFonts w:asciiTheme="majorHAnsi" w:hAnsiTheme="majorHAnsi" w:cstheme="majorHAnsi"/>
                <w:color w:val="000000" w:themeColor="text1"/>
                <w:sz w:val="16"/>
                <w:szCs w:val="16"/>
                <w:lang w:val="lv-LV"/>
              </w:rPr>
            </w:pPr>
            <w:r w:rsidRPr="00B75FEB">
              <w:rPr>
                <w:rFonts w:asciiTheme="majorHAnsi" w:hAnsiTheme="majorHAnsi" w:cstheme="majorHAnsi"/>
                <w:color w:val="000000" w:themeColor="text1"/>
                <w:sz w:val="16"/>
                <w:szCs w:val="16"/>
                <w:lang w:val="lv-LV"/>
              </w:rPr>
              <w:t>1 603,9</w:t>
            </w:r>
          </w:p>
        </w:tc>
        <w:tc>
          <w:tcPr>
            <w:tcW w:w="2268" w:type="dxa"/>
            <w:shd w:val="clear" w:color="auto" w:fill="B4C6E7" w:themeFill="accent1" w:themeFillTint="66"/>
          </w:tcPr>
          <w:p w14:paraId="5BC852AB" w14:textId="77777777" w:rsidR="00812A72" w:rsidRPr="000F151C" w:rsidRDefault="00812A72" w:rsidP="0002297E">
            <w:pPr>
              <w:widowControl/>
              <w:spacing w:before="40" w:after="40" w:line="240" w:lineRule="auto"/>
              <w:jc w:val="center"/>
              <w:rPr>
                <w:rFonts w:asciiTheme="majorHAnsi" w:hAnsiTheme="majorHAnsi" w:cstheme="majorHAnsi"/>
                <w:sz w:val="16"/>
                <w:szCs w:val="16"/>
                <w:lang w:val="lv-LV"/>
              </w:rPr>
            </w:pPr>
            <w:r w:rsidRPr="000F151C">
              <w:rPr>
                <w:rFonts w:asciiTheme="majorHAnsi" w:hAnsiTheme="majorHAnsi" w:cstheme="majorHAnsi"/>
                <w:sz w:val="16"/>
                <w:szCs w:val="16"/>
                <w:lang w:val="lv-LV"/>
              </w:rPr>
              <w:t>1</w:t>
            </w:r>
            <w:r>
              <w:rPr>
                <w:rFonts w:asciiTheme="majorHAnsi" w:hAnsiTheme="majorHAnsi" w:cstheme="majorHAnsi"/>
                <w:sz w:val="16"/>
                <w:szCs w:val="16"/>
                <w:lang w:val="lv-LV"/>
              </w:rPr>
              <w:t xml:space="preserve"> </w:t>
            </w:r>
            <w:r w:rsidRPr="000F151C">
              <w:rPr>
                <w:rFonts w:asciiTheme="majorHAnsi" w:hAnsiTheme="majorHAnsi" w:cstheme="majorHAnsi"/>
                <w:sz w:val="16"/>
                <w:szCs w:val="16"/>
                <w:lang w:val="lv-LV"/>
              </w:rPr>
              <w:t>508,9</w:t>
            </w:r>
          </w:p>
        </w:tc>
      </w:tr>
      <w:tr w:rsidR="00812A72" w:rsidRPr="00AB3438" w14:paraId="1484DDB4" w14:textId="77777777" w:rsidTr="0002297E">
        <w:trPr>
          <w:jc w:val="center"/>
        </w:trPr>
        <w:tc>
          <w:tcPr>
            <w:tcW w:w="5102" w:type="dxa"/>
            <w:shd w:val="clear" w:color="auto" w:fill="D9E2F3" w:themeFill="accent1" w:themeFillTint="33"/>
          </w:tcPr>
          <w:p w14:paraId="5335CC0B" w14:textId="77777777" w:rsidR="00812A72" w:rsidRPr="000F151C" w:rsidRDefault="00812A72" w:rsidP="0002297E">
            <w:pPr>
              <w:widowControl/>
              <w:spacing w:before="40" w:after="40" w:line="240" w:lineRule="auto"/>
              <w:rPr>
                <w:rFonts w:asciiTheme="majorHAnsi" w:hAnsiTheme="majorHAnsi" w:cstheme="majorHAnsi"/>
                <w:b/>
                <w:bCs/>
                <w:sz w:val="16"/>
                <w:szCs w:val="16"/>
                <w:lang w:val="lv-LV"/>
              </w:rPr>
            </w:pPr>
            <w:r w:rsidRPr="000F151C">
              <w:rPr>
                <w:rFonts w:asciiTheme="majorHAnsi" w:hAnsiTheme="majorHAnsi" w:cstheme="majorHAnsi"/>
                <w:sz w:val="16"/>
                <w:szCs w:val="16"/>
                <w:lang w:val="lv-LV"/>
              </w:rPr>
              <w:t xml:space="preserve">RPPI sektora pasākumi </w:t>
            </w:r>
          </w:p>
        </w:tc>
        <w:tc>
          <w:tcPr>
            <w:tcW w:w="2268" w:type="dxa"/>
            <w:shd w:val="clear" w:color="auto" w:fill="D9E2F3" w:themeFill="accent1" w:themeFillTint="33"/>
          </w:tcPr>
          <w:p w14:paraId="51E1AB0B" w14:textId="77777777" w:rsidR="00812A72" w:rsidRPr="00B75FEB" w:rsidRDefault="00812A72" w:rsidP="0002297E">
            <w:pPr>
              <w:widowControl/>
              <w:spacing w:before="40" w:after="40" w:line="240" w:lineRule="auto"/>
              <w:jc w:val="center"/>
              <w:rPr>
                <w:rFonts w:asciiTheme="majorHAnsi" w:hAnsiTheme="majorHAnsi" w:cstheme="majorHAnsi"/>
                <w:b/>
                <w:bCs/>
                <w:color w:val="000000" w:themeColor="text1"/>
                <w:sz w:val="16"/>
                <w:szCs w:val="16"/>
                <w:lang w:val="lv-LV"/>
              </w:rPr>
            </w:pPr>
            <w:r w:rsidRPr="00B75FEB">
              <w:rPr>
                <w:rFonts w:asciiTheme="majorHAnsi" w:hAnsiTheme="majorHAnsi" w:cstheme="majorHAnsi"/>
                <w:color w:val="000000" w:themeColor="text1"/>
                <w:sz w:val="16"/>
                <w:szCs w:val="16"/>
                <w:lang w:val="lv-LV"/>
              </w:rPr>
              <w:t>284,2</w:t>
            </w:r>
          </w:p>
        </w:tc>
        <w:tc>
          <w:tcPr>
            <w:tcW w:w="2268" w:type="dxa"/>
            <w:shd w:val="clear" w:color="auto" w:fill="D9E2F3" w:themeFill="accent1" w:themeFillTint="33"/>
          </w:tcPr>
          <w:p w14:paraId="596BB829" w14:textId="77777777" w:rsidR="00812A72" w:rsidRPr="000F151C" w:rsidRDefault="00812A72" w:rsidP="0002297E">
            <w:pPr>
              <w:widowControl/>
              <w:spacing w:before="40" w:after="40" w:line="240" w:lineRule="auto"/>
              <w:jc w:val="center"/>
              <w:rPr>
                <w:rFonts w:asciiTheme="majorHAnsi" w:hAnsiTheme="majorHAnsi" w:cstheme="majorHAnsi"/>
                <w:b/>
                <w:bCs/>
                <w:sz w:val="16"/>
                <w:szCs w:val="16"/>
                <w:lang w:val="lv-LV"/>
              </w:rPr>
            </w:pPr>
            <w:r w:rsidRPr="000F151C">
              <w:rPr>
                <w:rFonts w:asciiTheme="majorHAnsi" w:hAnsiTheme="majorHAnsi" w:cstheme="majorHAnsi"/>
                <w:sz w:val="16"/>
                <w:szCs w:val="16"/>
                <w:lang w:val="lv-LV"/>
              </w:rPr>
              <w:t>142,9</w:t>
            </w:r>
          </w:p>
        </w:tc>
      </w:tr>
      <w:tr w:rsidR="00812A72" w:rsidRPr="00AB3438" w14:paraId="111B7F94" w14:textId="77777777" w:rsidTr="0002297E">
        <w:trPr>
          <w:jc w:val="center"/>
        </w:trPr>
        <w:tc>
          <w:tcPr>
            <w:tcW w:w="5102" w:type="dxa"/>
            <w:shd w:val="clear" w:color="auto" w:fill="B4C6E7" w:themeFill="accent1" w:themeFillTint="66"/>
          </w:tcPr>
          <w:p w14:paraId="483A0FF1" w14:textId="77777777" w:rsidR="00812A72" w:rsidRPr="000F151C" w:rsidRDefault="00812A72" w:rsidP="0002297E">
            <w:pPr>
              <w:widowControl/>
              <w:spacing w:before="40" w:after="40" w:line="240" w:lineRule="auto"/>
              <w:rPr>
                <w:rFonts w:asciiTheme="majorHAnsi" w:hAnsiTheme="majorHAnsi" w:cstheme="majorHAnsi"/>
                <w:sz w:val="16"/>
                <w:szCs w:val="16"/>
                <w:lang w:val="lv-LV"/>
              </w:rPr>
            </w:pPr>
            <w:r w:rsidRPr="000F151C">
              <w:rPr>
                <w:rFonts w:asciiTheme="majorHAnsi" w:hAnsiTheme="majorHAnsi" w:cstheme="majorHAnsi"/>
                <w:sz w:val="16"/>
                <w:szCs w:val="16"/>
                <w:lang w:val="lv-LV"/>
              </w:rPr>
              <w:t xml:space="preserve">Elektroenerģiajs un siltumenerģijas ražošanas pasākumi </w:t>
            </w:r>
          </w:p>
        </w:tc>
        <w:tc>
          <w:tcPr>
            <w:tcW w:w="2268" w:type="dxa"/>
            <w:shd w:val="clear" w:color="auto" w:fill="B4C6E7" w:themeFill="accent1" w:themeFillTint="66"/>
          </w:tcPr>
          <w:p w14:paraId="76826A50" w14:textId="77777777" w:rsidR="00812A72" w:rsidRPr="00B75FEB" w:rsidRDefault="00812A72" w:rsidP="0002297E">
            <w:pPr>
              <w:widowControl/>
              <w:spacing w:before="40" w:after="40" w:line="240" w:lineRule="auto"/>
              <w:jc w:val="center"/>
              <w:rPr>
                <w:rFonts w:asciiTheme="majorHAnsi" w:hAnsiTheme="majorHAnsi" w:cstheme="majorHAnsi"/>
                <w:color w:val="000000" w:themeColor="text1"/>
                <w:sz w:val="16"/>
                <w:szCs w:val="16"/>
                <w:lang w:val="lv-LV"/>
              </w:rPr>
            </w:pPr>
            <w:r w:rsidRPr="00B75FEB">
              <w:rPr>
                <w:rFonts w:asciiTheme="majorHAnsi" w:hAnsiTheme="majorHAnsi" w:cstheme="majorHAnsi"/>
                <w:color w:val="000000" w:themeColor="text1"/>
                <w:sz w:val="16"/>
                <w:szCs w:val="16"/>
                <w:lang w:val="lv-LV"/>
              </w:rPr>
              <w:t>2 828,3</w:t>
            </w:r>
          </w:p>
        </w:tc>
        <w:tc>
          <w:tcPr>
            <w:tcW w:w="2268" w:type="dxa"/>
            <w:shd w:val="clear" w:color="auto" w:fill="B4C6E7" w:themeFill="accent1" w:themeFillTint="66"/>
          </w:tcPr>
          <w:p w14:paraId="04357022" w14:textId="77777777" w:rsidR="00812A72" w:rsidRPr="000F151C" w:rsidRDefault="00812A72" w:rsidP="0002297E">
            <w:pPr>
              <w:widowControl/>
              <w:spacing w:before="40" w:after="40" w:line="240" w:lineRule="auto"/>
              <w:jc w:val="center"/>
              <w:rPr>
                <w:rFonts w:asciiTheme="majorHAnsi" w:hAnsiTheme="majorHAnsi" w:cstheme="majorHAnsi"/>
                <w:sz w:val="16"/>
                <w:szCs w:val="16"/>
                <w:lang w:val="lv-LV"/>
              </w:rPr>
            </w:pPr>
            <w:r w:rsidRPr="000F151C">
              <w:rPr>
                <w:rFonts w:asciiTheme="majorHAnsi" w:hAnsiTheme="majorHAnsi" w:cstheme="majorHAnsi"/>
                <w:sz w:val="16"/>
                <w:szCs w:val="16"/>
                <w:lang w:val="lv-LV"/>
              </w:rPr>
              <w:t>1</w:t>
            </w:r>
            <w:r>
              <w:rPr>
                <w:rFonts w:asciiTheme="majorHAnsi" w:hAnsiTheme="majorHAnsi" w:cstheme="majorHAnsi"/>
                <w:sz w:val="16"/>
                <w:szCs w:val="16"/>
                <w:lang w:val="lv-LV"/>
              </w:rPr>
              <w:t xml:space="preserve"> </w:t>
            </w:r>
            <w:r w:rsidRPr="000F151C">
              <w:rPr>
                <w:rFonts w:asciiTheme="majorHAnsi" w:hAnsiTheme="majorHAnsi" w:cstheme="majorHAnsi"/>
                <w:sz w:val="16"/>
                <w:szCs w:val="16"/>
                <w:lang w:val="lv-LV"/>
              </w:rPr>
              <w:t>320,0</w:t>
            </w:r>
          </w:p>
        </w:tc>
      </w:tr>
      <w:tr w:rsidR="00812A72" w:rsidRPr="00AB3438" w14:paraId="3680C33A" w14:textId="77777777" w:rsidTr="0002297E">
        <w:trPr>
          <w:jc w:val="center"/>
        </w:trPr>
        <w:tc>
          <w:tcPr>
            <w:tcW w:w="5102" w:type="dxa"/>
            <w:shd w:val="clear" w:color="auto" w:fill="D9E2F3" w:themeFill="accent1" w:themeFillTint="33"/>
          </w:tcPr>
          <w:p w14:paraId="66F9FF38" w14:textId="77777777" w:rsidR="00812A72" w:rsidRPr="000F151C" w:rsidRDefault="00812A72" w:rsidP="0002297E">
            <w:pPr>
              <w:widowControl/>
              <w:spacing w:before="40" w:after="40" w:line="240" w:lineRule="auto"/>
              <w:rPr>
                <w:rFonts w:asciiTheme="majorHAnsi" w:hAnsiTheme="majorHAnsi" w:cstheme="majorHAnsi"/>
                <w:sz w:val="16"/>
                <w:szCs w:val="16"/>
                <w:lang w:val="lv-LV"/>
              </w:rPr>
            </w:pPr>
            <w:r w:rsidRPr="000F151C">
              <w:rPr>
                <w:rFonts w:asciiTheme="majorHAnsi" w:hAnsiTheme="majorHAnsi" w:cstheme="majorHAnsi"/>
                <w:sz w:val="16"/>
                <w:szCs w:val="16"/>
                <w:lang w:val="lv-LV"/>
              </w:rPr>
              <w:t>Enerģētiskās drošības un iekšējā elektrības tirgus pasākumi</w:t>
            </w:r>
          </w:p>
        </w:tc>
        <w:tc>
          <w:tcPr>
            <w:tcW w:w="2268" w:type="dxa"/>
            <w:shd w:val="clear" w:color="auto" w:fill="D9E2F3" w:themeFill="accent1" w:themeFillTint="33"/>
          </w:tcPr>
          <w:p w14:paraId="1FC0F8DD" w14:textId="77777777" w:rsidR="00812A72" w:rsidRPr="00B75FEB" w:rsidRDefault="00812A72" w:rsidP="0002297E">
            <w:pPr>
              <w:widowControl/>
              <w:spacing w:before="40" w:after="40" w:line="240" w:lineRule="auto"/>
              <w:jc w:val="center"/>
              <w:rPr>
                <w:rFonts w:asciiTheme="majorHAnsi" w:hAnsiTheme="majorHAnsi" w:cstheme="majorHAnsi"/>
                <w:color w:val="000000" w:themeColor="text1"/>
                <w:sz w:val="16"/>
                <w:szCs w:val="16"/>
                <w:lang w:val="lv-LV"/>
              </w:rPr>
            </w:pPr>
            <w:r w:rsidRPr="00B75FEB">
              <w:rPr>
                <w:rFonts w:asciiTheme="majorHAnsi" w:hAnsiTheme="majorHAnsi" w:cstheme="majorHAnsi"/>
                <w:color w:val="000000" w:themeColor="text1"/>
                <w:sz w:val="16"/>
                <w:szCs w:val="16"/>
                <w:lang w:val="lv-LV"/>
              </w:rPr>
              <w:t>32,0 *</w:t>
            </w:r>
          </w:p>
        </w:tc>
        <w:tc>
          <w:tcPr>
            <w:tcW w:w="2268" w:type="dxa"/>
            <w:shd w:val="clear" w:color="auto" w:fill="D9E2F3" w:themeFill="accent1" w:themeFillTint="33"/>
          </w:tcPr>
          <w:p w14:paraId="4917F0E1" w14:textId="77777777" w:rsidR="00812A72" w:rsidRPr="000F151C" w:rsidRDefault="00812A72" w:rsidP="0002297E">
            <w:pPr>
              <w:widowControl/>
              <w:spacing w:before="40" w:after="40" w:line="240" w:lineRule="auto"/>
              <w:jc w:val="center"/>
              <w:rPr>
                <w:rFonts w:asciiTheme="majorHAnsi" w:hAnsiTheme="majorHAnsi" w:cstheme="majorHAnsi"/>
                <w:sz w:val="16"/>
                <w:szCs w:val="16"/>
                <w:lang w:val="lv-LV"/>
              </w:rPr>
            </w:pPr>
            <w:r w:rsidRPr="000F151C">
              <w:rPr>
                <w:rFonts w:asciiTheme="majorHAnsi" w:hAnsiTheme="majorHAnsi" w:cstheme="majorHAnsi"/>
                <w:sz w:val="16"/>
                <w:szCs w:val="16"/>
                <w:lang w:val="lv-LV"/>
              </w:rPr>
              <w:t>19,4 *</w:t>
            </w:r>
          </w:p>
        </w:tc>
      </w:tr>
      <w:tr w:rsidR="00812A72" w:rsidRPr="00AB3438" w14:paraId="5BA766CB" w14:textId="77777777" w:rsidTr="0002297E">
        <w:trPr>
          <w:jc w:val="center"/>
        </w:trPr>
        <w:tc>
          <w:tcPr>
            <w:tcW w:w="5102" w:type="dxa"/>
            <w:shd w:val="clear" w:color="auto" w:fill="B4C6E7" w:themeFill="accent1" w:themeFillTint="66"/>
          </w:tcPr>
          <w:p w14:paraId="04CE5999" w14:textId="77777777" w:rsidR="00812A72" w:rsidRPr="000F151C" w:rsidRDefault="00812A72" w:rsidP="0002297E">
            <w:pPr>
              <w:widowControl/>
              <w:spacing w:before="40" w:after="40" w:line="240" w:lineRule="auto"/>
              <w:rPr>
                <w:rFonts w:asciiTheme="majorHAnsi" w:hAnsiTheme="majorHAnsi" w:cstheme="majorHAnsi"/>
                <w:sz w:val="16"/>
                <w:szCs w:val="16"/>
                <w:lang w:val="lv-LV"/>
              </w:rPr>
            </w:pPr>
            <w:r w:rsidRPr="000F151C">
              <w:rPr>
                <w:rFonts w:asciiTheme="majorHAnsi" w:hAnsiTheme="majorHAnsi" w:cstheme="majorHAnsi"/>
                <w:sz w:val="16"/>
                <w:szCs w:val="16"/>
                <w:lang w:val="lv-LV"/>
              </w:rPr>
              <w:t xml:space="preserve">Energoefektivitātes pasākumi </w:t>
            </w:r>
          </w:p>
        </w:tc>
        <w:tc>
          <w:tcPr>
            <w:tcW w:w="2268" w:type="dxa"/>
            <w:shd w:val="clear" w:color="auto" w:fill="B4C6E7" w:themeFill="accent1" w:themeFillTint="66"/>
          </w:tcPr>
          <w:p w14:paraId="7B4FE7AB" w14:textId="77777777" w:rsidR="00812A72" w:rsidRPr="00B75FEB" w:rsidRDefault="00812A72" w:rsidP="0002297E">
            <w:pPr>
              <w:widowControl/>
              <w:spacing w:before="40" w:after="40" w:line="240" w:lineRule="auto"/>
              <w:jc w:val="center"/>
              <w:rPr>
                <w:rFonts w:asciiTheme="majorHAnsi" w:hAnsiTheme="majorHAnsi" w:cstheme="majorHAnsi"/>
                <w:color w:val="000000" w:themeColor="text1"/>
                <w:sz w:val="16"/>
                <w:szCs w:val="16"/>
                <w:lang w:val="lv-LV"/>
              </w:rPr>
            </w:pPr>
            <w:r w:rsidRPr="00B75FEB">
              <w:rPr>
                <w:rFonts w:asciiTheme="majorHAnsi" w:hAnsiTheme="majorHAnsi" w:cstheme="majorHAnsi"/>
                <w:color w:val="000000" w:themeColor="text1"/>
                <w:sz w:val="16"/>
                <w:szCs w:val="16"/>
                <w:lang w:val="lv-LV"/>
              </w:rPr>
              <w:t>3 804,9</w:t>
            </w:r>
          </w:p>
        </w:tc>
        <w:tc>
          <w:tcPr>
            <w:tcW w:w="2268" w:type="dxa"/>
            <w:shd w:val="clear" w:color="auto" w:fill="B4C6E7" w:themeFill="accent1" w:themeFillTint="66"/>
          </w:tcPr>
          <w:p w14:paraId="437787F4" w14:textId="77777777" w:rsidR="00812A72" w:rsidRPr="000F151C" w:rsidRDefault="00812A72" w:rsidP="0002297E">
            <w:pPr>
              <w:widowControl/>
              <w:spacing w:before="40" w:after="40" w:line="240" w:lineRule="auto"/>
              <w:jc w:val="center"/>
              <w:rPr>
                <w:rFonts w:asciiTheme="majorHAnsi" w:hAnsiTheme="majorHAnsi" w:cstheme="majorHAnsi"/>
                <w:sz w:val="16"/>
                <w:szCs w:val="16"/>
                <w:lang w:val="lv-LV"/>
              </w:rPr>
            </w:pPr>
            <w:r w:rsidRPr="000F151C">
              <w:rPr>
                <w:rFonts w:asciiTheme="majorHAnsi" w:hAnsiTheme="majorHAnsi" w:cstheme="majorHAnsi"/>
                <w:sz w:val="16"/>
                <w:szCs w:val="16"/>
                <w:lang w:val="lv-LV"/>
              </w:rPr>
              <w:t>2</w:t>
            </w:r>
            <w:r>
              <w:rPr>
                <w:rFonts w:asciiTheme="majorHAnsi" w:hAnsiTheme="majorHAnsi" w:cstheme="majorHAnsi"/>
                <w:sz w:val="16"/>
                <w:szCs w:val="16"/>
                <w:lang w:val="lv-LV"/>
              </w:rPr>
              <w:t xml:space="preserve"> </w:t>
            </w:r>
            <w:r w:rsidRPr="000F151C">
              <w:rPr>
                <w:rFonts w:asciiTheme="majorHAnsi" w:hAnsiTheme="majorHAnsi" w:cstheme="majorHAnsi"/>
                <w:sz w:val="16"/>
                <w:szCs w:val="16"/>
                <w:lang w:val="lv-LV"/>
              </w:rPr>
              <w:t>012,1</w:t>
            </w:r>
          </w:p>
        </w:tc>
      </w:tr>
      <w:tr w:rsidR="00812A72" w:rsidRPr="00AB3438" w14:paraId="360AD0CB" w14:textId="77777777" w:rsidTr="0002297E">
        <w:trPr>
          <w:jc w:val="center"/>
        </w:trPr>
        <w:tc>
          <w:tcPr>
            <w:tcW w:w="5102" w:type="dxa"/>
            <w:shd w:val="clear" w:color="auto" w:fill="D9E2F3" w:themeFill="accent1" w:themeFillTint="33"/>
          </w:tcPr>
          <w:p w14:paraId="401F5AB4" w14:textId="77777777" w:rsidR="00812A72" w:rsidRPr="000F151C" w:rsidRDefault="00812A72" w:rsidP="0002297E">
            <w:pPr>
              <w:widowControl/>
              <w:spacing w:before="40" w:after="40" w:line="240" w:lineRule="auto"/>
              <w:rPr>
                <w:rFonts w:asciiTheme="majorHAnsi" w:hAnsiTheme="majorHAnsi" w:cstheme="majorHAnsi"/>
                <w:b/>
                <w:bCs/>
                <w:sz w:val="16"/>
                <w:szCs w:val="16"/>
                <w:lang w:val="lv-LV"/>
              </w:rPr>
            </w:pPr>
            <w:r w:rsidRPr="000F151C">
              <w:rPr>
                <w:rFonts w:asciiTheme="majorHAnsi" w:hAnsiTheme="majorHAnsi" w:cstheme="majorHAnsi"/>
                <w:b/>
                <w:bCs/>
                <w:sz w:val="16"/>
                <w:szCs w:val="16"/>
                <w:lang w:val="lv-LV"/>
              </w:rPr>
              <w:t xml:space="preserve">Kopā </w:t>
            </w:r>
          </w:p>
        </w:tc>
        <w:tc>
          <w:tcPr>
            <w:tcW w:w="2268" w:type="dxa"/>
            <w:shd w:val="clear" w:color="auto" w:fill="D9E2F3" w:themeFill="accent1" w:themeFillTint="33"/>
          </w:tcPr>
          <w:p w14:paraId="0DE786E2" w14:textId="77777777" w:rsidR="00812A72" w:rsidRPr="00B75FEB" w:rsidRDefault="00812A72" w:rsidP="0002297E">
            <w:pPr>
              <w:widowControl/>
              <w:spacing w:before="40" w:after="40" w:line="240" w:lineRule="auto"/>
              <w:jc w:val="center"/>
              <w:rPr>
                <w:rFonts w:asciiTheme="majorHAnsi" w:hAnsiTheme="majorHAnsi" w:cstheme="majorHAnsi"/>
                <w:b/>
                <w:bCs/>
                <w:color w:val="000000" w:themeColor="text1"/>
                <w:sz w:val="16"/>
                <w:szCs w:val="16"/>
                <w:lang w:val="lv-LV"/>
              </w:rPr>
            </w:pPr>
            <w:r w:rsidRPr="00B75FEB">
              <w:rPr>
                <w:rFonts w:asciiTheme="majorHAnsi" w:hAnsiTheme="majorHAnsi" w:cstheme="majorHAnsi"/>
                <w:b/>
                <w:bCs/>
                <w:color w:val="000000" w:themeColor="text1"/>
                <w:sz w:val="16"/>
                <w:szCs w:val="16"/>
              </w:rPr>
              <w:t>10 746,1</w:t>
            </w:r>
          </w:p>
        </w:tc>
        <w:tc>
          <w:tcPr>
            <w:tcW w:w="2268" w:type="dxa"/>
            <w:shd w:val="clear" w:color="auto" w:fill="D9E2F3" w:themeFill="accent1" w:themeFillTint="33"/>
          </w:tcPr>
          <w:p w14:paraId="062E3744" w14:textId="77777777" w:rsidR="00812A72" w:rsidRPr="000F151C" w:rsidRDefault="00812A72" w:rsidP="0002297E">
            <w:pPr>
              <w:widowControl/>
              <w:spacing w:before="40" w:after="40" w:line="240" w:lineRule="auto"/>
              <w:jc w:val="center"/>
              <w:rPr>
                <w:rFonts w:asciiTheme="majorHAnsi" w:hAnsiTheme="majorHAnsi" w:cstheme="majorHAnsi"/>
                <w:b/>
                <w:bCs/>
                <w:sz w:val="16"/>
                <w:szCs w:val="16"/>
                <w:lang w:val="lv-LV"/>
              </w:rPr>
            </w:pPr>
            <w:r w:rsidRPr="000F151C">
              <w:rPr>
                <w:rFonts w:asciiTheme="majorHAnsi" w:hAnsiTheme="majorHAnsi" w:cstheme="majorHAnsi"/>
                <w:b/>
                <w:bCs/>
                <w:sz w:val="16"/>
                <w:szCs w:val="16"/>
              </w:rPr>
              <w:t>6</w:t>
            </w:r>
            <w:r>
              <w:rPr>
                <w:rFonts w:asciiTheme="majorHAnsi" w:hAnsiTheme="majorHAnsi" w:cstheme="majorHAnsi"/>
                <w:b/>
                <w:bCs/>
                <w:sz w:val="16"/>
                <w:szCs w:val="16"/>
              </w:rPr>
              <w:t xml:space="preserve"> </w:t>
            </w:r>
            <w:r w:rsidRPr="000F151C">
              <w:rPr>
                <w:rFonts w:asciiTheme="majorHAnsi" w:hAnsiTheme="majorHAnsi" w:cstheme="majorHAnsi"/>
                <w:b/>
                <w:bCs/>
                <w:sz w:val="16"/>
                <w:szCs w:val="16"/>
              </w:rPr>
              <w:t>309,8</w:t>
            </w:r>
          </w:p>
        </w:tc>
      </w:tr>
    </w:tbl>
    <w:p w14:paraId="57F8D236" w14:textId="77777777" w:rsidR="00812A72" w:rsidRPr="00097491" w:rsidRDefault="00812A72" w:rsidP="00812A72">
      <w:pPr>
        <w:widowControl/>
        <w:spacing w:before="120" w:after="120" w:line="240" w:lineRule="auto"/>
        <w:rPr>
          <w:rFonts w:ascii="Arial Nova Cond Light" w:eastAsia="Times New Roman" w:hAnsi="Arial Nova Cond Light"/>
          <w:sz w:val="16"/>
          <w:szCs w:val="24"/>
          <w:lang w:val="sv-SE" w:eastAsia="lv-LV"/>
        </w:rPr>
      </w:pPr>
      <w:r w:rsidRPr="000F151C">
        <w:rPr>
          <w:rFonts w:ascii="Arial Nova Cond Light" w:eastAsia="Times New Roman" w:hAnsi="Arial Nova Cond Light"/>
          <w:sz w:val="16"/>
          <w:szCs w:val="24"/>
          <w:lang w:eastAsia="lv-LV"/>
        </w:rPr>
        <w:t>*</w:t>
      </w:r>
      <w:r>
        <w:rPr>
          <w:rFonts w:ascii="Arial Nova Cond Light" w:eastAsia="Times New Roman" w:hAnsi="Arial Nova Cond Light"/>
          <w:sz w:val="16"/>
          <w:szCs w:val="24"/>
          <w:lang w:eastAsia="lv-LV"/>
        </w:rPr>
        <w:t> </w:t>
      </w:r>
      <w:r w:rsidRPr="000F151C">
        <w:rPr>
          <w:rFonts w:ascii="Arial Nova Cond Light" w:eastAsia="Times New Roman" w:hAnsi="Arial Nova Cond Light"/>
          <w:sz w:val="16"/>
          <w:szCs w:val="24"/>
          <w:lang w:eastAsia="lv-LV"/>
        </w:rPr>
        <w:t xml:space="preserve">Neskaitot 3.3.3. pasākuma finansējumu (627,6 milj. eiro), kur finansējuma avots ir degvielas cenas pieaugums. </w:t>
      </w:r>
      <w:r>
        <w:rPr>
          <w:rFonts w:ascii="Arial Nova Cond Light" w:eastAsia="Times New Roman" w:hAnsi="Arial Nova Cond Light"/>
          <w:sz w:val="16"/>
          <w:szCs w:val="24"/>
          <w:lang w:eastAsia="lv-LV"/>
        </w:rPr>
        <w:br/>
      </w:r>
      <w:r w:rsidRPr="00097491">
        <w:rPr>
          <w:rFonts w:ascii="Arial Nova Cond Light" w:eastAsia="Times New Roman" w:hAnsi="Arial Nova Cond Light"/>
          <w:sz w:val="16"/>
          <w:szCs w:val="24"/>
          <w:lang w:val="sv-SE" w:eastAsia="lv-LV"/>
        </w:rPr>
        <w:t>Avots: autoru veidota tabula pēc NEKP un Ekonomikas ministrijas nepublicētiem datiem.</w:t>
      </w:r>
    </w:p>
    <w:p w14:paraId="7FA552FB" w14:textId="77777777" w:rsidR="00812A72" w:rsidRDefault="00812A72" w:rsidP="00812A72">
      <w:pPr>
        <w:widowControl/>
        <w:spacing w:after="120" w:line="240" w:lineRule="auto"/>
        <w:jc w:val="both"/>
        <w:rPr>
          <w:rFonts w:ascii="Verdana Pro Cond Light" w:hAnsi="Verdana Pro Cond Light"/>
          <w:lang w:val="lv-LV"/>
        </w:rPr>
      </w:pPr>
      <w:bookmarkStart w:id="78" w:name="_Hlk177832816"/>
    </w:p>
    <w:p w14:paraId="046D6092" w14:textId="37336085" w:rsidR="00812A72" w:rsidRDefault="00812A72" w:rsidP="00812A72">
      <w:pPr>
        <w:widowControl/>
        <w:spacing w:after="120" w:line="240" w:lineRule="auto"/>
        <w:rPr>
          <w:rFonts w:ascii="Verdana Pro Cond Light" w:hAnsi="Verdana Pro Cond Light"/>
          <w:lang w:val="lv-LV"/>
        </w:rPr>
      </w:pPr>
      <w:r w:rsidRPr="00D7546E">
        <w:rPr>
          <w:rFonts w:ascii="Verdana Pro Cond Light" w:hAnsi="Verdana Pro Cond Light"/>
          <w:lang w:val="lv-LV"/>
        </w:rPr>
        <w:t>NEKP pasākumiem kopumā ir pozitīva ietekme uz iekšzemes kopproduktu (IKP)</w:t>
      </w:r>
      <w:r>
        <w:rPr>
          <w:rFonts w:ascii="Verdana Pro Cond Light" w:hAnsi="Verdana Pro Cond Light"/>
          <w:lang w:val="lv-LV"/>
        </w:rPr>
        <w:t xml:space="preserve"> – </w:t>
      </w:r>
      <w:r w:rsidRPr="00D7546E">
        <w:rPr>
          <w:rFonts w:ascii="Verdana Pro Cond Light" w:hAnsi="Verdana Pro Cond Light"/>
          <w:lang w:val="lv-LV"/>
        </w:rPr>
        <w:t>ne tikai īstermiņā (t.i., investīciju veikšanas periodā</w:t>
      </w:r>
      <w:r>
        <w:rPr>
          <w:rFonts w:ascii="Verdana Pro Cond Light" w:hAnsi="Verdana Pro Cond Light"/>
          <w:lang w:val="lv-LV"/>
        </w:rPr>
        <w:t xml:space="preserve"> – </w:t>
      </w:r>
      <w:r w:rsidRPr="00D7546E">
        <w:rPr>
          <w:rFonts w:ascii="Verdana Pro Cond Light" w:hAnsi="Verdana Pro Cond Light"/>
          <w:lang w:val="lv-LV"/>
        </w:rPr>
        <w:t>līdz 2030. gadam), bet arī ilgtermiņā. Reālā IKP līmenis 2050. gadā ir par 7,</w:t>
      </w:r>
      <w:r w:rsidR="0090524B">
        <w:rPr>
          <w:rFonts w:ascii="Verdana Pro Cond Light" w:hAnsi="Verdana Pro Cond Light"/>
          <w:lang w:val="lv-LV"/>
        </w:rPr>
        <w:t>7</w:t>
      </w:r>
      <w:r>
        <w:rPr>
          <w:rFonts w:ascii="Verdana Pro Cond Light" w:hAnsi="Verdana Pro Cond Light"/>
          <w:lang w:val="lv-LV"/>
        </w:rPr>
        <w:t> </w:t>
      </w:r>
      <w:r w:rsidRPr="00D7546E">
        <w:rPr>
          <w:rFonts w:ascii="Verdana Pro Cond Light" w:hAnsi="Verdana Pro Cond Light"/>
          <w:lang w:val="lv-LV"/>
        </w:rPr>
        <w:t>% lielāks nekā neīstenojot NEKP pasākumus. No IKP komponentēm visvairāk palielinās investīcijas (vairāk nekā par 10</w:t>
      </w:r>
      <w:r>
        <w:rPr>
          <w:rFonts w:ascii="Verdana Pro Cond Light" w:hAnsi="Verdana Pro Cond Light"/>
          <w:lang w:val="lv-LV"/>
        </w:rPr>
        <w:t> </w:t>
      </w:r>
      <w:r w:rsidRPr="00D7546E">
        <w:rPr>
          <w:rFonts w:ascii="Verdana Pro Cond Light" w:hAnsi="Verdana Pro Cond Light"/>
          <w:lang w:val="lv-LV"/>
        </w:rPr>
        <w:t>%); pozitīva ietekme ir arī uz privāto patēriņu (6.</w:t>
      </w:r>
      <w:r w:rsidR="0001121F">
        <w:rPr>
          <w:rFonts w:ascii="Verdana Pro Cond Light" w:hAnsi="Verdana Pro Cond Light"/>
          <w:lang w:val="lv-LV"/>
        </w:rPr>
        <w:t>37</w:t>
      </w:r>
      <w:r w:rsidRPr="00D7546E">
        <w:rPr>
          <w:rFonts w:ascii="Verdana Pro Cond Light" w:hAnsi="Verdana Pro Cond Light"/>
          <w:lang w:val="lv-LV"/>
        </w:rPr>
        <w:t>. attēls).</w:t>
      </w:r>
    </w:p>
    <w:p w14:paraId="731E7E67" w14:textId="38BF59C1" w:rsidR="00812A72" w:rsidRDefault="00812A72" w:rsidP="00812A72">
      <w:pPr>
        <w:widowControl/>
        <w:spacing w:after="120" w:line="240" w:lineRule="auto"/>
        <w:rPr>
          <w:rFonts w:ascii="Verdana Pro Cond Light" w:hAnsi="Verdana Pro Cond Light"/>
          <w:lang w:val="lv-LV"/>
        </w:rPr>
      </w:pPr>
      <w:r w:rsidRPr="00D7546E">
        <w:rPr>
          <w:rFonts w:ascii="Verdana Pro Cond Light" w:hAnsi="Verdana Pro Cond Light"/>
          <w:lang w:val="lv-LV"/>
        </w:rPr>
        <w:lastRenderedPageBreak/>
        <w:t>Īstermiņā investīciju pieaugums izspiež eksportu un palielina importu, tādējādi pasliktinot tirdzniecības bilanci par 2,0 procentu punktiem no IKP. Ilgtermiņā eksports tomēr pieaug vairāk par importu, uzlabojot tirdzniecības bilanci par 1,</w:t>
      </w:r>
      <w:r w:rsidR="0090524B">
        <w:rPr>
          <w:rFonts w:ascii="Verdana Pro Cond Light" w:hAnsi="Verdana Pro Cond Light"/>
          <w:lang w:val="lv-LV"/>
        </w:rPr>
        <w:t>7</w:t>
      </w:r>
      <w:r w:rsidRPr="00D7546E">
        <w:rPr>
          <w:rFonts w:ascii="Verdana Pro Cond Light" w:hAnsi="Verdana Pro Cond Light"/>
          <w:lang w:val="lv-LV"/>
        </w:rPr>
        <w:t xml:space="preserve"> procentu punktiem no IKP (6.</w:t>
      </w:r>
      <w:r w:rsidR="0001121F">
        <w:rPr>
          <w:rFonts w:ascii="Verdana Pro Cond Light" w:hAnsi="Verdana Pro Cond Light"/>
          <w:lang w:val="lv-LV"/>
        </w:rPr>
        <w:t>38</w:t>
      </w:r>
      <w:r w:rsidRPr="00D7546E">
        <w:rPr>
          <w:rFonts w:ascii="Verdana Pro Cond Light" w:hAnsi="Verdana Pro Cond Light"/>
          <w:lang w:val="lv-LV"/>
        </w:rPr>
        <w:t>. attēls).</w:t>
      </w:r>
    </w:p>
    <w:p w14:paraId="73E42C8D" w14:textId="778878CD" w:rsidR="00812A72" w:rsidRDefault="00812A72" w:rsidP="00812A72">
      <w:pPr>
        <w:widowControl/>
        <w:spacing w:after="120" w:line="240" w:lineRule="auto"/>
        <w:rPr>
          <w:rFonts w:ascii="Verdana Pro Cond Light" w:hAnsi="Verdana Pro Cond Light"/>
          <w:lang w:val="lv-LV"/>
        </w:rPr>
      </w:pPr>
      <w:r w:rsidRPr="00D7546E">
        <w:rPr>
          <w:rFonts w:ascii="Verdana Pro Cond Light" w:hAnsi="Verdana Pro Cond Light"/>
          <w:lang w:val="lv-LV"/>
        </w:rPr>
        <w:t>NEKP pasākumu īstenošanai ir pozitīva ietekme uz produktivitāti, palielinās arī nodarbinātība. Nodarbināto skaits 2050. gadā ir par 4,</w:t>
      </w:r>
      <w:r w:rsidR="0090524B">
        <w:rPr>
          <w:rFonts w:ascii="Verdana Pro Cond Light" w:hAnsi="Verdana Pro Cond Light"/>
          <w:lang w:val="lv-LV"/>
        </w:rPr>
        <w:t>8</w:t>
      </w:r>
      <w:r>
        <w:rPr>
          <w:rFonts w:ascii="Verdana Pro Cond Light" w:hAnsi="Verdana Pro Cond Light"/>
          <w:lang w:val="lv-LV"/>
        </w:rPr>
        <w:t> </w:t>
      </w:r>
      <w:r w:rsidRPr="00D7546E">
        <w:rPr>
          <w:rFonts w:ascii="Verdana Pro Cond Light" w:hAnsi="Verdana Pro Cond Light"/>
          <w:lang w:val="lv-LV"/>
        </w:rPr>
        <w:t xml:space="preserve">% lielāks nekā bāzes scenārijā, kas samazina bezdarba līmeni par </w:t>
      </w:r>
      <w:r w:rsidR="0090524B">
        <w:rPr>
          <w:rFonts w:ascii="Verdana Pro Cond Light" w:hAnsi="Verdana Pro Cond Light"/>
          <w:lang w:val="lv-LV"/>
        </w:rPr>
        <w:t>3</w:t>
      </w:r>
      <w:r w:rsidRPr="00D7546E">
        <w:rPr>
          <w:rFonts w:ascii="Verdana Pro Cond Light" w:hAnsi="Verdana Pro Cond Light"/>
          <w:lang w:val="lv-LV"/>
        </w:rPr>
        <w:t>,</w:t>
      </w:r>
      <w:r w:rsidR="0090524B">
        <w:rPr>
          <w:rFonts w:ascii="Verdana Pro Cond Light" w:hAnsi="Verdana Pro Cond Light"/>
          <w:lang w:val="lv-LV"/>
        </w:rPr>
        <w:t>0</w:t>
      </w:r>
      <w:r w:rsidRPr="00D7546E">
        <w:rPr>
          <w:rFonts w:ascii="Verdana Pro Cond Light" w:hAnsi="Verdana Pro Cond Light"/>
          <w:lang w:val="lv-LV"/>
        </w:rPr>
        <w:t xml:space="preserve"> procentu punktiem no ekonomiski aktīvajiem iedzīvotājiem (6.</w:t>
      </w:r>
      <w:r w:rsidR="003C2C92">
        <w:rPr>
          <w:rFonts w:ascii="Verdana Pro Cond Light" w:hAnsi="Verdana Pro Cond Light"/>
          <w:lang w:val="lv-LV"/>
        </w:rPr>
        <w:t>39</w:t>
      </w:r>
      <w:r w:rsidRPr="00D7546E">
        <w:rPr>
          <w:rFonts w:ascii="Verdana Pro Cond Light" w:hAnsi="Verdana Pro Cond Light"/>
          <w:lang w:val="lv-LV"/>
        </w:rPr>
        <w:t xml:space="preserve">. attēls). Ņemot vērā, ka bezdarba līmenis jau tagad ir tuvu vēsturiski zemākajam rādītājam, NEKP pasākumu īstenošana var intensificēt darbaroku trūkumu Latvijas ekonomikā un mazināt bezdarbu zem tā dabiskā līmeņa. </w:t>
      </w:r>
      <w:bookmarkStart w:id="79" w:name="_Hlk183678750"/>
      <w:r w:rsidR="00E435F9">
        <w:rPr>
          <w:rFonts w:ascii="Verdana Pro Cond Light" w:hAnsi="Verdana Pro Cond Light"/>
          <w:lang w:val="lv-LV"/>
        </w:rPr>
        <w:t xml:space="preserve">It īpaši situācijā, kad vienlaicīgi ar NEKP pasākumiem tiek īstenoti arī citi lielie investīciju projekti (piemēram, Rail Baltica). </w:t>
      </w:r>
      <w:bookmarkEnd w:id="79"/>
      <w:r w:rsidRPr="00D7546E">
        <w:rPr>
          <w:rFonts w:ascii="Verdana Pro Cond Light" w:hAnsi="Verdana Pro Cond Light"/>
          <w:lang w:val="lv-LV"/>
        </w:rPr>
        <w:t>Lai mazinātu ekonomikas pārkaršanas riskus lielu NEKP investīciju pasākumu īstenošanas laikā var rasties nepieciešamība palielināt ekonomiski aktīvo iedzīvotāju skaitu – piemēram, veicinot ekonomiski neaktīvu Latvijas iedzīvotāju atgriešanu darba tirgū vai augsti kvalificēto speciālistu imigrāciju.</w:t>
      </w:r>
    </w:p>
    <w:p w14:paraId="138E163C" w14:textId="3D949A81" w:rsidR="00812A72" w:rsidRDefault="00812A72" w:rsidP="00812A72">
      <w:pPr>
        <w:widowControl/>
        <w:spacing w:after="120" w:line="240" w:lineRule="auto"/>
        <w:rPr>
          <w:rFonts w:ascii="Verdana Pro Cond Light" w:hAnsi="Verdana Pro Cond Light"/>
          <w:lang w:val="lv-LV"/>
        </w:rPr>
      </w:pPr>
      <w:r w:rsidRPr="00D7546E">
        <w:rPr>
          <w:rFonts w:ascii="Verdana Pro Cond Light" w:hAnsi="Verdana Pro Cond Light"/>
          <w:lang w:val="lv-LV"/>
        </w:rPr>
        <w:t>Lielāks darbaspēka pieprasījums nosaka arī augstākas algas. Vidējā alga nominālā izteiksmē 2025. – 2029. gadā ir par 1,</w:t>
      </w:r>
      <w:r w:rsidR="0090524B">
        <w:rPr>
          <w:rFonts w:ascii="Verdana Pro Cond Light" w:hAnsi="Verdana Pro Cond Light"/>
          <w:lang w:val="lv-LV"/>
        </w:rPr>
        <w:t>5</w:t>
      </w:r>
      <w:r>
        <w:rPr>
          <w:rFonts w:ascii="Verdana Pro Cond Light" w:hAnsi="Verdana Pro Cond Light"/>
          <w:lang w:val="lv-LV"/>
        </w:rPr>
        <w:t> </w:t>
      </w:r>
      <w:r w:rsidRPr="00D7546E">
        <w:rPr>
          <w:rFonts w:ascii="Verdana Pro Cond Light" w:hAnsi="Verdana Pro Cond Light"/>
          <w:lang w:val="lv-LV"/>
        </w:rPr>
        <w:t>% lielāka nekā bāzes scenārijā. Īstermiņā šo algas pieaugumu kompensē augstāka inflācija (tautsaimniecības augšupejas ietekmē), taču ilgtermiņā ietekme uz cenu līmeni ir negatīva, jo papildu investīcijas vairo tautsaimniecības kapacitāti jeb potenciālo IKP (6.4</w:t>
      </w:r>
      <w:r w:rsidR="003C2C92">
        <w:rPr>
          <w:rFonts w:ascii="Verdana Pro Cond Light" w:hAnsi="Verdana Pro Cond Light"/>
          <w:lang w:val="lv-LV"/>
        </w:rPr>
        <w:t>0</w:t>
      </w:r>
      <w:r w:rsidRPr="00D7546E">
        <w:rPr>
          <w:rFonts w:ascii="Verdana Pro Cond Light" w:hAnsi="Verdana Pro Cond Light"/>
          <w:lang w:val="lv-LV"/>
        </w:rPr>
        <w:t>. attēls). Tādējādi ietekme uz reālo algu (t.i., vidējās algas pirktspēju) ilgtermiņā ir pozitīva.</w:t>
      </w:r>
    </w:p>
    <w:p w14:paraId="4CF7BCC2" w14:textId="3D2D2FAB" w:rsidR="00812A72" w:rsidRDefault="00812A72" w:rsidP="00812A72">
      <w:pPr>
        <w:widowControl/>
        <w:spacing w:after="120" w:line="240" w:lineRule="auto"/>
        <w:rPr>
          <w:rFonts w:ascii="Verdana Pro Cond Light" w:hAnsi="Verdana Pro Cond Light"/>
          <w:lang w:val="lv-LV"/>
        </w:rPr>
      </w:pPr>
      <w:r w:rsidRPr="00D7546E">
        <w:rPr>
          <w:rFonts w:ascii="Verdana Pro Cond Light" w:hAnsi="Verdana Pro Cond Light"/>
          <w:lang w:val="lv-LV"/>
        </w:rPr>
        <w:t xml:space="preserve">Augstāks IKP un īstermiņā arī lielāks cenu līmenis nosaka pozitīvu NEKP pasākumu ietekmi uz valsts budžeta ieņēmumiem, t.sk. uz nodokļu ieņēmumiem. Tādējādi valsts budžeta ieņēmumi 2050. gadā ir par </w:t>
      </w:r>
      <w:r w:rsidR="0090524B">
        <w:rPr>
          <w:rFonts w:ascii="Verdana Pro Cond Light" w:hAnsi="Verdana Pro Cond Light"/>
          <w:lang w:val="lv-LV"/>
        </w:rPr>
        <w:t>5</w:t>
      </w:r>
      <w:r w:rsidRPr="00D7546E">
        <w:rPr>
          <w:rFonts w:ascii="Verdana Pro Cond Light" w:hAnsi="Verdana Pro Cond Light"/>
          <w:lang w:val="lv-LV"/>
        </w:rPr>
        <w:t>,</w:t>
      </w:r>
      <w:r w:rsidR="0090524B">
        <w:rPr>
          <w:rFonts w:ascii="Verdana Pro Cond Light" w:hAnsi="Verdana Pro Cond Light"/>
          <w:lang w:val="lv-LV"/>
        </w:rPr>
        <w:t>2</w:t>
      </w:r>
      <w:r>
        <w:rPr>
          <w:rFonts w:ascii="Verdana Pro Cond Light" w:hAnsi="Verdana Pro Cond Light"/>
          <w:lang w:val="lv-LV"/>
        </w:rPr>
        <w:t> </w:t>
      </w:r>
      <w:r w:rsidRPr="00D7546E">
        <w:rPr>
          <w:rFonts w:ascii="Verdana Pro Cond Light" w:hAnsi="Verdana Pro Cond Light"/>
          <w:lang w:val="lv-LV"/>
        </w:rPr>
        <w:t>% lielāki nekā bāzes scenārijā (6.4</w:t>
      </w:r>
      <w:r w:rsidR="003C2C92">
        <w:rPr>
          <w:rFonts w:ascii="Verdana Pro Cond Light" w:hAnsi="Verdana Pro Cond Light"/>
          <w:lang w:val="lv-LV"/>
        </w:rPr>
        <w:t>1</w:t>
      </w:r>
      <w:r w:rsidRPr="00D7546E">
        <w:rPr>
          <w:rFonts w:ascii="Verdana Pro Cond Light" w:hAnsi="Verdana Pro Cond Light"/>
          <w:lang w:val="lv-LV"/>
        </w:rPr>
        <w:t>. attēls). Nozaru dalījumā ietekme uz pievienoto vērtību ir pozitīva visās privātā sektora nozarēs (6.4</w:t>
      </w:r>
      <w:r w:rsidR="003C2C92">
        <w:rPr>
          <w:rFonts w:ascii="Verdana Pro Cond Light" w:hAnsi="Verdana Pro Cond Light"/>
          <w:lang w:val="lv-LV"/>
        </w:rPr>
        <w:t>2</w:t>
      </w:r>
      <w:r w:rsidRPr="00D7546E">
        <w:rPr>
          <w:rFonts w:ascii="Verdana Pro Cond Light" w:hAnsi="Verdana Pro Cond Light"/>
          <w:lang w:val="lv-LV"/>
        </w:rPr>
        <w:t>. attēls).</w:t>
      </w:r>
    </w:p>
    <w:bookmarkEnd w:id="78"/>
    <w:p w14:paraId="4D704D27" w14:textId="7B48B847" w:rsidR="00812A72" w:rsidRPr="00D7546E" w:rsidRDefault="00812A72" w:rsidP="00812A72">
      <w:pPr>
        <w:widowControl/>
        <w:spacing w:before="120" w:after="120" w:line="240" w:lineRule="auto"/>
        <w:jc w:val="right"/>
        <w:rPr>
          <w:rFonts w:ascii="Verdana Pro Cond Light" w:eastAsia="Times New Roman" w:hAnsi="Verdana Pro Cond Light" w:cstheme="minorHAnsi"/>
          <w:bCs/>
          <w:lang w:val="lv-LV" w:eastAsia="lv-LV"/>
        </w:rPr>
      </w:pPr>
      <w:r w:rsidRPr="00D7546E">
        <w:rPr>
          <w:rFonts w:ascii="Verdana Pro Cond Light" w:eastAsia="Times New Roman" w:hAnsi="Verdana Pro Cond Light" w:cstheme="minorHAnsi"/>
          <w:bCs/>
          <w:lang w:val="lv-LV" w:eastAsia="lv-LV"/>
        </w:rPr>
        <w:t>6.</w:t>
      </w:r>
      <w:r w:rsidR="0001121F">
        <w:rPr>
          <w:rFonts w:ascii="Verdana Pro Cond Light" w:eastAsia="Times New Roman" w:hAnsi="Verdana Pro Cond Light" w:cstheme="minorHAnsi"/>
          <w:bCs/>
          <w:lang w:val="lv-LV" w:eastAsia="lv-LV"/>
        </w:rPr>
        <w:t>37</w:t>
      </w:r>
      <w:r w:rsidRPr="00D7546E">
        <w:rPr>
          <w:rFonts w:ascii="Verdana Pro Cond Light" w:eastAsia="Times New Roman" w:hAnsi="Verdana Pro Cond Light" w:cstheme="minorHAnsi"/>
          <w:bCs/>
          <w:lang w:val="lv-LV" w:eastAsia="lv-LV"/>
        </w:rPr>
        <w:t>. attēls</w:t>
      </w:r>
    </w:p>
    <w:p w14:paraId="684CBC77" w14:textId="77777777" w:rsidR="00812A72" w:rsidRDefault="00812A72" w:rsidP="00812A72">
      <w:pPr>
        <w:widowControl/>
        <w:spacing w:after="120" w:line="240" w:lineRule="auto"/>
        <w:jc w:val="center"/>
        <w:rPr>
          <w:rFonts w:ascii="Verdana Pro Cond Light" w:eastAsia="Times New Roman" w:hAnsi="Verdana Pro Cond Light"/>
          <w:sz w:val="18"/>
          <w:szCs w:val="18"/>
          <w:lang w:val="lv-LV" w:eastAsia="lv-LV"/>
        </w:rPr>
      </w:pPr>
      <w:r w:rsidRPr="00D7546E">
        <w:rPr>
          <w:rFonts w:ascii="Verdana Pro Cond Light" w:eastAsia="Times New Roman" w:hAnsi="Verdana Pro Cond Light"/>
          <w:b/>
          <w:bCs/>
          <w:lang w:val="lv-LV" w:eastAsia="lv-LV"/>
        </w:rPr>
        <w:t>NEKP pasākumu (nepieciešamā finansējuma apjomā) ietekme uz Latvijas</w:t>
      </w:r>
      <w:r>
        <w:rPr>
          <w:rFonts w:ascii="Verdana Pro Cond Light" w:eastAsia="Times New Roman" w:hAnsi="Verdana Pro Cond Light"/>
          <w:b/>
          <w:bCs/>
          <w:lang w:val="lv-LV" w:eastAsia="lv-LV"/>
        </w:rPr>
        <w:br/>
      </w:r>
      <w:r w:rsidRPr="00D7546E">
        <w:rPr>
          <w:rFonts w:ascii="Verdana Pro Cond Light" w:eastAsia="Times New Roman" w:hAnsi="Verdana Pro Cond Light"/>
          <w:b/>
          <w:bCs/>
          <w:lang w:val="lv-LV" w:eastAsia="lv-LV"/>
        </w:rPr>
        <w:t>iekšzemes kopprodukta līmeni un tā iekšzemes komponentēm</w:t>
      </w:r>
      <w:r>
        <w:rPr>
          <w:rFonts w:ascii="Verdana Pro Cond Light" w:eastAsia="Times New Roman" w:hAnsi="Verdana Pro Cond Light"/>
          <w:b/>
          <w:bCs/>
          <w:lang w:val="lv-LV" w:eastAsia="lv-LV"/>
        </w:rPr>
        <w:br/>
      </w:r>
      <w:r w:rsidRPr="000F151C">
        <w:rPr>
          <w:rFonts w:ascii="Verdana Pro Cond Light" w:eastAsia="Times New Roman" w:hAnsi="Verdana Pro Cond Light"/>
          <w:sz w:val="18"/>
          <w:szCs w:val="18"/>
          <w:lang w:val="lv-LV" w:eastAsia="lv-LV"/>
        </w:rPr>
        <w:t>%; salīdzinot ar bāzes scenāriju; 2015. gada cenās; 2025. – 2050. gadā</w:t>
      </w:r>
    </w:p>
    <w:p w14:paraId="62E6FF43" w14:textId="77777777" w:rsidR="00812A72" w:rsidRDefault="00812A72" w:rsidP="00812A72">
      <w:pPr>
        <w:widowControl/>
        <w:spacing w:after="120" w:line="240" w:lineRule="auto"/>
        <w:jc w:val="center"/>
        <w:rPr>
          <w:rFonts w:ascii="Verdana Pro Cond Light" w:hAnsi="Verdana Pro Cond Light"/>
          <w:sz w:val="18"/>
          <w:szCs w:val="18"/>
          <w:lang w:val="lv-LV"/>
        </w:rPr>
      </w:pPr>
    </w:p>
    <w:p w14:paraId="52DBABF8" w14:textId="77777777" w:rsidR="00812A72" w:rsidRPr="000F151C" w:rsidRDefault="00812A72" w:rsidP="00812A72">
      <w:pPr>
        <w:widowControl/>
        <w:tabs>
          <w:tab w:val="center" w:pos="2410"/>
          <w:tab w:val="center" w:pos="7230"/>
        </w:tabs>
        <w:spacing w:after="120" w:line="240" w:lineRule="auto"/>
        <w:rPr>
          <w:rFonts w:ascii="Verdana Pro Cond Light" w:hAnsi="Verdana Pro Cond Light"/>
          <w:b/>
          <w:bCs/>
          <w:sz w:val="18"/>
          <w:szCs w:val="18"/>
          <w:lang w:val="lv-LV"/>
        </w:rPr>
      </w:pPr>
      <w:r>
        <w:rPr>
          <w:rFonts w:ascii="Verdana Pro Cond Light" w:hAnsi="Verdana Pro Cond Light"/>
          <w:b/>
          <w:bCs/>
          <w:sz w:val="18"/>
          <w:szCs w:val="18"/>
          <w:lang w:val="lv-LV"/>
        </w:rPr>
        <w:tab/>
      </w:r>
      <w:r w:rsidRPr="000F151C">
        <w:rPr>
          <w:rFonts w:ascii="Verdana Pro Cond Light" w:hAnsi="Verdana Pro Cond Light"/>
          <w:b/>
          <w:bCs/>
          <w:sz w:val="18"/>
          <w:szCs w:val="18"/>
          <w:lang w:val="lv-LV"/>
        </w:rPr>
        <w:t>Ietekme uz iekšzemes kopprodukta līmeni</w:t>
      </w:r>
      <w:r w:rsidRPr="000F151C">
        <w:rPr>
          <w:rFonts w:ascii="Verdana Pro Cond Light" w:hAnsi="Verdana Pro Cond Light"/>
          <w:b/>
          <w:bCs/>
          <w:sz w:val="18"/>
          <w:szCs w:val="18"/>
          <w:lang w:val="lv-LV"/>
        </w:rPr>
        <w:tab/>
        <w:t>Ietekme uz investīcijām un patēriņu</w:t>
      </w:r>
    </w:p>
    <w:p w14:paraId="506121E2" w14:textId="77777777" w:rsidR="00812A72" w:rsidRPr="000F151C" w:rsidRDefault="00812A72" w:rsidP="00812A72">
      <w:pPr>
        <w:widowControl/>
        <w:spacing w:after="120" w:line="240" w:lineRule="auto"/>
        <w:ind w:right="-143"/>
        <w:jc w:val="center"/>
        <w:rPr>
          <w:rFonts w:ascii="Verdana Pro Cond Light" w:hAnsi="Verdana Pro Cond Light"/>
          <w:sz w:val="18"/>
          <w:szCs w:val="18"/>
          <w:lang w:val="lv-LV"/>
        </w:rPr>
      </w:pPr>
      <w:r w:rsidRPr="00D804CB">
        <w:rPr>
          <w:rFonts w:ascii="Minion Pro" w:hAnsi="Minion Pro" w:cstheme="minorHAnsi"/>
          <w:noProof/>
          <w:sz w:val="24"/>
          <w:szCs w:val="24"/>
        </w:rPr>
        <w:drawing>
          <wp:inline distT="0" distB="0" distL="0" distR="0" wp14:anchorId="43648885" wp14:editId="51697E7A">
            <wp:extent cx="3060000" cy="2160000"/>
            <wp:effectExtent l="0" t="0" r="7620" b="0"/>
            <wp:docPr id="15965619" name="Chart 15965619">
              <a:extLst xmlns:a="http://schemas.openxmlformats.org/drawingml/2006/main">
                <a:ext uri="{FF2B5EF4-FFF2-40B4-BE49-F238E27FC236}">
                  <a16:creationId xmlns:a16="http://schemas.microsoft.com/office/drawing/2014/main" id="{C0B412E0-20D9-9C02-797F-E1BB76C514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1"/>
              </a:graphicData>
            </a:graphic>
          </wp:inline>
        </w:drawing>
      </w:r>
      <w:r w:rsidRPr="00D804CB">
        <w:rPr>
          <w:rFonts w:ascii="Minion Pro" w:hAnsi="Minion Pro" w:cstheme="minorHAnsi"/>
          <w:noProof/>
          <w:sz w:val="24"/>
          <w:szCs w:val="24"/>
        </w:rPr>
        <w:drawing>
          <wp:inline distT="0" distB="0" distL="0" distR="0" wp14:anchorId="6D55C7F6" wp14:editId="422C08D9">
            <wp:extent cx="3060000" cy="2160000"/>
            <wp:effectExtent l="0" t="0" r="0" b="0"/>
            <wp:docPr id="183184865" name="Chart 183184865">
              <a:extLst xmlns:a="http://schemas.openxmlformats.org/drawingml/2006/main">
                <a:ext uri="{FF2B5EF4-FFF2-40B4-BE49-F238E27FC236}">
                  <a16:creationId xmlns:a16="http://schemas.microsoft.com/office/drawing/2014/main" id="{DA49B370-F5C9-6939-A1AB-36EBEF097AC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2"/>
              </a:graphicData>
            </a:graphic>
          </wp:inline>
        </w:drawing>
      </w:r>
    </w:p>
    <w:p w14:paraId="395DBE4F" w14:textId="77777777" w:rsidR="00812A72" w:rsidRPr="00097491" w:rsidRDefault="00812A72" w:rsidP="00812A72">
      <w:pPr>
        <w:widowControl/>
        <w:spacing w:before="120" w:after="120" w:line="240" w:lineRule="auto"/>
        <w:jc w:val="both"/>
        <w:rPr>
          <w:rFonts w:ascii="Arial Nova Cond Light" w:eastAsia="Times New Roman" w:hAnsi="Arial Nova Cond Light"/>
          <w:sz w:val="16"/>
          <w:szCs w:val="24"/>
          <w:lang w:val="lv-LV" w:eastAsia="lv-LV"/>
        </w:rPr>
      </w:pPr>
      <w:r w:rsidRPr="00097491">
        <w:rPr>
          <w:rFonts w:ascii="Arial Nova Cond Light" w:eastAsia="Times New Roman" w:hAnsi="Arial Nova Cond Light"/>
          <w:sz w:val="16"/>
          <w:szCs w:val="24"/>
          <w:lang w:val="lv-LV" w:eastAsia="lv-LV"/>
        </w:rPr>
        <w:t>Avots: autoru aprēķins, izmantojot VLA modeli.</w:t>
      </w:r>
    </w:p>
    <w:p w14:paraId="5C5AA30E" w14:textId="77777777" w:rsidR="00812A72" w:rsidRPr="00097491" w:rsidRDefault="00812A72" w:rsidP="00812A72">
      <w:pPr>
        <w:widowControl/>
        <w:spacing w:after="120" w:line="240" w:lineRule="auto"/>
        <w:rPr>
          <w:rFonts w:ascii="Times New Roman" w:eastAsia="Times New Roman" w:hAnsi="Times New Roman"/>
          <w:sz w:val="16"/>
          <w:szCs w:val="24"/>
          <w:lang w:val="lv-LV" w:eastAsia="lv-LV"/>
        </w:rPr>
      </w:pPr>
    </w:p>
    <w:p w14:paraId="6CBD2FB5" w14:textId="77777777" w:rsidR="00ED3083" w:rsidRPr="00097491" w:rsidRDefault="00ED3083">
      <w:pPr>
        <w:widowControl/>
        <w:spacing w:after="160" w:line="259" w:lineRule="auto"/>
        <w:rPr>
          <w:rFonts w:ascii="Verdana Pro Cond Light" w:eastAsia="Times New Roman" w:hAnsi="Verdana Pro Cond Light" w:cstheme="minorHAnsi"/>
          <w:bCs/>
          <w:lang w:val="lv-LV" w:eastAsia="lv-LV"/>
        </w:rPr>
      </w:pPr>
      <w:r w:rsidRPr="00097491">
        <w:rPr>
          <w:rFonts w:ascii="Verdana Pro Cond Light" w:eastAsia="Times New Roman" w:hAnsi="Verdana Pro Cond Light" w:cstheme="minorHAnsi"/>
          <w:bCs/>
          <w:lang w:val="lv-LV" w:eastAsia="lv-LV"/>
        </w:rPr>
        <w:br w:type="page"/>
      </w:r>
    </w:p>
    <w:p w14:paraId="1C2E3F6F" w14:textId="4E5F1558" w:rsidR="00812A72" w:rsidRPr="00097491" w:rsidRDefault="00812A72" w:rsidP="00812A72">
      <w:pPr>
        <w:widowControl/>
        <w:spacing w:before="120" w:after="120" w:line="240" w:lineRule="auto"/>
        <w:jc w:val="right"/>
        <w:rPr>
          <w:rFonts w:ascii="Verdana Pro Cond Light" w:eastAsia="Times New Roman" w:hAnsi="Verdana Pro Cond Light" w:cstheme="minorHAnsi"/>
          <w:bCs/>
          <w:lang w:val="lv-LV" w:eastAsia="lv-LV"/>
        </w:rPr>
      </w:pPr>
      <w:r w:rsidRPr="00097491">
        <w:rPr>
          <w:rFonts w:ascii="Verdana Pro Cond Light" w:eastAsia="Times New Roman" w:hAnsi="Verdana Pro Cond Light" w:cstheme="minorHAnsi"/>
          <w:bCs/>
          <w:lang w:val="lv-LV" w:eastAsia="lv-LV"/>
        </w:rPr>
        <w:lastRenderedPageBreak/>
        <w:t>6.</w:t>
      </w:r>
      <w:r w:rsidR="0001121F">
        <w:rPr>
          <w:rFonts w:ascii="Verdana Pro Cond Light" w:eastAsia="Times New Roman" w:hAnsi="Verdana Pro Cond Light" w:cstheme="minorHAnsi"/>
          <w:bCs/>
          <w:lang w:val="lv-LV" w:eastAsia="lv-LV"/>
        </w:rPr>
        <w:t>38</w:t>
      </w:r>
      <w:r w:rsidRPr="00097491">
        <w:rPr>
          <w:rFonts w:ascii="Verdana Pro Cond Light" w:eastAsia="Times New Roman" w:hAnsi="Verdana Pro Cond Light" w:cstheme="minorHAnsi"/>
          <w:bCs/>
          <w:lang w:val="lv-LV" w:eastAsia="lv-LV"/>
        </w:rPr>
        <w:t>. attēls</w:t>
      </w:r>
    </w:p>
    <w:p w14:paraId="354435A7" w14:textId="77777777" w:rsidR="00812A72" w:rsidRPr="00097491" w:rsidRDefault="00812A72" w:rsidP="00812A72">
      <w:pPr>
        <w:widowControl/>
        <w:spacing w:after="120" w:line="240" w:lineRule="auto"/>
        <w:jc w:val="center"/>
        <w:rPr>
          <w:rFonts w:ascii="Verdana Pro Cond Light" w:eastAsia="Times New Roman" w:hAnsi="Verdana Pro Cond Light"/>
          <w:sz w:val="18"/>
          <w:szCs w:val="18"/>
          <w:lang w:val="lv-LV" w:eastAsia="lv-LV"/>
        </w:rPr>
      </w:pPr>
      <w:r w:rsidRPr="000F151C">
        <w:rPr>
          <w:rFonts w:ascii="Verdana Pro Cond Light" w:eastAsia="Times New Roman" w:hAnsi="Verdana Pro Cond Light"/>
          <w:b/>
          <w:bCs/>
          <w:lang w:val="lv-LV" w:eastAsia="lv-LV"/>
        </w:rPr>
        <w:t>NEKP pasākumu (nepieciešamā finansējuma apjomā)</w:t>
      </w:r>
      <w:r w:rsidRPr="00097491">
        <w:rPr>
          <w:rFonts w:ascii="Verdana Pro Cond Light" w:eastAsia="Times New Roman" w:hAnsi="Verdana Pro Cond Light"/>
          <w:b/>
          <w:bCs/>
          <w:lang w:val="lv-LV" w:eastAsia="lv-LV"/>
        </w:rPr>
        <w:t xml:space="preserve"> ietekme uz </w:t>
      </w:r>
      <w:r w:rsidRPr="00097491">
        <w:rPr>
          <w:rFonts w:ascii="Verdana Pro Cond Light" w:eastAsia="Times New Roman" w:hAnsi="Verdana Pro Cond Light"/>
          <w:b/>
          <w:bCs/>
          <w:lang w:val="lv-LV" w:eastAsia="lv-LV"/>
        </w:rPr>
        <w:br/>
        <w:t xml:space="preserve">Latvijas eksportu, importu un tirdzniecības bilanci </w:t>
      </w:r>
      <w:r w:rsidRPr="00097491">
        <w:rPr>
          <w:rFonts w:ascii="Verdana Pro Cond Light" w:eastAsia="Times New Roman" w:hAnsi="Verdana Pro Cond Light"/>
          <w:b/>
          <w:bCs/>
          <w:lang w:val="lv-LV" w:eastAsia="lv-LV"/>
        </w:rPr>
        <w:br/>
      </w:r>
      <w:r w:rsidRPr="00097491">
        <w:rPr>
          <w:rFonts w:ascii="Verdana Pro Cond Light" w:eastAsia="Times New Roman" w:hAnsi="Verdana Pro Cond Light"/>
          <w:sz w:val="18"/>
          <w:szCs w:val="18"/>
          <w:lang w:val="lv-LV" w:eastAsia="lv-LV"/>
        </w:rPr>
        <w:t>salīdzinot ar bāzes scenāriju; 2025. – 2050. gadā</w:t>
      </w:r>
    </w:p>
    <w:p w14:paraId="14CB2794" w14:textId="77777777" w:rsidR="00812A72" w:rsidRPr="00097491" w:rsidRDefault="00812A72" w:rsidP="00812A72">
      <w:pPr>
        <w:widowControl/>
        <w:spacing w:after="120" w:line="240" w:lineRule="auto"/>
        <w:jc w:val="center"/>
        <w:rPr>
          <w:rFonts w:ascii="Verdana Pro Cond Light" w:eastAsia="Times New Roman" w:hAnsi="Verdana Pro Cond Light"/>
          <w:sz w:val="18"/>
          <w:szCs w:val="18"/>
          <w:lang w:val="lv-LV" w:eastAsia="lv-LV"/>
        </w:rPr>
      </w:pPr>
    </w:p>
    <w:p w14:paraId="50BA1F6C" w14:textId="77777777" w:rsidR="00812A72" w:rsidRPr="00097491" w:rsidRDefault="00812A72" w:rsidP="00812A72">
      <w:pPr>
        <w:widowControl/>
        <w:tabs>
          <w:tab w:val="center" w:pos="2410"/>
          <w:tab w:val="center" w:pos="7230"/>
        </w:tabs>
        <w:spacing w:after="120" w:line="240" w:lineRule="auto"/>
        <w:rPr>
          <w:rFonts w:ascii="Verdana Pro Cond Light" w:eastAsia="Times New Roman" w:hAnsi="Verdana Pro Cond Light"/>
          <w:b/>
          <w:bCs/>
          <w:sz w:val="18"/>
          <w:szCs w:val="18"/>
          <w:lang w:val="lv-LV" w:eastAsia="lv-LV"/>
        </w:rPr>
      </w:pPr>
      <w:r w:rsidRPr="00097491">
        <w:rPr>
          <w:rFonts w:ascii="Verdana Pro Cond Light" w:eastAsia="Times New Roman" w:hAnsi="Verdana Pro Cond Light"/>
          <w:b/>
          <w:bCs/>
          <w:sz w:val="18"/>
          <w:szCs w:val="18"/>
          <w:lang w:val="lv-LV" w:eastAsia="lv-LV"/>
        </w:rPr>
        <w:tab/>
        <w:t>Ietekme uz Latvijas eksportu un importu (%)</w:t>
      </w:r>
      <w:r w:rsidRPr="00097491">
        <w:rPr>
          <w:rFonts w:ascii="Verdana Pro Cond Light" w:eastAsia="Times New Roman" w:hAnsi="Verdana Pro Cond Light"/>
          <w:b/>
          <w:bCs/>
          <w:sz w:val="18"/>
          <w:szCs w:val="18"/>
          <w:lang w:val="lv-LV" w:eastAsia="lv-LV"/>
        </w:rPr>
        <w:tab/>
        <w:t>Ietekme uz Latvijas tirdzniecības bilanci (pp. no IKP)</w:t>
      </w:r>
    </w:p>
    <w:p w14:paraId="0F545717" w14:textId="77777777" w:rsidR="00812A72" w:rsidRPr="000F151C" w:rsidRDefault="00812A72" w:rsidP="00812A72">
      <w:pPr>
        <w:widowControl/>
        <w:spacing w:after="120" w:line="240" w:lineRule="auto"/>
        <w:ind w:right="-143"/>
        <w:jc w:val="center"/>
        <w:rPr>
          <w:rFonts w:ascii="Verdana Pro Cond Light" w:eastAsia="Times New Roman" w:hAnsi="Verdana Pro Cond Light"/>
          <w:sz w:val="18"/>
          <w:szCs w:val="18"/>
          <w:lang w:eastAsia="lv-LV"/>
        </w:rPr>
      </w:pPr>
      <w:r w:rsidRPr="00D804CB">
        <w:rPr>
          <w:rFonts w:ascii="Minion Pro" w:hAnsi="Minion Pro" w:cstheme="minorHAnsi"/>
          <w:noProof/>
          <w:sz w:val="24"/>
          <w:szCs w:val="24"/>
        </w:rPr>
        <w:drawing>
          <wp:inline distT="0" distB="0" distL="0" distR="0" wp14:anchorId="0510B739" wp14:editId="4C5D86BB">
            <wp:extent cx="3060000" cy="2160000"/>
            <wp:effectExtent l="0" t="0" r="0" b="0"/>
            <wp:docPr id="818936768" name="Chart 818936768">
              <a:extLst xmlns:a="http://schemas.openxmlformats.org/drawingml/2006/main">
                <a:ext uri="{FF2B5EF4-FFF2-40B4-BE49-F238E27FC236}">
                  <a16:creationId xmlns:a16="http://schemas.microsoft.com/office/drawing/2014/main" id="{013AA65C-5627-335A-2509-D049CDF1205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3"/>
              </a:graphicData>
            </a:graphic>
          </wp:inline>
        </w:drawing>
      </w:r>
      <w:r w:rsidRPr="00D804CB">
        <w:rPr>
          <w:rFonts w:ascii="Minion Pro" w:hAnsi="Minion Pro" w:cstheme="minorHAnsi"/>
          <w:noProof/>
          <w:sz w:val="24"/>
          <w:szCs w:val="24"/>
        </w:rPr>
        <w:drawing>
          <wp:inline distT="0" distB="0" distL="0" distR="0" wp14:anchorId="72AD3815" wp14:editId="72414119">
            <wp:extent cx="3060000" cy="2160000"/>
            <wp:effectExtent l="0" t="0" r="7620" b="0"/>
            <wp:docPr id="1768126679" name="Chart 1768126679">
              <a:extLst xmlns:a="http://schemas.openxmlformats.org/drawingml/2006/main">
                <a:ext uri="{FF2B5EF4-FFF2-40B4-BE49-F238E27FC236}">
                  <a16:creationId xmlns:a16="http://schemas.microsoft.com/office/drawing/2014/main" id="{C0B412E0-20D9-9C02-797F-E1BB76C514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4"/>
              </a:graphicData>
            </a:graphic>
          </wp:inline>
        </w:drawing>
      </w:r>
    </w:p>
    <w:p w14:paraId="319DD391" w14:textId="77777777" w:rsidR="00812A72" w:rsidRDefault="00812A72" w:rsidP="00812A72">
      <w:pPr>
        <w:widowControl/>
        <w:spacing w:before="120" w:after="120" w:line="240" w:lineRule="auto"/>
        <w:jc w:val="both"/>
        <w:rPr>
          <w:rFonts w:ascii="Arial Nova Cond Light" w:eastAsia="Times New Roman" w:hAnsi="Arial Nova Cond Light"/>
          <w:sz w:val="16"/>
          <w:szCs w:val="24"/>
          <w:lang w:eastAsia="lv-LV"/>
        </w:rPr>
      </w:pPr>
      <w:r w:rsidRPr="000F151C">
        <w:rPr>
          <w:rFonts w:ascii="Arial Nova Cond Light" w:eastAsia="Times New Roman" w:hAnsi="Arial Nova Cond Light"/>
          <w:sz w:val="16"/>
          <w:szCs w:val="24"/>
          <w:lang w:eastAsia="lv-LV"/>
        </w:rPr>
        <w:t>Avots: autoru aprēķins, izmantojot VLA modeli.</w:t>
      </w:r>
    </w:p>
    <w:p w14:paraId="0ECA1CB9" w14:textId="30DC1609" w:rsidR="00812A72" w:rsidRDefault="00812A72" w:rsidP="00812A72">
      <w:pPr>
        <w:widowControl/>
        <w:spacing w:after="160" w:line="259" w:lineRule="auto"/>
        <w:rPr>
          <w:rFonts w:ascii="Minion Pro" w:eastAsia="Times New Roman" w:hAnsi="Minion Pro" w:cstheme="minorHAnsi"/>
          <w:bCs/>
          <w:sz w:val="24"/>
          <w:szCs w:val="24"/>
          <w:lang w:eastAsia="lv-LV"/>
        </w:rPr>
      </w:pPr>
    </w:p>
    <w:p w14:paraId="7ABC9DC6" w14:textId="3DC2787A" w:rsidR="00812A72" w:rsidRPr="000F151C" w:rsidRDefault="00812A72" w:rsidP="00812A72">
      <w:pPr>
        <w:widowControl/>
        <w:spacing w:before="120" w:after="120" w:line="240" w:lineRule="auto"/>
        <w:jc w:val="right"/>
        <w:rPr>
          <w:rFonts w:ascii="Verdana Pro Cond Light" w:eastAsia="Times New Roman" w:hAnsi="Verdana Pro Cond Light" w:cstheme="minorHAnsi"/>
          <w:bCs/>
          <w:lang w:eastAsia="lv-LV"/>
        </w:rPr>
      </w:pPr>
      <w:r w:rsidRPr="000F151C">
        <w:rPr>
          <w:rFonts w:ascii="Verdana Pro Cond Light" w:eastAsia="Times New Roman" w:hAnsi="Verdana Pro Cond Light" w:cstheme="minorHAnsi"/>
          <w:bCs/>
          <w:lang w:eastAsia="lv-LV"/>
        </w:rPr>
        <w:t>6.</w:t>
      </w:r>
      <w:r w:rsidR="003C2C92">
        <w:rPr>
          <w:rFonts w:ascii="Verdana Pro Cond Light" w:eastAsia="Times New Roman" w:hAnsi="Verdana Pro Cond Light" w:cstheme="minorHAnsi"/>
          <w:bCs/>
          <w:lang w:eastAsia="lv-LV"/>
        </w:rPr>
        <w:t>39</w:t>
      </w:r>
      <w:r w:rsidRPr="000F151C">
        <w:rPr>
          <w:rFonts w:ascii="Verdana Pro Cond Light" w:eastAsia="Times New Roman" w:hAnsi="Verdana Pro Cond Light" w:cstheme="minorHAnsi"/>
          <w:bCs/>
          <w:lang w:eastAsia="lv-LV"/>
        </w:rPr>
        <w:t>. attēls</w:t>
      </w:r>
    </w:p>
    <w:p w14:paraId="30FDBA74" w14:textId="77777777" w:rsidR="00812A72" w:rsidRDefault="00812A72" w:rsidP="00812A72">
      <w:pPr>
        <w:widowControl/>
        <w:spacing w:after="120" w:line="240" w:lineRule="auto"/>
        <w:jc w:val="center"/>
        <w:rPr>
          <w:rFonts w:ascii="Verdana Pro Cond Light" w:eastAsia="Times New Roman" w:hAnsi="Verdana Pro Cond Light"/>
          <w:sz w:val="18"/>
          <w:szCs w:val="18"/>
          <w:lang w:eastAsia="lv-LV"/>
        </w:rPr>
      </w:pPr>
      <w:r w:rsidRPr="000F151C">
        <w:rPr>
          <w:rFonts w:ascii="Verdana Pro Cond Light" w:eastAsia="Times New Roman" w:hAnsi="Verdana Pro Cond Light"/>
          <w:b/>
          <w:bCs/>
          <w:lang w:val="lv-LV" w:eastAsia="lv-LV"/>
        </w:rPr>
        <w:t>NEKP pasākumu (nepieciešamā finansējuma apjomā)</w:t>
      </w:r>
      <w:r w:rsidRPr="000F151C">
        <w:rPr>
          <w:rFonts w:ascii="Verdana Pro Cond Light" w:eastAsia="Times New Roman" w:hAnsi="Verdana Pro Cond Light"/>
          <w:b/>
          <w:bCs/>
          <w:lang w:eastAsia="lv-LV"/>
        </w:rPr>
        <w:t xml:space="preserve"> ietekme </w:t>
      </w:r>
      <w:r>
        <w:rPr>
          <w:rFonts w:ascii="Verdana Pro Cond Light" w:eastAsia="Times New Roman" w:hAnsi="Verdana Pro Cond Light"/>
          <w:b/>
          <w:bCs/>
          <w:lang w:eastAsia="lv-LV"/>
        </w:rPr>
        <w:br/>
      </w:r>
      <w:r w:rsidRPr="000F151C">
        <w:rPr>
          <w:rFonts w:ascii="Verdana Pro Cond Light" w:eastAsia="Times New Roman" w:hAnsi="Verdana Pro Cond Light"/>
          <w:b/>
          <w:bCs/>
          <w:lang w:eastAsia="lv-LV"/>
        </w:rPr>
        <w:t xml:space="preserve">uz nodarbināto skaitu un bezdarba līmeni Latvijā </w:t>
      </w:r>
      <w:r>
        <w:rPr>
          <w:rFonts w:ascii="Verdana Pro Cond Light" w:eastAsia="Times New Roman" w:hAnsi="Verdana Pro Cond Light"/>
          <w:b/>
          <w:bCs/>
          <w:lang w:eastAsia="lv-LV"/>
        </w:rPr>
        <w:br/>
      </w:r>
      <w:r w:rsidRPr="000F151C">
        <w:rPr>
          <w:rFonts w:ascii="Verdana Pro Cond Light" w:eastAsia="Times New Roman" w:hAnsi="Verdana Pro Cond Light"/>
          <w:sz w:val="18"/>
          <w:szCs w:val="18"/>
          <w:lang w:eastAsia="lv-LV"/>
        </w:rPr>
        <w:t xml:space="preserve">salīdzinot ar bāzes scenāriju; 2025. – 2050. </w:t>
      </w:r>
      <w:r>
        <w:rPr>
          <w:rFonts w:ascii="Verdana Pro Cond Light" w:eastAsia="Times New Roman" w:hAnsi="Verdana Pro Cond Light"/>
          <w:sz w:val="18"/>
          <w:szCs w:val="18"/>
          <w:lang w:eastAsia="lv-LV"/>
        </w:rPr>
        <w:t>g</w:t>
      </w:r>
      <w:r w:rsidRPr="000F151C">
        <w:rPr>
          <w:rFonts w:ascii="Verdana Pro Cond Light" w:eastAsia="Times New Roman" w:hAnsi="Verdana Pro Cond Light"/>
          <w:sz w:val="18"/>
          <w:szCs w:val="18"/>
          <w:lang w:eastAsia="lv-LV"/>
        </w:rPr>
        <w:t>adā</w:t>
      </w:r>
    </w:p>
    <w:p w14:paraId="10E6C1FF" w14:textId="77777777" w:rsidR="00812A72" w:rsidRDefault="00812A72" w:rsidP="00812A72">
      <w:pPr>
        <w:widowControl/>
        <w:spacing w:after="120" w:line="240" w:lineRule="auto"/>
        <w:jc w:val="center"/>
        <w:rPr>
          <w:rFonts w:ascii="Verdana Pro Cond Light" w:eastAsia="Times New Roman" w:hAnsi="Verdana Pro Cond Light"/>
          <w:sz w:val="18"/>
          <w:szCs w:val="18"/>
          <w:lang w:eastAsia="lv-LV"/>
        </w:rPr>
      </w:pPr>
    </w:p>
    <w:p w14:paraId="7FACFC8B" w14:textId="77777777" w:rsidR="00812A72" w:rsidRDefault="00812A72" w:rsidP="00812A72">
      <w:pPr>
        <w:widowControl/>
        <w:tabs>
          <w:tab w:val="center" w:pos="2410"/>
          <w:tab w:val="center" w:pos="7230"/>
        </w:tabs>
        <w:spacing w:after="120" w:line="240" w:lineRule="auto"/>
        <w:rPr>
          <w:rFonts w:ascii="Verdana Pro Cond Light" w:eastAsia="Times New Roman" w:hAnsi="Verdana Pro Cond Light"/>
          <w:sz w:val="18"/>
          <w:szCs w:val="18"/>
          <w:lang w:eastAsia="lv-LV"/>
        </w:rPr>
      </w:pPr>
      <w:r w:rsidRPr="00DB7A50">
        <w:rPr>
          <w:rFonts w:ascii="Verdana Pro Cond Light" w:eastAsia="Times New Roman" w:hAnsi="Verdana Pro Cond Light"/>
          <w:b/>
          <w:bCs/>
          <w:sz w:val="18"/>
          <w:szCs w:val="18"/>
          <w:lang w:eastAsia="lv-LV"/>
        </w:rPr>
        <w:tab/>
        <w:t xml:space="preserve">Ietekme uz nodarbināto skaitu (%) </w:t>
      </w:r>
      <w:r w:rsidRPr="00DB7A50">
        <w:rPr>
          <w:rFonts w:ascii="Verdana Pro Cond Light" w:eastAsia="Times New Roman" w:hAnsi="Verdana Pro Cond Light"/>
          <w:b/>
          <w:bCs/>
          <w:sz w:val="18"/>
          <w:szCs w:val="18"/>
          <w:lang w:eastAsia="lv-LV"/>
        </w:rPr>
        <w:tab/>
        <w:t xml:space="preserve">Ietekme uz bezdarba līmeni </w:t>
      </w:r>
      <w:r w:rsidRPr="00DB7A50">
        <w:rPr>
          <w:rFonts w:ascii="Verdana Pro Cond Light" w:eastAsia="Times New Roman" w:hAnsi="Verdana Pro Cond Light"/>
          <w:b/>
          <w:bCs/>
          <w:sz w:val="18"/>
          <w:szCs w:val="18"/>
          <w:lang w:eastAsia="lv-LV"/>
        </w:rPr>
        <w:br/>
      </w:r>
      <w:r>
        <w:rPr>
          <w:rFonts w:ascii="Verdana Pro Cond Light" w:eastAsia="Times New Roman" w:hAnsi="Verdana Pro Cond Light"/>
          <w:sz w:val="18"/>
          <w:szCs w:val="18"/>
          <w:lang w:eastAsia="lv-LV"/>
        </w:rPr>
        <w:tab/>
      </w:r>
      <w:r>
        <w:rPr>
          <w:rFonts w:ascii="Verdana Pro Cond Light" w:eastAsia="Times New Roman" w:hAnsi="Verdana Pro Cond Light"/>
          <w:sz w:val="18"/>
          <w:szCs w:val="18"/>
          <w:lang w:eastAsia="lv-LV"/>
        </w:rPr>
        <w:tab/>
      </w:r>
      <w:r w:rsidRPr="00DB7A50">
        <w:rPr>
          <w:rFonts w:ascii="Verdana Pro Cond Light" w:eastAsia="Times New Roman" w:hAnsi="Verdana Pro Cond Light"/>
          <w:sz w:val="18"/>
          <w:szCs w:val="18"/>
          <w:lang w:eastAsia="lv-LV"/>
        </w:rPr>
        <w:t>pp. no ekonomiski aktīvajiem iedzīvotājiem</w:t>
      </w:r>
    </w:p>
    <w:p w14:paraId="2A616772" w14:textId="77777777" w:rsidR="00812A72" w:rsidRPr="000F151C" w:rsidRDefault="00812A72" w:rsidP="00812A72">
      <w:pPr>
        <w:widowControl/>
        <w:spacing w:after="120" w:line="240" w:lineRule="auto"/>
        <w:ind w:right="-143"/>
        <w:jc w:val="center"/>
        <w:rPr>
          <w:rFonts w:ascii="Verdana Pro Cond Light" w:eastAsia="Times New Roman" w:hAnsi="Verdana Pro Cond Light"/>
          <w:sz w:val="18"/>
          <w:szCs w:val="18"/>
          <w:lang w:eastAsia="lv-LV"/>
        </w:rPr>
      </w:pPr>
      <w:r w:rsidRPr="00D804CB">
        <w:rPr>
          <w:rFonts w:ascii="Minion Pro" w:hAnsi="Minion Pro" w:cstheme="minorHAnsi"/>
          <w:noProof/>
          <w:sz w:val="24"/>
          <w:szCs w:val="24"/>
        </w:rPr>
        <w:drawing>
          <wp:inline distT="0" distB="0" distL="0" distR="0" wp14:anchorId="05971788" wp14:editId="34265DB7">
            <wp:extent cx="3060000" cy="2160000"/>
            <wp:effectExtent l="0" t="0" r="7620" b="0"/>
            <wp:docPr id="106636769" name="Chart 106636769">
              <a:extLst xmlns:a="http://schemas.openxmlformats.org/drawingml/2006/main">
                <a:ext uri="{FF2B5EF4-FFF2-40B4-BE49-F238E27FC236}">
                  <a16:creationId xmlns:a16="http://schemas.microsoft.com/office/drawing/2014/main" id="{C0B412E0-20D9-9C02-797F-E1BB76C514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5"/>
              </a:graphicData>
            </a:graphic>
          </wp:inline>
        </w:drawing>
      </w:r>
      <w:r w:rsidRPr="00D804CB">
        <w:rPr>
          <w:rFonts w:ascii="Minion Pro" w:hAnsi="Minion Pro" w:cstheme="minorHAnsi"/>
          <w:noProof/>
          <w:sz w:val="24"/>
          <w:szCs w:val="24"/>
        </w:rPr>
        <w:drawing>
          <wp:inline distT="0" distB="0" distL="0" distR="0" wp14:anchorId="78F7B510" wp14:editId="47663339">
            <wp:extent cx="3060000" cy="2160000"/>
            <wp:effectExtent l="0" t="0" r="7620" b="0"/>
            <wp:docPr id="2111297844" name="Chart 2111297844">
              <a:extLst xmlns:a="http://schemas.openxmlformats.org/drawingml/2006/main">
                <a:ext uri="{FF2B5EF4-FFF2-40B4-BE49-F238E27FC236}">
                  <a16:creationId xmlns:a16="http://schemas.microsoft.com/office/drawing/2014/main" id="{C0B412E0-20D9-9C02-797F-E1BB76C514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6"/>
              </a:graphicData>
            </a:graphic>
          </wp:inline>
        </w:drawing>
      </w:r>
    </w:p>
    <w:p w14:paraId="75CA3922" w14:textId="77777777" w:rsidR="00812A72" w:rsidRDefault="00812A72" w:rsidP="00812A72">
      <w:pPr>
        <w:widowControl/>
        <w:spacing w:before="120" w:after="120" w:line="240" w:lineRule="auto"/>
        <w:jc w:val="both"/>
        <w:rPr>
          <w:rFonts w:ascii="Arial Nova Cond Light" w:eastAsia="Times New Roman" w:hAnsi="Arial Nova Cond Light"/>
          <w:sz w:val="16"/>
          <w:szCs w:val="24"/>
          <w:lang w:eastAsia="lv-LV"/>
        </w:rPr>
      </w:pPr>
      <w:r w:rsidRPr="00DB7A50">
        <w:rPr>
          <w:rFonts w:ascii="Arial Nova Cond Light" w:eastAsia="Times New Roman" w:hAnsi="Arial Nova Cond Light"/>
          <w:sz w:val="16"/>
          <w:szCs w:val="24"/>
          <w:lang w:eastAsia="lv-LV"/>
        </w:rPr>
        <w:t>Avots: autoru aprēķins, izmantojot VLA modeli.</w:t>
      </w:r>
    </w:p>
    <w:p w14:paraId="69FEBA72" w14:textId="77777777" w:rsidR="00812A72" w:rsidRDefault="00812A72" w:rsidP="00812A72">
      <w:pPr>
        <w:widowControl/>
        <w:spacing w:after="160" w:line="240" w:lineRule="auto"/>
        <w:rPr>
          <w:rFonts w:ascii="Times New Roman" w:eastAsia="Times New Roman" w:hAnsi="Times New Roman"/>
          <w:sz w:val="16"/>
          <w:szCs w:val="24"/>
          <w:lang w:eastAsia="lv-LV"/>
        </w:rPr>
      </w:pPr>
    </w:p>
    <w:p w14:paraId="4BF9A650" w14:textId="77777777" w:rsidR="00ED3083" w:rsidRDefault="00ED3083">
      <w:pPr>
        <w:widowControl/>
        <w:spacing w:after="160" w:line="259" w:lineRule="auto"/>
        <w:rPr>
          <w:rFonts w:ascii="Verdana Pro Cond Light" w:eastAsia="Times New Roman" w:hAnsi="Verdana Pro Cond Light" w:cstheme="minorHAnsi"/>
          <w:bCs/>
          <w:lang w:eastAsia="lv-LV"/>
        </w:rPr>
      </w:pPr>
      <w:r>
        <w:rPr>
          <w:rFonts w:ascii="Verdana Pro Cond Light" w:eastAsia="Times New Roman" w:hAnsi="Verdana Pro Cond Light" w:cstheme="minorHAnsi"/>
          <w:bCs/>
          <w:lang w:eastAsia="lv-LV"/>
        </w:rPr>
        <w:br w:type="page"/>
      </w:r>
    </w:p>
    <w:p w14:paraId="6C43933C" w14:textId="2ACD25A9" w:rsidR="00812A72" w:rsidRDefault="00812A72" w:rsidP="00812A72">
      <w:pPr>
        <w:widowControl/>
        <w:spacing w:before="120" w:after="120" w:line="240" w:lineRule="auto"/>
        <w:jc w:val="right"/>
        <w:rPr>
          <w:rFonts w:ascii="Verdana Pro Cond Light" w:eastAsia="Times New Roman" w:hAnsi="Verdana Pro Cond Light" w:cstheme="minorHAnsi"/>
          <w:bCs/>
          <w:lang w:eastAsia="lv-LV"/>
        </w:rPr>
      </w:pPr>
      <w:r w:rsidRPr="00DB7A50">
        <w:rPr>
          <w:rFonts w:ascii="Verdana Pro Cond Light" w:eastAsia="Times New Roman" w:hAnsi="Verdana Pro Cond Light" w:cstheme="minorHAnsi"/>
          <w:bCs/>
          <w:lang w:eastAsia="lv-LV"/>
        </w:rPr>
        <w:lastRenderedPageBreak/>
        <w:t>6.4</w:t>
      </w:r>
      <w:r w:rsidR="003C2C92">
        <w:rPr>
          <w:rFonts w:ascii="Verdana Pro Cond Light" w:eastAsia="Times New Roman" w:hAnsi="Verdana Pro Cond Light" w:cstheme="minorHAnsi"/>
          <w:bCs/>
          <w:lang w:eastAsia="lv-LV"/>
        </w:rPr>
        <w:t>0</w:t>
      </w:r>
      <w:r w:rsidRPr="00DB7A50">
        <w:rPr>
          <w:rFonts w:ascii="Verdana Pro Cond Light" w:eastAsia="Times New Roman" w:hAnsi="Verdana Pro Cond Light" w:cstheme="minorHAnsi"/>
          <w:bCs/>
          <w:lang w:eastAsia="lv-LV"/>
        </w:rPr>
        <w:t>. attēls</w:t>
      </w:r>
    </w:p>
    <w:p w14:paraId="77744D3E" w14:textId="77777777" w:rsidR="00812A72" w:rsidRDefault="00812A72" w:rsidP="00812A72">
      <w:pPr>
        <w:widowControl/>
        <w:spacing w:after="120" w:line="240" w:lineRule="auto"/>
        <w:jc w:val="center"/>
        <w:rPr>
          <w:rFonts w:ascii="Verdana Pro Cond Light" w:eastAsia="Times New Roman" w:hAnsi="Verdana Pro Cond Light"/>
          <w:sz w:val="18"/>
          <w:szCs w:val="18"/>
          <w:lang w:eastAsia="lv-LV"/>
        </w:rPr>
      </w:pPr>
      <w:r w:rsidRPr="00DB7A50">
        <w:rPr>
          <w:rFonts w:ascii="Verdana Pro Cond Light" w:eastAsia="Times New Roman" w:hAnsi="Verdana Pro Cond Light"/>
          <w:b/>
          <w:bCs/>
          <w:lang w:val="lv-LV" w:eastAsia="lv-LV"/>
        </w:rPr>
        <w:t>NEKP pasākumu (nepieciešamā finansējuma apjomā)</w:t>
      </w:r>
      <w:r w:rsidRPr="00DB7A50">
        <w:rPr>
          <w:rFonts w:ascii="Verdana Pro Cond Light" w:eastAsia="Times New Roman" w:hAnsi="Verdana Pro Cond Light"/>
          <w:b/>
          <w:bCs/>
          <w:lang w:eastAsia="lv-LV"/>
        </w:rPr>
        <w:t xml:space="preserve"> ietekme uz vidējo algu un patēriņa cenām Latvijā </w:t>
      </w:r>
      <w:r>
        <w:rPr>
          <w:rFonts w:ascii="Verdana Pro Cond Light" w:eastAsia="Times New Roman" w:hAnsi="Verdana Pro Cond Light"/>
          <w:b/>
          <w:bCs/>
          <w:lang w:eastAsia="lv-LV"/>
        </w:rPr>
        <w:br/>
      </w:r>
      <w:r w:rsidRPr="00DB7A50">
        <w:rPr>
          <w:rFonts w:ascii="Verdana Pro Cond Light" w:eastAsia="Times New Roman" w:hAnsi="Verdana Pro Cond Light"/>
          <w:sz w:val="18"/>
          <w:szCs w:val="18"/>
          <w:lang w:eastAsia="lv-LV"/>
        </w:rPr>
        <w:t xml:space="preserve">salīdzinot ar bāzes scenāriju; 2025. – 2050. </w:t>
      </w:r>
      <w:r>
        <w:rPr>
          <w:rFonts w:ascii="Verdana Pro Cond Light" w:eastAsia="Times New Roman" w:hAnsi="Verdana Pro Cond Light"/>
          <w:sz w:val="18"/>
          <w:szCs w:val="18"/>
          <w:lang w:eastAsia="lv-LV"/>
        </w:rPr>
        <w:t>g</w:t>
      </w:r>
      <w:r w:rsidRPr="00DB7A50">
        <w:rPr>
          <w:rFonts w:ascii="Verdana Pro Cond Light" w:eastAsia="Times New Roman" w:hAnsi="Verdana Pro Cond Light"/>
          <w:sz w:val="18"/>
          <w:szCs w:val="18"/>
          <w:lang w:eastAsia="lv-LV"/>
        </w:rPr>
        <w:t>adā</w:t>
      </w:r>
    </w:p>
    <w:p w14:paraId="43C44BD1" w14:textId="77777777" w:rsidR="00812A72" w:rsidRDefault="00812A72" w:rsidP="00812A72">
      <w:pPr>
        <w:widowControl/>
        <w:spacing w:after="120" w:line="240" w:lineRule="auto"/>
        <w:jc w:val="center"/>
        <w:rPr>
          <w:rFonts w:ascii="Verdana Pro Cond Light" w:eastAsia="Times New Roman" w:hAnsi="Verdana Pro Cond Light"/>
          <w:sz w:val="18"/>
          <w:szCs w:val="18"/>
          <w:lang w:eastAsia="lv-LV"/>
        </w:rPr>
      </w:pPr>
    </w:p>
    <w:p w14:paraId="5C9D7A59" w14:textId="77777777" w:rsidR="00812A72" w:rsidRPr="00DB7A50" w:rsidRDefault="00812A72" w:rsidP="00812A72">
      <w:pPr>
        <w:widowControl/>
        <w:tabs>
          <w:tab w:val="center" w:pos="2410"/>
          <w:tab w:val="center" w:pos="7230"/>
        </w:tabs>
        <w:spacing w:after="120" w:line="240" w:lineRule="auto"/>
        <w:rPr>
          <w:rFonts w:ascii="Verdana Pro Cond Light" w:eastAsia="Times New Roman" w:hAnsi="Verdana Pro Cond Light"/>
          <w:b/>
          <w:bCs/>
          <w:sz w:val="18"/>
          <w:szCs w:val="18"/>
          <w:lang w:eastAsia="lv-LV"/>
        </w:rPr>
      </w:pPr>
      <w:r>
        <w:rPr>
          <w:rFonts w:ascii="Verdana Pro Cond Light" w:eastAsia="Times New Roman" w:hAnsi="Verdana Pro Cond Light"/>
          <w:b/>
          <w:bCs/>
          <w:sz w:val="18"/>
          <w:szCs w:val="18"/>
          <w:lang w:eastAsia="lv-LV"/>
        </w:rPr>
        <w:tab/>
      </w:r>
      <w:r w:rsidRPr="00DB7A50">
        <w:rPr>
          <w:rFonts w:ascii="Verdana Pro Cond Light" w:eastAsia="Times New Roman" w:hAnsi="Verdana Pro Cond Light"/>
          <w:b/>
          <w:bCs/>
          <w:sz w:val="18"/>
          <w:szCs w:val="18"/>
          <w:lang w:eastAsia="lv-LV"/>
        </w:rPr>
        <w:t>Ietekme uz vidējo algu (%; nominālā izteiksmē)</w:t>
      </w:r>
      <w:r w:rsidRPr="00DB7A50">
        <w:rPr>
          <w:rFonts w:ascii="Verdana Pro Cond Light" w:eastAsia="Times New Roman" w:hAnsi="Verdana Pro Cond Light"/>
          <w:b/>
          <w:bCs/>
          <w:sz w:val="18"/>
          <w:szCs w:val="18"/>
          <w:lang w:eastAsia="lv-LV"/>
        </w:rPr>
        <w:tab/>
        <w:t>Ietekme uz patēriņa cenu līmeni (%)</w:t>
      </w:r>
    </w:p>
    <w:p w14:paraId="206B97FA" w14:textId="77777777" w:rsidR="00812A72" w:rsidRPr="00DB7A50" w:rsidRDefault="00812A72" w:rsidP="00812A72">
      <w:pPr>
        <w:widowControl/>
        <w:spacing w:after="120" w:line="240" w:lineRule="auto"/>
        <w:ind w:right="-143"/>
        <w:jc w:val="center"/>
        <w:rPr>
          <w:rFonts w:ascii="Verdana Pro Cond Light" w:eastAsia="Times New Roman" w:hAnsi="Verdana Pro Cond Light"/>
          <w:sz w:val="18"/>
          <w:szCs w:val="18"/>
          <w:lang w:eastAsia="lv-LV"/>
        </w:rPr>
      </w:pPr>
      <w:r w:rsidRPr="00DB7A50">
        <w:rPr>
          <w:rFonts w:ascii="Verdana Pro Cond Light" w:hAnsi="Verdana Pro Cond Light" w:cstheme="minorHAnsi"/>
          <w:noProof/>
        </w:rPr>
        <w:drawing>
          <wp:inline distT="0" distB="0" distL="0" distR="0" wp14:anchorId="1C9D3096" wp14:editId="1692ED98">
            <wp:extent cx="3060000" cy="2160000"/>
            <wp:effectExtent l="0" t="0" r="0" b="0"/>
            <wp:docPr id="137868361" name="Chart 137868361">
              <a:extLst xmlns:a="http://schemas.openxmlformats.org/drawingml/2006/main">
                <a:ext uri="{FF2B5EF4-FFF2-40B4-BE49-F238E27FC236}">
                  <a16:creationId xmlns:a16="http://schemas.microsoft.com/office/drawing/2014/main" id="{C0B412E0-20D9-9C02-797F-E1BB76C514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7"/>
              </a:graphicData>
            </a:graphic>
          </wp:inline>
        </w:drawing>
      </w:r>
      <w:r w:rsidRPr="00DB7A50">
        <w:rPr>
          <w:rFonts w:ascii="Verdana Pro Cond Light" w:hAnsi="Verdana Pro Cond Light" w:cstheme="minorHAnsi"/>
          <w:noProof/>
        </w:rPr>
        <w:drawing>
          <wp:inline distT="0" distB="0" distL="0" distR="0" wp14:anchorId="03FD9F35" wp14:editId="0D67FB93">
            <wp:extent cx="3060000" cy="2160000"/>
            <wp:effectExtent l="0" t="0" r="0" b="0"/>
            <wp:docPr id="1191766763" name="Chart 1191766763">
              <a:extLst xmlns:a="http://schemas.openxmlformats.org/drawingml/2006/main">
                <a:ext uri="{FF2B5EF4-FFF2-40B4-BE49-F238E27FC236}">
                  <a16:creationId xmlns:a16="http://schemas.microsoft.com/office/drawing/2014/main" id="{C0B412E0-20D9-9C02-797F-E1BB76C514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8"/>
              </a:graphicData>
            </a:graphic>
          </wp:inline>
        </w:drawing>
      </w:r>
    </w:p>
    <w:p w14:paraId="5AB21E05" w14:textId="77777777" w:rsidR="00812A72" w:rsidRDefault="00812A72" w:rsidP="00812A72">
      <w:pPr>
        <w:widowControl/>
        <w:spacing w:before="120" w:after="120" w:line="240" w:lineRule="auto"/>
        <w:jc w:val="both"/>
        <w:rPr>
          <w:rFonts w:ascii="Arial Nova Cond Light" w:eastAsia="Times New Roman" w:hAnsi="Arial Nova Cond Light"/>
          <w:sz w:val="16"/>
          <w:szCs w:val="24"/>
          <w:lang w:eastAsia="lv-LV"/>
        </w:rPr>
      </w:pPr>
      <w:r w:rsidRPr="00DB7A50">
        <w:rPr>
          <w:rFonts w:ascii="Arial Nova Cond Light" w:eastAsia="Times New Roman" w:hAnsi="Arial Nova Cond Light"/>
          <w:sz w:val="16"/>
          <w:szCs w:val="24"/>
          <w:lang w:eastAsia="lv-LV"/>
        </w:rPr>
        <w:t>Avots: autoru aprēķins, izmantojot VLA modeli.</w:t>
      </w:r>
    </w:p>
    <w:p w14:paraId="7E369B9A" w14:textId="436E1E02" w:rsidR="00812A72" w:rsidRDefault="00812A72" w:rsidP="00812A72">
      <w:pPr>
        <w:widowControl/>
        <w:spacing w:after="160" w:line="259" w:lineRule="auto"/>
        <w:rPr>
          <w:rFonts w:ascii="Verdana Pro Cond Light" w:eastAsia="Times New Roman" w:hAnsi="Verdana Pro Cond Light"/>
          <w:bCs/>
          <w:lang w:eastAsia="lv-LV"/>
        </w:rPr>
      </w:pPr>
    </w:p>
    <w:p w14:paraId="0FFC5178" w14:textId="7D1492AF" w:rsidR="00812A72" w:rsidRDefault="00812A72" w:rsidP="00812A72">
      <w:pPr>
        <w:widowControl/>
        <w:spacing w:after="120" w:line="240" w:lineRule="auto"/>
        <w:jc w:val="right"/>
        <w:rPr>
          <w:rFonts w:ascii="Verdana Pro Cond Light" w:eastAsia="Times New Roman" w:hAnsi="Verdana Pro Cond Light"/>
          <w:bCs/>
          <w:lang w:eastAsia="lv-LV"/>
        </w:rPr>
      </w:pPr>
      <w:r w:rsidRPr="00DB7A50">
        <w:rPr>
          <w:rFonts w:ascii="Verdana Pro Cond Light" w:eastAsia="Times New Roman" w:hAnsi="Verdana Pro Cond Light"/>
          <w:bCs/>
          <w:lang w:eastAsia="lv-LV"/>
        </w:rPr>
        <w:t>6.4</w:t>
      </w:r>
      <w:r w:rsidR="003C2C92">
        <w:rPr>
          <w:rFonts w:ascii="Verdana Pro Cond Light" w:eastAsia="Times New Roman" w:hAnsi="Verdana Pro Cond Light"/>
          <w:bCs/>
          <w:lang w:eastAsia="lv-LV"/>
        </w:rPr>
        <w:t>1</w:t>
      </w:r>
      <w:r w:rsidRPr="00DB7A50">
        <w:rPr>
          <w:rFonts w:ascii="Verdana Pro Cond Light" w:eastAsia="Times New Roman" w:hAnsi="Verdana Pro Cond Light"/>
          <w:bCs/>
          <w:lang w:eastAsia="lv-LV"/>
        </w:rPr>
        <w:t>. attēls</w:t>
      </w:r>
    </w:p>
    <w:p w14:paraId="5DCE1912" w14:textId="77777777" w:rsidR="00812A72" w:rsidRDefault="00812A72" w:rsidP="00812A72">
      <w:pPr>
        <w:widowControl/>
        <w:spacing w:after="120" w:line="240" w:lineRule="auto"/>
        <w:jc w:val="center"/>
        <w:rPr>
          <w:rFonts w:ascii="Verdana Pro Cond Light" w:eastAsia="Times New Roman" w:hAnsi="Verdana Pro Cond Light"/>
          <w:sz w:val="18"/>
          <w:szCs w:val="18"/>
          <w:lang w:eastAsia="lv-LV"/>
        </w:rPr>
      </w:pPr>
      <w:r w:rsidRPr="00DB7A50">
        <w:rPr>
          <w:rFonts w:ascii="Verdana Pro Cond Light" w:eastAsia="Times New Roman" w:hAnsi="Verdana Pro Cond Light"/>
          <w:b/>
          <w:bCs/>
          <w:lang w:val="lv-LV" w:eastAsia="lv-LV"/>
        </w:rPr>
        <w:t>NEKP pasākumu (nepieciešamā finansējuma apjomā)</w:t>
      </w:r>
      <w:r w:rsidRPr="00DB7A50">
        <w:rPr>
          <w:rFonts w:ascii="Verdana Pro Cond Light" w:eastAsia="Times New Roman" w:hAnsi="Verdana Pro Cond Light"/>
          <w:b/>
          <w:bCs/>
          <w:lang w:eastAsia="lv-LV"/>
        </w:rPr>
        <w:t xml:space="preserve"> ietekme uz Latvijas vispārējā </w:t>
      </w:r>
      <w:r>
        <w:rPr>
          <w:rFonts w:ascii="Verdana Pro Cond Light" w:eastAsia="Times New Roman" w:hAnsi="Verdana Pro Cond Light"/>
          <w:b/>
          <w:bCs/>
          <w:lang w:eastAsia="lv-LV"/>
        </w:rPr>
        <w:br/>
      </w:r>
      <w:r w:rsidRPr="00DB7A50">
        <w:rPr>
          <w:rFonts w:ascii="Verdana Pro Cond Light" w:eastAsia="Times New Roman" w:hAnsi="Verdana Pro Cond Light"/>
          <w:b/>
          <w:bCs/>
          <w:lang w:eastAsia="lv-LV"/>
        </w:rPr>
        <w:t xml:space="preserve">konsolidētā kopbudžeta ieņēmumiem un atsevišķu nodokļu ieņēmumiem </w:t>
      </w:r>
      <w:r>
        <w:rPr>
          <w:rFonts w:ascii="Verdana Pro Cond Light" w:eastAsia="Times New Roman" w:hAnsi="Verdana Pro Cond Light"/>
          <w:b/>
          <w:bCs/>
          <w:lang w:eastAsia="lv-LV"/>
        </w:rPr>
        <w:br/>
      </w:r>
      <w:r w:rsidRPr="00DB7A50">
        <w:rPr>
          <w:rFonts w:ascii="Verdana Pro Cond Light" w:eastAsia="Times New Roman" w:hAnsi="Verdana Pro Cond Light"/>
          <w:sz w:val="18"/>
          <w:szCs w:val="18"/>
          <w:lang w:eastAsia="lv-LV"/>
        </w:rPr>
        <w:t xml:space="preserve">%; salīdzinot ar bāzes scenāriju; 2025. – 2050. </w:t>
      </w:r>
      <w:r>
        <w:rPr>
          <w:rFonts w:ascii="Verdana Pro Cond Light" w:eastAsia="Times New Roman" w:hAnsi="Verdana Pro Cond Light"/>
          <w:sz w:val="18"/>
          <w:szCs w:val="18"/>
          <w:lang w:eastAsia="lv-LV"/>
        </w:rPr>
        <w:t>g</w:t>
      </w:r>
      <w:r w:rsidRPr="00DB7A50">
        <w:rPr>
          <w:rFonts w:ascii="Verdana Pro Cond Light" w:eastAsia="Times New Roman" w:hAnsi="Verdana Pro Cond Light"/>
          <w:sz w:val="18"/>
          <w:szCs w:val="18"/>
          <w:lang w:eastAsia="lv-LV"/>
        </w:rPr>
        <w:t>adā</w:t>
      </w:r>
    </w:p>
    <w:p w14:paraId="46A4B562" w14:textId="77777777" w:rsidR="00812A72" w:rsidRDefault="00812A72" w:rsidP="00812A72">
      <w:pPr>
        <w:widowControl/>
        <w:spacing w:after="120" w:line="240" w:lineRule="auto"/>
        <w:jc w:val="center"/>
        <w:rPr>
          <w:rFonts w:ascii="Verdana Pro Cond Light" w:eastAsia="Times New Roman" w:hAnsi="Verdana Pro Cond Light"/>
          <w:sz w:val="18"/>
          <w:szCs w:val="18"/>
          <w:lang w:eastAsia="lv-LV"/>
        </w:rPr>
      </w:pPr>
    </w:p>
    <w:p w14:paraId="37CF5562" w14:textId="77777777" w:rsidR="00812A72" w:rsidRPr="00DB7A50" w:rsidRDefault="00812A72" w:rsidP="00812A72">
      <w:pPr>
        <w:widowControl/>
        <w:tabs>
          <w:tab w:val="center" w:pos="2410"/>
          <w:tab w:val="center" w:pos="7230"/>
        </w:tabs>
        <w:spacing w:after="120" w:line="240" w:lineRule="auto"/>
        <w:rPr>
          <w:rFonts w:ascii="Verdana Pro Cond Light" w:eastAsia="Times New Roman" w:hAnsi="Verdana Pro Cond Light"/>
          <w:b/>
          <w:bCs/>
          <w:sz w:val="18"/>
          <w:szCs w:val="18"/>
          <w:lang w:eastAsia="lv-LV"/>
        </w:rPr>
      </w:pPr>
      <w:r>
        <w:rPr>
          <w:rFonts w:ascii="Verdana Pro Cond Light" w:eastAsia="Times New Roman" w:hAnsi="Verdana Pro Cond Light"/>
          <w:b/>
          <w:bCs/>
          <w:sz w:val="18"/>
          <w:szCs w:val="18"/>
          <w:lang w:eastAsia="lv-LV"/>
        </w:rPr>
        <w:tab/>
      </w:r>
      <w:r w:rsidRPr="00DB7A50">
        <w:rPr>
          <w:rFonts w:ascii="Verdana Pro Cond Light" w:eastAsia="Times New Roman" w:hAnsi="Verdana Pro Cond Light"/>
          <w:b/>
          <w:bCs/>
          <w:sz w:val="18"/>
          <w:szCs w:val="18"/>
          <w:lang w:eastAsia="lv-LV"/>
        </w:rPr>
        <w:t>Ietekme uz vispārējā konsolidētā kopbudžeta ieņēmumiem (%)</w:t>
      </w:r>
      <w:r w:rsidRPr="00DB7A50">
        <w:rPr>
          <w:rFonts w:ascii="Verdana Pro Cond Light" w:eastAsia="Times New Roman" w:hAnsi="Verdana Pro Cond Light"/>
          <w:b/>
          <w:bCs/>
          <w:sz w:val="18"/>
          <w:szCs w:val="18"/>
          <w:lang w:eastAsia="lv-LV"/>
        </w:rPr>
        <w:tab/>
        <w:t>Ietekme uz atsevišķu nodokļu ieņēmumiem (%)</w:t>
      </w:r>
    </w:p>
    <w:p w14:paraId="280B4FD8" w14:textId="77777777" w:rsidR="00812A72" w:rsidRPr="00DB7A50" w:rsidRDefault="00812A72" w:rsidP="00812A72">
      <w:pPr>
        <w:widowControl/>
        <w:spacing w:after="120" w:line="240" w:lineRule="auto"/>
        <w:ind w:right="-143"/>
        <w:jc w:val="center"/>
        <w:rPr>
          <w:rFonts w:ascii="Verdana Pro Cond Light" w:eastAsia="Times New Roman" w:hAnsi="Verdana Pro Cond Light"/>
          <w:sz w:val="18"/>
          <w:szCs w:val="18"/>
          <w:lang w:eastAsia="lv-LV"/>
        </w:rPr>
      </w:pPr>
      <w:r w:rsidRPr="00D804CB">
        <w:rPr>
          <w:rFonts w:ascii="Minion Pro" w:hAnsi="Minion Pro" w:cstheme="minorHAnsi"/>
          <w:noProof/>
          <w:sz w:val="24"/>
          <w:szCs w:val="24"/>
        </w:rPr>
        <w:drawing>
          <wp:inline distT="0" distB="0" distL="0" distR="0" wp14:anchorId="05A48A2B" wp14:editId="5CF4742F">
            <wp:extent cx="3060000" cy="2160000"/>
            <wp:effectExtent l="0" t="0" r="0" b="0"/>
            <wp:docPr id="402188079" name="Chart 402188079">
              <a:extLst xmlns:a="http://schemas.openxmlformats.org/drawingml/2006/main">
                <a:ext uri="{FF2B5EF4-FFF2-40B4-BE49-F238E27FC236}">
                  <a16:creationId xmlns:a16="http://schemas.microsoft.com/office/drawing/2014/main" id="{2DCBF45D-DE3F-2971-5D7A-6034F91B2D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9"/>
              </a:graphicData>
            </a:graphic>
          </wp:inline>
        </w:drawing>
      </w:r>
      <w:r w:rsidRPr="00D804CB">
        <w:rPr>
          <w:rFonts w:ascii="Minion Pro" w:hAnsi="Minion Pro" w:cstheme="minorHAnsi"/>
          <w:noProof/>
          <w:sz w:val="24"/>
          <w:szCs w:val="24"/>
        </w:rPr>
        <w:drawing>
          <wp:inline distT="0" distB="0" distL="0" distR="0" wp14:anchorId="24C69094" wp14:editId="202EAD89">
            <wp:extent cx="3060000" cy="2160000"/>
            <wp:effectExtent l="0" t="0" r="0" b="0"/>
            <wp:docPr id="1376594304" name="Chart 1376594304">
              <a:extLst xmlns:a="http://schemas.openxmlformats.org/drawingml/2006/main">
                <a:ext uri="{FF2B5EF4-FFF2-40B4-BE49-F238E27FC236}">
                  <a16:creationId xmlns:a16="http://schemas.microsoft.com/office/drawing/2014/main" id="{E8729AA3-B962-A2D9-7C5A-6B606779FF6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0"/>
              </a:graphicData>
            </a:graphic>
          </wp:inline>
        </w:drawing>
      </w:r>
    </w:p>
    <w:p w14:paraId="5502D0A2" w14:textId="77777777" w:rsidR="00812A72" w:rsidRDefault="00812A72" w:rsidP="00812A72">
      <w:pPr>
        <w:widowControl/>
        <w:spacing w:before="120" w:after="120" w:line="240" w:lineRule="auto"/>
        <w:jc w:val="both"/>
        <w:rPr>
          <w:rFonts w:ascii="Arial Nova Cond Light" w:eastAsia="Times New Roman" w:hAnsi="Arial Nova Cond Light"/>
          <w:sz w:val="16"/>
          <w:szCs w:val="24"/>
          <w:lang w:eastAsia="lv-LV"/>
        </w:rPr>
      </w:pPr>
      <w:r w:rsidRPr="00DB7A50">
        <w:rPr>
          <w:rFonts w:ascii="Arial Nova Cond Light" w:eastAsia="Times New Roman" w:hAnsi="Arial Nova Cond Light"/>
          <w:sz w:val="16"/>
          <w:szCs w:val="24"/>
          <w:lang w:eastAsia="lv-LV"/>
        </w:rPr>
        <w:t>Avots: autoru aprēķins, izmantojot VLA modeli.</w:t>
      </w:r>
    </w:p>
    <w:p w14:paraId="680AB569" w14:textId="77777777" w:rsidR="00812A72" w:rsidRDefault="00812A72" w:rsidP="00812A72">
      <w:pPr>
        <w:widowControl/>
        <w:spacing w:after="160" w:line="240" w:lineRule="auto"/>
        <w:rPr>
          <w:rFonts w:ascii="Times New Roman" w:eastAsia="Times New Roman" w:hAnsi="Times New Roman"/>
          <w:sz w:val="16"/>
          <w:szCs w:val="24"/>
          <w:lang w:eastAsia="lv-LV"/>
        </w:rPr>
      </w:pPr>
    </w:p>
    <w:p w14:paraId="0299034F" w14:textId="77777777" w:rsidR="00ED3083" w:rsidRDefault="00ED3083">
      <w:pPr>
        <w:widowControl/>
        <w:spacing w:after="160" w:line="259" w:lineRule="auto"/>
        <w:rPr>
          <w:rFonts w:ascii="Verdana Pro Cond Light" w:eastAsia="Times New Roman" w:hAnsi="Verdana Pro Cond Light" w:cstheme="minorHAnsi"/>
          <w:bCs/>
          <w:lang w:eastAsia="lv-LV"/>
        </w:rPr>
      </w:pPr>
      <w:r>
        <w:rPr>
          <w:rFonts w:ascii="Verdana Pro Cond Light" w:eastAsia="Times New Roman" w:hAnsi="Verdana Pro Cond Light" w:cstheme="minorHAnsi"/>
          <w:bCs/>
          <w:lang w:eastAsia="lv-LV"/>
        </w:rPr>
        <w:br w:type="page"/>
      </w:r>
    </w:p>
    <w:p w14:paraId="7DDE5FD2" w14:textId="1D414182" w:rsidR="00812A72" w:rsidRDefault="00812A72" w:rsidP="00812A72">
      <w:pPr>
        <w:widowControl/>
        <w:spacing w:before="120" w:after="120" w:line="240" w:lineRule="auto"/>
        <w:jc w:val="right"/>
        <w:rPr>
          <w:rFonts w:ascii="Verdana Pro Cond Light" w:eastAsia="Times New Roman" w:hAnsi="Verdana Pro Cond Light" w:cstheme="minorHAnsi"/>
          <w:bCs/>
          <w:lang w:eastAsia="lv-LV"/>
        </w:rPr>
      </w:pPr>
      <w:r w:rsidRPr="00DB7A50">
        <w:rPr>
          <w:rFonts w:ascii="Verdana Pro Cond Light" w:eastAsia="Times New Roman" w:hAnsi="Verdana Pro Cond Light" w:cstheme="minorHAnsi"/>
          <w:bCs/>
          <w:lang w:eastAsia="lv-LV"/>
        </w:rPr>
        <w:lastRenderedPageBreak/>
        <w:t>6.4</w:t>
      </w:r>
      <w:r w:rsidR="003C2C92">
        <w:rPr>
          <w:rFonts w:ascii="Verdana Pro Cond Light" w:eastAsia="Times New Roman" w:hAnsi="Verdana Pro Cond Light" w:cstheme="minorHAnsi"/>
          <w:bCs/>
          <w:lang w:eastAsia="lv-LV"/>
        </w:rPr>
        <w:t>2</w:t>
      </w:r>
      <w:r w:rsidRPr="00DB7A50">
        <w:rPr>
          <w:rFonts w:ascii="Verdana Pro Cond Light" w:eastAsia="Times New Roman" w:hAnsi="Verdana Pro Cond Light" w:cstheme="minorHAnsi"/>
          <w:bCs/>
          <w:lang w:eastAsia="lv-LV"/>
        </w:rPr>
        <w:t>. attēls</w:t>
      </w:r>
    </w:p>
    <w:p w14:paraId="570F03F5" w14:textId="77777777" w:rsidR="00812A72" w:rsidRPr="00DB7A50" w:rsidRDefault="00812A72" w:rsidP="00812A72">
      <w:pPr>
        <w:widowControl/>
        <w:spacing w:after="120" w:line="240" w:lineRule="auto"/>
        <w:jc w:val="center"/>
        <w:rPr>
          <w:rFonts w:ascii="Verdana Pro Cond Light" w:eastAsia="Times New Roman" w:hAnsi="Verdana Pro Cond Light"/>
          <w:sz w:val="18"/>
          <w:szCs w:val="18"/>
          <w:lang w:eastAsia="lv-LV"/>
        </w:rPr>
      </w:pPr>
      <w:r w:rsidRPr="00DB7A50">
        <w:rPr>
          <w:rFonts w:ascii="Verdana Pro Cond Light" w:eastAsia="Times New Roman" w:hAnsi="Verdana Pro Cond Light"/>
          <w:b/>
          <w:bCs/>
          <w:lang w:val="lv-LV" w:eastAsia="lv-LV"/>
        </w:rPr>
        <w:t>NEKP pasākumu (nepieciešamā finansējuma apjomā)</w:t>
      </w:r>
      <w:r w:rsidRPr="00DB7A50">
        <w:rPr>
          <w:rFonts w:ascii="Verdana Pro Cond Light" w:eastAsia="Times New Roman" w:hAnsi="Verdana Pro Cond Light"/>
          <w:b/>
          <w:bCs/>
          <w:lang w:eastAsia="lv-LV"/>
        </w:rPr>
        <w:t xml:space="preserve"> ietekme uz pievienoto vērtību nozaru dalījumā </w:t>
      </w:r>
      <w:r>
        <w:rPr>
          <w:rFonts w:ascii="Verdana Pro Cond Light" w:eastAsia="Times New Roman" w:hAnsi="Verdana Pro Cond Light"/>
          <w:b/>
          <w:bCs/>
          <w:lang w:eastAsia="lv-LV"/>
        </w:rPr>
        <w:br/>
      </w:r>
      <w:r w:rsidRPr="00DB7A50">
        <w:rPr>
          <w:rFonts w:ascii="Verdana Pro Cond Light" w:eastAsia="Times New Roman" w:hAnsi="Verdana Pro Cond Light"/>
          <w:sz w:val="18"/>
          <w:szCs w:val="18"/>
          <w:lang w:eastAsia="lv-LV"/>
        </w:rPr>
        <w:t>%; 2035. – 2039.</w:t>
      </w:r>
      <w:r>
        <w:rPr>
          <w:rFonts w:ascii="Verdana Pro Cond Light" w:eastAsia="Times New Roman" w:hAnsi="Verdana Pro Cond Light"/>
          <w:sz w:val="18"/>
          <w:szCs w:val="18"/>
          <w:lang w:eastAsia="lv-LV"/>
        </w:rPr>
        <w:t xml:space="preserve"> </w:t>
      </w:r>
      <w:r w:rsidRPr="00DB7A50">
        <w:rPr>
          <w:rFonts w:ascii="Verdana Pro Cond Light" w:eastAsia="Times New Roman" w:hAnsi="Verdana Pro Cond Light"/>
          <w:sz w:val="18"/>
          <w:szCs w:val="18"/>
          <w:lang w:eastAsia="lv-LV"/>
        </w:rPr>
        <w:t>gadā; salīdzinot ar bāzes scenāriju; 2015. gada cenās</w:t>
      </w:r>
    </w:p>
    <w:p w14:paraId="7617B3D4" w14:textId="77777777" w:rsidR="00812A72" w:rsidRPr="00D804CB" w:rsidRDefault="00812A72" w:rsidP="00812A72">
      <w:pPr>
        <w:widowControl/>
        <w:spacing w:after="0" w:line="240" w:lineRule="auto"/>
        <w:jc w:val="center"/>
        <w:rPr>
          <w:rFonts w:ascii="Minion Pro" w:hAnsi="Minion Pro" w:cstheme="minorHAnsi"/>
          <w:b/>
          <w:bCs/>
          <w:sz w:val="24"/>
          <w:szCs w:val="24"/>
        </w:rPr>
      </w:pPr>
      <w:r w:rsidRPr="00D804CB">
        <w:rPr>
          <w:rFonts w:ascii="Minion Pro" w:hAnsi="Minion Pro" w:cstheme="minorHAnsi"/>
          <w:b/>
          <w:bCs/>
          <w:noProof/>
          <w:sz w:val="24"/>
          <w:szCs w:val="24"/>
        </w:rPr>
        <w:drawing>
          <wp:inline distT="0" distB="0" distL="0" distR="0" wp14:anchorId="0DFFB672" wp14:editId="12DA3D68">
            <wp:extent cx="6120000" cy="3600000"/>
            <wp:effectExtent l="0" t="0" r="0" b="0"/>
            <wp:docPr id="2119135829" name="Chart 2119135829">
              <a:extLst xmlns:a="http://schemas.openxmlformats.org/drawingml/2006/main">
                <a:ext uri="{FF2B5EF4-FFF2-40B4-BE49-F238E27FC236}">
                  <a16:creationId xmlns:a16="http://schemas.microsoft.com/office/drawing/2014/main" id="{9CA58CAF-2A31-E6CF-FFCA-A031A940653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1"/>
              </a:graphicData>
            </a:graphic>
          </wp:inline>
        </w:drawing>
      </w:r>
    </w:p>
    <w:p w14:paraId="065AC674" w14:textId="77777777" w:rsidR="00812A72" w:rsidRPr="00DB7A50" w:rsidRDefault="00812A72" w:rsidP="00812A72">
      <w:pPr>
        <w:widowControl/>
        <w:spacing w:before="120" w:after="120" w:line="240" w:lineRule="auto"/>
        <w:jc w:val="both"/>
        <w:rPr>
          <w:rFonts w:ascii="Arial Nova Cond Light" w:eastAsia="Times New Roman" w:hAnsi="Arial Nova Cond Light"/>
          <w:sz w:val="16"/>
          <w:szCs w:val="24"/>
          <w:lang w:eastAsia="lv-LV"/>
        </w:rPr>
      </w:pPr>
      <w:r w:rsidRPr="00DB7A50">
        <w:rPr>
          <w:rFonts w:ascii="Arial Nova Cond Light" w:eastAsia="Times New Roman" w:hAnsi="Arial Nova Cond Light"/>
          <w:sz w:val="16"/>
          <w:szCs w:val="24"/>
          <w:lang w:eastAsia="lv-LV"/>
        </w:rPr>
        <w:t>Avots: autoru aprēķins, izmantojot VLA modeli.</w:t>
      </w:r>
    </w:p>
    <w:p w14:paraId="637BFC1F" w14:textId="147F3D2D" w:rsidR="00812A72" w:rsidRPr="0069037D" w:rsidRDefault="00812A72" w:rsidP="0069037D">
      <w:pPr>
        <w:widowControl/>
        <w:spacing w:after="120" w:line="240" w:lineRule="auto"/>
        <w:rPr>
          <w:rFonts w:ascii="Verdana Pro Cond Light" w:hAnsi="Verdana Pro Cond Light"/>
          <w:lang w:val="lv-LV"/>
        </w:rPr>
      </w:pPr>
    </w:p>
    <w:p w14:paraId="62C3B65A" w14:textId="77777777" w:rsidR="0069037D" w:rsidRPr="0069037D" w:rsidRDefault="0069037D" w:rsidP="0069037D">
      <w:pPr>
        <w:widowControl/>
        <w:spacing w:after="120" w:line="240" w:lineRule="auto"/>
        <w:rPr>
          <w:rFonts w:ascii="Verdana Pro Cond Light" w:hAnsi="Verdana Pro Cond Light"/>
          <w:lang w:val="lv-LV"/>
        </w:rPr>
      </w:pPr>
    </w:p>
    <w:p w14:paraId="26842301" w14:textId="6BE0250E" w:rsidR="00812A72" w:rsidRPr="00D24F07" w:rsidRDefault="004B0DCC" w:rsidP="00812A72">
      <w:pPr>
        <w:pStyle w:val="Heading2"/>
        <w:rPr>
          <w:lang w:val="lv-LV"/>
        </w:rPr>
      </w:pPr>
      <w:bookmarkStart w:id="80" w:name="_Toc177395403"/>
      <w:bookmarkStart w:id="81" w:name="_Toc178327887"/>
      <w:bookmarkStart w:id="82" w:name="_Toc178330639"/>
      <w:bookmarkStart w:id="83" w:name="_Toc183697495"/>
      <w:r>
        <w:rPr>
          <w:lang w:val="lv-LV"/>
        </w:rPr>
        <w:t>ASTO</w:t>
      </w:r>
      <w:r w:rsidR="00812A72" w:rsidRPr="004B0DCC">
        <w:rPr>
          <w:lang w:val="lv-LV"/>
        </w:rPr>
        <w:t>tais scenārijs – kopējais scenārijs, kas ietver 1.-</w:t>
      </w:r>
      <w:r w:rsidRPr="004B0DCC">
        <w:rPr>
          <w:lang w:val="lv-LV"/>
        </w:rPr>
        <w:t>6</w:t>
      </w:r>
      <w:r w:rsidR="00812A72" w:rsidRPr="004B0DCC">
        <w:rPr>
          <w:lang w:val="lv-LV"/>
        </w:rPr>
        <w:t xml:space="preserve">. </w:t>
      </w:r>
      <w:r w:rsidR="00812A72" w:rsidRPr="00D24F07">
        <w:rPr>
          <w:lang w:val="lv-LV"/>
        </w:rPr>
        <w:t>scenāriju īstenošanu iezīmētā finansējuma apjomā</w:t>
      </w:r>
      <w:bookmarkEnd w:id="80"/>
      <w:bookmarkEnd w:id="81"/>
      <w:bookmarkEnd w:id="82"/>
      <w:bookmarkEnd w:id="83"/>
    </w:p>
    <w:p w14:paraId="363FACDD" w14:textId="77777777" w:rsidR="00812A72" w:rsidRDefault="00812A72" w:rsidP="00812A72">
      <w:pPr>
        <w:widowControl/>
        <w:spacing w:after="120" w:line="240" w:lineRule="auto"/>
        <w:rPr>
          <w:rFonts w:ascii="Verdana Pro Cond Light" w:hAnsi="Verdana Pro Cond Light"/>
          <w:lang w:val="lv-LV"/>
        </w:rPr>
      </w:pPr>
      <w:bookmarkStart w:id="84" w:name="_Hlk177833261"/>
      <w:r w:rsidRPr="00DB7A50">
        <w:rPr>
          <w:rFonts w:ascii="Verdana Pro Cond Light" w:hAnsi="Verdana Pro Cond Light"/>
          <w:lang w:val="lv-LV"/>
        </w:rPr>
        <w:t>NEKP pasākumu īstenošana iezīmētā finansējuma apjomā paredz 1.0 miljarda jaunās naudas ieplūdināšanu Latvijas ekonomikā līdz 2030. gadam ieskaitot</w:t>
      </w:r>
      <w:bookmarkEnd w:id="84"/>
      <w:r w:rsidRPr="00DB7A50">
        <w:rPr>
          <w:rFonts w:ascii="Verdana Pro Cond Light" w:hAnsi="Verdana Pro Cond Light"/>
          <w:lang w:val="lv-LV"/>
        </w:rPr>
        <w:t>, galvenokārt investīciju veidā (6.8. tabula).</w:t>
      </w:r>
    </w:p>
    <w:p w14:paraId="43D76969" w14:textId="77777777" w:rsidR="00812A72" w:rsidRDefault="00812A72" w:rsidP="00812A72">
      <w:pPr>
        <w:widowControl/>
        <w:spacing w:after="120" w:line="240" w:lineRule="auto"/>
        <w:jc w:val="right"/>
        <w:rPr>
          <w:rFonts w:ascii="Verdana Pro Cond Light" w:hAnsi="Verdana Pro Cond Light"/>
          <w:lang w:val="lv-LV"/>
        </w:rPr>
      </w:pPr>
      <w:r w:rsidRPr="00DB7A50">
        <w:rPr>
          <w:rFonts w:ascii="Verdana Pro Cond Light" w:hAnsi="Verdana Pro Cond Light"/>
          <w:lang w:val="lv-LV"/>
        </w:rPr>
        <w:t>6.8. tabula</w:t>
      </w:r>
    </w:p>
    <w:p w14:paraId="39F3B3CB" w14:textId="77777777" w:rsidR="00812A72" w:rsidRDefault="00812A72" w:rsidP="00812A72">
      <w:pPr>
        <w:widowControl/>
        <w:spacing w:after="120" w:line="240" w:lineRule="auto"/>
        <w:jc w:val="center"/>
        <w:rPr>
          <w:rFonts w:ascii="Verdana Pro Cond Light" w:hAnsi="Verdana Pro Cond Light"/>
          <w:sz w:val="18"/>
          <w:szCs w:val="18"/>
          <w:lang w:val="lv-LV"/>
        </w:rPr>
      </w:pPr>
      <w:r w:rsidRPr="00DB7A50">
        <w:rPr>
          <w:rFonts w:ascii="Verdana Pro Cond Light" w:hAnsi="Verdana Pro Cond Light"/>
          <w:b/>
          <w:bCs/>
          <w:lang w:val="lv-LV"/>
        </w:rPr>
        <w:t xml:space="preserve">Modelēto pasākumu iezīmētais finansējums </w:t>
      </w:r>
      <w:r>
        <w:rPr>
          <w:rFonts w:ascii="Verdana Pro Cond Light" w:hAnsi="Verdana Pro Cond Light"/>
          <w:b/>
          <w:bCs/>
          <w:lang w:val="lv-LV"/>
        </w:rPr>
        <w:br/>
      </w:r>
      <w:r w:rsidRPr="00E00D69">
        <w:rPr>
          <w:rFonts w:ascii="Verdana Pro Cond Light" w:hAnsi="Verdana Pro Cond Light"/>
          <w:sz w:val="18"/>
          <w:szCs w:val="18"/>
          <w:lang w:val="lv-LV"/>
        </w:rPr>
        <w:t>milj. eiro; līdz 2030. gadam ieskaitot</w:t>
      </w:r>
    </w:p>
    <w:tbl>
      <w:tblPr>
        <w:tblStyle w:val="TableGrid"/>
        <w:tblW w:w="963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2"/>
        <w:gridCol w:w="2268"/>
        <w:gridCol w:w="2268"/>
      </w:tblGrid>
      <w:tr w:rsidR="00812A72" w:rsidRPr="00CB4E89" w14:paraId="01BA9703" w14:textId="77777777" w:rsidTr="0002297E">
        <w:trPr>
          <w:cantSplit/>
          <w:trHeight w:val="20"/>
          <w:jc w:val="center"/>
        </w:trPr>
        <w:tc>
          <w:tcPr>
            <w:tcW w:w="5102" w:type="dxa"/>
            <w:shd w:val="clear" w:color="auto" w:fill="4472C4" w:themeFill="accent1"/>
          </w:tcPr>
          <w:p w14:paraId="554533A2" w14:textId="77777777" w:rsidR="00812A72" w:rsidRPr="00CB4E89" w:rsidRDefault="00812A72" w:rsidP="0002297E">
            <w:pPr>
              <w:widowControl/>
              <w:spacing w:before="40" w:after="40" w:line="240" w:lineRule="auto"/>
              <w:jc w:val="center"/>
              <w:rPr>
                <w:rFonts w:asciiTheme="majorHAnsi" w:hAnsiTheme="majorHAnsi" w:cstheme="majorHAnsi"/>
                <w:b/>
                <w:bCs/>
                <w:color w:val="FFFFFF" w:themeColor="background1"/>
                <w:sz w:val="16"/>
                <w:szCs w:val="16"/>
                <w:lang w:val="lv-LV"/>
              </w:rPr>
            </w:pPr>
            <w:r w:rsidRPr="00CB4E89">
              <w:rPr>
                <w:rFonts w:asciiTheme="majorHAnsi" w:hAnsiTheme="majorHAnsi" w:cstheme="majorHAnsi"/>
                <w:b/>
                <w:bCs/>
                <w:color w:val="FFFFFF" w:themeColor="background1"/>
                <w:sz w:val="16"/>
                <w:szCs w:val="16"/>
                <w:lang w:val="lv-LV"/>
              </w:rPr>
              <w:t>Pasākum</w:t>
            </w:r>
            <w:r>
              <w:rPr>
                <w:rFonts w:asciiTheme="majorHAnsi" w:hAnsiTheme="majorHAnsi" w:cstheme="majorHAnsi"/>
                <w:b/>
                <w:bCs/>
                <w:color w:val="FFFFFF" w:themeColor="background1"/>
                <w:sz w:val="16"/>
                <w:szCs w:val="16"/>
                <w:lang w:val="lv-LV"/>
              </w:rPr>
              <w:t>u grupa</w:t>
            </w:r>
          </w:p>
        </w:tc>
        <w:tc>
          <w:tcPr>
            <w:tcW w:w="2268" w:type="dxa"/>
            <w:shd w:val="clear" w:color="auto" w:fill="4472C4" w:themeFill="accent1"/>
          </w:tcPr>
          <w:p w14:paraId="5ADAB33A" w14:textId="77777777" w:rsidR="00812A72" w:rsidRPr="00CB4E89" w:rsidRDefault="00812A72" w:rsidP="0002297E">
            <w:pPr>
              <w:widowControl/>
              <w:spacing w:before="40" w:after="40" w:line="240" w:lineRule="auto"/>
              <w:jc w:val="center"/>
              <w:rPr>
                <w:rFonts w:asciiTheme="majorHAnsi" w:hAnsiTheme="majorHAnsi" w:cstheme="majorHAnsi"/>
                <w:b/>
                <w:bCs/>
                <w:color w:val="FFFFFF" w:themeColor="background1"/>
                <w:sz w:val="16"/>
                <w:szCs w:val="16"/>
                <w:lang w:val="lv-LV"/>
              </w:rPr>
            </w:pPr>
            <w:r>
              <w:rPr>
                <w:rFonts w:asciiTheme="majorHAnsi" w:hAnsiTheme="majorHAnsi" w:cstheme="majorHAnsi"/>
                <w:b/>
                <w:bCs/>
                <w:color w:val="FFFFFF" w:themeColor="background1"/>
                <w:sz w:val="16"/>
                <w:szCs w:val="16"/>
                <w:lang w:val="lv-LV"/>
              </w:rPr>
              <w:t>Iezīmētais f</w:t>
            </w:r>
            <w:r w:rsidRPr="00CB4E89">
              <w:rPr>
                <w:rFonts w:asciiTheme="majorHAnsi" w:hAnsiTheme="majorHAnsi" w:cstheme="majorHAnsi"/>
                <w:b/>
                <w:bCs/>
                <w:color w:val="FFFFFF" w:themeColor="background1"/>
                <w:sz w:val="16"/>
                <w:szCs w:val="16"/>
                <w:lang w:val="lv-LV"/>
              </w:rPr>
              <w:t>inansējums</w:t>
            </w:r>
          </w:p>
        </w:tc>
        <w:tc>
          <w:tcPr>
            <w:tcW w:w="2268" w:type="dxa"/>
            <w:shd w:val="clear" w:color="auto" w:fill="4472C4" w:themeFill="accent1"/>
          </w:tcPr>
          <w:p w14:paraId="131AAF0F" w14:textId="77777777" w:rsidR="00812A72" w:rsidRPr="00CB4E89" w:rsidRDefault="00812A72" w:rsidP="0002297E">
            <w:pPr>
              <w:widowControl/>
              <w:spacing w:before="40" w:after="40" w:line="240" w:lineRule="auto"/>
              <w:jc w:val="center"/>
              <w:rPr>
                <w:rFonts w:asciiTheme="majorHAnsi" w:hAnsiTheme="majorHAnsi" w:cstheme="majorHAnsi"/>
                <w:b/>
                <w:bCs/>
                <w:color w:val="FFFFFF" w:themeColor="background1"/>
                <w:sz w:val="16"/>
                <w:szCs w:val="16"/>
                <w:lang w:val="lv-LV"/>
              </w:rPr>
            </w:pPr>
            <w:r>
              <w:rPr>
                <w:rFonts w:asciiTheme="majorHAnsi" w:hAnsiTheme="majorHAnsi" w:cstheme="majorHAnsi"/>
                <w:b/>
                <w:bCs/>
                <w:color w:val="FFFFFF" w:themeColor="background1"/>
                <w:sz w:val="16"/>
                <w:szCs w:val="16"/>
                <w:lang w:val="lv-LV"/>
              </w:rPr>
              <w:t>Tai skaitā: jaunā nauda</w:t>
            </w:r>
          </w:p>
        </w:tc>
      </w:tr>
      <w:tr w:rsidR="00812A72" w:rsidRPr="00AB3438" w14:paraId="6C50489D" w14:textId="77777777" w:rsidTr="0002297E">
        <w:trPr>
          <w:jc w:val="center"/>
        </w:trPr>
        <w:tc>
          <w:tcPr>
            <w:tcW w:w="5102" w:type="dxa"/>
            <w:shd w:val="clear" w:color="auto" w:fill="D9E2F3" w:themeFill="accent1" w:themeFillTint="33"/>
          </w:tcPr>
          <w:p w14:paraId="6E400948" w14:textId="77777777" w:rsidR="00812A72" w:rsidRPr="000F151C" w:rsidRDefault="00812A72" w:rsidP="0002297E">
            <w:pPr>
              <w:widowControl/>
              <w:spacing w:before="40" w:after="40" w:line="240" w:lineRule="auto"/>
              <w:rPr>
                <w:rFonts w:asciiTheme="majorHAnsi" w:hAnsiTheme="majorHAnsi" w:cstheme="majorHAnsi"/>
                <w:b/>
                <w:bCs/>
                <w:sz w:val="16"/>
                <w:szCs w:val="16"/>
                <w:lang w:val="lv-LV"/>
              </w:rPr>
            </w:pPr>
            <w:r w:rsidRPr="000F151C">
              <w:rPr>
                <w:rFonts w:asciiTheme="majorHAnsi" w:hAnsiTheme="majorHAnsi" w:cstheme="majorHAnsi"/>
                <w:sz w:val="16"/>
                <w:szCs w:val="16"/>
                <w:lang w:val="lv-LV"/>
              </w:rPr>
              <w:t xml:space="preserve">ZIZIMM sektora pasākumi </w:t>
            </w:r>
          </w:p>
        </w:tc>
        <w:tc>
          <w:tcPr>
            <w:tcW w:w="2268" w:type="dxa"/>
            <w:shd w:val="clear" w:color="auto" w:fill="D9E2F3" w:themeFill="accent1" w:themeFillTint="33"/>
          </w:tcPr>
          <w:p w14:paraId="29B0FC08" w14:textId="77777777" w:rsidR="00812A72" w:rsidRPr="00B75FEB" w:rsidRDefault="00812A72" w:rsidP="0002297E">
            <w:pPr>
              <w:widowControl/>
              <w:spacing w:before="40" w:after="40" w:line="240" w:lineRule="auto"/>
              <w:jc w:val="center"/>
              <w:rPr>
                <w:rFonts w:asciiTheme="majorHAnsi" w:hAnsiTheme="majorHAnsi" w:cstheme="majorHAnsi"/>
                <w:b/>
                <w:bCs/>
                <w:color w:val="000000" w:themeColor="text1"/>
                <w:sz w:val="16"/>
                <w:szCs w:val="16"/>
                <w:lang w:val="lv-LV"/>
              </w:rPr>
            </w:pPr>
            <w:r w:rsidRPr="00B75FEB">
              <w:rPr>
                <w:rFonts w:asciiTheme="majorHAnsi" w:hAnsiTheme="majorHAnsi" w:cstheme="majorHAnsi"/>
                <w:color w:val="000000" w:themeColor="text1"/>
                <w:sz w:val="16"/>
                <w:szCs w:val="16"/>
                <w:lang w:val="lv-LV"/>
              </w:rPr>
              <w:t xml:space="preserve">0,0 </w:t>
            </w:r>
          </w:p>
        </w:tc>
        <w:tc>
          <w:tcPr>
            <w:tcW w:w="2268" w:type="dxa"/>
            <w:shd w:val="clear" w:color="auto" w:fill="D9E2F3" w:themeFill="accent1" w:themeFillTint="33"/>
          </w:tcPr>
          <w:p w14:paraId="05C18677" w14:textId="77777777" w:rsidR="00812A72" w:rsidRPr="00DA2C8E" w:rsidRDefault="00812A72" w:rsidP="0002297E">
            <w:pPr>
              <w:widowControl/>
              <w:spacing w:before="40" w:after="40" w:line="240" w:lineRule="auto"/>
              <w:jc w:val="center"/>
              <w:rPr>
                <w:rFonts w:asciiTheme="majorHAnsi" w:hAnsiTheme="majorHAnsi" w:cstheme="majorHAnsi"/>
                <w:b/>
                <w:bCs/>
                <w:sz w:val="16"/>
                <w:szCs w:val="16"/>
                <w:lang w:val="lv-LV"/>
              </w:rPr>
            </w:pPr>
            <w:r w:rsidRPr="00DA2C8E">
              <w:rPr>
                <w:rFonts w:asciiTheme="majorHAnsi" w:hAnsiTheme="majorHAnsi" w:cstheme="majorHAnsi"/>
                <w:sz w:val="16"/>
                <w:szCs w:val="16"/>
                <w:lang w:val="lv-LV"/>
              </w:rPr>
              <w:t xml:space="preserve">0,0 </w:t>
            </w:r>
          </w:p>
        </w:tc>
      </w:tr>
      <w:tr w:rsidR="00812A72" w:rsidRPr="00AB3438" w14:paraId="1B63468D" w14:textId="77777777" w:rsidTr="0002297E">
        <w:trPr>
          <w:jc w:val="center"/>
        </w:trPr>
        <w:tc>
          <w:tcPr>
            <w:tcW w:w="5102" w:type="dxa"/>
            <w:shd w:val="clear" w:color="auto" w:fill="B4C6E7" w:themeFill="accent1" w:themeFillTint="66"/>
          </w:tcPr>
          <w:p w14:paraId="5EFE9084" w14:textId="77777777" w:rsidR="00812A72" w:rsidRPr="000F151C" w:rsidRDefault="00812A72" w:rsidP="0002297E">
            <w:pPr>
              <w:widowControl/>
              <w:spacing w:before="40" w:after="40" w:line="240" w:lineRule="auto"/>
              <w:rPr>
                <w:rFonts w:asciiTheme="majorHAnsi" w:hAnsiTheme="majorHAnsi" w:cstheme="majorHAnsi"/>
                <w:sz w:val="16"/>
                <w:szCs w:val="16"/>
                <w:lang w:val="lv-LV"/>
              </w:rPr>
            </w:pPr>
            <w:r w:rsidRPr="000F151C">
              <w:rPr>
                <w:rFonts w:asciiTheme="majorHAnsi" w:hAnsiTheme="majorHAnsi" w:cstheme="majorHAnsi"/>
                <w:sz w:val="16"/>
                <w:szCs w:val="16"/>
                <w:lang w:val="lv-LV"/>
              </w:rPr>
              <w:t xml:space="preserve">Transporta pasākumi </w:t>
            </w:r>
          </w:p>
        </w:tc>
        <w:tc>
          <w:tcPr>
            <w:tcW w:w="2268" w:type="dxa"/>
            <w:shd w:val="clear" w:color="auto" w:fill="B4C6E7" w:themeFill="accent1" w:themeFillTint="66"/>
          </w:tcPr>
          <w:p w14:paraId="66FAFDEE" w14:textId="77777777" w:rsidR="00812A72" w:rsidRPr="00B75FEB" w:rsidRDefault="00812A72" w:rsidP="0002297E">
            <w:pPr>
              <w:widowControl/>
              <w:spacing w:before="40" w:after="40" w:line="240" w:lineRule="auto"/>
              <w:jc w:val="center"/>
              <w:rPr>
                <w:rFonts w:asciiTheme="majorHAnsi" w:hAnsiTheme="majorHAnsi" w:cstheme="majorHAnsi"/>
                <w:color w:val="000000" w:themeColor="text1"/>
                <w:sz w:val="16"/>
                <w:szCs w:val="16"/>
                <w:lang w:val="lv-LV"/>
              </w:rPr>
            </w:pPr>
            <w:r w:rsidRPr="00B75FEB">
              <w:rPr>
                <w:rFonts w:asciiTheme="majorHAnsi" w:hAnsiTheme="majorHAnsi" w:cstheme="majorHAnsi"/>
                <w:color w:val="000000" w:themeColor="text1"/>
                <w:sz w:val="16"/>
                <w:szCs w:val="16"/>
                <w:lang w:val="lv-LV"/>
              </w:rPr>
              <w:t xml:space="preserve">294,1 </w:t>
            </w:r>
          </w:p>
        </w:tc>
        <w:tc>
          <w:tcPr>
            <w:tcW w:w="2268" w:type="dxa"/>
            <w:shd w:val="clear" w:color="auto" w:fill="B4C6E7" w:themeFill="accent1" w:themeFillTint="66"/>
          </w:tcPr>
          <w:p w14:paraId="45EC7578" w14:textId="77777777" w:rsidR="00812A72" w:rsidRPr="00DA2C8E" w:rsidRDefault="00812A72" w:rsidP="0002297E">
            <w:pPr>
              <w:widowControl/>
              <w:spacing w:before="40" w:after="40" w:line="240" w:lineRule="auto"/>
              <w:jc w:val="center"/>
              <w:rPr>
                <w:rFonts w:asciiTheme="majorHAnsi" w:hAnsiTheme="majorHAnsi" w:cstheme="majorHAnsi"/>
                <w:sz w:val="16"/>
                <w:szCs w:val="16"/>
                <w:lang w:val="lv-LV"/>
              </w:rPr>
            </w:pPr>
            <w:r w:rsidRPr="00DA2C8E">
              <w:rPr>
                <w:rFonts w:asciiTheme="majorHAnsi" w:hAnsiTheme="majorHAnsi" w:cstheme="majorHAnsi"/>
                <w:sz w:val="16"/>
                <w:szCs w:val="16"/>
                <w:lang w:val="lv-LV"/>
              </w:rPr>
              <w:t xml:space="preserve">292,1 </w:t>
            </w:r>
          </w:p>
        </w:tc>
      </w:tr>
      <w:tr w:rsidR="00812A72" w:rsidRPr="00AB3438" w14:paraId="64622E18" w14:textId="77777777" w:rsidTr="0002297E">
        <w:trPr>
          <w:jc w:val="center"/>
        </w:trPr>
        <w:tc>
          <w:tcPr>
            <w:tcW w:w="5102" w:type="dxa"/>
            <w:shd w:val="clear" w:color="auto" w:fill="D9E2F3" w:themeFill="accent1" w:themeFillTint="33"/>
          </w:tcPr>
          <w:p w14:paraId="4A964D6A" w14:textId="77777777" w:rsidR="00812A72" w:rsidRPr="000F151C" w:rsidRDefault="00812A72" w:rsidP="0002297E">
            <w:pPr>
              <w:widowControl/>
              <w:spacing w:before="40" w:after="40" w:line="240" w:lineRule="auto"/>
              <w:rPr>
                <w:rFonts w:asciiTheme="majorHAnsi" w:hAnsiTheme="majorHAnsi" w:cstheme="majorHAnsi"/>
                <w:b/>
                <w:bCs/>
                <w:sz w:val="16"/>
                <w:szCs w:val="16"/>
                <w:lang w:val="lv-LV"/>
              </w:rPr>
            </w:pPr>
            <w:r w:rsidRPr="000F151C">
              <w:rPr>
                <w:rFonts w:asciiTheme="majorHAnsi" w:hAnsiTheme="majorHAnsi" w:cstheme="majorHAnsi"/>
                <w:sz w:val="16"/>
                <w:szCs w:val="16"/>
                <w:lang w:val="lv-LV"/>
              </w:rPr>
              <w:t xml:space="preserve">RPPI sektora pasākumi </w:t>
            </w:r>
          </w:p>
        </w:tc>
        <w:tc>
          <w:tcPr>
            <w:tcW w:w="2268" w:type="dxa"/>
            <w:shd w:val="clear" w:color="auto" w:fill="D9E2F3" w:themeFill="accent1" w:themeFillTint="33"/>
          </w:tcPr>
          <w:p w14:paraId="0324AC36" w14:textId="77777777" w:rsidR="00812A72" w:rsidRPr="00B75FEB" w:rsidRDefault="00812A72" w:rsidP="0002297E">
            <w:pPr>
              <w:widowControl/>
              <w:spacing w:before="40" w:after="40" w:line="240" w:lineRule="auto"/>
              <w:jc w:val="center"/>
              <w:rPr>
                <w:rFonts w:asciiTheme="majorHAnsi" w:hAnsiTheme="majorHAnsi" w:cstheme="majorHAnsi"/>
                <w:b/>
                <w:bCs/>
                <w:color w:val="000000" w:themeColor="text1"/>
                <w:sz w:val="16"/>
                <w:szCs w:val="16"/>
                <w:lang w:val="lv-LV"/>
              </w:rPr>
            </w:pPr>
            <w:r w:rsidRPr="00B75FEB">
              <w:rPr>
                <w:rFonts w:asciiTheme="majorHAnsi" w:hAnsiTheme="majorHAnsi" w:cstheme="majorHAnsi"/>
                <w:color w:val="000000" w:themeColor="text1"/>
                <w:sz w:val="16"/>
                <w:szCs w:val="16"/>
                <w:lang w:val="lv-LV"/>
              </w:rPr>
              <w:t xml:space="preserve">284,2 </w:t>
            </w:r>
          </w:p>
        </w:tc>
        <w:tc>
          <w:tcPr>
            <w:tcW w:w="2268" w:type="dxa"/>
            <w:shd w:val="clear" w:color="auto" w:fill="D9E2F3" w:themeFill="accent1" w:themeFillTint="33"/>
          </w:tcPr>
          <w:p w14:paraId="30EF38C8" w14:textId="77777777" w:rsidR="00812A72" w:rsidRPr="00DA2C8E" w:rsidRDefault="00812A72" w:rsidP="0002297E">
            <w:pPr>
              <w:widowControl/>
              <w:spacing w:before="40" w:after="40" w:line="240" w:lineRule="auto"/>
              <w:jc w:val="center"/>
              <w:rPr>
                <w:rFonts w:asciiTheme="majorHAnsi" w:hAnsiTheme="majorHAnsi" w:cstheme="majorHAnsi"/>
                <w:b/>
                <w:bCs/>
                <w:sz w:val="16"/>
                <w:szCs w:val="16"/>
                <w:lang w:val="lv-LV"/>
              </w:rPr>
            </w:pPr>
            <w:r w:rsidRPr="00DA2C8E">
              <w:rPr>
                <w:rFonts w:asciiTheme="majorHAnsi" w:hAnsiTheme="majorHAnsi" w:cstheme="majorHAnsi"/>
                <w:sz w:val="16"/>
                <w:szCs w:val="16"/>
                <w:lang w:val="lv-LV"/>
              </w:rPr>
              <w:t xml:space="preserve">142,9 </w:t>
            </w:r>
          </w:p>
        </w:tc>
      </w:tr>
      <w:tr w:rsidR="00812A72" w:rsidRPr="00AB3438" w14:paraId="3D9EA958" w14:textId="77777777" w:rsidTr="0002297E">
        <w:trPr>
          <w:jc w:val="center"/>
        </w:trPr>
        <w:tc>
          <w:tcPr>
            <w:tcW w:w="5102" w:type="dxa"/>
            <w:shd w:val="clear" w:color="auto" w:fill="B4C6E7" w:themeFill="accent1" w:themeFillTint="66"/>
          </w:tcPr>
          <w:p w14:paraId="258F2C9B" w14:textId="77777777" w:rsidR="00812A72" w:rsidRPr="000F151C" w:rsidRDefault="00812A72" w:rsidP="0002297E">
            <w:pPr>
              <w:widowControl/>
              <w:spacing w:before="40" w:after="40" w:line="240" w:lineRule="auto"/>
              <w:rPr>
                <w:rFonts w:asciiTheme="majorHAnsi" w:hAnsiTheme="majorHAnsi" w:cstheme="majorHAnsi"/>
                <w:sz w:val="16"/>
                <w:szCs w:val="16"/>
                <w:lang w:val="lv-LV"/>
              </w:rPr>
            </w:pPr>
            <w:r w:rsidRPr="000F151C">
              <w:rPr>
                <w:rFonts w:asciiTheme="majorHAnsi" w:hAnsiTheme="majorHAnsi" w:cstheme="majorHAnsi"/>
                <w:sz w:val="16"/>
                <w:szCs w:val="16"/>
                <w:lang w:val="lv-LV"/>
              </w:rPr>
              <w:t xml:space="preserve">Elektroenerģiajs un siltumenerģijas ražošanas pasākumi </w:t>
            </w:r>
          </w:p>
        </w:tc>
        <w:tc>
          <w:tcPr>
            <w:tcW w:w="2268" w:type="dxa"/>
            <w:shd w:val="clear" w:color="auto" w:fill="B4C6E7" w:themeFill="accent1" w:themeFillTint="66"/>
          </w:tcPr>
          <w:p w14:paraId="00AF00A4" w14:textId="77777777" w:rsidR="00812A72" w:rsidRPr="00B75FEB" w:rsidRDefault="00812A72" w:rsidP="0002297E">
            <w:pPr>
              <w:widowControl/>
              <w:spacing w:before="40" w:after="40" w:line="240" w:lineRule="auto"/>
              <w:jc w:val="center"/>
              <w:rPr>
                <w:rFonts w:asciiTheme="majorHAnsi" w:hAnsiTheme="majorHAnsi" w:cstheme="majorHAnsi"/>
                <w:color w:val="000000" w:themeColor="text1"/>
                <w:sz w:val="16"/>
                <w:szCs w:val="16"/>
                <w:lang w:val="lv-LV"/>
              </w:rPr>
            </w:pPr>
            <w:r w:rsidRPr="00B75FEB">
              <w:rPr>
                <w:rFonts w:asciiTheme="majorHAnsi" w:hAnsiTheme="majorHAnsi" w:cstheme="majorHAnsi"/>
                <w:color w:val="000000" w:themeColor="text1"/>
                <w:sz w:val="16"/>
                <w:szCs w:val="16"/>
                <w:lang w:val="lv-LV"/>
              </w:rPr>
              <w:t xml:space="preserve">761,0 </w:t>
            </w:r>
          </w:p>
        </w:tc>
        <w:tc>
          <w:tcPr>
            <w:tcW w:w="2268" w:type="dxa"/>
            <w:shd w:val="clear" w:color="auto" w:fill="B4C6E7" w:themeFill="accent1" w:themeFillTint="66"/>
          </w:tcPr>
          <w:p w14:paraId="54B84E3F" w14:textId="77777777" w:rsidR="00812A72" w:rsidRPr="00DA2C8E" w:rsidRDefault="00812A72" w:rsidP="0002297E">
            <w:pPr>
              <w:widowControl/>
              <w:spacing w:before="40" w:after="40" w:line="240" w:lineRule="auto"/>
              <w:jc w:val="center"/>
              <w:rPr>
                <w:rFonts w:asciiTheme="majorHAnsi" w:hAnsiTheme="majorHAnsi" w:cstheme="majorHAnsi"/>
                <w:sz w:val="16"/>
                <w:szCs w:val="16"/>
                <w:lang w:val="lv-LV"/>
              </w:rPr>
            </w:pPr>
            <w:r w:rsidRPr="00DA2C8E">
              <w:rPr>
                <w:rFonts w:asciiTheme="majorHAnsi" w:hAnsiTheme="majorHAnsi" w:cstheme="majorHAnsi"/>
                <w:sz w:val="16"/>
                <w:szCs w:val="16"/>
                <w:lang w:val="lv-LV"/>
              </w:rPr>
              <w:t xml:space="preserve">314,9 </w:t>
            </w:r>
          </w:p>
        </w:tc>
      </w:tr>
      <w:tr w:rsidR="00812A72" w:rsidRPr="00AB3438" w14:paraId="189D0B03" w14:textId="77777777" w:rsidTr="0002297E">
        <w:trPr>
          <w:jc w:val="center"/>
        </w:trPr>
        <w:tc>
          <w:tcPr>
            <w:tcW w:w="5102" w:type="dxa"/>
            <w:shd w:val="clear" w:color="auto" w:fill="D9E2F3" w:themeFill="accent1" w:themeFillTint="33"/>
          </w:tcPr>
          <w:p w14:paraId="0AD36DD6" w14:textId="77777777" w:rsidR="00812A72" w:rsidRPr="000F151C" w:rsidRDefault="00812A72" w:rsidP="0002297E">
            <w:pPr>
              <w:widowControl/>
              <w:spacing w:before="40" w:after="40" w:line="240" w:lineRule="auto"/>
              <w:rPr>
                <w:rFonts w:asciiTheme="majorHAnsi" w:hAnsiTheme="majorHAnsi" w:cstheme="majorHAnsi"/>
                <w:sz w:val="16"/>
                <w:szCs w:val="16"/>
                <w:lang w:val="lv-LV"/>
              </w:rPr>
            </w:pPr>
            <w:r w:rsidRPr="000F151C">
              <w:rPr>
                <w:rFonts w:asciiTheme="majorHAnsi" w:hAnsiTheme="majorHAnsi" w:cstheme="majorHAnsi"/>
                <w:sz w:val="16"/>
                <w:szCs w:val="16"/>
                <w:lang w:val="lv-LV"/>
              </w:rPr>
              <w:t xml:space="preserve">Enerģētiskās drošības un iekšējā elektrības tirgus pasākumi </w:t>
            </w:r>
          </w:p>
        </w:tc>
        <w:tc>
          <w:tcPr>
            <w:tcW w:w="2268" w:type="dxa"/>
            <w:shd w:val="clear" w:color="auto" w:fill="D9E2F3" w:themeFill="accent1" w:themeFillTint="33"/>
          </w:tcPr>
          <w:p w14:paraId="6C296E8D" w14:textId="77777777" w:rsidR="00812A72" w:rsidRPr="00B75FEB" w:rsidRDefault="00812A72" w:rsidP="0002297E">
            <w:pPr>
              <w:widowControl/>
              <w:spacing w:before="40" w:after="40" w:line="240" w:lineRule="auto"/>
              <w:jc w:val="center"/>
              <w:rPr>
                <w:rFonts w:asciiTheme="majorHAnsi" w:hAnsiTheme="majorHAnsi" w:cstheme="majorHAnsi"/>
                <w:color w:val="000000" w:themeColor="text1"/>
                <w:sz w:val="16"/>
                <w:szCs w:val="16"/>
                <w:lang w:val="lv-LV"/>
              </w:rPr>
            </w:pPr>
            <w:r w:rsidRPr="00B75FEB">
              <w:rPr>
                <w:rFonts w:asciiTheme="majorHAnsi" w:hAnsiTheme="majorHAnsi" w:cstheme="majorHAnsi"/>
                <w:color w:val="000000" w:themeColor="text1"/>
                <w:sz w:val="16"/>
                <w:szCs w:val="16"/>
                <w:lang w:val="lv-LV"/>
              </w:rPr>
              <w:t>0,0 *</w:t>
            </w:r>
          </w:p>
        </w:tc>
        <w:tc>
          <w:tcPr>
            <w:tcW w:w="2268" w:type="dxa"/>
            <w:shd w:val="clear" w:color="auto" w:fill="D9E2F3" w:themeFill="accent1" w:themeFillTint="33"/>
          </w:tcPr>
          <w:p w14:paraId="0C82FFD3" w14:textId="77777777" w:rsidR="00812A72" w:rsidRPr="00DA2C8E" w:rsidRDefault="00812A72" w:rsidP="0002297E">
            <w:pPr>
              <w:widowControl/>
              <w:spacing w:before="40" w:after="40" w:line="240" w:lineRule="auto"/>
              <w:jc w:val="center"/>
              <w:rPr>
                <w:rFonts w:asciiTheme="majorHAnsi" w:hAnsiTheme="majorHAnsi" w:cstheme="majorHAnsi"/>
                <w:sz w:val="16"/>
                <w:szCs w:val="16"/>
                <w:lang w:val="lv-LV"/>
              </w:rPr>
            </w:pPr>
            <w:r w:rsidRPr="00DA2C8E">
              <w:rPr>
                <w:rFonts w:asciiTheme="majorHAnsi" w:hAnsiTheme="majorHAnsi" w:cstheme="majorHAnsi"/>
                <w:sz w:val="16"/>
                <w:szCs w:val="16"/>
                <w:lang w:val="lv-LV"/>
              </w:rPr>
              <w:t xml:space="preserve">0,0 * </w:t>
            </w:r>
          </w:p>
        </w:tc>
      </w:tr>
      <w:tr w:rsidR="00812A72" w:rsidRPr="00AB3438" w14:paraId="3B2E5D63" w14:textId="77777777" w:rsidTr="0002297E">
        <w:trPr>
          <w:jc w:val="center"/>
        </w:trPr>
        <w:tc>
          <w:tcPr>
            <w:tcW w:w="5102" w:type="dxa"/>
            <w:shd w:val="clear" w:color="auto" w:fill="B4C6E7" w:themeFill="accent1" w:themeFillTint="66"/>
          </w:tcPr>
          <w:p w14:paraId="5BBC1EE5" w14:textId="77777777" w:rsidR="00812A72" w:rsidRPr="000F151C" w:rsidRDefault="00812A72" w:rsidP="0002297E">
            <w:pPr>
              <w:widowControl/>
              <w:spacing w:before="40" w:after="40" w:line="240" w:lineRule="auto"/>
              <w:rPr>
                <w:rFonts w:asciiTheme="majorHAnsi" w:hAnsiTheme="majorHAnsi" w:cstheme="majorHAnsi"/>
                <w:sz w:val="16"/>
                <w:szCs w:val="16"/>
                <w:lang w:val="lv-LV"/>
              </w:rPr>
            </w:pPr>
            <w:r w:rsidRPr="000F151C">
              <w:rPr>
                <w:rFonts w:asciiTheme="majorHAnsi" w:hAnsiTheme="majorHAnsi" w:cstheme="majorHAnsi"/>
                <w:sz w:val="16"/>
                <w:szCs w:val="16"/>
                <w:lang w:val="lv-LV"/>
              </w:rPr>
              <w:t xml:space="preserve">Energoefektivitātes pasākumi </w:t>
            </w:r>
          </w:p>
        </w:tc>
        <w:tc>
          <w:tcPr>
            <w:tcW w:w="2268" w:type="dxa"/>
            <w:shd w:val="clear" w:color="auto" w:fill="B4C6E7" w:themeFill="accent1" w:themeFillTint="66"/>
          </w:tcPr>
          <w:p w14:paraId="5AFA28DB" w14:textId="77777777" w:rsidR="00812A72" w:rsidRPr="00B75FEB" w:rsidRDefault="00812A72" w:rsidP="0002297E">
            <w:pPr>
              <w:widowControl/>
              <w:spacing w:before="40" w:after="40" w:line="240" w:lineRule="auto"/>
              <w:jc w:val="center"/>
              <w:rPr>
                <w:rFonts w:asciiTheme="majorHAnsi" w:hAnsiTheme="majorHAnsi" w:cstheme="majorHAnsi"/>
                <w:color w:val="000000" w:themeColor="text1"/>
                <w:sz w:val="16"/>
                <w:szCs w:val="16"/>
                <w:lang w:val="lv-LV"/>
              </w:rPr>
            </w:pPr>
            <w:r w:rsidRPr="00B75FEB">
              <w:rPr>
                <w:rFonts w:asciiTheme="majorHAnsi" w:hAnsiTheme="majorHAnsi" w:cstheme="majorHAnsi"/>
                <w:color w:val="000000" w:themeColor="text1"/>
                <w:sz w:val="16"/>
                <w:szCs w:val="16"/>
                <w:lang w:val="lv-LV"/>
              </w:rPr>
              <w:t xml:space="preserve">495,6 </w:t>
            </w:r>
          </w:p>
        </w:tc>
        <w:tc>
          <w:tcPr>
            <w:tcW w:w="2268" w:type="dxa"/>
            <w:shd w:val="clear" w:color="auto" w:fill="B4C6E7" w:themeFill="accent1" w:themeFillTint="66"/>
          </w:tcPr>
          <w:p w14:paraId="49FE4874" w14:textId="77777777" w:rsidR="00812A72" w:rsidRPr="00DA2C8E" w:rsidRDefault="00812A72" w:rsidP="0002297E">
            <w:pPr>
              <w:widowControl/>
              <w:spacing w:before="40" w:after="40" w:line="240" w:lineRule="auto"/>
              <w:jc w:val="center"/>
              <w:rPr>
                <w:rFonts w:asciiTheme="majorHAnsi" w:hAnsiTheme="majorHAnsi" w:cstheme="majorHAnsi"/>
                <w:sz w:val="16"/>
                <w:szCs w:val="16"/>
                <w:lang w:val="lv-LV"/>
              </w:rPr>
            </w:pPr>
            <w:r w:rsidRPr="00DA2C8E">
              <w:rPr>
                <w:rFonts w:asciiTheme="majorHAnsi" w:hAnsiTheme="majorHAnsi" w:cstheme="majorHAnsi"/>
                <w:sz w:val="16"/>
                <w:szCs w:val="16"/>
                <w:lang w:val="lv-LV"/>
              </w:rPr>
              <w:t xml:space="preserve">274,3 </w:t>
            </w:r>
          </w:p>
        </w:tc>
      </w:tr>
      <w:tr w:rsidR="00812A72" w:rsidRPr="00AB3438" w14:paraId="5906C303" w14:textId="77777777" w:rsidTr="0002297E">
        <w:trPr>
          <w:jc w:val="center"/>
        </w:trPr>
        <w:tc>
          <w:tcPr>
            <w:tcW w:w="5102" w:type="dxa"/>
            <w:shd w:val="clear" w:color="auto" w:fill="D9E2F3" w:themeFill="accent1" w:themeFillTint="33"/>
          </w:tcPr>
          <w:p w14:paraId="7CC1713C" w14:textId="77777777" w:rsidR="00812A72" w:rsidRPr="000F151C" w:rsidRDefault="00812A72" w:rsidP="0002297E">
            <w:pPr>
              <w:widowControl/>
              <w:spacing w:before="40" w:after="40" w:line="240" w:lineRule="auto"/>
              <w:rPr>
                <w:rFonts w:asciiTheme="majorHAnsi" w:hAnsiTheme="majorHAnsi" w:cstheme="majorHAnsi"/>
                <w:b/>
                <w:bCs/>
                <w:sz w:val="16"/>
                <w:szCs w:val="16"/>
                <w:lang w:val="lv-LV"/>
              </w:rPr>
            </w:pPr>
            <w:r w:rsidRPr="000F151C">
              <w:rPr>
                <w:rFonts w:asciiTheme="majorHAnsi" w:hAnsiTheme="majorHAnsi" w:cstheme="majorHAnsi"/>
                <w:b/>
                <w:bCs/>
                <w:sz w:val="16"/>
                <w:szCs w:val="16"/>
                <w:lang w:val="lv-LV"/>
              </w:rPr>
              <w:t xml:space="preserve">Kopā </w:t>
            </w:r>
          </w:p>
        </w:tc>
        <w:tc>
          <w:tcPr>
            <w:tcW w:w="2268" w:type="dxa"/>
            <w:shd w:val="clear" w:color="auto" w:fill="D9E2F3" w:themeFill="accent1" w:themeFillTint="33"/>
            <w:vAlign w:val="bottom"/>
          </w:tcPr>
          <w:p w14:paraId="2421F592" w14:textId="77777777" w:rsidR="00812A72" w:rsidRPr="00B75FEB" w:rsidRDefault="00812A72" w:rsidP="0002297E">
            <w:pPr>
              <w:widowControl/>
              <w:spacing w:before="40" w:after="40" w:line="240" w:lineRule="auto"/>
              <w:jc w:val="center"/>
              <w:rPr>
                <w:rFonts w:asciiTheme="majorHAnsi" w:hAnsiTheme="majorHAnsi" w:cstheme="majorHAnsi"/>
                <w:b/>
                <w:bCs/>
                <w:color w:val="000000" w:themeColor="text1"/>
                <w:sz w:val="16"/>
                <w:szCs w:val="16"/>
                <w:lang w:val="lv-LV"/>
              </w:rPr>
            </w:pPr>
            <w:r w:rsidRPr="00B75FEB">
              <w:rPr>
                <w:rFonts w:asciiTheme="majorHAnsi" w:hAnsiTheme="majorHAnsi" w:cstheme="majorHAnsi"/>
                <w:b/>
                <w:bCs/>
                <w:color w:val="000000" w:themeColor="text1"/>
                <w:sz w:val="16"/>
                <w:szCs w:val="16"/>
              </w:rPr>
              <w:t>1 834,9</w:t>
            </w:r>
          </w:p>
        </w:tc>
        <w:tc>
          <w:tcPr>
            <w:tcW w:w="2268" w:type="dxa"/>
            <w:shd w:val="clear" w:color="auto" w:fill="D9E2F3" w:themeFill="accent1" w:themeFillTint="33"/>
            <w:vAlign w:val="bottom"/>
          </w:tcPr>
          <w:p w14:paraId="45D6B5BC" w14:textId="77777777" w:rsidR="00812A72" w:rsidRPr="00DA2C8E" w:rsidRDefault="00812A72" w:rsidP="0002297E">
            <w:pPr>
              <w:widowControl/>
              <w:spacing w:before="40" w:after="40" w:line="240" w:lineRule="auto"/>
              <w:jc w:val="center"/>
              <w:rPr>
                <w:rFonts w:asciiTheme="majorHAnsi" w:hAnsiTheme="majorHAnsi" w:cstheme="majorHAnsi"/>
                <w:b/>
                <w:bCs/>
                <w:sz w:val="16"/>
                <w:szCs w:val="16"/>
                <w:lang w:val="lv-LV"/>
              </w:rPr>
            </w:pPr>
            <w:r w:rsidRPr="00DA2C8E">
              <w:rPr>
                <w:rFonts w:asciiTheme="majorHAnsi" w:hAnsiTheme="majorHAnsi" w:cstheme="majorHAnsi"/>
                <w:b/>
                <w:bCs/>
                <w:color w:val="000000"/>
                <w:sz w:val="16"/>
                <w:szCs w:val="16"/>
              </w:rPr>
              <w:t>1</w:t>
            </w:r>
            <w:r>
              <w:rPr>
                <w:rFonts w:asciiTheme="majorHAnsi" w:hAnsiTheme="majorHAnsi" w:cstheme="majorHAnsi"/>
                <w:b/>
                <w:bCs/>
                <w:color w:val="000000"/>
                <w:sz w:val="16"/>
                <w:szCs w:val="16"/>
              </w:rPr>
              <w:t xml:space="preserve"> </w:t>
            </w:r>
            <w:r w:rsidRPr="00DA2C8E">
              <w:rPr>
                <w:rFonts w:asciiTheme="majorHAnsi" w:hAnsiTheme="majorHAnsi" w:cstheme="majorHAnsi"/>
                <w:b/>
                <w:bCs/>
                <w:color w:val="000000"/>
                <w:sz w:val="16"/>
                <w:szCs w:val="16"/>
              </w:rPr>
              <w:t>024,2</w:t>
            </w:r>
          </w:p>
        </w:tc>
      </w:tr>
    </w:tbl>
    <w:p w14:paraId="7374427F" w14:textId="77777777" w:rsidR="00812A72" w:rsidRPr="00097491" w:rsidRDefault="00812A72" w:rsidP="00812A72">
      <w:pPr>
        <w:widowControl/>
        <w:spacing w:before="120" w:after="120" w:line="240" w:lineRule="auto"/>
        <w:rPr>
          <w:rFonts w:ascii="Arial Nova Cond Light" w:eastAsia="Times New Roman" w:hAnsi="Arial Nova Cond Light"/>
          <w:sz w:val="16"/>
          <w:szCs w:val="24"/>
          <w:lang w:val="sv-SE" w:eastAsia="lv-LV"/>
        </w:rPr>
      </w:pPr>
      <w:r w:rsidRPr="00DA2C8E">
        <w:rPr>
          <w:rFonts w:ascii="Arial Nova Cond Light" w:eastAsia="Times New Roman" w:hAnsi="Arial Nova Cond Light"/>
          <w:sz w:val="16"/>
          <w:szCs w:val="24"/>
          <w:lang w:eastAsia="lv-LV"/>
        </w:rPr>
        <w:t>*</w:t>
      </w:r>
      <w:r>
        <w:rPr>
          <w:rFonts w:ascii="Arial Nova Cond Light" w:eastAsia="Times New Roman" w:hAnsi="Arial Nova Cond Light"/>
          <w:sz w:val="16"/>
          <w:szCs w:val="24"/>
          <w:lang w:eastAsia="lv-LV"/>
        </w:rPr>
        <w:t> </w:t>
      </w:r>
      <w:r w:rsidRPr="00DA2C8E">
        <w:rPr>
          <w:rFonts w:ascii="Arial Nova Cond Light" w:eastAsia="Times New Roman" w:hAnsi="Arial Nova Cond Light"/>
          <w:sz w:val="16"/>
          <w:szCs w:val="24"/>
          <w:lang w:eastAsia="lv-LV"/>
        </w:rPr>
        <w:t xml:space="preserve">Neskaitot 3.3.3. pasākuma finansējumu (627,6 milj. eiro), kur finansējuma avots ir degvielas cenas pieaugums. </w:t>
      </w:r>
      <w:r>
        <w:rPr>
          <w:rFonts w:ascii="Arial Nova Cond Light" w:eastAsia="Times New Roman" w:hAnsi="Arial Nova Cond Light"/>
          <w:sz w:val="16"/>
          <w:szCs w:val="24"/>
          <w:lang w:eastAsia="lv-LV"/>
        </w:rPr>
        <w:br/>
      </w:r>
      <w:r w:rsidRPr="00097491">
        <w:rPr>
          <w:rFonts w:ascii="Arial Nova Cond Light" w:eastAsia="Times New Roman" w:hAnsi="Arial Nova Cond Light"/>
          <w:sz w:val="16"/>
          <w:szCs w:val="24"/>
          <w:lang w:val="sv-SE" w:eastAsia="lv-LV"/>
        </w:rPr>
        <w:t>Avots: autoru veidota tabula pēc NEKP un Ekonomikas ministrijas nepublicētiem datiem.</w:t>
      </w:r>
    </w:p>
    <w:p w14:paraId="4E27FE5E" w14:textId="77777777" w:rsidR="00812A72" w:rsidRDefault="00812A72" w:rsidP="00812A72">
      <w:pPr>
        <w:widowControl/>
        <w:spacing w:after="120" w:line="240" w:lineRule="auto"/>
        <w:rPr>
          <w:rFonts w:ascii="Verdana Pro Cond Light" w:hAnsi="Verdana Pro Cond Light"/>
          <w:lang w:val="lv-LV"/>
        </w:rPr>
      </w:pPr>
    </w:p>
    <w:p w14:paraId="2517B2CA" w14:textId="77777777" w:rsidR="0069037D" w:rsidRDefault="0069037D">
      <w:pPr>
        <w:widowControl/>
        <w:spacing w:after="160" w:line="259" w:lineRule="auto"/>
        <w:rPr>
          <w:rFonts w:ascii="Verdana Pro Cond Light" w:hAnsi="Verdana Pro Cond Light"/>
          <w:lang w:val="lv-LV"/>
        </w:rPr>
      </w:pPr>
      <w:r>
        <w:rPr>
          <w:rFonts w:ascii="Verdana Pro Cond Light" w:hAnsi="Verdana Pro Cond Light"/>
          <w:lang w:val="lv-LV"/>
        </w:rPr>
        <w:br w:type="page"/>
      </w:r>
    </w:p>
    <w:p w14:paraId="6F563C47" w14:textId="7214E8AF" w:rsidR="00812A72" w:rsidRDefault="00812A72" w:rsidP="00812A72">
      <w:pPr>
        <w:widowControl/>
        <w:spacing w:after="120" w:line="240" w:lineRule="auto"/>
        <w:rPr>
          <w:rFonts w:ascii="Verdana Pro Cond Light" w:hAnsi="Verdana Pro Cond Light"/>
          <w:lang w:val="lv-LV"/>
        </w:rPr>
      </w:pPr>
      <w:r w:rsidRPr="00DB7A50">
        <w:rPr>
          <w:rFonts w:ascii="Verdana Pro Cond Light" w:hAnsi="Verdana Pro Cond Light"/>
          <w:lang w:val="lv-LV"/>
        </w:rPr>
        <w:lastRenderedPageBreak/>
        <w:t>NEKP pasākumus īstenojot arī iezīmētā finansējuma apjomā, ietekme uz IKP ir pozitīva – gan</w:t>
      </w:r>
      <w:r>
        <w:rPr>
          <w:rFonts w:ascii="Verdana Pro Cond Light" w:hAnsi="Verdana Pro Cond Light"/>
          <w:lang w:val="lv-LV"/>
        </w:rPr>
        <w:t xml:space="preserve"> </w:t>
      </w:r>
      <w:r w:rsidRPr="00DB7A50">
        <w:rPr>
          <w:rFonts w:ascii="Verdana Pro Cond Light" w:hAnsi="Verdana Pro Cond Light"/>
          <w:lang w:val="lv-LV"/>
        </w:rPr>
        <w:t xml:space="preserve">īstermiņā, gan ilgtermiņā. </w:t>
      </w:r>
      <w:bookmarkStart w:id="85" w:name="_Hlk177833399"/>
      <w:r w:rsidRPr="00DB7A50">
        <w:rPr>
          <w:rFonts w:ascii="Verdana Pro Cond Light" w:hAnsi="Verdana Pro Cond Light"/>
          <w:lang w:val="lv-LV"/>
        </w:rPr>
        <w:t xml:space="preserve">Reālā IKP līmenis 2050. gadā ir par </w:t>
      </w:r>
      <w:r w:rsidR="0082154E">
        <w:rPr>
          <w:rFonts w:ascii="Verdana Pro Cond Light" w:hAnsi="Verdana Pro Cond Light"/>
          <w:lang w:val="lv-LV"/>
        </w:rPr>
        <w:t>1,3</w:t>
      </w:r>
      <w:r>
        <w:rPr>
          <w:rFonts w:ascii="Verdana Pro Cond Light" w:hAnsi="Verdana Pro Cond Light"/>
          <w:lang w:val="lv-LV"/>
        </w:rPr>
        <w:t> </w:t>
      </w:r>
      <w:r w:rsidRPr="00DB7A50">
        <w:rPr>
          <w:rFonts w:ascii="Verdana Pro Cond Light" w:hAnsi="Verdana Pro Cond Light"/>
          <w:lang w:val="lv-LV"/>
        </w:rPr>
        <w:t>% lielāks nekā neīstenojot NEKP pasākumus</w:t>
      </w:r>
      <w:bookmarkEnd w:id="85"/>
      <w:r w:rsidRPr="00DB7A50">
        <w:rPr>
          <w:rFonts w:ascii="Verdana Pro Cond Light" w:hAnsi="Verdana Pro Cond Light"/>
          <w:lang w:val="lv-LV"/>
        </w:rPr>
        <w:t xml:space="preserve">. No IKP </w:t>
      </w:r>
      <w:r w:rsidR="0082154E">
        <w:rPr>
          <w:rFonts w:ascii="Verdana Pro Cond Light" w:hAnsi="Verdana Pro Cond Light"/>
          <w:lang w:val="lv-LV"/>
        </w:rPr>
        <w:t xml:space="preserve">iekšzemes </w:t>
      </w:r>
      <w:r w:rsidRPr="00DB7A50">
        <w:rPr>
          <w:rFonts w:ascii="Verdana Pro Cond Light" w:hAnsi="Verdana Pro Cond Light"/>
          <w:lang w:val="lv-LV"/>
        </w:rPr>
        <w:t xml:space="preserve">komponentēm </w:t>
      </w:r>
      <w:r w:rsidR="0082154E">
        <w:rPr>
          <w:rFonts w:ascii="Verdana Pro Cond Light" w:hAnsi="Verdana Pro Cond Light"/>
          <w:lang w:val="lv-LV"/>
        </w:rPr>
        <w:t>pozitīva ietekme ir uz</w:t>
      </w:r>
      <w:r w:rsidRPr="00DB7A50">
        <w:rPr>
          <w:rFonts w:ascii="Verdana Pro Cond Light" w:hAnsi="Verdana Pro Cond Light"/>
          <w:lang w:val="lv-LV"/>
        </w:rPr>
        <w:t xml:space="preserve"> investīcij</w:t>
      </w:r>
      <w:r w:rsidR="0082154E">
        <w:rPr>
          <w:rFonts w:ascii="Verdana Pro Cond Light" w:hAnsi="Verdana Pro Cond Light"/>
          <w:lang w:val="lv-LV"/>
        </w:rPr>
        <w:t xml:space="preserve">ām un </w:t>
      </w:r>
      <w:r w:rsidRPr="00DB7A50">
        <w:rPr>
          <w:rFonts w:ascii="Verdana Pro Cond Light" w:hAnsi="Verdana Pro Cond Light"/>
          <w:lang w:val="lv-LV"/>
        </w:rPr>
        <w:t>privāto patēriņu (6.4</w:t>
      </w:r>
      <w:r w:rsidR="003C2C92">
        <w:rPr>
          <w:rFonts w:ascii="Verdana Pro Cond Light" w:hAnsi="Verdana Pro Cond Light"/>
          <w:lang w:val="lv-LV"/>
        </w:rPr>
        <w:t>3</w:t>
      </w:r>
      <w:r w:rsidRPr="00DB7A50">
        <w:rPr>
          <w:rFonts w:ascii="Verdana Pro Cond Light" w:hAnsi="Verdana Pro Cond Light"/>
          <w:lang w:val="lv-LV"/>
        </w:rPr>
        <w:t>. attēls).</w:t>
      </w:r>
    </w:p>
    <w:p w14:paraId="5A5371B8" w14:textId="1C589235" w:rsidR="00812A72" w:rsidRDefault="00812A72" w:rsidP="00812A72">
      <w:pPr>
        <w:widowControl/>
        <w:spacing w:after="120" w:line="240" w:lineRule="auto"/>
        <w:rPr>
          <w:rFonts w:ascii="Verdana Pro Cond Light" w:hAnsi="Verdana Pro Cond Light"/>
          <w:lang w:val="lv-LV"/>
        </w:rPr>
      </w:pPr>
      <w:r w:rsidRPr="00DB7A50">
        <w:rPr>
          <w:rFonts w:ascii="Verdana Pro Cond Light" w:hAnsi="Verdana Pro Cond Light"/>
          <w:lang w:val="lv-LV"/>
        </w:rPr>
        <w:t>Īstermiņā investīciju pieaugums izspiež eksportu un palielina importu, pasliktinot tirdzniecības bilanci par 0,3 procentu punktiem no IKP. Ilgtermiņā eksports tomēr pieaug nedaudz vairāk par importu, nebūtiski uzlabojot tirdzniecības bilanci (par 0,</w:t>
      </w:r>
      <w:r w:rsidR="003A721D">
        <w:rPr>
          <w:rFonts w:ascii="Verdana Pro Cond Light" w:hAnsi="Verdana Pro Cond Light"/>
          <w:lang w:val="lv-LV"/>
        </w:rPr>
        <w:t>3</w:t>
      </w:r>
      <w:r w:rsidRPr="00DB7A50">
        <w:rPr>
          <w:rFonts w:ascii="Verdana Pro Cond Light" w:hAnsi="Verdana Pro Cond Light"/>
          <w:lang w:val="lv-LV"/>
        </w:rPr>
        <w:t xml:space="preserve"> procenta punktu no IKP; 6.4</w:t>
      </w:r>
      <w:r w:rsidR="003C2C92">
        <w:rPr>
          <w:rFonts w:ascii="Verdana Pro Cond Light" w:hAnsi="Verdana Pro Cond Light"/>
          <w:lang w:val="lv-LV"/>
        </w:rPr>
        <w:t>4</w:t>
      </w:r>
      <w:r w:rsidRPr="00DB7A50">
        <w:rPr>
          <w:rFonts w:ascii="Verdana Pro Cond Light" w:hAnsi="Verdana Pro Cond Light"/>
          <w:lang w:val="lv-LV"/>
        </w:rPr>
        <w:t>. attēls).</w:t>
      </w:r>
    </w:p>
    <w:p w14:paraId="4E3E787C" w14:textId="2A210575" w:rsidR="00812A72" w:rsidRDefault="00812A72" w:rsidP="00812A72">
      <w:pPr>
        <w:widowControl/>
        <w:spacing w:after="120" w:line="240" w:lineRule="auto"/>
        <w:rPr>
          <w:rFonts w:ascii="Verdana Pro Cond Light" w:hAnsi="Verdana Pro Cond Light"/>
          <w:lang w:val="lv-LV"/>
        </w:rPr>
      </w:pPr>
      <w:r w:rsidRPr="00DB7A50">
        <w:rPr>
          <w:rFonts w:ascii="Verdana Pro Cond Light" w:hAnsi="Verdana Pro Cond Light"/>
          <w:lang w:val="lv-LV"/>
        </w:rPr>
        <w:t>NEKP pasākumu īstenošanai ir pozitīva ietekme uz produktivitāti, palielinās arī nodarbinātība. Nodarbināto skaits 2050. gadā ir par 0,</w:t>
      </w:r>
      <w:r w:rsidR="003A721D">
        <w:rPr>
          <w:rFonts w:ascii="Verdana Pro Cond Light" w:hAnsi="Verdana Pro Cond Light"/>
          <w:lang w:val="lv-LV"/>
        </w:rPr>
        <w:t>8</w:t>
      </w:r>
      <w:r>
        <w:rPr>
          <w:rFonts w:ascii="Verdana Pro Cond Light" w:hAnsi="Verdana Pro Cond Light"/>
          <w:lang w:val="lv-LV"/>
        </w:rPr>
        <w:t> </w:t>
      </w:r>
      <w:r w:rsidRPr="00DB7A50">
        <w:rPr>
          <w:rFonts w:ascii="Verdana Pro Cond Light" w:hAnsi="Verdana Pro Cond Light"/>
          <w:lang w:val="lv-LV"/>
        </w:rPr>
        <w:t>% lielāks nekā bāzes scenārijā, kas samazina bezdarba līmeni par 0,</w:t>
      </w:r>
      <w:r w:rsidR="003A721D">
        <w:rPr>
          <w:rFonts w:ascii="Verdana Pro Cond Light" w:hAnsi="Verdana Pro Cond Light"/>
          <w:lang w:val="lv-LV"/>
        </w:rPr>
        <w:t>5</w:t>
      </w:r>
      <w:r w:rsidRPr="00DB7A50">
        <w:rPr>
          <w:rFonts w:ascii="Verdana Pro Cond Light" w:hAnsi="Verdana Pro Cond Light"/>
          <w:lang w:val="lv-LV"/>
        </w:rPr>
        <w:t xml:space="preserve"> procentu punktiem no ekonomiski aktīvajiem iedzīvotājiem (6.</w:t>
      </w:r>
      <w:r w:rsidR="003C2C92">
        <w:rPr>
          <w:rFonts w:ascii="Verdana Pro Cond Light" w:hAnsi="Verdana Pro Cond Light"/>
          <w:lang w:val="lv-LV"/>
        </w:rPr>
        <w:t>45</w:t>
      </w:r>
      <w:r w:rsidRPr="00DB7A50">
        <w:rPr>
          <w:rFonts w:ascii="Verdana Pro Cond Light" w:hAnsi="Verdana Pro Cond Light"/>
          <w:lang w:val="lv-LV"/>
        </w:rPr>
        <w:t xml:space="preserve">. attēls). </w:t>
      </w:r>
      <w:bookmarkStart w:id="86" w:name="_Hlk177833427"/>
      <w:r w:rsidRPr="00DB7A50">
        <w:rPr>
          <w:rFonts w:ascii="Verdana Pro Cond Light" w:hAnsi="Verdana Pro Cond Light"/>
          <w:lang w:val="lv-LV"/>
        </w:rPr>
        <w:t>Kopējā ietekme uz Latvijas darba tirgu nav liela, tādējādi NEKP pasākumu īstenošanai iezīmētā finansējuma apjomā nav būtisku ekonomikas pārkaršanas risku.</w:t>
      </w:r>
      <w:bookmarkEnd w:id="86"/>
    </w:p>
    <w:p w14:paraId="4DA10251" w14:textId="0E8E624F" w:rsidR="00812A72" w:rsidRDefault="00812A72" w:rsidP="00812A72">
      <w:pPr>
        <w:widowControl/>
        <w:spacing w:after="120" w:line="240" w:lineRule="auto"/>
        <w:rPr>
          <w:rFonts w:ascii="Verdana Pro Cond Light" w:hAnsi="Verdana Pro Cond Light"/>
          <w:lang w:val="lv-LV"/>
        </w:rPr>
      </w:pPr>
      <w:r w:rsidRPr="00DB7A50">
        <w:rPr>
          <w:rFonts w:ascii="Verdana Pro Cond Light" w:hAnsi="Verdana Pro Cond Light"/>
          <w:lang w:val="lv-LV"/>
        </w:rPr>
        <w:t>NEKP pasākumus īstenojot iezīmētā finansējuma apjomā vidēj</w:t>
      </w:r>
      <w:r w:rsidR="003A721D">
        <w:rPr>
          <w:rFonts w:ascii="Verdana Pro Cond Light" w:hAnsi="Verdana Pro Cond Light"/>
          <w:lang w:val="lv-LV"/>
        </w:rPr>
        <w:t>ā</w:t>
      </w:r>
      <w:r w:rsidRPr="00DB7A50">
        <w:rPr>
          <w:rFonts w:ascii="Verdana Pro Cond Light" w:hAnsi="Verdana Pro Cond Light"/>
          <w:lang w:val="lv-LV"/>
        </w:rPr>
        <w:t xml:space="preserve"> alg</w:t>
      </w:r>
      <w:r w:rsidR="003A721D">
        <w:rPr>
          <w:rFonts w:ascii="Verdana Pro Cond Light" w:hAnsi="Verdana Pro Cond Light"/>
          <w:lang w:val="lv-LV"/>
        </w:rPr>
        <w:t xml:space="preserve">a </w:t>
      </w:r>
      <w:r w:rsidR="003A721D" w:rsidRPr="00DB7A50">
        <w:rPr>
          <w:rFonts w:ascii="Verdana Pro Cond Light" w:hAnsi="Verdana Pro Cond Light"/>
          <w:lang w:val="lv-LV"/>
        </w:rPr>
        <w:t>nominālā izteiksmē</w:t>
      </w:r>
      <w:r w:rsidR="003A721D">
        <w:rPr>
          <w:rFonts w:ascii="Verdana Pro Cond Light" w:hAnsi="Verdana Pro Cond Light"/>
          <w:lang w:val="lv-LV"/>
        </w:rPr>
        <w:t xml:space="preserve"> 2030. – 2034. gadā ir par 0,25 procentu punktiem lielāka</w:t>
      </w:r>
      <w:r w:rsidRPr="00DB7A50">
        <w:rPr>
          <w:rFonts w:ascii="Verdana Pro Cond Light" w:hAnsi="Verdana Pro Cond Light"/>
          <w:lang w:val="lv-LV"/>
        </w:rPr>
        <w:t>. Ietekme uz patēriņa cenām ir pozitīva īstermiņā (tautsaimniecības augšupejas ietekmē), un negatīva ilgtermiņā, jo papildu investīcijas vairo tautsaimniecības kapacitāti jeb potenciālo IKP (6.</w:t>
      </w:r>
      <w:r w:rsidR="003C2C92">
        <w:rPr>
          <w:rFonts w:ascii="Verdana Pro Cond Light" w:hAnsi="Verdana Pro Cond Light"/>
          <w:lang w:val="lv-LV"/>
        </w:rPr>
        <w:t>46</w:t>
      </w:r>
      <w:r w:rsidRPr="00DB7A50">
        <w:rPr>
          <w:rFonts w:ascii="Verdana Pro Cond Light" w:hAnsi="Verdana Pro Cond Light"/>
          <w:lang w:val="lv-LV"/>
        </w:rPr>
        <w:t>.</w:t>
      </w:r>
      <w:r>
        <w:rPr>
          <w:rFonts w:ascii="Verdana Pro Cond Light" w:hAnsi="Verdana Pro Cond Light"/>
          <w:lang w:val="lv-LV"/>
        </w:rPr>
        <w:t> </w:t>
      </w:r>
      <w:r w:rsidRPr="00DB7A50">
        <w:rPr>
          <w:rFonts w:ascii="Verdana Pro Cond Light" w:hAnsi="Verdana Pro Cond Light"/>
          <w:lang w:val="lv-LV"/>
        </w:rPr>
        <w:t>attēls).</w:t>
      </w:r>
    </w:p>
    <w:p w14:paraId="34E2AC07" w14:textId="6480BF5F" w:rsidR="00812A72" w:rsidRDefault="00812A72" w:rsidP="00812A72">
      <w:pPr>
        <w:widowControl/>
        <w:spacing w:after="120" w:line="240" w:lineRule="auto"/>
        <w:rPr>
          <w:rFonts w:ascii="Verdana Pro Cond Light" w:hAnsi="Verdana Pro Cond Light"/>
          <w:lang w:val="lv-LV"/>
        </w:rPr>
      </w:pPr>
      <w:r w:rsidRPr="00DB7A50">
        <w:rPr>
          <w:rFonts w:ascii="Verdana Pro Cond Light" w:hAnsi="Verdana Pro Cond Light"/>
          <w:lang w:val="lv-LV"/>
        </w:rPr>
        <w:t xml:space="preserve">Augstāks IKP un īstermiņā arī lielāks cenu līmenis nosaka pozitīvu NEKP pasākumu ietekmi uz valsts budžeta ieņēmumiem, t.sk. uz nodokļu ieņēmumiem. Valsts budžeta ieņēmumi 2050. gadā ir par </w:t>
      </w:r>
      <w:r w:rsidR="003A721D">
        <w:rPr>
          <w:rFonts w:ascii="Verdana Pro Cond Light" w:hAnsi="Verdana Pro Cond Light"/>
          <w:lang w:val="lv-LV"/>
        </w:rPr>
        <w:t>1</w:t>
      </w:r>
      <w:r w:rsidRPr="00DB7A50">
        <w:rPr>
          <w:rFonts w:ascii="Verdana Pro Cond Light" w:hAnsi="Verdana Pro Cond Light"/>
          <w:lang w:val="lv-LV"/>
        </w:rPr>
        <w:t>,</w:t>
      </w:r>
      <w:r w:rsidR="003A721D">
        <w:rPr>
          <w:rFonts w:ascii="Verdana Pro Cond Light" w:hAnsi="Verdana Pro Cond Light"/>
          <w:lang w:val="lv-LV"/>
        </w:rPr>
        <w:t>0</w:t>
      </w:r>
      <w:r>
        <w:rPr>
          <w:rFonts w:ascii="Verdana Pro Cond Light" w:hAnsi="Verdana Pro Cond Light"/>
          <w:lang w:val="lv-LV"/>
        </w:rPr>
        <w:t> </w:t>
      </w:r>
      <w:r w:rsidRPr="00DB7A50">
        <w:rPr>
          <w:rFonts w:ascii="Verdana Pro Cond Light" w:hAnsi="Verdana Pro Cond Light"/>
          <w:lang w:val="lv-LV"/>
        </w:rPr>
        <w:t>% lielāki nekā bāzes scenārijā (6.</w:t>
      </w:r>
      <w:r w:rsidR="003C2C92">
        <w:rPr>
          <w:rFonts w:ascii="Verdana Pro Cond Light" w:hAnsi="Verdana Pro Cond Light"/>
          <w:lang w:val="lv-LV"/>
        </w:rPr>
        <w:t>47</w:t>
      </w:r>
      <w:r w:rsidRPr="00DB7A50">
        <w:rPr>
          <w:rFonts w:ascii="Verdana Pro Cond Light" w:hAnsi="Verdana Pro Cond Light"/>
          <w:lang w:val="lv-LV"/>
        </w:rPr>
        <w:t>. attēls).</w:t>
      </w:r>
    </w:p>
    <w:p w14:paraId="76EE50C5" w14:textId="0A2D16C9" w:rsidR="00812A72" w:rsidRDefault="00812A72" w:rsidP="00812A72">
      <w:pPr>
        <w:widowControl/>
        <w:spacing w:after="120" w:line="240" w:lineRule="auto"/>
        <w:rPr>
          <w:rFonts w:ascii="Verdana Pro Cond Light" w:hAnsi="Verdana Pro Cond Light"/>
          <w:lang w:val="lv-LV"/>
        </w:rPr>
      </w:pPr>
      <w:r w:rsidRPr="00DB7A50">
        <w:rPr>
          <w:rFonts w:ascii="Verdana Pro Cond Light" w:hAnsi="Verdana Pro Cond Light"/>
          <w:lang w:val="lv-LV"/>
        </w:rPr>
        <w:t xml:space="preserve">NEKP pasākumus īstenojot iezīmētā finansējuma apjomā, </w:t>
      </w:r>
      <w:bookmarkStart w:id="87" w:name="_Hlk177833463"/>
      <w:r w:rsidR="003A721D">
        <w:rPr>
          <w:rFonts w:ascii="Verdana Pro Cond Light" w:hAnsi="Verdana Pro Cond Light"/>
          <w:lang w:val="lv-LV"/>
        </w:rPr>
        <w:t>pievienotā vērtība pieaug visās nozarēs</w:t>
      </w:r>
      <w:r w:rsidRPr="00DB7A50">
        <w:rPr>
          <w:rFonts w:ascii="Verdana Pro Cond Light" w:hAnsi="Verdana Pro Cond Light"/>
          <w:lang w:val="lv-LV"/>
        </w:rPr>
        <w:t xml:space="preserve">, </w:t>
      </w:r>
      <w:r w:rsidR="003A721D">
        <w:rPr>
          <w:rFonts w:ascii="Verdana Pro Cond Light" w:hAnsi="Verdana Pro Cond Light"/>
          <w:lang w:val="lv-LV"/>
        </w:rPr>
        <w:t>īpaši sauszemes transporta,</w:t>
      </w:r>
      <w:r w:rsidRPr="00DB7A50">
        <w:rPr>
          <w:rFonts w:ascii="Verdana Pro Cond Light" w:hAnsi="Verdana Pro Cond Light"/>
          <w:lang w:val="lv-LV"/>
        </w:rPr>
        <w:t xml:space="preserve"> gaisa transporta un uzglabāšan</w:t>
      </w:r>
      <w:r w:rsidR="003A721D">
        <w:rPr>
          <w:rFonts w:ascii="Verdana Pro Cond Light" w:hAnsi="Verdana Pro Cond Light"/>
          <w:lang w:val="lv-LV"/>
        </w:rPr>
        <w:t>ā</w:t>
      </w:r>
      <w:r w:rsidRPr="00DB7A50">
        <w:rPr>
          <w:rFonts w:ascii="Verdana Pro Cond Light" w:hAnsi="Verdana Pro Cond Light"/>
          <w:lang w:val="lv-LV"/>
        </w:rPr>
        <w:t xml:space="preserve">, </w:t>
      </w:r>
      <w:r w:rsidR="003A721D">
        <w:rPr>
          <w:rFonts w:ascii="Verdana Pro Cond Light" w:hAnsi="Verdana Pro Cond Light"/>
          <w:lang w:val="lv-LV"/>
        </w:rPr>
        <w:t xml:space="preserve">kas daļēji atspoguļo mazāku degvielas cenu 3.3.3. pasākuma (sk. 5. scenāriju) īstenošanas dēļ </w:t>
      </w:r>
      <w:bookmarkEnd w:id="87"/>
      <w:r w:rsidRPr="00DB7A50">
        <w:rPr>
          <w:rFonts w:ascii="Verdana Pro Cond Light" w:hAnsi="Verdana Pro Cond Light"/>
          <w:lang w:val="lv-LV"/>
        </w:rPr>
        <w:t>(6.</w:t>
      </w:r>
      <w:r w:rsidR="003C2C92">
        <w:rPr>
          <w:rFonts w:ascii="Verdana Pro Cond Light" w:hAnsi="Verdana Pro Cond Light"/>
          <w:lang w:val="lv-LV"/>
        </w:rPr>
        <w:t>48</w:t>
      </w:r>
      <w:r w:rsidRPr="00DB7A50">
        <w:rPr>
          <w:rFonts w:ascii="Verdana Pro Cond Light" w:hAnsi="Verdana Pro Cond Light"/>
          <w:lang w:val="lv-LV"/>
        </w:rPr>
        <w:t>. attēls).</w:t>
      </w:r>
    </w:p>
    <w:p w14:paraId="4C1CF196" w14:textId="0DED6FEF" w:rsidR="00812A72" w:rsidRPr="00DA2C8E" w:rsidRDefault="00812A72" w:rsidP="00812A72">
      <w:pPr>
        <w:widowControl/>
        <w:spacing w:before="100" w:beforeAutospacing="1" w:after="120" w:line="240" w:lineRule="auto"/>
        <w:jc w:val="right"/>
        <w:rPr>
          <w:rFonts w:ascii="Verdana Pro Cond Light" w:eastAsia="Times New Roman" w:hAnsi="Verdana Pro Cond Light" w:cstheme="minorHAnsi"/>
          <w:bCs/>
          <w:lang w:val="lv-LV" w:eastAsia="lv-LV"/>
        </w:rPr>
      </w:pPr>
      <w:r w:rsidRPr="00DA2C8E">
        <w:rPr>
          <w:rFonts w:ascii="Verdana Pro Cond Light" w:eastAsia="Times New Roman" w:hAnsi="Verdana Pro Cond Light" w:cstheme="minorHAnsi"/>
          <w:bCs/>
          <w:lang w:val="lv-LV" w:eastAsia="lv-LV"/>
        </w:rPr>
        <w:t>6.4</w:t>
      </w:r>
      <w:r w:rsidR="003C2C92">
        <w:rPr>
          <w:rFonts w:ascii="Verdana Pro Cond Light" w:eastAsia="Times New Roman" w:hAnsi="Verdana Pro Cond Light" w:cstheme="minorHAnsi"/>
          <w:bCs/>
          <w:lang w:val="lv-LV" w:eastAsia="lv-LV"/>
        </w:rPr>
        <w:t>3</w:t>
      </w:r>
      <w:r w:rsidRPr="00DA2C8E">
        <w:rPr>
          <w:rFonts w:ascii="Verdana Pro Cond Light" w:eastAsia="Times New Roman" w:hAnsi="Verdana Pro Cond Light" w:cstheme="minorHAnsi"/>
          <w:bCs/>
          <w:lang w:val="lv-LV" w:eastAsia="lv-LV"/>
        </w:rPr>
        <w:t>. attēls</w:t>
      </w:r>
    </w:p>
    <w:p w14:paraId="0D6CF7BD" w14:textId="77777777" w:rsidR="00812A72" w:rsidRDefault="00812A72" w:rsidP="00812A72">
      <w:pPr>
        <w:widowControl/>
        <w:spacing w:after="120" w:line="240" w:lineRule="auto"/>
        <w:jc w:val="center"/>
        <w:rPr>
          <w:rFonts w:ascii="Verdana Pro Cond Light" w:eastAsia="Times New Roman" w:hAnsi="Verdana Pro Cond Light"/>
          <w:sz w:val="18"/>
          <w:szCs w:val="18"/>
          <w:lang w:val="lv-LV" w:eastAsia="lv-LV"/>
        </w:rPr>
      </w:pPr>
      <w:r w:rsidRPr="00DA2C8E">
        <w:rPr>
          <w:rFonts w:ascii="Verdana Pro Cond Light" w:eastAsia="Times New Roman" w:hAnsi="Verdana Pro Cond Light"/>
          <w:b/>
          <w:bCs/>
          <w:lang w:val="lv-LV" w:eastAsia="lv-LV"/>
        </w:rPr>
        <w:t xml:space="preserve">NEKP pasākumu (iezīmētā finansējuma apjomā) ietekme uz Latvijas iekšzemes kopprodukta līmeni un tā iekšzemes komponentēm </w:t>
      </w:r>
      <w:r>
        <w:rPr>
          <w:rFonts w:ascii="Verdana Pro Cond Light" w:eastAsia="Times New Roman" w:hAnsi="Verdana Pro Cond Light"/>
          <w:b/>
          <w:bCs/>
          <w:lang w:val="lv-LV" w:eastAsia="lv-LV"/>
        </w:rPr>
        <w:br/>
      </w:r>
      <w:r w:rsidRPr="00DA2C8E">
        <w:rPr>
          <w:rFonts w:ascii="Verdana Pro Cond Light" w:eastAsia="Times New Roman" w:hAnsi="Verdana Pro Cond Light"/>
          <w:sz w:val="18"/>
          <w:szCs w:val="18"/>
          <w:lang w:val="lv-LV" w:eastAsia="lv-LV"/>
        </w:rPr>
        <w:t>%; salīdzinot ar bāzes scenāriju; 2015. gada cenās; 2025. – 2050. gadā</w:t>
      </w:r>
    </w:p>
    <w:p w14:paraId="2868C4E2" w14:textId="77777777" w:rsidR="00812A72" w:rsidRDefault="00812A72" w:rsidP="00812A72">
      <w:pPr>
        <w:widowControl/>
        <w:spacing w:after="120" w:line="240" w:lineRule="auto"/>
        <w:jc w:val="center"/>
        <w:rPr>
          <w:rFonts w:ascii="Verdana Pro Cond Light" w:eastAsia="Times New Roman" w:hAnsi="Verdana Pro Cond Light"/>
          <w:sz w:val="18"/>
          <w:szCs w:val="18"/>
          <w:lang w:val="lv-LV" w:eastAsia="lv-LV"/>
        </w:rPr>
      </w:pPr>
    </w:p>
    <w:p w14:paraId="5655E6EB" w14:textId="77777777" w:rsidR="00812A72" w:rsidRPr="00DA2C8E" w:rsidRDefault="00812A72" w:rsidP="00812A72">
      <w:pPr>
        <w:widowControl/>
        <w:tabs>
          <w:tab w:val="center" w:pos="2410"/>
          <w:tab w:val="center" w:pos="7230"/>
        </w:tabs>
        <w:spacing w:after="120" w:line="240" w:lineRule="auto"/>
        <w:rPr>
          <w:rFonts w:ascii="Verdana Pro Cond Light" w:eastAsia="Times New Roman" w:hAnsi="Verdana Pro Cond Light"/>
          <w:b/>
          <w:bCs/>
          <w:sz w:val="18"/>
          <w:szCs w:val="18"/>
          <w:lang w:val="lv-LV" w:eastAsia="lv-LV"/>
        </w:rPr>
      </w:pPr>
      <w:r>
        <w:rPr>
          <w:rFonts w:ascii="Verdana Pro Cond Light" w:eastAsia="Times New Roman" w:hAnsi="Verdana Pro Cond Light"/>
          <w:b/>
          <w:bCs/>
          <w:sz w:val="18"/>
          <w:szCs w:val="18"/>
          <w:lang w:val="lv-LV" w:eastAsia="lv-LV"/>
        </w:rPr>
        <w:tab/>
      </w:r>
      <w:r w:rsidRPr="00DA2C8E">
        <w:rPr>
          <w:rFonts w:ascii="Verdana Pro Cond Light" w:eastAsia="Times New Roman" w:hAnsi="Verdana Pro Cond Light"/>
          <w:b/>
          <w:bCs/>
          <w:sz w:val="18"/>
          <w:szCs w:val="18"/>
          <w:lang w:val="lv-LV" w:eastAsia="lv-LV"/>
        </w:rPr>
        <w:t>Ietekme uz iekšzemes kopprodukta līmeni</w:t>
      </w:r>
      <w:r w:rsidRPr="00DA2C8E">
        <w:rPr>
          <w:rFonts w:ascii="Verdana Pro Cond Light" w:eastAsia="Times New Roman" w:hAnsi="Verdana Pro Cond Light"/>
          <w:b/>
          <w:bCs/>
          <w:sz w:val="18"/>
          <w:szCs w:val="18"/>
          <w:lang w:val="lv-LV" w:eastAsia="lv-LV"/>
        </w:rPr>
        <w:tab/>
        <w:t>Ietekme uz investīcijām un patēriņu</w:t>
      </w:r>
    </w:p>
    <w:p w14:paraId="3888B6E3" w14:textId="77777777" w:rsidR="00812A72" w:rsidRPr="00DA2C8E" w:rsidRDefault="00812A72" w:rsidP="00812A72">
      <w:pPr>
        <w:widowControl/>
        <w:spacing w:after="120" w:line="240" w:lineRule="auto"/>
        <w:ind w:right="-143"/>
        <w:jc w:val="center"/>
        <w:rPr>
          <w:rFonts w:ascii="Verdana Pro Cond Light" w:hAnsi="Verdana Pro Cond Light"/>
          <w:sz w:val="18"/>
          <w:szCs w:val="18"/>
          <w:lang w:val="lv-LV"/>
        </w:rPr>
      </w:pPr>
      <w:r w:rsidRPr="00DA2C8E">
        <w:rPr>
          <w:rFonts w:ascii="Verdana Pro Cond Light" w:hAnsi="Verdana Pro Cond Light" w:cstheme="minorHAnsi"/>
          <w:noProof/>
        </w:rPr>
        <w:drawing>
          <wp:inline distT="0" distB="0" distL="0" distR="0" wp14:anchorId="7435EF14" wp14:editId="7BA0FBD0">
            <wp:extent cx="3060000" cy="2160000"/>
            <wp:effectExtent l="0" t="0" r="7620" b="0"/>
            <wp:docPr id="1325056913" name="Chart 1325056913">
              <a:extLst xmlns:a="http://schemas.openxmlformats.org/drawingml/2006/main">
                <a:ext uri="{FF2B5EF4-FFF2-40B4-BE49-F238E27FC236}">
                  <a16:creationId xmlns:a16="http://schemas.microsoft.com/office/drawing/2014/main" id="{C0B412E0-20D9-9C02-797F-E1BB76C514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2"/>
              </a:graphicData>
            </a:graphic>
          </wp:inline>
        </w:drawing>
      </w:r>
      <w:r w:rsidRPr="00DA2C8E">
        <w:rPr>
          <w:rFonts w:ascii="Verdana Pro Cond Light" w:hAnsi="Verdana Pro Cond Light" w:cstheme="minorHAnsi"/>
          <w:noProof/>
        </w:rPr>
        <w:drawing>
          <wp:inline distT="0" distB="0" distL="0" distR="0" wp14:anchorId="31D0491E" wp14:editId="58A37264">
            <wp:extent cx="3060000" cy="2160000"/>
            <wp:effectExtent l="0" t="0" r="0" b="0"/>
            <wp:docPr id="120538937" name="Chart 120538937">
              <a:extLst xmlns:a="http://schemas.openxmlformats.org/drawingml/2006/main">
                <a:ext uri="{FF2B5EF4-FFF2-40B4-BE49-F238E27FC236}">
                  <a16:creationId xmlns:a16="http://schemas.microsoft.com/office/drawing/2014/main" id="{DA49B370-F5C9-6939-A1AB-36EBEF097AC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3"/>
              </a:graphicData>
            </a:graphic>
          </wp:inline>
        </w:drawing>
      </w:r>
    </w:p>
    <w:p w14:paraId="6FDD036B" w14:textId="77777777" w:rsidR="00812A72" w:rsidRPr="00097491" w:rsidRDefault="00812A72" w:rsidP="00812A72">
      <w:pPr>
        <w:widowControl/>
        <w:spacing w:before="120" w:after="120" w:line="240" w:lineRule="auto"/>
        <w:jc w:val="both"/>
        <w:rPr>
          <w:rFonts w:ascii="Arial Nova Cond Light" w:eastAsia="Times New Roman" w:hAnsi="Arial Nova Cond Light"/>
          <w:sz w:val="16"/>
          <w:szCs w:val="24"/>
          <w:lang w:val="lv-LV" w:eastAsia="lv-LV"/>
        </w:rPr>
      </w:pPr>
      <w:r w:rsidRPr="00097491">
        <w:rPr>
          <w:rFonts w:ascii="Arial Nova Cond Light" w:eastAsia="Times New Roman" w:hAnsi="Arial Nova Cond Light"/>
          <w:sz w:val="16"/>
          <w:szCs w:val="24"/>
          <w:lang w:val="lv-LV" w:eastAsia="lv-LV"/>
        </w:rPr>
        <w:t>Avots: autoru aprēķins, izmantojot VLA modeli.</w:t>
      </w:r>
    </w:p>
    <w:p w14:paraId="0CD921BA" w14:textId="77777777" w:rsidR="00812A72" w:rsidRPr="00097491" w:rsidRDefault="00812A72" w:rsidP="00812A72">
      <w:pPr>
        <w:widowControl/>
        <w:spacing w:after="120" w:line="240" w:lineRule="auto"/>
        <w:rPr>
          <w:rFonts w:ascii="Verdana Pro Cond Light" w:eastAsia="Times New Roman" w:hAnsi="Verdana Pro Cond Light"/>
          <w:lang w:val="lv-LV" w:eastAsia="lv-LV"/>
        </w:rPr>
      </w:pPr>
    </w:p>
    <w:p w14:paraId="7044E58C" w14:textId="77777777" w:rsidR="0069037D" w:rsidRPr="00097491" w:rsidRDefault="0069037D">
      <w:pPr>
        <w:widowControl/>
        <w:spacing w:after="160" w:line="259" w:lineRule="auto"/>
        <w:rPr>
          <w:rFonts w:ascii="Verdana Pro Cond Light" w:eastAsia="Times New Roman" w:hAnsi="Verdana Pro Cond Light" w:cstheme="minorHAnsi"/>
          <w:bCs/>
          <w:lang w:val="lv-LV" w:eastAsia="lv-LV"/>
        </w:rPr>
      </w:pPr>
      <w:r w:rsidRPr="00097491">
        <w:rPr>
          <w:rFonts w:ascii="Verdana Pro Cond Light" w:eastAsia="Times New Roman" w:hAnsi="Verdana Pro Cond Light" w:cstheme="minorHAnsi"/>
          <w:bCs/>
          <w:lang w:val="lv-LV" w:eastAsia="lv-LV"/>
        </w:rPr>
        <w:br w:type="page"/>
      </w:r>
    </w:p>
    <w:p w14:paraId="00EF87CF" w14:textId="735F69B9" w:rsidR="00812A72" w:rsidRPr="00097491" w:rsidRDefault="00812A72" w:rsidP="00812A72">
      <w:pPr>
        <w:widowControl/>
        <w:spacing w:after="120" w:line="240" w:lineRule="auto"/>
        <w:jc w:val="right"/>
        <w:rPr>
          <w:rFonts w:ascii="Verdana Pro Cond Light" w:eastAsia="Times New Roman" w:hAnsi="Verdana Pro Cond Light" w:cstheme="minorHAnsi"/>
          <w:bCs/>
          <w:lang w:val="lv-LV" w:eastAsia="lv-LV"/>
        </w:rPr>
      </w:pPr>
      <w:r w:rsidRPr="00097491">
        <w:rPr>
          <w:rFonts w:ascii="Verdana Pro Cond Light" w:eastAsia="Times New Roman" w:hAnsi="Verdana Pro Cond Light" w:cstheme="minorHAnsi"/>
          <w:bCs/>
          <w:lang w:val="lv-LV" w:eastAsia="lv-LV"/>
        </w:rPr>
        <w:lastRenderedPageBreak/>
        <w:t>6.4</w:t>
      </w:r>
      <w:r w:rsidR="003C2C92">
        <w:rPr>
          <w:rFonts w:ascii="Verdana Pro Cond Light" w:eastAsia="Times New Roman" w:hAnsi="Verdana Pro Cond Light" w:cstheme="minorHAnsi"/>
          <w:bCs/>
          <w:lang w:val="lv-LV" w:eastAsia="lv-LV"/>
        </w:rPr>
        <w:t>4</w:t>
      </w:r>
      <w:r w:rsidRPr="00097491">
        <w:rPr>
          <w:rFonts w:ascii="Verdana Pro Cond Light" w:eastAsia="Times New Roman" w:hAnsi="Verdana Pro Cond Light" w:cstheme="minorHAnsi"/>
          <w:bCs/>
          <w:lang w:val="lv-LV" w:eastAsia="lv-LV"/>
        </w:rPr>
        <w:t>. attēls</w:t>
      </w:r>
    </w:p>
    <w:p w14:paraId="0039BC43" w14:textId="77777777" w:rsidR="00812A72" w:rsidRPr="00097491" w:rsidRDefault="00812A72" w:rsidP="00812A72">
      <w:pPr>
        <w:widowControl/>
        <w:spacing w:after="120" w:line="240" w:lineRule="auto"/>
        <w:jc w:val="center"/>
        <w:rPr>
          <w:rFonts w:ascii="Verdana Pro Cond Light" w:eastAsia="Times New Roman" w:hAnsi="Verdana Pro Cond Light"/>
          <w:sz w:val="18"/>
          <w:szCs w:val="18"/>
          <w:lang w:val="lv-LV" w:eastAsia="lv-LV"/>
        </w:rPr>
      </w:pPr>
      <w:r w:rsidRPr="00DA2C8E">
        <w:rPr>
          <w:rFonts w:ascii="Verdana Pro Cond Light" w:eastAsia="Times New Roman" w:hAnsi="Verdana Pro Cond Light"/>
          <w:b/>
          <w:bCs/>
          <w:lang w:val="lv-LV" w:eastAsia="lv-LV"/>
        </w:rPr>
        <w:t>NEKP pasākumu (iezīmētā finansējuma apjomā)</w:t>
      </w:r>
      <w:r w:rsidRPr="00097491">
        <w:rPr>
          <w:rFonts w:ascii="Verdana Pro Cond Light" w:eastAsia="Times New Roman" w:hAnsi="Verdana Pro Cond Light"/>
          <w:b/>
          <w:bCs/>
          <w:lang w:val="lv-LV" w:eastAsia="lv-LV"/>
        </w:rPr>
        <w:t xml:space="preserve"> ietekme uz </w:t>
      </w:r>
      <w:r w:rsidRPr="00097491">
        <w:rPr>
          <w:rFonts w:ascii="Verdana Pro Cond Light" w:eastAsia="Times New Roman" w:hAnsi="Verdana Pro Cond Light"/>
          <w:b/>
          <w:bCs/>
          <w:lang w:val="lv-LV" w:eastAsia="lv-LV"/>
        </w:rPr>
        <w:br/>
        <w:t xml:space="preserve">Latvijas eksportu, importu un tirdzniecības bilanci </w:t>
      </w:r>
      <w:r w:rsidRPr="00097491">
        <w:rPr>
          <w:rFonts w:ascii="Verdana Pro Cond Light" w:eastAsia="Times New Roman" w:hAnsi="Verdana Pro Cond Light"/>
          <w:b/>
          <w:bCs/>
          <w:lang w:val="lv-LV" w:eastAsia="lv-LV"/>
        </w:rPr>
        <w:br/>
      </w:r>
      <w:r w:rsidRPr="00097491">
        <w:rPr>
          <w:rFonts w:ascii="Verdana Pro Cond Light" w:eastAsia="Times New Roman" w:hAnsi="Verdana Pro Cond Light"/>
          <w:sz w:val="18"/>
          <w:szCs w:val="18"/>
          <w:lang w:val="lv-LV" w:eastAsia="lv-LV"/>
        </w:rPr>
        <w:t>salīdzinot ar bāzes scenāriju; 2025. – 2050. gadā</w:t>
      </w:r>
    </w:p>
    <w:p w14:paraId="41F80253" w14:textId="77777777" w:rsidR="00812A72" w:rsidRPr="00097491" w:rsidRDefault="00812A72" w:rsidP="00812A72">
      <w:pPr>
        <w:widowControl/>
        <w:spacing w:after="120" w:line="240" w:lineRule="auto"/>
        <w:jc w:val="center"/>
        <w:rPr>
          <w:rFonts w:ascii="Verdana Pro Cond Light" w:eastAsia="Times New Roman" w:hAnsi="Verdana Pro Cond Light"/>
          <w:sz w:val="18"/>
          <w:szCs w:val="18"/>
          <w:lang w:val="lv-LV" w:eastAsia="lv-LV"/>
        </w:rPr>
      </w:pPr>
    </w:p>
    <w:p w14:paraId="627E0107" w14:textId="77777777" w:rsidR="00812A72" w:rsidRPr="00097491" w:rsidRDefault="00812A72" w:rsidP="00812A72">
      <w:pPr>
        <w:widowControl/>
        <w:tabs>
          <w:tab w:val="center" w:pos="2410"/>
          <w:tab w:val="center" w:pos="7230"/>
        </w:tabs>
        <w:spacing w:after="120" w:line="240" w:lineRule="auto"/>
        <w:rPr>
          <w:rFonts w:ascii="Verdana Pro Cond Light" w:eastAsia="Times New Roman" w:hAnsi="Verdana Pro Cond Light"/>
          <w:b/>
          <w:bCs/>
          <w:sz w:val="18"/>
          <w:szCs w:val="18"/>
          <w:lang w:val="lv-LV" w:eastAsia="lv-LV"/>
        </w:rPr>
      </w:pPr>
      <w:r w:rsidRPr="00097491">
        <w:rPr>
          <w:rFonts w:ascii="Verdana Pro Cond Light" w:eastAsia="Times New Roman" w:hAnsi="Verdana Pro Cond Light"/>
          <w:b/>
          <w:bCs/>
          <w:sz w:val="18"/>
          <w:szCs w:val="18"/>
          <w:lang w:val="lv-LV" w:eastAsia="lv-LV"/>
        </w:rPr>
        <w:tab/>
        <w:t>Ietekme uz Latvijas eksportu un importu (%)</w:t>
      </w:r>
      <w:r w:rsidRPr="00097491">
        <w:rPr>
          <w:rFonts w:ascii="Verdana Pro Cond Light" w:eastAsia="Times New Roman" w:hAnsi="Verdana Pro Cond Light"/>
          <w:b/>
          <w:bCs/>
          <w:sz w:val="18"/>
          <w:szCs w:val="18"/>
          <w:lang w:val="lv-LV" w:eastAsia="lv-LV"/>
        </w:rPr>
        <w:tab/>
        <w:t>Ietekme uz Latvijas tirdzniecības bilanci (pp. no IKP)</w:t>
      </w:r>
    </w:p>
    <w:p w14:paraId="16FA59F0" w14:textId="77777777" w:rsidR="00812A72" w:rsidRPr="00DA2C8E" w:rsidRDefault="00812A72" w:rsidP="00812A72">
      <w:pPr>
        <w:widowControl/>
        <w:spacing w:after="120" w:line="240" w:lineRule="auto"/>
        <w:ind w:right="-143"/>
        <w:jc w:val="center"/>
        <w:rPr>
          <w:rFonts w:ascii="Verdana Pro Cond Light" w:eastAsia="Times New Roman" w:hAnsi="Verdana Pro Cond Light"/>
          <w:sz w:val="18"/>
          <w:szCs w:val="18"/>
          <w:lang w:eastAsia="lv-LV"/>
        </w:rPr>
      </w:pPr>
      <w:r w:rsidRPr="00DA2C8E">
        <w:rPr>
          <w:rFonts w:ascii="Verdana Pro Cond Light" w:hAnsi="Verdana Pro Cond Light" w:cstheme="minorHAnsi"/>
          <w:noProof/>
        </w:rPr>
        <w:drawing>
          <wp:inline distT="0" distB="0" distL="0" distR="0" wp14:anchorId="593CF823" wp14:editId="03F1C37C">
            <wp:extent cx="3060000" cy="2160000"/>
            <wp:effectExtent l="0" t="0" r="0" b="0"/>
            <wp:docPr id="311882181" name="Chart 311882181">
              <a:extLst xmlns:a="http://schemas.openxmlformats.org/drawingml/2006/main">
                <a:ext uri="{FF2B5EF4-FFF2-40B4-BE49-F238E27FC236}">
                  <a16:creationId xmlns:a16="http://schemas.microsoft.com/office/drawing/2014/main" id="{013AA65C-5627-335A-2509-D049CDF1205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4"/>
              </a:graphicData>
            </a:graphic>
          </wp:inline>
        </w:drawing>
      </w:r>
      <w:r w:rsidRPr="00DA2C8E">
        <w:rPr>
          <w:rFonts w:ascii="Verdana Pro Cond Light" w:hAnsi="Verdana Pro Cond Light" w:cstheme="minorHAnsi"/>
          <w:noProof/>
        </w:rPr>
        <w:drawing>
          <wp:inline distT="0" distB="0" distL="0" distR="0" wp14:anchorId="3F5D852D" wp14:editId="4B6F7C58">
            <wp:extent cx="3060000" cy="2160000"/>
            <wp:effectExtent l="0" t="0" r="0" b="0"/>
            <wp:docPr id="752289093" name="Chart 752289093">
              <a:extLst xmlns:a="http://schemas.openxmlformats.org/drawingml/2006/main">
                <a:ext uri="{FF2B5EF4-FFF2-40B4-BE49-F238E27FC236}">
                  <a16:creationId xmlns:a16="http://schemas.microsoft.com/office/drawing/2014/main" id="{C0B412E0-20D9-9C02-797F-E1BB76C514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5"/>
              </a:graphicData>
            </a:graphic>
          </wp:inline>
        </w:drawing>
      </w:r>
    </w:p>
    <w:p w14:paraId="1D591159" w14:textId="77777777" w:rsidR="00812A72" w:rsidRDefault="00812A72" w:rsidP="00812A72">
      <w:pPr>
        <w:widowControl/>
        <w:spacing w:before="120" w:after="120" w:line="240" w:lineRule="auto"/>
        <w:jc w:val="both"/>
        <w:rPr>
          <w:rFonts w:ascii="Arial Nova Cond Light" w:eastAsia="Times New Roman" w:hAnsi="Arial Nova Cond Light"/>
          <w:sz w:val="16"/>
          <w:szCs w:val="24"/>
          <w:lang w:eastAsia="lv-LV"/>
        </w:rPr>
      </w:pPr>
      <w:r w:rsidRPr="00DA2C8E">
        <w:rPr>
          <w:rFonts w:ascii="Arial Nova Cond Light" w:eastAsia="Times New Roman" w:hAnsi="Arial Nova Cond Light"/>
          <w:sz w:val="16"/>
          <w:szCs w:val="24"/>
          <w:lang w:eastAsia="lv-LV"/>
        </w:rPr>
        <w:t>Avots: autoru aprēķins, izmantojot VLA modeli.</w:t>
      </w:r>
    </w:p>
    <w:p w14:paraId="7CFB4FE8" w14:textId="1E271C8E" w:rsidR="00812A72" w:rsidRDefault="00812A72" w:rsidP="00812A72">
      <w:pPr>
        <w:widowControl/>
        <w:spacing w:after="160" w:line="259" w:lineRule="auto"/>
        <w:rPr>
          <w:rFonts w:ascii="Verdana Pro Cond Light" w:eastAsia="Times New Roman" w:hAnsi="Verdana Pro Cond Light" w:cstheme="minorHAnsi"/>
          <w:bCs/>
          <w:lang w:eastAsia="lv-LV"/>
        </w:rPr>
      </w:pPr>
    </w:p>
    <w:p w14:paraId="5035698C" w14:textId="01C1FD66" w:rsidR="00812A72" w:rsidRPr="00DA2C8E" w:rsidRDefault="00812A72" w:rsidP="00812A72">
      <w:pPr>
        <w:widowControl/>
        <w:spacing w:after="120" w:line="240" w:lineRule="auto"/>
        <w:jc w:val="right"/>
        <w:rPr>
          <w:rFonts w:ascii="Verdana Pro Cond Light" w:eastAsia="Times New Roman" w:hAnsi="Verdana Pro Cond Light" w:cstheme="minorHAnsi"/>
          <w:bCs/>
          <w:lang w:eastAsia="lv-LV"/>
        </w:rPr>
      </w:pPr>
      <w:r w:rsidRPr="00DA2C8E">
        <w:rPr>
          <w:rFonts w:ascii="Verdana Pro Cond Light" w:eastAsia="Times New Roman" w:hAnsi="Verdana Pro Cond Light" w:cstheme="minorHAnsi"/>
          <w:bCs/>
          <w:lang w:eastAsia="lv-LV"/>
        </w:rPr>
        <w:t>6.</w:t>
      </w:r>
      <w:r w:rsidR="003C2C92">
        <w:rPr>
          <w:rFonts w:ascii="Verdana Pro Cond Light" w:eastAsia="Times New Roman" w:hAnsi="Verdana Pro Cond Light" w:cstheme="minorHAnsi"/>
          <w:bCs/>
          <w:lang w:eastAsia="lv-LV"/>
        </w:rPr>
        <w:t>45</w:t>
      </w:r>
      <w:r w:rsidRPr="00DA2C8E">
        <w:rPr>
          <w:rFonts w:ascii="Verdana Pro Cond Light" w:eastAsia="Times New Roman" w:hAnsi="Verdana Pro Cond Light" w:cstheme="minorHAnsi"/>
          <w:bCs/>
          <w:lang w:eastAsia="lv-LV"/>
        </w:rPr>
        <w:t>. attēls</w:t>
      </w:r>
    </w:p>
    <w:p w14:paraId="2C1EF9DA" w14:textId="77777777" w:rsidR="00812A72" w:rsidRDefault="00812A72" w:rsidP="00812A72">
      <w:pPr>
        <w:widowControl/>
        <w:spacing w:after="120" w:line="240" w:lineRule="auto"/>
        <w:jc w:val="center"/>
        <w:rPr>
          <w:rFonts w:ascii="Verdana Pro Cond Light" w:eastAsia="Times New Roman" w:hAnsi="Verdana Pro Cond Light"/>
          <w:sz w:val="18"/>
          <w:szCs w:val="18"/>
          <w:lang w:eastAsia="lv-LV"/>
        </w:rPr>
      </w:pPr>
      <w:r w:rsidRPr="00DA2C8E">
        <w:rPr>
          <w:rFonts w:ascii="Verdana Pro Cond Light" w:eastAsia="Times New Roman" w:hAnsi="Verdana Pro Cond Light"/>
          <w:b/>
          <w:bCs/>
          <w:lang w:val="lv-LV" w:eastAsia="lv-LV"/>
        </w:rPr>
        <w:t>NEKP pasākumu (iezīmētā finansējuma apjomā)</w:t>
      </w:r>
      <w:r w:rsidRPr="00DA2C8E">
        <w:rPr>
          <w:rFonts w:ascii="Verdana Pro Cond Light" w:eastAsia="Times New Roman" w:hAnsi="Verdana Pro Cond Light"/>
          <w:b/>
          <w:bCs/>
          <w:lang w:eastAsia="lv-LV"/>
        </w:rPr>
        <w:t xml:space="preserve"> ietekme uz </w:t>
      </w:r>
      <w:r>
        <w:rPr>
          <w:rFonts w:ascii="Verdana Pro Cond Light" w:eastAsia="Times New Roman" w:hAnsi="Verdana Pro Cond Light"/>
          <w:b/>
          <w:bCs/>
          <w:lang w:eastAsia="lv-LV"/>
        </w:rPr>
        <w:br/>
      </w:r>
      <w:r w:rsidRPr="00DA2C8E">
        <w:rPr>
          <w:rFonts w:ascii="Verdana Pro Cond Light" w:eastAsia="Times New Roman" w:hAnsi="Verdana Pro Cond Light"/>
          <w:b/>
          <w:bCs/>
          <w:lang w:eastAsia="lv-LV"/>
        </w:rPr>
        <w:t xml:space="preserve">nodarbināto skaitu un bezdarba līmeni Latvijā </w:t>
      </w:r>
      <w:r>
        <w:rPr>
          <w:rFonts w:ascii="Verdana Pro Cond Light" w:eastAsia="Times New Roman" w:hAnsi="Verdana Pro Cond Light"/>
          <w:b/>
          <w:bCs/>
          <w:lang w:eastAsia="lv-LV"/>
        </w:rPr>
        <w:br/>
      </w:r>
      <w:r w:rsidRPr="00DA2C8E">
        <w:rPr>
          <w:rFonts w:ascii="Verdana Pro Cond Light" w:eastAsia="Times New Roman" w:hAnsi="Verdana Pro Cond Light"/>
          <w:sz w:val="18"/>
          <w:szCs w:val="18"/>
          <w:lang w:eastAsia="lv-LV"/>
        </w:rPr>
        <w:t xml:space="preserve">salīdzinot ar bāzes scenāriju; 2025. – 2050. </w:t>
      </w:r>
      <w:r>
        <w:rPr>
          <w:rFonts w:ascii="Verdana Pro Cond Light" w:eastAsia="Times New Roman" w:hAnsi="Verdana Pro Cond Light"/>
          <w:sz w:val="18"/>
          <w:szCs w:val="18"/>
          <w:lang w:eastAsia="lv-LV"/>
        </w:rPr>
        <w:t>g</w:t>
      </w:r>
      <w:r w:rsidRPr="00DA2C8E">
        <w:rPr>
          <w:rFonts w:ascii="Verdana Pro Cond Light" w:eastAsia="Times New Roman" w:hAnsi="Verdana Pro Cond Light"/>
          <w:sz w:val="18"/>
          <w:szCs w:val="18"/>
          <w:lang w:eastAsia="lv-LV"/>
        </w:rPr>
        <w:t>adā</w:t>
      </w:r>
    </w:p>
    <w:p w14:paraId="3B63D971" w14:textId="77777777" w:rsidR="00812A72" w:rsidRDefault="00812A72" w:rsidP="00812A72">
      <w:pPr>
        <w:widowControl/>
        <w:spacing w:after="120" w:line="240" w:lineRule="auto"/>
        <w:jc w:val="center"/>
        <w:rPr>
          <w:rFonts w:ascii="Verdana Pro Cond Light" w:eastAsia="Times New Roman" w:hAnsi="Verdana Pro Cond Light"/>
          <w:sz w:val="18"/>
          <w:szCs w:val="18"/>
          <w:lang w:eastAsia="lv-LV"/>
        </w:rPr>
      </w:pPr>
    </w:p>
    <w:p w14:paraId="00999534" w14:textId="77777777" w:rsidR="00812A72" w:rsidRDefault="00812A72" w:rsidP="00812A72">
      <w:pPr>
        <w:widowControl/>
        <w:tabs>
          <w:tab w:val="center" w:pos="2410"/>
          <w:tab w:val="center" w:pos="7230"/>
        </w:tabs>
        <w:spacing w:after="120" w:line="240" w:lineRule="auto"/>
        <w:rPr>
          <w:rFonts w:ascii="Verdana Pro Cond Light" w:eastAsia="Times New Roman" w:hAnsi="Verdana Pro Cond Light"/>
          <w:sz w:val="18"/>
          <w:szCs w:val="18"/>
          <w:lang w:eastAsia="lv-LV"/>
        </w:rPr>
      </w:pPr>
      <w:r>
        <w:rPr>
          <w:rFonts w:ascii="Verdana Pro Cond Light" w:eastAsia="Times New Roman" w:hAnsi="Verdana Pro Cond Light"/>
          <w:b/>
          <w:bCs/>
          <w:sz w:val="18"/>
          <w:szCs w:val="18"/>
          <w:lang w:eastAsia="lv-LV"/>
        </w:rPr>
        <w:tab/>
      </w:r>
      <w:r w:rsidRPr="00DA2C8E">
        <w:rPr>
          <w:rFonts w:ascii="Verdana Pro Cond Light" w:eastAsia="Times New Roman" w:hAnsi="Verdana Pro Cond Light"/>
          <w:b/>
          <w:bCs/>
          <w:sz w:val="18"/>
          <w:szCs w:val="18"/>
          <w:lang w:eastAsia="lv-LV"/>
        </w:rPr>
        <w:t xml:space="preserve">Ietekme uz nodarbināto skaitu (%) </w:t>
      </w:r>
      <w:r w:rsidRPr="00DA2C8E">
        <w:rPr>
          <w:rFonts w:ascii="Verdana Pro Cond Light" w:eastAsia="Times New Roman" w:hAnsi="Verdana Pro Cond Light"/>
          <w:b/>
          <w:bCs/>
          <w:sz w:val="18"/>
          <w:szCs w:val="18"/>
          <w:lang w:eastAsia="lv-LV"/>
        </w:rPr>
        <w:tab/>
        <w:t xml:space="preserve">Ietekme uz bezdarba līmeni </w:t>
      </w:r>
      <w:r>
        <w:rPr>
          <w:rFonts w:ascii="Verdana Pro Cond Light" w:eastAsia="Times New Roman" w:hAnsi="Verdana Pro Cond Light"/>
          <w:b/>
          <w:bCs/>
          <w:sz w:val="18"/>
          <w:szCs w:val="18"/>
          <w:lang w:eastAsia="lv-LV"/>
        </w:rPr>
        <w:br/>
      </w:r>
      <w:r>
        <w:rPr>
          <w:rFonts w:ascii="Verdana Pro Cond Light" w:eastAsia="Times New Roman" w:hAnsi="Verdana Pro Cond Light"/>
          <w:sz w:val="18"/>
          <w:szCs w:val="18"/>
          <w:lang w:eastAsia="lv-LV"/>
        </w:rPr>
        <w:tab/>
      </w:r>
      <w:r>
        <w:rPr>
          <w:rFonts w:ascii="Verdana Pro Cond Light" w:eastAsia="Times New Roman" w:hAnsi="Verdana Pro Cond Light"/>
          <w:sz w:val="18"/>
          <w:szCs w:val="18"/>
          <w:lang w:eastAsia="lv-LV"/>
        </w:rPr>
        <w:tab/>
      </w:r>
      <w:r w:rsidRPr="00DA2C8E">
        <w:rPr>
          <w:rFonts w:ascii="Verdana Pro Cond Light" w:eastAsia="Times New Roman" w:hAnsi="Verdana Pro Cond Light"/>
          <w:sz w:val="18"/>
          <w:szCs w:val="18"/>
          <w:lang w:eastAsia="lv-LV"/>
        </w:rPr>
        <w:t>pp. no ekonomiski aktīvajiem iedzīvotājiem</w:t>
      </w:r>
    </w:p>
    <w:p w14:paraId="1EFD9481" w14:textId="77777777" w:rsidR="00812A72" w:rsidRPr="00DA2C8E" w:rsidRDefault="00812A72" w:rsidP="00812A72">
      <w:pPr>
        <w:widowControl/>
        <w:spacing w:after="120" w:line="240" w:lineRule="auto"/>
        <w:ind w:right="-143"/>
        <w:jc w:val="center"/>
        <w:rPr>
          <w:rFonts w:ascii="Verdana Pro Cond Light" w:eastAsia="Times New Roman" w:hAnsi="Verdana Pro Cond Light"/>
          <w:sz w:val="18"/>
          <w:szCs w:val="18"/>
          <w:lang w:eastAsia="lv-LV"/>
        </w:rPr>
      </w:pPr>
      <w:r w:rsidRPr="00D804CB">
        <w:rPr>
          <w:rFonts w:ascii="Minion Pro" w:hAnsi="Minion Pro" w:cstheme="minorHAnsi"/>
          <w:noProof/>
          <w:sz w:val="24"/>
          <w:szCs w:val="24"/>
        </w:rPr>
        <w:drawing>
          <wp:inline distT="0" distB="0" distL="0" distR="0" wp14:anchorId="607A86F2" wp14:editId="24113BE1">
            <wp:extent cx="3060000" cy="2160000"/>
            <wp:effectExtent l="0" t="0" r="7620" b="0"/>
            <wp:docPr id="998495461" name="Chart 998495461">
              <a:extLst xmlns:a="http://schemas.openxmlformats.org/drawingml/2006/main">
                <a:ext uri="{FF2B5EF4-FFF2-40B4-BE49-F238E27FC236}">
                  <a16:creationId xmlns:a16="http://schemas.microsoft.com/office/drawing/2014/main" id="{C0B412E0-20D9-9C02-797F-E1BB76C514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6"/>
              </a:graphicData>
            </a:graphic>
          </wp:inline>
        </w:drawing>
      </w:r>
      <w:r w:rsidRPr="00D804CB">
        <w:rPr>
          <w:rFonts w:ascii="Minion Pro" w:hAnsi="Minion Pro" w:cstheme="minorHAnsi"/>
          <w:noProof/>
          <w:sz w:val="24"/>
          <w:szCs w:val="24"/>
        </w:rPr>
        <w:drawing>
          <wp:inline distT="0" distB="0" distL="0" distR="0" wp14:anchorId="7590325D" wp14:editId="54B9465B">
            <wp:extent cx="3060000" cy="2160000"/>
            <wp:effectExtent l="0" t="0" r="7620" b="0"/>
            <wp:docPr id="108720509" name="Chart 108720509">
              <a:extLst xmlns:a="http://schemas.openxmlformats.org/drawingml/2006/main">
                <a:ext uri="{FF2B5EF4-FFF2-40B4-BE49-F238E27FC236}">
                  <a16:creationId xmlns:a16="http://schemas.microsoft.com/office/drawing/2014/main" id="{C0B412E0-20D9-9C02-797F-E1BB76C514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7"/>
              </a:graphicData>
            </a:graphic>
          </wp:inline>
        </w:drawing>
      </w:r>
    </w:p>
    <w:p w14:paraId="0136DD94" w14:textId="77777777" w:rsidR="00812A72" w:rsidRDefault="00812A72" w:rsidP="00812A72">
      <w:pPr>
        <w:widowControl/>
        <w:spacing w:before="120" w:after="120" w:line="240" w:lineRule="auto"/>
        <w:jc w:val="both"/>
        <w:rPr>
          <w:rFonts w:ascii="Arial Nova Cond Light" w:eastAsia="Times New Roman" w:hAnsi="Arial Nova Cond Light"/>
          <w:sz w:val="16"/>
          <w:szCs w:val="24"/>
          <w:lang w:eastAsia="lv-LV"/>
        </w:rPr>
      </w:pPr>
      <w:r w:rsidRPr="00DA2C8E">
        <w:rPr>
          <w:rFonts w:ascii="Arial Nova Cond Light" w:eastAsia="Times New Roman" w:hAnsi="Arial Nova Cond Light"/>
          <w:sz w:val="16"/>
          <w:szCs w:val="24"/>
          <w:lang w:eastAsia="lv-LV"/>
        </w:rPr>
        <w:t>Avots: autoru aprēķins, izmantojot VLA modeli.</w:t>
      </w:r>
    </w:p>
    <w:p w14:paraId="30DF2509" w14:textId="77777777" w:rsidR="00812A72" w:rsidRDefault="00812A72" w:rsidP="00812A72">
      <w:pPr>
        <w:widowControl/>
        <w:spacing w:after="160" w:line="240" w:lineRule="auto"/>
        <w:rPr>
          <w:rFonts w:ascii="Times New Roman" w:eastAsia="Times New Roman" w:hAnsi="Times New Roman"/>
          <w:sz w:val="16"/>
          <w:szCs w:val="24"/>
          <w:lang w:eastAsia="lv-LV"/>
        </w:rPr>
      </w:pPr>
    </w:p>
    <w:p w14:paraId="731E5611" w14:textId="77777777" w:rsidR="0069037D" w:rsidRDefault="0069037D">
      <w:pPr>
        <w:widowControl/>
        <w:spacing w:after="160" w:line="259" w:lineRule="auto"/>
        <w:rPr>
          <w:rFonts w:ascii="Verdana Pro Cond Light" w:eastAsia="Times New Roman" w:hAnsi="Verdana Pro Cond Light" w:cstheme="minorHAnsi"/>
          <w:bCs/>
          <w:lang w:eastAsia="lv-LV"/>
        </w:rPr>
      </w:pPr>
      <w:r>
        <w:rPr>
          <w:rFonts w:ascii="Verdana Pro Cond Light" w:eastAsia="Times New Roman" w:hAnsi="Verdana Pro Cond Light" w:cstheme="minorHAnsi"/>
          <w:bCs/>
          <w:lang w:eastAsia="lv-LV"/>
        </w:rPr>
        <w:br w:type="page"/>
      </w:r>
    </w:p>
    <w:p w14:paraId="7B9C972E" w14:textId="73638F14" w:rsidR="00812A72" w:rsidRDefault="00812A72" w:rsidP="00812A72">
      <w:pPr>
        <w:widowControl/>
        <w:spacing w:after="120" w:line="240" w:lineRule="auto"/>
        <w:jc w:val="right"/>
        <w:rPr>
          <w:rFonts w:ascii="Verdana Pro Cond Light" w:eastAsia="Times New Roman" w:hAnsi="Verdana Pro Cond Light" w:cstheme="minorHAnsi"/>
          <w:bCs/>
          <w:lang w:eastAsia="lv-LV"/>
        </w:rPr>
      </w:pPr>
      <w:r w:rsidRPr="00DA2C8E">
        <w:rPr>
          <w:rFonts w:ascii="Verdana Pro Cond Light" w:eastAsia="Times New Roman" w:hAnsi="Verdana Pro Cond Light" w:cstheme="minorHAnsi"/>
          <w:bCs/>
          <w:lang w:eastAsia="lv-LV"/>
        </w:rPr>
        <w:lastRenderedPageBreak/>
        <w:t>6.</w:t>
      </w:r>
      <w:r w:rsidR="003C2C92">
        <w:rPr>
          <w:rFonts w:ascii="Verdana Pro Cond Light" w:eastAsia="Times New Roman" w:hAnsi="Verdana Pro Cond Light" w:cstheme="minorHAnsi"/>
          <w:bCs/>
          <w:lang w:eastAsia="lv-LV"/>
        </w:rPr>
        <w:t>46</w:t>
      </w:r>
      <w:r w:rsidRPr="00DA2C8E">
        <w:rPr>
          <w:rFonts w:ascii="Verdana Pro Cond Light" w:eastAsia="Times New Roman" w:hAnsi="Verdana Pro Cond Light" w:cstheme="minorHAnsi"/>
          <w:bCs/>
          <w:lang w:eastAsia="lv-LV"/>
        </w:rPr>
        <w:t>. attēls</w:t>
      </w:r>
    </w:p>
    <w:p w14:paraId="4160C9A7" w14:textId="77777777" w:rsidR="00812A72" w:rsidRDefault="00812A72" w:rsidP="00812A72">
      <w:pPr>
        <w:widowControl/>
        <w:spacing w:after="120" w:line="240" w:lineRule="auto"/>
        <w:jc w:val="center"/>
        <w:rPr>
          <w:rFonts w:ascii="Verdana Pro Cond Light" w:eastAsia="Times New Roman" w:hAnsi="Verdana Pro Cond Light"/>
          <w:sz w:val="18"/>
          <w:szCs w:val="18"/>
          <w:lang w:eastAsia="lv-LV"/>
        </w:rPr>
      </w:pPr>
      <w:r w:rsidRPr="00DA2C8E">
        <w:rPr>
          <w:rFonts w:ascii="Verdana Pro Cond Light" w:eastAsia="Times New Roman" w:hAnsi="Verdana Pro Cond Light"/>
          <w:b/>
          <w:bCs/>
          <w:lang w:val="lv-LV" w:eastAsia="lv-LV"/>
        </w:rPr>
        <w:t>NEKP pasākumu (iezīmētā finansējuma apjomā)</w:t>
      </w:r>
      <w:r w:rsidRPr="00DA2C8E">
        <w:rPr>
          <w:rFonts w:ascii="Verdana Pro Cond Light" w:eastAsia="Times New Roman" w:hAnsi="Verdana Pro Cond Light"/>
          <w:b/>
          <w:bCs/>
          <w:lang w:eastAsia="lv-LV"/>
        </w:rPr>
        <w:t xml:space="preserve"> ietekme uz vidējo algu un patēriņa cenām Latvijā </w:t>
      </w:r>
      <w:r>
        <w:rPr>
          <w:rFonts w:ascii="Verdana Pro Cond Light" w:eastAsia="Times New Roman" w:hAnsi="Verdana Pro Cond Light"/>
          <w:b/>
          <w:bCs/>
          <w:lang w:eastAsia="lv-LV"/>
        </w:rPr>
        <w:br/>
      </w:r>
      <w:r w:rsidRPr="00DA2C8E">
        <w:rPr>
          <w:rFonts w:ascii="Verdana Pro Cond Light" w:eastAsia="Times New Roman" w:hAnsi="Verdana Pro Cond Light"/>
          <w:sz w:val="18"/>
          <w:szCs w:val="18"/>
          <w:lang w:eastAsia="lv-LV"/>
        </w:rPr>
        <w:t xml:space="preserve">salīdzinot ar bāzes scenāriju; 2025. – 2050. </w:t>
      </w:r>
      <w:r>
        <w:rPr>
          <w:rFonts w:ascii="Verdana Pro Cond Light" w:eastAsia="Times New Roman" w:hAnsi="Verdana Pro Cond Light"/>
          <w:sz w:val="18"/>
          <w:szCs w:val="18"/>
          <w:lang w:eastAsia="lv-LV"/>
        </w:rPr>
        <w:t>g</w:t>
      </w:r>
      <w:r w:rsidRPr="00DA2C8E">
        <w:rPr>
          <w:rFonts w:ascii="Verdana Pro Cond Light" w:eastAsia="Times New Roman" w:hAnsi="Verdana Pro Cond Light"/>
          <w:sz w:val="18"/>
          <w:szCs w:val="18"/>
          <w:lang w:eastAsia="lv-LV"/>
        </w:rPr>
        <w:t>adā</w:t>
      </w:r>
    </w:p>
    <w:p w14:paraId="3924F4F1" w14:textId="77777777" w:rsidR="00812A72" w:rsidRDefault="00812A72" w:rsidP="00812A72">
      <w:pPr>
        <w:widowControl/>
        <w:spacing w:after="120" w:line="240" w:lineRule="auto"/>
        <w:jc w:val="center"/>
        <w:rPr>
          <w:rFonts w:ascii="Verdana Pro Cond Light" w:eastAsia="Times New Roman" w:hAnsi="Verdana Pro Cond Light"/>
          <w:sz w:val="18"/>
          <w:szCs w:val="18"/>
          <w:lang w:eastAsia="lv-LV"/>
        </w:rPr>
      </w:pPr>
    </w:p>
    <w:p w14:paraId="59D5A342" w14:textId="77777777" w:rsidR="00812A72" w:rsidRPr="00DA2C8E" w:rsidRDefault="00812A72" w:rsidP="00812A72">
      <w:pPr>
        <w:widowControl/>
        <w:tabs>
          <w:tab w:val="center" w:pos="2410"/>
          <w:tab w:val="center" w:pos="7230"/>
        </w:tabs>
        <w:spacing w:after="120" w:line="240" w:lineRule="auto"/>
        <w:rPr>
          <w:rFonts w:ascii="Verdana Pro Cond Light" w:eastAsia="Times New Roman" w:hAnsi="Verdana Pro Cond Light"/>
          <w:b/>
          <w:bCs/>
          <w:sz w:val="18"/>
          <w:szCs w:val="18"/>
          <w:lang w:eastAsia="lv-LV"/>
        </w:rPr>
      </w:pPr>
      <w:r>
        <w:rPr>
          <w:rFonts w:ascii="Verdana Pro Cond Light" w:eastAsia="Times New Roman" w:hAnsi="Verdana Pro Cond Light"/>
          <w:b/>
          <w:bCs/>
          <w:sz w:val="18"/>
          <w:szCs w:val="18"/>
          <w:lang w:eastAsia="lv-LV"/>
        </w:rPr>
        <w:tab/>
      </w:r>
      <w:r w:rsidRPr="00DA2C8E">
        <w:rPr>
          <w:rFonts w:ascii="Verdana Pro Cond Light" w:eastAsia="Times New Roman" w:hAnsi="Verdana Pro Cond Light"/>
          <w:b/>
          <w:bCs/>
          <w:sz w:val="18"/>
          <w:szCs w:val="18"/>
          <w:lang w:eastAsia="lv-LV"/>
        </w:rPr>
        <w:t>Ietekme uz vidējo algu (%; nominālā izteiksmē)</w:t>
      </w:r>
      <w:r w:rsidRPr="00DA2C8E">
        <w:rPr>
          <w:rFonts w:ascii="Verdana Pro Cond Light" w:eastAsia="Times New Roman" w:hAnsi="Verdana Pro Cond Light"/>
          <w:b/>
          <w:bCs/>
          <w:sz w:val="18"/>
          <w:szCs w:val="18"/>
          <w:lang w:eastAsia="lv-LV"/>
        </w:rPr>
        <w:tab/>
        <w:t>Ietekme uz patēriņa cenu līmeni (%)</w:t>
      </w:r>
    </w:p>
    <w:p w14:paraId="73E4EF6B" w14:textId="77777777" w:rsidR="00812A72" w:rsidRPr="00DA2C8E" w:rsidRDefault="00812A72" w:rsidP="00812A72">
      <w:pPr>
        <w:widowControl/>
        <w:spacing w:after="120" w:line="240" w:lineRule="auto"/>
        <w:ind w:right="-143"/>
        <w:jc w:val="center"/>
        <w:rPr>
          <w:rFonts w:ascii="Verdana Pro Cond Light" w:eastAsia="Times New Roman" w:hAnsi="Verdana Pro Cond Light"/>
          <w:sz w:val="18"/>
          <w:szCs w:val="18"/>
          <w:lang w:eastAsia="lv-LV"/>
        </w:rPr>
      </w:pPr>
      <w:r w:rsidRPr="00DA2C8E">
        <w:rPr>
          <w:rFonts w:ascii="Verdana Pro Cond Light" w:hAnsi="Verdana Pro Cond Light" w:cstheme="minorHAnsi"/>
          <w:noProof/>
        </w:rPr>
        <w:drawing>
          <wp:inline distT="0" distB="0" distL="0" distR="0" wp14:anchorId="021E6D1D" wp14:editId="4A3F9AE6">
            <wp:extent cx="3060000" cy="2160000"/>
            <wp:effectExtent l="0" t="0" r="0" b="0"/>
            <wp:docPr id="1350816345" name="Chart 1350816345">
              <a:extLst xmlns:a="http://schemas.openxmlformats.org/drawingml/2006/main">
                <a:ext uri="{FF2B5EF4-FFF2-40B4-BE49-F238E27FC236}">
                  <a16:creationId xmlns:a16="http://schemas.microsoft.com/office/drawing/2014/main" id="{C0B412E0-20D9-9C02-797F-E1BB76C514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8"/>
              </a:graphicData>
            </a:graphic>
          </wp:inline>
        </w:drawing>
      </w:r>
      <w:r w:rsidRPr="00DA2C8E">
        <w:rPr>
          <w:rFonts w:ascii="Verdana Pro Cond Light" w:hAnsi="Verdana Pro Cond Light" w:cstheme="minorHAnsi"/>
          <w:noProof/>
        </w:rPr>
        <w:drawing>
          <wp:inline distT="0" distB="0" distL="0" distR="0" wp14:anchorId="6A40E2D3" wp14:editId="46246C36">
            <wp:extent cx="3060000" cy="2160000"/>
            <wp:effectExtent l="0" t="0" r="7620" b="0"/>
            <wp:docPr id="1858825746" name="Chart 1858825746">
              <a:extLst xmlns:a="http://schemas.openxmlformats.org/drawingml/2006/main">
                <a:ext uri="{FF2B5EF4-FFF2-40B4-BE49-F238E27FC236}">
                  <a16:creationId xmlns:a16="http://schemas.microsoft.com/office/drawing/2014/main" id="{C0B412E0-20D9-9C02-797F-E1BB76C514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9"/>
              </a:graphicData>
            </a:graphic>
          </wp:inline>
        </w:drawing>
      </w:r>
    </w:p>
    <w:p w14:paraId="30C1D0E9" w14:textId="77777777" w:rsidR="00812A72" w:rsidRDefault="00812A72" w:rsidP="00812A72">
      <w:pPr>
        <w:widowControl/>
        <w:spacing w:before="120" w:after="120" w:line="240" w:lineRule="auto"/>
        <w:jc w:val="both"/>
        <w:rPr>
          <w:rFonts w:ascii="Arial Nova Cond Light" w:eastAsia="Times New Roman" w:hAnsi="Arial Nova Cond Light"/>
          <w:sz w:val="16"/>
          <w:szCs w:val="24"/>
          <w:lang w:eastAsia="lv-LV"/>
        </w:rPr>
      </w:pPr>
      <w:r w:rsidRPr="00DA2C8E">
        <w:rPr>
          <w:rFonts w:ascii="Arial Nova Cond Light" w:eastAsia="Times New Roman" w:hAnsi="Arial Nova Cond Light"/>
          <w:sz w:val="16"/>
          <w:szCs w:val="24"/>
          <w:lang w:eastAsia="lv-LV"/>
        </w:rPr>
        <w:t>Avots: autoru aprēķins, izmantojot VLA modeli.</w:t>
      </w:r>
    </w:p>
    <w:p w14:paraId="167849FF" w14:textId="77777777" w:rsidR="00812A72" w:rsidRPr="00DA2C8E" w:rsidRDefault="00812A72" w:rsidP="00812A72">
      <w:pPr>
        <w:widowControl/>
        <w:spacing w:after="120" w:line="240" w:lineRule="auto"/>
        <w:jc w:val="both"/>
        <w:rPr>
          <w:rFonts w:ascii="Verdana Pro Cond Light" w:eastAsia="Times New Roman" w:hAnsi="Verdana Pro Cond Light" w:cstheme="minorHAnsi"/>
          <w:lang w:eastAsia="lv-LV"/>
        </w:rPr>
      </w:pPr>
    </w:p>
    <w:p w14:paraId="76B0858A" w14:textId="0A6F0E91" w:rsidR="00812A72" w:rsidRDefault="00812A72" w:rsidP="00812A72">
      <w:pPr>
        <w:widowControl/>
        <w:spacing w:after="120" w:line="240" w:lineRule="auto"/>
        <w:jc w:val="right"/>
        <w:rPr>
          <w:rFonts w:ascii="Verdana Pro Cond Light" w:eastAsia="Times New Roman" w:hAnsi="Verdana Pro Cond Light" w:cstheme="minorHAnsi"/>
          <w:bCs/>
          <w:lang w:eastAsia="lv-LV"/>
        </w:rPr>
      </w:pPr>
      <w:r w:rsidRPr="00DA2C8E">
        <w:rPr>
          <w:rFonts w:ascii="Verdana Pro Cond Light" w:eastAsia="Times New Roman" w:hAnsi="Verdana Pro Cond Light" w:cstheme="minorHAnsi"/>
          <w:bCs/>
          <w:lang w:eastAsia="lv-LV"/>
        </w:rPr>
        <w:t>6.</w:t>
      </w:r>
      <w:r w:rsidR="003C2C92">
        <w:rPr>
          <w:rFonts w:ascii="Verdana Pro Cond Light" w:eastAsia="Times New Roman" w:hAnsi="Verdana Pro Cond Light" w:cstheme="minorHAnsi"/>
          <w:bCs/>
          <w:lang w:eastAsia="lv-LV"/>
        </w:rPr>
        <w:t>47</w:t>
      </w:r>
      <w:r w:rsidRPr="00DA2C8E">
        <w:rPr>
          <w:rFonts w:ascii="Verdana Pro Cond Light" w:eastAsia="Times New Roman" w:hAnsi="Verdana Pro Cond Light" w:cstheme="minorHAnsi"/>
          <w:bCs/>
          <w:lang w:eastAsia="lv-LV"/>
        </w:rPr>
        <w:t>. attēls</w:t>
      </w:r>
    </w:p>
    <w:p w14:paraId="6CFFE5A2" w14:textId="77777777" w:rsidR="00812A72" w:rsidRDefault="00812A72" w:rsidP="00812A72">
      <w:pPr>
        <w:widowControl/>
        <w:spacing w:after="120" w:line="240" w:lineRule="auto"/>
        <w:jc w:val="center"/>
        <w:rPr>
          <w:rFonts w:ascii="Verdana Pro Cond Light" w:eastAsia="Times New Roman" w:hAnsi="Verdana Pro Cond Light"/>
          <w:sz w:val="18"/>
          <w:szCs w:val="18"/>
          <w:lang w:eastAsia="lv-LV"/>
        </w:rPr>
      </w:pPr>
      <w:r w:rsidRPr="00DA2C8E">
        <w:rPr>
          <w:rFonts w:ascii="Verdana Pro Cond Light" w:eastAsia="Times New Roman" w:hAnsi="Verdana Pro Cond Light"/>
          <w:b/>
          <w:bCs/>
          <w:lang w:val="lv-LV" w:eastAsia="lv-LV"/>
        </w:rPr>
        <w:t>NEKP pasākumu (iezīmētā finansējuma apjomā)</w:t>
      </w:r>
      <w:r w:rsidRPr="00DA2C8E">
        <w:rPr>
          <w:rFonts w:ascii="Verdana Pro Cond Light" w:eastAsia="Times New Roman" w:hAnsi="Verdana Pro Cond Light"/>
          <w:b/>
          <w:bCs/>
          <w:lang w:eastAsia="lv-LV"/>
        </w:rPr>
        <w:t xml:space="preserve"> ietekme uz Latvijas vispārējā </w:t>
      </w:r>
      <w:r>
        <w:rPr>
          <w:rFonts w:ascii="Verdana Pro Cond Light" w:eastAsia="Times New Roman" w:hAnsi="Verdana Pro Cond Light"/>
          <w:b/>
          <w:bCs/>
          <w:lang w:eastAsia="lv-LV"/>
        </w:rPr>
        <w:br/>
      </w:r>
      <w:r w:rsidRPr="00DA2C8E">
        <w:rPr>
          <w:rFonts w:ascii="Verdana Pro Cond Light" w:eastAsia="Times New Roman" w:hAnsi="Verdana Pro Cond Light"/>
          <w:b/>
          <w:bCs/>
          <w:lang w:eastAsia="lv-LV"/>
        </w:rPr>
        <w:t xml:space="preserve">konsolidētā kopbudžeta ieņēmumiem un atsevišķu nodokļu ieņēmumiem </w:t>
      </w:r>
      <w:r>
        <w:rPr>
          <w:rFonts w:ascii="Verdana Pro Cond Light" w:eastAsia="Times New Roman" w:hAnsi="Verdana Pro Cond Light"/>
          <w:b/>
          <w:bCs/>
          <w:lang w:eastAsia="lv-LV"/>
        </w:rPr>
        <w:br/>
      </w:r>
      <w:r w:rsidRPr="00186716">
        <w:rPr>
          <w:rFonts w:ascii="Verdana Pro Cond Light" w:eastAsia="Times New Roman" w:hAnsi="Verdana Pro Cond Light"/>
          <w:sz w:val="18"/>
          <w:szCs w:val="18"/>
          <w:lang w:eastAsia="lv-LV"/>
        </w:rPr>
        <w:t xml:space="preserve">%; salīdzinot ar bāzes scenāriju; 2025. – 2050. </w:t>
      </w:r>
      <w:r>
        <w:rPr>
          <w:rFonts w:ascii="Verdana Pro Cond Light" w:eastAsia="Times New Roman" w:hAnsi="Verdana Pro Cond Light"/>
          <w:sz w:val="18"/>
          <w:szCs w:val="18"/>
          <w:lang w:eastAsia="lv-LV"/>
        </w:rPr>
        <w:t>g</w:t>
      </w:r>
      <w:r w:rsidRPr="00186716">
        <w:rPr>
          <w:rFonts w:ascii="Verdana Pro Cond Light" w:eastAsia="Times New Roman" w:hAnsi="Verdana Pro Cond Light"/>
          <w:sz w:val="18"/>
          <w:szCs w:val="18"/>
          <w:lang w:eastAsia="lv-LV"/>
        </w:rPr>
        <w:t>adā</w:t>
      </w:r>
    </w:p>
    <w:p w14:paraId="30196446" w14:textId="77777777" w:rsidR="00812A72" w:rsidRDefault="00812A72" w:rsidP="00812A72">
      <w:pPr>
        <w:widowControl/>
        <w:spacing w:after="120" w:line="240" w:lineRule="auto"/>
        <w:jc w:val="center"/>
        <w:rPr>
          <w:rFonts w:ascii="Verdana Pro Cond Light" w:eastAsia="Times New Roman" w:hAnsi="Verdana Pro Cond Light"/>
          <w:sz w:val="18"/>
          <w:szCs w:val="18"/>
          <w:lang w:eastAsia="lv-LV"/>
        </w:rPr>
      </w:pPr>
    </w:p>
    <w:p w14:paraId="5928A4F9" w14:textId="77777777" w:rsidR="00812A72" w:rsidRPr="00186716" w:rsidRDefault="00812A72" w:rsidP="00812A72">
      <w:pPr>
        <w:widowControl/>
        <w:tabs>
          <w:tab w:val="center" w:pos="2410"/>
          <w:tab w:val="center" w:pos="7230"/>
        </w:tabs>
        <w:spacing w:after="120" w:line="240" w:lineRule="auto"/>
        <w:rPr>
          <w:rFonts w:ascii="Verdana Pro Cond Light" w:eastAsia="Times New Roman" w:hAnsi="Verdana Pro Cond Light"/>
          <w:b/>
          <w:bCs/>
          <w:sz w:val="18"/>
          <w:szCs w:val="18"/>
          <w:lang w:eastAsia="lv-LV"/>
        </w:rPr>
      </w:pPr>
      <w:r>
        <w:rPr>
          <w:rFonts w:ascii="Verdana Pro Cond Light" w:eastAsia="Times New Roman" w:hAnsi="Verdana Pro Cond Light"/>
          <w:b/>
          <w:bCs/>
          <w:sz w:val="18"/>
          <w:szCs w:val="18"/>
          <w:lang w:eastAsia="lv-LV"/>
        </w:rPr>
        <w:tab/>
      </w:r>
      <w:r w:rsidRPr="00186716">
        <w:rPr>
          <w:rFonts w:ascii="Verdana Pro Cond Light" w:eastAsia="Times New Roman" w:hAnsi="Verdana Pro Cond Light"/>
          <w:b/>
          <w:bCs/>
          <w:sz w:val="18"/>
          <w:szCs w:val="18"/>
          <w:lang w:eastAsia="lv-LV"/>
        </w:rPr>
        <w:t>Ietekme uz vispārējā konsolidētā kopbudžeta ieņēmumiem (%)</w:t>
      </w:r>
      <w:r w:rsidRPr="00186716">
        <w:rPr>
          <w:rFonts w:ascii="Verdana Pro Cond Light" w:eastAsia="Times New Roman" w:hAnsi="Verdana Pro Cond Light"/>
          <w:b/>
          <w:bCs/>
          <w:sz w:val="18"/>
          <w:szCs w:val="18"/>
          <w:lang w:eastAsia="lv-LV"/>
        </w:rPr>
        <w:tab/>
        <w:t>Ietekme uz atsevišķu nodokļu ieņēmumiem (%)</w:t>
      </w:r>
    </w:p>
    <w:p w14:paraId="074DD29B" w14:textId="77777777" w:rsidR="00812A72" w:rsidRPr="00186716" w:rsidRDefault="00812A72" w:rsidP="00812A72">
      <w:pPr>
        <w:widowControl/>
        <w:spacing w:after="120" w:line="240" w:lineRule="auto"/>
        <w:ind w:right="-143"/>
        <w:jc w:val="center"/>
        <w:rPr>
          <w:rFonts w:ascii="Verdana Pro Cond Light" w:eastAsia="Times New Roman" w:hAnsi="Verdana Pro Cond Light"/>
          <w:sz w:val="18"/>
          <w:szCs w:val="18"/>
          <w:lang w:eastAsia="lv-LV"/>
        </w:rPr>
      </w:pPr>
      <w:r w:rsidRPr="00D804CB">
        <w:rPr>
          <w:rFonts w:ascii="Minion Pro" w:hAnsi="Minion Pro" w:cstheme="minorHAnsi"/>
          <w:noProof/>
          <w:sz w:val="24"/>
          <w:szCs w:val="24"/>
        </w:rPr>
        <w:drawing>
          <wp:inline distT="0" distB="0" distL="0" distR="0" wp14:anchorId="0866A07B" wp14:editId="793EADEC">
            <wp:extent cx="3060000" cy="2160000"/>
            <wp:effectExtent l="0" t="0" r="0" b="0"/>
            <wp:docPr id="932758114" name="Chart 932758114">
              <a:extLst xmlns:a="http://schemas.openxmlformats.org/drawingml/2006/main">
                <a:ext uri="{FF2B5EF4-FFF2-40B4-BE49-F238E27FC236}">
                  <a16:creationId xmlns:a16="http://schemas.microsoft.com/office/drawing/2014/main" id="{2DCBF45D-DE3F-2971-5D7A-6034F91B2D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0"/>
              </a:graphicData>
            </a:graphic>
          </wp:inline>
        </w:drawing>
      </w:r>
      <w:r w:rsidRPr="00D804CB">
        <w:rPr>
          <w:rFonts w:ascii="Minion Pro" w:hAnsi="Minion Pro" w:cstheme="minorHAnsi"/>
          <w:noProof/>
          <w:sz w:val="24"/>
          <w:szCs w:val="24"/>
        </w:rPr>
        <w:drawing>
          <wp:inline distT="0" distB="0" distL="0" distR="0" wp14:anchorId="50B4B57B" wp14:editId="30C681CA">
            <wp:extent cx="3060000" cy="2160000"/>
            <wp:effectExtent l="0" t="0" r="0" b="0"/>
            <wp:docPr id="401346037" name="Chart 401346037">
              <a:extLst xmlns:a="http://schemas.openxmlformats.org/drawingml/2006/main">
                <a:ext uri="{FF2B5EF4-FFF2-40B4-BE49-F238E27FC236}">
                  <a16:creationId xmlns:a16="http://schemas.microsoft.com/office/drawing/2014/main" id="{E8729AA3-B962-A2D9-7C5A-6B606779FF6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1"/>
              </a:graphicData>
            </a:graphic>
          </wp:inline>
        </w:drawing>
      </w:r>
    </w:p>
    <w:p w14:paraId="4F95383C" w14:textId="77777777" w:rsidR="00812A72" w:rsidRDefault="00812A72" w:rsidP="00812A72">
      <w:pPr>
        <w:widowControl/>
        <w:spacing w:before="120" w:after="120" w:line="240" w:lineRule="auto"/>
        <w:jc w:val="both"/>
        <w:rPr>
          <w:rFonts w:ascii="Arial Nova Cond Light" w:eastAsia="Times New Roman" w:hAnsi="Arial Nova Cond Light"/>
          <w:sz w:val="16"/>
          <w:szCs w:val="24"/>
          <w:lang w:eastAsia="lv-LV"/>
        </w:rPr>
      </w:pPr>
      <w:r w:rsidRPr="00186716">
        <w:rPr>
          <w:rFonts w:ascii="Arial Nova Cond Light" w:eastAsia="Times New Roman" w:hAnsi="Arial Nova Cond Light"/>
          <w:sz w:val="16"/>
          <w:szCs w:val="24"/>
          <w:lang w:eastAsia="lv-LV"/>
        </w:rPr>
        <w:t>Avots: autoru aprēķins, izmantojot VLA modeli.</w:t>
      </w:r>
    </w:p>
    <w:p w14:paraId="2A9B2AEB" w14:textId="77777777" w:rsidR="00812A72" w:rsidRDefault="00812A72" w:rsidP="00812A72">
      <w:pPr>
        <w:widowControl/>
        <w:spacing w:after="160" w:line="240" w:lineRule="auto"/>
        <w:rPr>
          <w:rFonts w:ascii="Times New Roman" w:eastAsia="Times New Roman" w:hAnsi="Times New Roman"/>
          <w:sz w:val="16"/>
          <w:szCs w:val="24"/>
          <w:lang w:eastAsia="lv-LV"/>
        </w:rPr>
      </w:pPr>
    </w:p>
    <w:p w14:paraId="042E4622" w14:textId="77777777" w:rsidR="0069037D" w:rsidRDefault="0069037D">
      <w:pPr>
        <w:widowControl/>
        <w:spacing w:after="160" w:line="259" w:lineRule="auto"/>
        <w:rPr>
          <w:rFonts w:ascii="Verdana Pro Cond Light" w:eastAsia="Times New Roman" w:hAnsi="Verdana Pro Cond Light" w:cstheme="minorHAnsi"/>
          <w:bCs/>
          <w:lang w:eastAsia="lv-LV"/>
        </w:rPr>
      </w:pPr>
      <w:r>
        <w:rPr>
          <w:rFonts w:ascii="Verdana Pro Cond Light" w:eastAsia="Times New Roman" w:hAnsi="Verdana Pro Cond Light" w:cstheme="minorHAnsi"/>
          <w:bCs/>
          <w:lang w:eastAsia="lv-LV"/>
        </w:rPr>
        <w:br w:type="page"/>
      </w:r>
    </w:p>
    <w:p w14:paraId="1DCA3A09" w14:textId="4506F003" w:rsidR="00812A72" w:rsidRDefault="00812A72" w:rsidP="00812A72">
      <w:pPr>
        <w:widowControl/>
        <w:spacing w:before="120" w:after="120" w:line="240" w:lineRule="auto"/>
        <w:jc w:val="right"/>
        <w:rPr>
          <w:rFonts w:ascii="Verdana Pro Cond Light" w:eastAsia="Times New Roman" w:hAnsi="Verdana Pro Cond Light" w:cstheme="minorHAnsi"/>
          <w:bCs/>
          <w:lang w:eastAsia="lv-LV"/>
        </w:rPr>
      </w:pPr>
      <w:r w:rsidRPr="00186716">
        <w:rPr>
          <w:rFonts w:ascii="Verdana Pro Cond Light" w:eastAsia="Times New Roman" w:hAnsi="Verdana Pro Cond Light" w:cstheme="minorHAnsi"/>
          <w:bCs/>
          <w:lang w:eastAsia="lv-LV"/>
        </w:rPr>
        <w:lastRenderedPageBreak/>
        <w:t>6.</w:t>
      </w:r>
      <w:r w:rsidR="003C2C92">
        <w:rPr>
          <w:rFonts w:ascii="Verdana Pro Cond Light" w:eastAsia="Times New Roman" w:hAnsi="Verdana Pro Cond Light" w:cstheme="minorHAnsi"/>
          <w:bCs/>
          <w:lang w:eastAsia="lv-LV"/>
        </w:rPr>
        <w:t>48</w:t>
      </w:r>
      <w:r w:rsidRPr="00186716">
        <w:rPr>
          <w:rFonts w:ascii="Verdana Pro Cond Light" w:eastAsia="Times New Roman" w:hAnsi="Verdana Pro Cond Light" w:cstheme="minorHAnsi"/>
          <w:bCs/>
          <w:lang w:eastAsia="lv-LV"/>
        </w:rPr>
        <w:t>. attēls</w:t>
      </w:r>
    </w:p>
    <w:p w14:paraId="72213BBD" w14:textId="77777777" w:rsidR="00812A72" w:rsidRPr="00186716" w:rsidRDefault="00812A72" w:rsidP="00812A72">
      <w:pPr>
        <w:widowControl/>
        <w:spacing w:after="120" w:line="240" w:lineRule="auto"/>
        <w:jc w:val="center"/>
        <w:rPr>
          <w:rFonts w:ascii="Verdana Pro Cond Light" w:eastAsia="Times New Roman" w:hAnsi="Verdana Pro Cond Light"/>
          <w:sz w:val="18"/>
          <w:szCs w:val="18"/>
          <w:lang w:eastAsia="lv-LV"/>
        </w:rPr>
      </w:pPr>
      <w:r w:rsidRPr="00186716">
        <w:rPr>
          <w:rFonts w:ascii="Verdana Pro Cond Light" w:eastAsia="Times New Roman" w:hAnsi="Verdana Pro Cond Light"/>
          <w:b/>
          <w:bCs/>
          <w:lang w:val="lv-LV" w:eastAsia="lv-LV"/>
        </w:rPr>
        <w:t>NEKP pasākumu (iezīmētā finansējuma apjomā)</w:t>
      </w:r>
      <w:r w:rsidRPr="00186716">
        <w:rPr>
          <w:rFonts w:ascii="Verdana Pro Cond Light" w:eastAsia="Times New Roman" w:hAnsi="Verdana Pro Cond Light"/>
          <w:b/>
          <w:bCs/>
          <w:lang w:eastAsia="lv-LV"/>
        </w:rPr>
        <w:t xml:space="preserve"> ietekme uz pievienoto vērtību nozaru dalījumā </w:t>
      </w:r>
      <w:r>
        <w:rPr>
          <w:rFonts w:ascii="Verdana Pro Cond Light" w:eastAsia="Times New Roman" w:hAnsi="Verdana Pro Cond Light"/>
          <w:b/>
          <w:bCs/>
          <w:lang w:eastAsia="lv-LV"/>
        </w:rPr>
        <w:br/>
      </w:r>
      <w:r w:rsidRPr="00186716">
        <w:rPr>
          <w:rFonts w:ascii="Verdana Pro Cond Light" w:eastAsia="Times New Roman" w:hAnsi="Verdana Pro Cond Light"/>
          <w:sz w:val="18"/>
          <w:szCs w:val="18"/>
          <w:lang w:eastAsia="lv-LV"/>
        </w:rPr>
        <w:t>%; 2035. – 2039.</w:t>
      </w:r>
      <w:r>
        <w:rPr>
          <w:rFonts w:ascii="Verdana Pro Cond Light" w:eastAsia="Times New Roman" w:hAnsi="Verdana Pro Cond Light"/>
          <w:sz w:val="18"/>
          <w:szCs w:val="18"/>
          <w:lang w:eastAsia="lv-LV"/>
        </w:rPr>
        <w:t xml:space="preserve"> </w:t>
      </w:r>
      <w:r w:rsidRPr="00186716">
        <w:rPr>
          <w:rFonts w:ascii="Verdana Pro Cond Light" w:eastAsia="Times New Roman" w:hAnsi="Verdana Pro Cond Light"/>
          <w:sz w:val="18"/>
          <w:szCs w:val="18"/>
          <w:lang w:eastAsia="lv-LV"/>
        </w:rPr>
        <w:t>gadā; salīdzinot ar bāzes scenāriju; 2015. gada cenās</w:t>
      </w:r>
    </w:p>
    <w:p w14:paraId="7FFDC502" w14:textId="77777777" w:rsidR="00812A72" w:rsidRPr="00D804CB" w:rsidRDefault="00812A72" w:rsidP="00812A72">
      <w:pPr>
        <w:widowControl/>
        <w:spacing w:after="0" w:line="240" w:lineRule="auto"/>
        <w:jc w:val="center"/>
        <w:rPr>
          <w:rFonts w:ascii="Minion Pro" w:hAnsi="Minion Pro" w:cstheme="minorHAnsi"/>
          <w:b/>
          <w:bCs/>
          <w:sz w:val="24"/>
          <w:szCs w:val="24"/>
        </w:rPr>
      </w:pPr>
      <w:r w:rsidRPr="00D804CB">
        <w:rPr>
          <w:rFonts w:ascii="Minion Pro" w:hAnsi="Minion Pro" w:cstheme="minorHAnsi"/>
          <w:b/>
          <w:bCs/>
          <w:noProof/>
          <w:sz w:val="24"/>
          <w:szCs w:val="24"/>
        </w:rPr>
        <w:drawing>
          <wp:inline distT="0" distB="0" distL="0" distR="0" wp14:anchorId="6D18A6B2" wp14:editId="0827E15A">
            <wp:extent cx="6120000" cy="3600000"/>
            <wp:effectExtent l="0" t="0" r="0" b="0"/>
            <wp:docPr id="1482184118" name="Chart 1482184118">
              <a:extLst xmlns:a="http://schemas.openxmlformats.org/drawingml/2006/main">
                <a:ext uri="{FF2B5EF4-FFF2-40B4-BE49-F238E27FC236}">
                  <a16:creationId xmlns:a16="http://schemas.microsoft.com/office/drawing/2014/main" id="{9CA58CAF-2A31-E6CF-FFCA-A031A940653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2"/>
              </a:graphicData>
            </a:graphic>
          </wp:inline>
        </w:drawing>
      </w:r>
    </w:p>
    <w:p w14:paraId="457BC79A" w14:textId="77777777" w:rsidR="00812A72" w:rsidRDefault="00812A72" w:rsidP="00812A72">
      <w:pPr>
        <w:widowControl/>
        <w:spacing w:before="120" w:after="120" w:line="240" w:lineRule="auto"/>
        <w:jc w:val="both"/>
        <w:rPr>
          <w:rFonts w:ascii="Arial Nova Cond Light" w:eastAsia="Times New Roman" w:hAnsi="Arial Nova Cond Light"/>
          <w:sz w:val="16"/>
          <w:szCs w:val="24"/>
          <w:lang w:eastAsia="lv-LV"/>
        </w:rPr>
      </w:pPr>
      <w:r w:rsidRPr="00186716">
        <w:rPr>
          <w:rFonts w:ascii="Arial Nova Cond Light" w:eastAsia="Times New Roman" w:hAnsi="Arial Nova Cond Light"/>
          <w:sz w:val="16"/>
          <w:szCs w:val="24"/>
          <w:lang w:eastAsia="lv-LV"/>
        </w:rPr>
        <w:t>Avots: autoru aprēķins, izmantojot VLA modeli.</w:t>
      </w:r>
    </w:p>
    <w:p w14:paraId="38A52BBF" w14:textId="77777777" w:rsidR="00812A72" w:rsidRDefault="00812A72" w:rsidP="00812A72">
      <w:pPr>
        <w:widowControl/>
        <w:spacing w:line="240" w:lineRule="auto"/>
        <w:rPr>
          <w:rFonts w:ascii="Minion Pro" w:hAnsi="Minion Pro"/>
          <w:b/>
          <w:bCs/>
          <w:sz w:val="24"/>
          <w:szCs w:val="24"/>
          <w:lang w:val="lv-LV"/>
        </w:rPr>
      </w:pPr>
    </w:p>
    <w:p w14:paraId="21958EB8" w14:textId="77777777" w:rsidR="00812A72" w:rsidRDefault="00812A72" w:rsidP="00812A72">
      <w:pPr>
        <w:widowControl/>
        <w:spacing w:line="240" w:lineRule="auto"/>
        <w:rPr>
          <w:rFonts w:ascii="Verdana Pro Cond Light" w:hAnsi="Verdana Pro Cond Light"/>
          <w:b/>
          <w:bCs/>
          <w:lang w:val="lv-LV"/>
        </w:rPr>
      </w:pPr>
      <w:r w:rsidRPr="00186716">
        <w:rPr>
          <w:rFonts w:ascii="Verdana Pro Cond Light" w:hAnsi="Verdana Pro Cond Light"/>
          <w:b/>
          <w:bCs/>
          <w:lang w:val="lv-LV"/>
        </w:rPr>
        <w:t>Secinājumi</w:t>
      </w:r>
    </w:p>
    <w:p w14:paraId="0190DC40" w14:textId="77777777" w:rsidR="00812A72" w:rsidRPr="00B75FEB" w:rsidRDefault="00812A72" w:rsidP="0069037D">
      <w:pPr>
        <w:pStyle w:val="ListParagraph"/>
        <w:widowControl/>
        <w:numPr>
          <w:ilvl w:val="0"/>
          <w:numId w:val="22"/>
        </w:numPr>
        <w:spacing w:before="40" w:after="160" w:line="240" w:lineRule="auto"/>
        <w:ind w:left="567" w:hanging="283"/>
        <w:contextualSpacing w:val="0"/>
        <w:jc w:val="both"/>
        <w:rPr>
          <w:rFonts w:ascii="Verdana Pro Cond Light" w:hAnsi="Verdana Pro Cond Light"/>
          <w:lang w:val="lv-LV"/>
        </w:rPr>
      </w:pPr>
      <w:r w:rsidRPr="00B75FEB">
        <w:rPr>
          <w:rFonts w:ascii="Verdana Pro Cond Light" w:hAnsi="Verdana Pro Cond Light"/>
          <w:lang w:val="lv-LV"/>
        </w:rPr>
        <w:t xml:space="preserve">NEKP pasākumu īstenošana nepieciešamā finansējuma apjomā paredz 6.3 miljardu eiro jaunās naudas ieplūdināšanu Latvijas ekonomikā līdz 2030. gadam ieskaitot, galvenokārt investīciju veidā (kopējais nepieciešamā finansējuma apjoms līdz 2030. gadam pārsniedz 11 miljardus eiro). </w:t>
      </w:r>
    </w:p>
    <w:p w14:paraId="2D5E2797" w14:textId="5D5E46B1" w:rsidR="00812A72" w:rsidRPr="00B75FEB" w:rsidRDefault="00812A72" w:rsidP="0069037D">
      <w:pPr>
        <w:pStyle w:val="ListParagraph"/>
        <w:widowControl/>
        <w:numPr>
          <w:ilvl w:val="0"/>
          <w:numId w:val="22"/>
        </w:numPr>
        <w:spacing w:before="40" w:after="160" w:line="240" w:lineRule="auto"/>
        <w:ind w:left="567" w:hanging="283"/>
        <w:contextualSpacing w:val="0"/>
        <w:jc w:val="both"/>
        <w:rPr>
          <w:rFonts w:ascii="Verdana Pro Cond Light" w:hAnsi="Verdana Pro Cond Light"/>
          <w:lang w:val="lv-LV"/>
        </w:rPr>
      </w:pPr>
      <w:r w:rsidRPr="00B75FEB">
        <w:rPr>
          <w:rFonts w:ascii="Verdana Pro Cond Light" w:hAnsi="Verdana Pro Cond Light"/>
          <w:lang w:val="lv-LV"/>
        </w:rPr>
        <w:t>NEKP pasākumu īstenošanai ir pozitīva ietekme uz iekšzemes kopproduktu. Reālā IKP līmenis 2050.</w:t>
      </w:r>
      <w:r>
        <w:rPr>
          <w:rFonts w:ascii="Verdana Pro Cond Light" w:hAnsi="Verdana Pro Cond Light"/>
          <w:lang w:val="lv-LV"/>
        </w:rPr>
        <w:t> </w:t>
      </w:r>
      <w:r w:rsidRPr="00B75FEB">
        <w:rPr>
          <w:rFonts w:ascii="Verdana Pro Cond Light" w:hAnsi="Verdana Pro Cond Light"/>
          <w:lang w:val="lv-LV"/>
        </w:rPr>
        <w:t>gadā ir par 7,</w:t>
      </w:r>
      <w:r w:rsidR="003A721D">
        <w:rPr>
          <w:rFonts w:ascii="Verdana Pro Cond Light" w:hAnsi="Verdana Pro Cond Light"/>
          <w:lang w:val="lv-LV"/>
        </w:rPr>
        <w:t>7</w:t>
      </w:r>
      <w:r>
        <w:rPr>
          <w:rFonts w:ascii="Verdana Pro Cond Light" w:hAnsi="Verdana Pro Cond Light"/>
          <w:lang w:val="lv-LV"/>
        </w:rPr>
        <w:t> </w:t>
      </w:r>
      <w:r w:rsidRPr="00B75FEB">
        <w:rPr>
          <w:rFonts w:ascii="Verdana Pro Cond Light" w:hAnsi="Verdana Pro Cond Light"/>
          <w:lang w:val="lv-LV"/>
        </w:rPr>
        <w:t>% lielāks nekā neīstenojot NEKP pasākumus nepieciešamā finansējuma apjomā. No IKP komponentēm visvairāk palielinās investīcijas (vairāk nekā par 10</w:t>
      </w:r>
      <w:r>
        <w:rPr>
          <w:rFonts w:ascii="Verdana Pro Cond Light" w:hAnsi="Verdana Pro Cond Light"/>
          <w:lang w:val="lv-LV"/>
        </w:rPr>
        <w:t> </w:t>
      </w:r>
      <w:r w:rsidRPr="00B75FEB">
        <w:rPr>
          <w:rFonts w:ascii="Verdana Pro Cond Light" w:hAnsi="Verdana Pro Cond Light"/>
          <w:lang w:val="lv-LV"/>
        </w:rPr>
        <w:t>%); pozitīva ietekme ir arī uz privāto patēriņu. Īstermiņā investīciju pieaugums izspiež eksportu un palielina importu, tādējādi pasliktinot tirdzniecības bilanci par 2,0 procentu punktiem no IKP. Ilgtermiņā ekonomikas potenciāla stiprināšanas ietekmē eksports tomēr pieaug vairāk par importu, uzlabojot tirdzniecības bilanci par 1,</w:t>
      </w:r>
      <w:r w:rsidR="003A721D">
        <w:rPr>
          <w:rFonts w:ascii="Verdana Pro Cond Light" w:hAnsi="Verdana Pro Cond Light"/>
          <w:lang w:val="lv-LV"/>
        </w:rPr>
        <w:t>7</w:t>
      </w:r>
      <w:r w:rsidRPr="00B75FEB">
        <w:rPr>
          <w:rFonts w:ascii="Verdana Pro Cond Light" w:hAnsi="Verdana Pro Cond Light"/>
          <w:lang w:val="lv-LV"/>
        </w:rPr>
        <w:t xml:space="preserve"> procentu punktiem no IKP. </w:t>
      </w:r>
    </w:p>
    <w:p w14:paraId="1021A95F" w14:textId="5B3855AD" w:rsidR="00812A72" w:rsidRPr="00B75FEB" w:rsidRDefault="00812A72" w:rsidP="0069037D">
      <w:pPr>
        <w:pStyle w:val="ListParagraph"/>
        <w:widowControl/>
        <w:numPr>
          <w:ilvl w:val="0"/>
          <w:numId w:val="22"/>
        </w:numPr>
        <w:spacing w:before="40" w:after="160" w:line="240" w:lineRule="auto"/>
        <w:ind w:left="567" w:hanging="283"/>
        <w:contextualSpacing w:val="0"/>
        <w:jc w:val="both"/>
        <w:rPr>
          <w:rFonts w:ascii="Verdana Pro Cond Light" w:hAnsi="Verdana Pro Cond Light"/>
          <w:lang w:val="lv-LV"/>
        </w:rPr>
      </w:pPr>
      <w:r w:rsidRPr="00B75FEB">
        <w:rPr>
          <w:rFonts w:ascii="Verdana Pro Cond Light" w:hAnsi="Verdana Pro Cond Light"/>
          <w:lang w:val="lv-LV"/>
        </w:rPr>
        <w:t>NEKP pasākumu īstenošanai ir pozitīva ietekme uz produktivitāti, palielinās arī nodarbinātība. Nodarbināto skaits 2050. gadā ir par 4,</w:t>
      </w:r>
      <w:r w:rsidR="003A721D">
        <w:rPr>
          <w:rFonts w:ascii="Verdana Pro Cond Light" w:hAnsi="Verdana Pro Cond Light"/>
          <w:lang w:val="lv-LV"/>
        </w:rPr>
        <w:t>8</w:t>
      </w:r>
      <w:r>
        <w:rPr>
          <w:rFonts w:ascii="Verdana Pro Cond Light" w:hAnsi="Verdana Pro Cond Light"/>
          <w:lang w:val="lv-LV"/>
        </w:rPr>
        <w:t> </w:t>
      </w:r>
      <w:r w:rsidRPr="00B75FEB">
        <w:rPr>
          <w:rFonts w:ascii="Verdana Pro Cond Light" w:hAnsi="Verdana Pro Cond Light"/>
          <w:lang w:val="lv-LV"/>
        </w:rPr>
        <w:t xml:space="preserve">% lielāks nekā neīstenojot NEKP pasākumus un bezdarba līmenis mazāks par </w:t>
      </w:r>
      <w:r w:rsidR="003A721D">
        <w:rPr>
          <w:rFonts w:ascii="Verdana Pro Cond Light" w:hAnsi="Verdana Pro Cond Light"/>
          <w:lang w:val="lv-LV"/>
        </w:rPr>
        <w:t>3</w:t>
      </w:r>
      <w:r w:rsidRPr="00B75FEB">
        <w:rPr>
          <w:rFonts w:ascii="Verdana Pro Cond Light" w:hAnsi="Verdana Pro Cond Light"/>
          <w:lang w:val="lv-LV"/>
        </w:rPr>
        <w:t>,</w:t>
      </w:r>
      <w:r w:rsidR="003A721D">
        <w:rPr>
          <w:rFonts w:ascii="Verdana Pro Cond Light" w:hAnsi="Verdana Pro Cond Light"/>
          <w:lang w:val="lv-LV"/>
        </w:rPr>
        <w:t>0</w:t>
      </w:r>
      <w:r w:rsidRPr="00B75FEB">
        <w:rPr>
          <w:rFonts w:ascii="Verdana Pro Cond Light" w:hAnsi="Verdana Pro Cond Light"/>
          <w:lang w:val="lv-LV"/>
        </w:rPr>
        <w:t xml:space="preserve"> procentu punktiem no ekonomiski aktīvajiem iedzīvotājiem. Ņemot vērā, ka bezdarba līmenis ir zems jau tagad, NEKP pasākumu īstenošana var intensificēt darbaroku trūkumu Latvijas ekonomikā un mazināt bezdarbu zem tā dabiskā līmeņa. </w:t>
      </w:r>
      <w:r w:rsidR="00242ACB" w:rsidRPr="00242ACB">
        <w:rPr>
          <w:rFonts w:ascii="Verdana Pro Cond Light" w:hAnsi="Verdana Pro Cond Light"/>
          <w:lang w:val="lv-LV"/>
        </w:rPr>
        <w:t xml:space="preserve">It īpaši situācijā, kad vienlaicīgi ar NEKP pasākumiem tiek īstenoti arī citi lielie investīciju projekti (piemēram, Rail Baltica). </w:t>
      </w:r>
      <w:r w:rsidRPr="00B75FEB">
        <w:rPr>
          <w:rFonts w:ascii="Verdana Pro Cond Light" w:hAnsi="Verdana Pro Cond Light"/>
          <w:lang w:val="lv-LV"/>
        </w:rPr>
        <w:t>Lai mazinātu ekonomikas pārkaršanas riskus, lielu NEKP investīciju pasākumu īstenošanas laikā var rasties nepieciešamība palielināt ekonomiski aktīvo iedzīvotāju skaitu – piemēram, veicinot ekonomiski neaktīvu Latvijas iedzīvotāju atgriešanu darba tirgū vai augsti kvalificēto speciālistu imigrāciju.</w:t>
      </w:r>
    </w:p>
    <w:p w14:paraId="766B547F" w14:textId="77777777" w:rsidR="00812A72" w:rsidRPr="00B75FEB" w:rsidRDefault="00812A72" w:rsidP="0069037D">
      <w:pPr>
        <w:pStyle w:val="ListParagraph"/>
        <w:widowControl/>
        <w:numPr>
          <w:ilvl w:val="0"/>
          <w:numId w:val="22"/>
        </w:numPr>
        <w:spacing w:before="40" w:after="160" w:line="240" w:lineRule="auto"/>
        <w:ind w:left="567" w:hanging="283"/>
        <w:contextualSpacing w:val="0"/>
        <w:jc w:val="both"/>
        <w:rPr>
          <w:rFonts w:ascii="Verdana Pro Cond Light" w:hAnsi="Verdana Pro Cond Light"/>
          <w:lang w:val="lv-LV"/>
        </w:rPr>
      </w:pPr>
      <w:r w:rsidRPr="00B75FEB">
        <w:rPr>
          <w:rFonts w:ascii="Verdana Pro Cond Light" w:hAnsi="Verdana Pro Cond Light"/>
          <w:lang w:val="lv-LV"/>
        </w:rPr>
        <w:lastRenderedPageBreak/>
        <w:t>Lielāks darbaspēka pieprasījums nosaka arī augstākas algas. Īstermiņā šo algas pieaugumu var kompensēt augstāka inflācija (tautsaimniecības augšupejas ietekmē), taču ilgtermiņā ietekme uz cenu līmeni ir negatīva, jo papildu investīcijas vairo tautsaimniecības kapacitāti jeb potenciālo IKP. Tādējādi ietekme uz reālo algu (t.i., vidējās algas pirktspēju) ilgtermiņā ir pozitīva.</w:t>
      </w:r>
    </w:p>
    <w:p w14:paraId="0E95906D" w14:textId="54675EFC" w:rsidR="00812A72" w:rsidRPr="00B75FEB" w:rsidRDefault="00812A72" w:rsidP="0069037D">
      <w:pPr>
        <w:pStyle w:val="ListParagraph"/>
        <w:widowControl/>
        <w:numPr>
          <w:ilvl w:val="0"/>
          <w:numId w:val="22"/>
        </w:numPr>
        <w:spacing w:before="40" w:after="160" w:line="240" w:lineRule="auto"/>
        <w:ind w:left="567" w:hanging="283"/>
        <w:contextualSpacing w:val="0"/>
        <w:jc w:val="both"/>
        <w:rPr>
          <w:rFonts w:ascii="Verdana Pro Cond Light" w:hAnsi="Verdana Pro Cond Light"/>
          <w:lang w:val="lv-LV"/>
        </w:rPr>
      </w:pPr>
      <w:r w:rsidRPr="00B75FEB">
        <w:rPr>
          <w:rFonts w:ascii="Verdana Pro Cond Light" w:hAnsi="Verdana Pro Cond Light"/>
          <w:lang w:val="lv-LV"/>
        </w:rPr>
        <w:t xml:space="preserve">Augstāks IKP un īstermiņā arī lielāks cenu līmenis nosaka pozitīvu NEKP pasākumu ietekmi uz valsts budžeta ieņēmumiem, t.sk. uz nodokļu ieņēmumiem. Valsts budžeta ieņēmumi 2050. gadā ir par </w:t>
      </w:r>
      <w:r w:rsidR="003A721D">
        <w:rPr>
          <w:rFonts w:ascii="Verdana Pro Cond Light" w:hAnsi="Verdana Pro Cond Light"/>
          <w:lang w:val="lv-LV"/>
        </w:rPr>
        <w:t>5</w:t>
      </w:r>
      <w:r w:rsidRPr="00B75FEB">
        <w:rPr>
          <w:rFonts w:ascii="Verdana Pro Cond Light" w:hAnsi="Verdana Pro Cond Light"/>
          <w:lang w:val="lv-LV"/>
        </w:rPr>
        <w:t>,</w:t>
      </w:r>
      <w:r w:rsidR="003A721D">
        <w:rPr>
          <w:rFonts w:ascii="Verdana Pro Cond Light" w:hAnsi="Verdana Pro Cond Light"/>
          <w:lang w:val="lv-LV"/>
        </w:rPr>
        <w:t>2</w:t>
      </w:r>
      <w:r w:rsidRPr="00B75FEB">
        <w:rPr>
          <w:rFonts w:ascii="Verdana Pro Cond Light" w:hAnsi="Verdana Pro Cond Light"/>
          <w:lang w:val="lv-LV"/>
        </w:rPr>
        <w:t> % lielāki nekā bāzes scenārijā. Nozaru dalījumā – pieaug visu nozaru pievienotā vērtība.</w:t>
      </w:r>
      <w:r w:rsidR="003A721D">
        <w:rPr>
          <w:rFonts w:ascii="Verdana Pro Cond Light" w:hAnsi="Verdana Pro Cond Light"/>
          <w:lang w:val="lv-LV"/>
        </w:rPr>
        <w:t xml:space="preserve"> </w:t>
      </w:r>
    </w:p>
    <w:p w14:paraId="13C3F329" w14:textId="290363C0" w:rsidR="00812A72" w:rsidRPr="00254D20" w:rsidRDefault="00812A72" w:rsidP="0002297E">
      <w:pPr>
        <w:pStyle w:val="ListParagraph"/>
        <w:widowControl/>
        <w:numPr>
          <w:ilvl w:val="0"/>
          <w:numId w:val="22"/>
        </w:numPr>
        <w:spacing w:before="40" w:after="120" w:line="240" w:lineRule="auto"/>
        <w:ind w:left="567" w:hanging="283"/>
        <w:contextualSpacing w:val="0"/>
        <w:jc w:val="both"/>
        <w:rPr>
          <w:rFonts w:ascii="Minion Pro" w:hAnsi="Minion Pro"/>
          <w:sz w:val="24"/>
          <w:szCs w:val="24"/>
          <w:lang w:val="lv-LV"/>
        </w:rPr>
      </w:pPr>
      <w:r w:rsidRPr="00254D20">
        <w:rPr>
          <w:rFonts w:ascii="Verdana Pro Cond Light" w:hAnsi="Verdana Pro Cond Light"/>
          <w:lang w:val="lv-LV"/>
        </w:rPr>
        <w:t xml:space="preserve">Savukārt NEKP pasākumu īstenošana iezīmētā finansējuma apjomā paredz jaunās naudas iepludināšanu Latvijas ekonomikā līdz 2030. gadam ieskaitot 1,0 miljarda eiro apmērā (kopējais iezīmētā finansējuma apjoms līdz 2030. gadam pārsniedz 1,8 miljardus eiro). Reālā IKP līmenis 2050. gadā ir par </w:t>
      </w:r>
      <w:r w:rsidR="00254D20" w:rsidRPr="00254D20">
        <w:rPr>
          <w:rFonts w:ascii="Verdana Pro Cond Light" w:hAnsi="Verdana Pro Cond Light"/>
          <w:lang w:val="lv-LV"/>
        </w:rPr>
        <w:t>1</w:t>
      </w:r>
      <w:r w:rsidRPr="00254D20">
        <w:rPr>
          <w:rFonts w:ascii="Verdana Pro Cond Light" w:hAnsi="Verdana Pro Cond Light"/>
          <w:lang w:val="lv-LV"/>
        </w:rPr>
        <w:t>,</w:t>
      </w:r>
      <w:r w:rsidR="00254D20" w:rsidRPr="00254D20">
        <w:rPr>
          <w:rFonts w:ascii="Verdana Pro Cond Light" w:hAnsi="Verdana Pro Cond Light"/>
          <w:lang w:val="lv-LV"/>
        </w:rPr>
        <w:t>3</w:t>
      </w:r>
      <w:r w:rsidRPr="00254D20">
        <w:rPr>
          <w:rFonts w:ascii="Verdana Pro Cond Light" w:hAnsi="Verdana Pro Cond Light"/>
          <w:lang w:val="lv-LV"/>
        </w:rPr>
        <w:t xml:space="preserve"> % lielāks nekā neīstenojot NEKP pasākumus iezīmētā finansējuma apjomā. Kopējā ietekme uz Latvijas darba tirgu nav liela, tādējādi NEKP pasākumu īstenošanai iezīmētā finansējuma apjomā nav būtisku ekonomikas pārkaršanas risku. </w:t>
      </w:r>
    </w:p>
    <w:p w14:paraId="4E9897DE" w14:textId="1A2939AC" w:rsidR="00010C5F" w:rsidRPr="00186716" w:rsidRDefault="00010C5F" w:rsidP="00186716">
      <w:pPr>
        <w:pStyle w:val="ListParagraph"/>
        <w:widowControl/>
        <w:numPr>
          <w:ilvl w:val="0"/>
          <w:numId w:val="22"/>
        </w:numPr>
        <w:spacing w:after="120" w:line="240" w:lineRule="auto"/>
        <w:ind w:left="567" w:hanging="283"/>
        <w:contextualSpacing w:val="0"/>
        <w:rPr>
          <w:rFonts w:ascii="Verdana Pro Cond Light" w:hAnsi="Verdana Pro Cond Light"/>
          <w:lang w:val="lv-LV"/>
        </w:rPr>
      </w:pPr>
      <w:r w:rsidRPr="00186716">
        <w:rPr>
          <w:rFonts w:ascii="Verdana Pro Cond Light" w:hAnsi="Verdana Pro Cond Light"/>
          <w:lang w:val="lv-LV"/>
        </w:rPr>
        <w:br w:type="page"/>
      </w:r>
    </w:p>
    <w:p w14:paraId="465CBC29" w14:textId="77777777" w:rsidR="0069037D" w:rsidRDefault="0069037D" w:rsidP="0069037D">
      <w:pPr>
        <w:widowControl/>
        <w:spacing w:after="120" w:line="240" w:lineRule="auto"/>
        <w:rPr>
          <w:rFonts w:ascii="Verdana Pro Cond Light" w:hAnsi="Verdana Pro Cond Light"/>
          <w:bCs/>
          <w:lang w:val="lv-LV"/>
        </w:rPr>
      </w:pPr>
      <w:bookmarkStart w:id="88" w:name="_Toc177395404"/>
    </w:p>
    <w:p w14:paraId="3E4A69DB" w14:textId="77777777" w:rsidR="0069037D" w:rsidRDefault="0069037D" w:rsidP="0069037D">
      <w:pPr>
        <w:widowControl/>
        <w:spacing w:after="120" w:line="240" w:lineRule="auto"/>
        <w:rPr>
          <w:rFonts w:ascii="Verdana Pro Cond Light" w:hAnsi="Verdana Pro Cond Light"/>
          <w:bCs/>
          <w:lang w:val="lv-LV"/>
        </w:rPr>
      </w:pPr>
    </w:p>
    <w:p w14:paraId="6ED903D0" w14:textId="77777777" w:rsidR="0069037D" w:rsidRDefault="0069037D" w:rsidP="0069037D">
      <w:pPr>
        <w:widowControl/>
        <w:spacing w:after="120" w:line="240" w:lineRule="auto"/>
        <w:rPr>
          <w:rFonts w:ascii="Verdana Pro Cond Light" w:hAnsi="Verdana Pro Cond Light"/>
          <w:bCs/>
          <w:lang w:val="lv-LV"/>
        </w:rPr>
      </w:pPr>
    </w:p>
    <w:p w14:paraId="04353656" w14:textId="77777777" w:rsidR="0069037D" w:rsidRDefault="0069037D" w:rsidP="0069037D">
      <w:pPr>
        <w:widowControl/>
        <w:spacing w:after="120" w:line="240" w:lineRule="auto"/>
        <w:rPr>
          <w:rFonts w:ascii="Verdana Pro Cond Light" w:hAnsi="Verdana Pro Cond Light"/>
          <w:bCs/>
          <w:lang w:val="lv-LV"/>
        </w:rPr>
      </w:pPr>
    </w:p>
    <w:p w14:paraId="1E32817A" w14:textId="77777777" w:rsidR="0069037D" w:rsidRDefault="0069037D" w:rsidP="0069037D">
      <w:pPr>
        <w:widowControl/>
        <w:spacing w:after="120" w:line="240" w:lineRule="auto"/>
        <w:rPr>
          <w:rFonts w:ascii="Verdana Pro Cond Light" w:hAnsi="Verdana Pro Cond Light"/>
          <w:bCs/>
          <w:lang w:val="lv-LV"/>
        </w:rPr>
      </w:pPr>
    </w:p>
    <w:p w14:paraId="522AFDD2" w14:textId="08722643" w:rsidR="00186716" w:rsidRPr="0069037D" w:rsidRDefault="00186716" w:rsidP="0069037D">
      <w:pPr>
        <w:widowControl/>
        <w:spacing w:after="120" w:line="240" w:lineRule="auto"/>
        <w:rPr>
          <w:rFonts w:ascii="Verdana Pro Cond Light" w:hAnsi="Verdana Pro Cond Light"/>
          <w:bCs/>
          <w:lang w:val="lv-LV"/>
        </w:rPr>
      </w:pPr>
      <w:r w:rsidRPr="0069037D">
        <w:rPr>
          <w:rFonts w:ascii="Verdana Pro Cond Light" w:hAnsi="Verdana Pro Cond Light"/>
          <w:bCs/>
          <w:noProof/>
        </w:rPr>
        <w:drawing>
          <wp:anchor distT="0" distB="0" distL="114300" distR="114300" simplePos="0" relativeHeight="251658241" behindDoc="1" locked="0" layoutInCell="1" allowOverlap="1" wp14:anchorId="316FAB72" wp14:editId="283174B0">
            <wp:simplePos x="0" y="0"/>
            <wp:positionH relativeFrom="page">
              <wp:posOffset>0</wp:posOffset>
            </wp:positionH>
            <wp:positionV relativeFrom="page">
              <wp:posOffset>0</wp:posOffset>
            </wp:positionV>
            <wp:extent cx="7560000" cy="3600000"/>
            <wp:effectExtent l="0" t="0" r="3175" b="635"/>
            <wp:wrapNone/>
            <wp:docPr id="1932133581" name="Picture 1" descr="Brain inside a lightbulb concep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32133581" name="Picture 1932133581" descr="Brain inside a lightbulb concept"/>
                    <pic:cNvPicPr/>
                  </pic:nvPicPr>
                  <pic:blipFill rotWithShape="1">
                    <a:blip r:embed="rId143" cstate="print">
                      <a:duotone>
                        <a:schemeClr val="accent1">
                          <a:shade val="45000"/>
                          <a:satMod val="135000"/>
                        </a:schemeClr>
                        <a:prstClr val="white"/>
                      </a:duotone>
                      <a:extLst>
                        <a:ext uri="{28A0092B-C50C-407E-A947-70E740481C1C}">
                          <a14:useLocalDpi xmlns:a14="http://schemas.microsoft.com/office/drawing/2010/main" val="0"/>
                        </a:ext>
                      </a:extLst>
                    </a:blip>
                    <a:srcRect t="12485" b="13625"/>
                    <a:stretch/>
                  </pic:blipFill>
                  <pic:spPr bwMode="auto">
                    <a:xfrm>
                      <a:off x="0" y="0"/>
                      <a:ext cx="7560000" cy="3600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2D2A7CD" w14:textId="77777777" w:rsidR="00186716" w:rsidRPr="0069037D" w:rsidRDefault="00186716" w:rsidP="0069037D">
      <w:pPr>
        <w:widowControl/>
        <w:spacing w:after="120" w:line="240" w:lineRule="auto"/>
        <w:rPr>
          <w:rFonts w:ascii="Verdana Pro Cond Light" w:hAnsi="Verdana Pro Cond Light"/>
          <w:bCs/>
          <w:lang w:val="lv-LV"/>
        </w:rPr>
      </w:pPr>
    </w:p>
    <w:p w14:paraId="51557C47" w14:textId="77777777" w:rsidR="00186716" w:rsidRPr="0069037D" w:rsidRDefault="00186716" w:rsidP="0069037D">
      <w:pPr>
        <w:widowControl/>
        <w:spacing w:after="120" w:line="240" w:lineRule="auto"/>
        <w:rPr>
          <w:rFonts w:ascii="Verdana Pro Cond Light" w:hAnsi="Verdana Pro Cond Light"/>
          <w:bCs/>
          <w:lang w:val="lv-LV"/>
        </w:rPr>
      </w:pPr>
    </w:p>
    <w:p w14:paraId="26A0B3D2" w14:textId="4E35A263" w:rsidR="00186716" w:rsidRPr="0069037D" w:rsidRDefault="00186716" w:rsidP="0069037D">
      <w:pPr>
        <w:widowControl/>
        <w:spacing w:after="120" w:line="240" w:lineRule="auto"/>
        <w:rPr>
          <w:rFonts w:ascii="Verdana Pro Cond Light" w:hAnsi="Verdana Pro Cond Light"/>
          <w:bCs/>
          <w:lang w:val="lv-LV"/>
        </w:rPr>
      </w:pPr>
    </w:p>
    <w:p w14:paraId="4F07016E" w14:textId="6F302FA5" w:rsidR="00010C5F" w:rsidRPr="00097491" w:rsidRDefault="00010C5F" w:rsidP="00186716">
      <w:pPr>
        <w:pStyle w:val="Heading1"/>
        <w:rPr>
          <w:lang w:val="lv-LV"/>
        </w:rPr>
      </w:pPr>
      <w:bookmarkStart w:id="89" w:name="_Toc183697496"/>
      <w:r w:rsidRPr="00097491">
        <w:rPr>
          <w:lang w:val="lv-LV"/>
        </w:rPr>
        <w:t>Secinājumi un rekomendācijas</w:t>
      </w:r>
      <w:bookmarkEnd w:id="88"/>
      <w:bookmarkEnd w:id="89"/>
    </w:p>
    <w:p w14:paraId="2D79E256" w14:textId="77777777" w:rsidR="00186716" w:rsidRPr="00186716" w:rsidRDefault="00186716" w:rsidP="00186716">
      <w:pPr>
        <w:widowControl/>
        <w:spacing w:after="120" w:line="240" w:lineRule="auto"/>
        <w:rPr>
          <w:rFonts w:ascii="Verdana Pro Cond Light" w:hAnsi="Verdana Pro Cond Light"/>
          <w:b/>
          <w:lang w:val="lv-LV"/>
        </w:rPr>
      </w:pPr>
    </w:p>
    <w:p w14:paraId="121B684A" w14:textId="77777777" w:rsidR="00186716" w:rsidRPr="0069037D" w:rsidRDefault="00186716" w:rsidP="00186716">
      <w:pPr>
        <w:widowControl/>
        <w:spacing w:after="120" w:line="240" w:lineRule="auto"/>
        <w:rPr>
          <w:rFonts w:ascii="Verdana Pro Cond Light" w:hAnsi="Verdana Pro Cond Light"/>
          <w:bCs/>
          <w:lang w:val="lv-LV"/>
        </w:rPr>
      </w:pPr>
    </w:p>
    <w:p w14:paraId="46D2910D" w14:textId="77777777" w:rsidR="00812A72" w:rsidRPr="00186716" w:rsidRDefault="00812A72" w:rsidP="00812A72">
      <w:pPr>
        <w:widowControl/>
        <w:spacing w:after="120" w:line="240" w:lineRule="auto"/>
        <w:rPr>
          <w:rFonts w:ascii="Verdana Pro Cond Light" w:hAnsi="Verdana Pro Cond Light"/>
          <w:b/>
          <w:lang w:val="lv-LV"/>
        </w:rPr>
      </w:pPr>
      <w:r w:rsidRPr="00186716">
        <w:rPr>
          <w:rFonts w:ascii="Verdana Pro Cond Light" w:hAnsi="Verdana Pro Cond Light"/>
          <w:b/>
          <w:lang w:val="lv-LV"/>
        </w:rPr>
        <w:t>Secinājumi</w:t>
      </w:r>
    </w:p>
    <w:p w14:paraId="171374EB" w14:textId="77777777" w:rsidR="00812A72" w:rsidRDefault="00812A72" w:rsidP="00812A72">
      <w:pPr>
        <w:widowControl/>
        <w:spacing w:after="120" w:line="240" w:lineRule="auto"/>
        <w:rPr>
          <w:rFonts w:ascii="Verdana Pro Cond Light" w:hAnsi="Verdana Pro Cond Light" w:cs="Arial"/>
          <w:lang w:val="lv-LV"/>
        </w:rPr>
      </w:pPr>
      <w:r w:rsidRPr="00186716">
        <w:rPr>
          <w:rFonts w:ascii="Verdana Pro Cond Light" w:hAnsi="Verdana Pro Cond Light" w:cs="Arial"/>
          <w:lang w:val="lv-LV"/>
        </w:rPr>
        <w:t>2024. gada Pasaules Enerģijas Padome</w:t>
      </w:r>
      <w:r w:rsidRPr="00537DE7">
        <w:rPr>
          <w:rFonts w:ascii="Verdana Pro Cond Light" w:hAnsi="Verdana Pro Cond Light" w:cs="Arial"/>
          <w:lang w:val="lv-LV"/>
        </w:rPr>
        <w:t>s</w:t>
      </w:r>
      <w:r w:rsidRPr="00186716">
        <w:rPr>
          <w:rFonts w:ascii="Verdana Pro Cond Light" w:hAnsi="Verdana Pro Cond Light" w:cs="Arial"/>
          <w:lang w:val="lv-LV"/>
        </w:rPr>
        <w:t xml:space="preserve"> ikgadēj</w:t>
      </w:r>
      <w:r w:rsidRPr="00537DE7">
        <w:rPr>
          <w:rFonts w:ascii="Verdana Pro Cond Light" w:hAnsi="Verdana Pro Cond Light" w:cs="Arial"/>
          <w:lang w:val="lv-LV"/>
        </w:rPr>
        <w:t>ā</w:t>
      </w:r>
      <w:r w:rsidRPr="00186716">
        <w:rPr>
          <w:rFonts w:ascii="Verdana Pro Cond Light" w:hAnsi="Verdana Pro Cond Light" w:cs="Arial"/>
          <w:lang w:val="lv-LV"/>
        </w:rPr>
        <w:t xml:space="preserve"> aktuālo problēmu monitoring</w:t>
      </w:r>
      <w:r w:rsidRPr="00537DE7">
        <w:rPr>
          <w:rFonts w:ascii="Verdana Pro Cond Light" w:hAnsi="Verdana Pro Cond Light" w:cs="Arial"/>
          <w:lang w:val="lv-LV"/>
        </w:rPr>
        <w:t>ā, r</w:t>
      </w:r>
      <w:r w:rsidRPr="00186716">
        <w:rPr>
          <w:rFonts w:ascii="Verdana Pro Cond Light" w:hAnsi="Verdana Pro Cond Light" w:cs="Arial"/>
          <w:lang w:val="lv-LV"/>
        </w:rPr>
        <w:t xml:space="preserve">aksturojot situāciju Latvijā kā galvenās neskaidrības </w:t>
      </w:r>
      <w:r w:rsidRPr="00537DE7">
        <w:rPr>
          <w:rFonts w:ascii="Verdana Pro Cond Light" w:hAnsi="Verdana Pro Cond Light" w:cs="Arial"/>
          <w:lang w:val="lv-LV"/>
        </w:rPr>
        <w:t xml:space="preserve">enerģētikas jomā </w:t>
      </w:r>
      <w:r w:rsidRPr="00186716">
        <w:rPr>
          <w:rFonts w:ascii="Verdana Pro Cond Light" w:hAnsi="Verdana Pro Cond Light" w:cs="Arial"/>
          <w:lang w:val="lv-LV"/>
        </w:rPr>
        <w:t>no ekspertu puses tika norādīts miera risks, piegāžu ķēdes, infrastruktūra, pieprasījuma vadība un iesaistīto pušu koordinācija.</w:t>
      </w:r>
      <w:r w:rsidRPr="00537DE7">
        <w:rPr>
          <w:rFonts w:ascii="Verdana Pro Cond Light" w:hAnsi="Verdana Pro Cond Light" w:cs="Arial"/>
          <w:lang w:val="lv-LV"/>
        </w:rPr>
        <w:t xml:space="preserve"> </w:t>
      </w:r>
      <w:r w:rsidRPr="00186716">
        <w:rPr>
          <w:rFonts w:ascii="Verdana Pro Cond Light" w:hAnsi="Verdana Pro Cond Light" w:cs="Arial"/>
          <w:lang w:val="lv-LV"/>
        </w:rPr>
        <w:t>Kā lielākais nezināmais aptaujā tika norādīt</w:t>
      </w:r>
      <w:r>
        <w:rPr>
          <w:rFonts w:ascii="Verdana Pro Cond Light" w:hAnsi="Verdana Pro Cond Light" w:cs="Arial"/>
          <w:lang w:val="lv-LV"/>
        </w:rPr>
        <w:t>a</w:t>
      </w:r>
      <w:r w:rsidRPr="00186716">
        <w:rPr>
          <w:rFonts w:ascii="Verdana Pro Cond Light" w:hAnsi="Verdana Pro Cond Light" w:cs="Arial"/>
          <w:lang w:val="lv-LV"/>
        </w:rPr>
        <w:t xml:space="preserve">s </w:t>
      </w:r>
      <w:r>
        <w:rPr>
          <w:rFonts w:ascii="Verdana Pro Cond Light" w:hAnsi="Verdana Pro Cond Light" w:cs="Arial"/>
          <w:lang w:val="lv-LV"/>
        </w:rPr>
        <w:t xml:space="preserve">– </w:t>
      </w:r>
      <w:r w:rsidRPr="00186716">
        <w:rPr>
          <w:rFonts w:ascii="Verdana Pro Cond Light" w:hAnsi="Verdana Pro Cond Light" w:cs="Arial"/>
          <w:lang w:val="lv-LV"/>
        </w:rPr>
        <w:t>“miera risks”, kas ir saistīts ar Krievijas uzsākto karu Ukrainā. Šobrīd nav zināms, cik ilgi kara darbība vēl varētu turpināties. Vienlaikus karš Ukrainā ietekmē ekonomiskos procesus un dzīvi Latvijā, ņemot vērā gan Latvijas ģeogrāfisko izvietojumu un ārējo robežu, gan atbalstu Ukrainai.</w:t>
      </w:r>
    </w:p>
    <w:p w14:paraId="60792300" w14:textId="77777777" w:rsidR="00812A72" w:rsidRPr="00186716" w:rsidRDefault="00812A72" w:rsidP="00812A72">
      <w:pPr>
        <w:widowControl/>
        <w:spacing w:after="120" w:line="240" w:lineRule="auto"/>
        <w:rPr>
          <w:rFonts w:ascii="Verdana Pro Cond Light" w:hAnsi="Verdana Pro Cond Light" w:cs="Arial"/>
          <w:lang w:val="lv-LV"/>
        </w:rPr>
      </w:pPr>
      <w:r w:rsidRPr="00537DE7">
        <w:rPr>
          <w:rFonts w:ascii="Verdana Pro Cond Light" w:hAnsi="Verdana Pro Cond Light" w:cs="Arial"/>
          <w:lang w:val="lv-LV"/>
        </w:rPr>
        <w:t>Vienlaikus kā</w:t>
      </w:r>
      <w:r w:rsidRPr="00186716">
        <w:rPr>
          <w:rFonts w:ascii="Verdana Pro Cond Light" w:hAnsi="Verdana Pro Cond Light" w:cs="Arial"/>
          <w:lang w:val="lv-LV"/>
        </w:rPr>
        <w:t xml:space="preserve"> galven</w:t>
      </w:r>
      <w:r w:rsidRPr="00537DE7">
        <w:rPr>
          <w:rFonts w:ascii="Verdana Pro Cond Light" w:hAnsi="Verdana Pro Cond Light" w:cs="Arial"/>
          <w:lang w:val="lv-LV"/>
        </w:rPr>
        <w:t>ās</w:t>
      </w:r>
      <w:r w:rsidRPr="00186716">
        <w:rPr>
          <w:rFonts w:ascii="Verdana Pro Cond Light" w:hAnsi="Verdana Pro Cond Light" w:cs="Arial"/>
          <w:lang w:val="lv-LV"/>
        </w:rPr>
        <w:t xml:space="preserve"> top 5 darbību prioritāt</w:t>
      </w:r>
      <w:r w:rsidRPr="00537DE7">
        <w:rPr>
          <w:rFonts w:ascii="Verdana Pro Cond Light" w:hAnsi="Verdana Pro Cond Light" w:cs="Arial"/>
          <w:lang w:val="lv-LV"/>
        </w:rPr>
        <w:t>es, kurās ir nepieciešama rīcība politikas veidotāja pusē monitoringā tika norādītas</w:t>
      </w:r>
      <w:r w:rsidRPr="00186716">
        <w:rPr>
          <w:rFonts w:ascii="Verdana Pro Cond Light" w:hAnsi="Verdana Pro Cond Light" w:cs="Arial"/>
          <w:lang w:val="lv-LV"/>
        </w:rPr>
        <w:t>: pārvades tīkls, starptautiskā sadarbība, pasaules izaugsme, infrastruktūra un pieprasījuma vadība.</w:t>
      </w:r>
      <w:r w:rsidRPr="00537DE7">
        <w:rPr>
          <w:rFonts w:ascii="Verdana Pro Cond Light" w:hAnsi="Verdana Pro Cond Light" w:cs="Arial"/>
          <w:lang w:val="lv-LV"/>
        </w:rPr>
        <w:t xml:space="preserve"> </w:t>
      </w:r>
      <w:r w:rsidRPr="00186716">
        <w:rPr>
          <w:rFonts w:ascii="Verdana Pro Cond Light" w:hAnsi="Verdana Pro Cond Light" w:cs="Arial"/>
          <w:lang w:val="lv-LV"/>
        </w:rPr>
        <w:t>Pārvades tīkl</w:t>
      </w:r>
      <w:r w:rsidRPr="00537DE7">
        <w:rPr>
          <w:rFonts w:ascii="Verdana Pro Cond Light" w:hAnsi="Verdana Pro Cond Light" w:cs="Arial"/>
          <w:lang w:val="lv-LV"/>
        </w:rPr>
        <w:t>a</w:t>
      </w:r>
      <w:r w:rsidRPr="00186716">
        <w:rPr>
          <w:rFonts w:ascii="Verdana Pro Cond Light" w:hAnsi="Verdana Pro Cond Light" w:cs="Arial"/>
          <w:lang w:val="lv-LV"/>
        </w:rPr>
        <w:t xml:space="preserve"> </w:t>
      </w:r>
      <w:r w:rsidRPr="00537DE7">
        <w:rPr>
          <w:rFonts w:ascii="Verdana Pro Cond Light" w:hAnsi="Verdana Pro Cond Light" w:cs="Arial"/>
          <w:lang w:val="lv-LV"/>
        </w:rPr>
        <w:t>j</w:t>
      </w:r>
      <w:r w:rsidRPr="00186716">
        <w:rPr>
          <w:rFonts w:ascii="Verdana Pro Cond Light" w:hAnsi="Verdana Pro Cond Light" w:cs="Arial"/>
          <w:lang w:val="lv-LV"/>
        </w:rPr>
        <w:t>autājums ir izcelts kā augsti prioritārs rīcības virziens dēļ plānotās Baltijas valstu elektroenerģijas sistēmas desinhronizācijas no BRELL tīkla projekta ieviešanas, kā arī straujas AER attīstības un tīkla kapacitātes attīstības.</w:t>
      </w:r>
    </w:p>
    <w:p w14:paraId="2240A9B8" w14:textId="77777777" w:rsidR="00812A72" w:rsidRPr="00186716" w:rsidRDefault="00812A72" w:rsidP="00812A72">
      <w:pPr>
        <w:widowControl/>
        <w:spacing w:after="120" w:line="240" w:lineRule="auto"/>
        <w:rPr>
          <w:rFonts w:ascii="Verdana Pro Cond Light" w:hAnsi="Verdana Pro Cond Light"/>
          <w:lang w:val="lv-LV"/>
        </w:rPr>
      </w:pPr>
      <w:r w:rsidRPr="00537DE7">
        <w:rPr>
          <w:rFonts w:ascii="Verdana Pro Cond Light" w:hAnsi="Verdana Pro Cond Light"/>
          <w:lang w:val="lv-LV"/>
        </w:rPr>
        <w:t>PWC organizētā uzņēmēju</w:t>
      </w:r>
      <w:r w:rsidRPr="00186716">
        <w:rPr>
          <w:rFonts w:ascii="Verdana Pro Cond Light" w:hAnsi="Verdana Pro Cond Light"/>
          <w:lang w:val="lv-LV"/>
        </w:rPr>
        <w:t xml:space="preserve"> aptauja parādīja, </w:t>
      </w:r>
      <w:r w:rsidRPr="00186716">
        <w:rPr>
          <w:rFonts w:ascii="Verdana Pro Cond Light" w:hAnsi="Verdana Pro Cond Light" w:cs="Arial"/>
          <w:lang w:val="lv-LV"/>
        </w:rPr>
        <w:t xml:space="preserve">lielākai daļai uzņēmumu trūkst visaptverošas stratēģijas, lai reaģētu uz visām Zaļā kursa dimensijām. </w:t>
      </w:r>
      <w:r w:rsidRPr="00537DE7">
        <w:rPr>
          <w:rFonts w:ascii="Verdana Pro Cond Light" w:hAnsi="Verdana Pro Cond Light" w:cs="Arial"/>
          <w:lang w:val="lv-LV"/>
        </w:rPr>
        <w:t>O</w:t>
      </w:r>
      <w:r w:rsidRPr="00186716">
        <w:rPr>
          <w:rFonts w:ascii="Verdana Pro Cond Light" w:hAnsi="Verdana Pro Cond Light"/>
          <w:lang w:val="lv-LV"/>
        </w:rPr>
        <w:t xml:space="preserve">rganizācijas vēlas iegūt atbalstu, lai saprastu Zaļā kursa ietekmi no nodokļu un biznesa darbības organizēšanas perspektīvas. Kā lielāko izaicinājumu respondenti minēja informētības trūkumu un organizatorisko prasmju trūkumu, lai maksimizētu ieguvumus no Zaļā kursa. Piemēram, aptuveni trešā daļa uzņēmumu jau veica vides uzlabojumus, neizvērtējot vai ir pieejamas finanšu atbalsts. </w:t>
      </w:r>
      <w:r w:rsidRPr="00537DE7">
        <w:rPr>
          <w:rFonts w:ascii="Verdana Pro Cond Light" w:hAnsi="Verdana Pro Cond Light"/>
          <w:lang w:val="lv-LV"/>
        </w:rPr>
        <w:t>Tāpat, u</w:t>
      </w:r>
      <w:r w:rsidRPr="00186716">
        <w:rPr>
          <w:rFonts w:ascii="Verdana Pro Cond Light" w:hAnsi="Verdana Pro Cond Light"/>
          <w:lang w:val="lv-LV"/>
        </w:rPr>
        <w:t>zņēmēji atzīmē, ka atbildība par ar Zaļo kursu saistītiem pasākumiem/pienākumiem ir sadalīta starp daudzām dažādām organizācijām, bet attiecīgā koordinācija ir ļoti vāja.</w:t>
      </w:r>
    </w:p>
    <w:p w14:paraId="25BBAED8" w14:textId="77777777" w:rsidR="00812A72" w:rsidRDefault="00812A72" w:rsidP="00812A72">
      <w:pPr>
        <w:widowControl/>
        <w:spacing w:after="120" w:line="240" w:lineRule="auto"/>
        <w:rPr>
          <w:rFonts w:ascii="Verdana Pro Cond Light" w:hAnsi="Verdana Pro Cond Light"/>
          <w:color w:val="000000" w:themeColor="text1"/>
          <w:lang w:val="lv-LV"/>
        </w:rPr>
      </w:pPr>
      <w:r w:rsidRPr="00186716">
        <w:rPr>
          <w:rFonts w:ascii="Verdana Pro Cond Light" w:hAnsi="Verdana Pro Cond Light"/>
          <w:color w:val="000000" w:themeColor="text1"/>
          <w:lang w:val="lv-LV"/>
        </w:rPr>
        <w:t>Latvijas Izaugsmes stratēģijā ir noteikti ambiciozi mērķi un to sasniegšana sekmēs arī enerģētikas un klimata mērķu izpildi. Tomēr, jāņem vērā, ka nelabvēlīga situācija ārējā vidē, ģeopolitiskās spriedzes ilgstoša turpināšanās un reformu kavēšanās, var bremzēt valdības centienus nodrošināt ilgtspējīgu izaugsmi.</w:t>
      </w:r>
    </w:p>
    <w:p w14:paraId="2C2F5462" w14:textId="77777777" w:rsidR="00812A72" w:rsidRPr="00186716" w:rsidRDefault="00812A72" w:rsidP="00812A72">
      <w:pPr>
        <w:widowControl/>
        <w:spacing w:after="120" w:line="240" w:lineRule="auto"/>
        <w:rPr>
          <w:rFonts w:ascii="Verdana Pro Cond Light" w:hAnsi="Verdana Pro Cond Light"/>
          <w:lang w:val="lv-LV"/>
        </w:rPr>
      </w:pPr>
      <w:r w:rsidRPr="00186716">
        <w:rPr>
          <w:rFonts w:ascii="Verdana Pro Cond Light" w:hAnsi="Verdana Pro Cond Light"/>
          <w:color w:val="000000" w:themeColor="text1"/>
          <w:lang w:val="lv-LV"/>
        </w:rPr>
        <w:t xml:space="preserve">Lai sasniegtu izvirzītos mērķus, ir nepieciešami būtiski ieguldījumi gan ekonomikas modernizācijā, gan </w:t>
      </w:r>
      <w:r w:rsidRPr="00186716">
        <w:rPr>
          <w:rFonts w:ascii="Verdana Pro Cond Light" w:hAnsi="Verdana Pro Cond Light"/>
          <w:color w:val="212529"/>
          <w:lang w:val="lv-LV"/>
        </w:rPr>
        <w:t>NEKP</w:t>
      </w:r>
      <w:r w:rsidRPr="00186716">
        <w:rPr>
          <w:rFonts w:ascii="Verdana Pro Cond Light" w:hAnsi="Verdana Pro Cond Light"/>
          <w:lang w:val="lv-LV"/>
        </w:rPr>
        <w:t xml:space="preserve"> ietverto pasākumu izpildē</w:t>
      </w:r>
      <w:r w:rsidRPr="00186716">
        <w:rPr>
          <w:rFonts w:ascii="Verdana Pro Cond Light" w:hAnsi="Verdana Pro Cond Light"/>
          <w:color w:val="000000" w:themeColor="text1"/>
          <w:lang w:val="lv-LV"/>
        </w:rPr>
        <w:t xml:space="preserve">. Lai arī valdības dokumentos ir paredzēts būtisks publiskais finansējums minēto mērķu sasniegšanai, bez </w:t>
      </w:r>
      <w:r w:rsidRPr="00186716">
        <w:rPr>
          <w:rFonts w:ascii="Verdana Pro Cond Light" w:hAnsi="Verdana Pro Cond Light"/>
          <w:lang w:val="lv-LV"/>
        </w:rPr>
        <w:t>būtiska privātā sektora iesaistes būs grūti sasniegt izvirzītos izaugsmes mērķus. Privātā sektora plašāka iesaiste prasa gan stimulu sistēmu (nodokļi, subsīdijas u.c.), gan arī finansēšanas avotu (kreditēšana, kapitāla tirgus u.c.) paplašināšanu.</w:t>
      </w:r>
    </w:p>
    <w:p w14:paraId="2EC50B1F" w14:textId="77777777" w:rsidR="00812A72" w:rsidRDefault="00812A72" w:rsidP="00812A72">
      <w:pPr>
        <w:widowControl/>
        <w:spacing w:after="120" w:line="240" w:lineRule="auto"/>
        <w:rPr>
          <w:rFonts w:ascii="Verdana Pro Cond Light" w:hAnsi="Verdana Pro Cond Light"/>
          <w:color w:val="000000"/>
          <w:lang w:val="lv-LV"/>
        </w:rPr>
      </w:pPr>
      <w:r w:rsidRPr="000F5EB6">
        <w:rPr>
          <w:rFonts w:ascii="Verdana Pro Cond Light" w:hAnsi="Verdana Pro Cond Light"/>
          <w:lang w:val="lv-LV"/>
        </w:rPr>
        <w:t>NEKP analīze liecina, ka tajā ir iekļauti 217 pasākumi, no kuriem 118 ir nepieciešams papildu finansējums.</w:t>
      </w:r>
      <w:r w:rsidRPr="000F5EB6">
        <w:rPr>
          <w:rFonts w:ascii="Verdana Pro Cond Light" w:hAnsi="Verdana Pro Cond Light"/>
          <w:color w:val="212529"/>
          <w:shd w:val="clear" w:color="auto" w:fill="FFFFFF"/>
          <w:lang w:val="lv-LV"/>
        </w:rPr>
        <w:t xml:space="preserve"> Šobrīd nav skaidrs, kur dabūt šos papildu līdzekļus. </w:t>
      </w:r>
      <w:r w:rsidRPr="000F5EB6">
        <w:rPr>
          <w:rFonts w:ascii="Verdana Pro Cond Light" w:hAnsi="Verdana Pro Cond Light"/>
          <w:color w:val="000000"/>
          <w:lang w:val="lv-LV"/>
        </w:rPr>
        <w:t xml:space="preserve">NEKP ietver aprakstu par ES </w:t>
      </w:r>
      <w:r w:rsidRPr="000F5EB6">
        <w:rPr>
          <w:rFonts w:ascii="Verdana Pro Cond Light" w:hAnsi="Verdana Pro Cond Light"/>
          <w:color w:val="000000"/>
          <w:lang w:val="lv-LV"/>
        </w:rPr>
        <w:lastRenderedPageBreak/>
        <w:t xml:space="preserve">fondu līdzekļiem līdz 2027. gadam. Tomēr, tas pēc būtības ir </w:t>
      </w:r>
      <w:r w:rsidRPr="000F5EB6">
        <w:rPr>
          <w:rFonts w:ascii="Verdana Pro Cond Light" w:hAnsi="Verdana Pro Cond Light"/>
          <w:i/>
          <w:color w:val="000000"/>
          <w:lang w:val="lv-LV"/>
        </w:rPr>
        <w:t xml:space="preserve">pieejamais </w:t>
      </w:r>
      <w:r w:rsidRPr="000F5EB6">
        <w:rPr>
          <w:rFonts w:ascii="Verdana Pro Cond Light" w:hAnsi="Verdana Pro Cond Light"/>
          <w:color w:val="000000"/>
          <w:lang w:val="lv-LV"/>
        </w:rPr>
        <w:t xml:space="preserve">finansējums, bet </w:t>
      </w:r>
      <w:r w:rsidRPr="000F5EB6">
        <w:rPr>
          <w:rFonts w:ascii="Verdana Pro Cond Light" w:hAnsi="Verdana Pro Cond Light"/>
          <w:i/>
          <w:color w:val="000000"/>
          <w:lang w:val="lv-LV"/>
        </w:rPr>
        <w:t>ne nepieciešamais</w:t>
      </w:r>
      <w:r w:rsidRPr="000F5EB6">
        <w:rPr>
          <w:rFonts w:ascii="Verdana Pro Cond Light" w:hAnsi="Verdana Pro Cond Light"/>
          <w:color w:val="000000"/>
          <w:lang w:val="lv-LV"/>
        </w:rPr>
        <w:t xml:space="preserve"> klimatu mērķu sasniegšanai</w:t>
      </w:r>
      <w:r w:rsidRPr="00186716">
        <w:rPr>
          <w:rFonts w:ascii="Verdana Pro Cond Light" w:hAnsi="Verdana Pro Cond Light"/>
          <w:vertAlign w:val="superscript"/>
          <w:lang w:val="lv-LV"/>
        </w:rPr>
        <w:footnoteReference w:id="46"/>
      </w:r>
      <w:r w:rsidRPr="00186716">
        <w:rPr>
          <w:rFonts w:ascii="Verdana Pro Cond Light" w:hAnsi="Verdana Pro Cond Light"/>
          <w:color w:val="000000"/>
          <w:lang w:val="lv-LV"/>
        </w:rPr>
        <w:t>.</w:t>
      </w:r>
    </w:p>
    <w:p w14:paraId="58485DBB" w14:textId="77777777" w:rsidR="00812A72" w:rsidRPr="00186716" w:rsidRDefault="00812A72" w:rsidP="00812A72">
      <w:pPr>
        <w:widowControl/>
        <w:spacing w:after="120" w:line="240" w:lineRule="auto"/>
        <w:rPr>
          <w:rFonts w:ascii="Verdana Pro Cond Light" w:hAnsi="Verdana Pro Cond Light"/>
          <w:lang w:val="lv-LV"/>
        </w:rPr>
      </w:pPr>
      <w:r w:rsidRPr="00186716">
        <w:rPr>
          <w:rFonts w:ascii="Verdana Pro Cond Light" w:hAnsi="Verdana Pro Cond Light"/>
          <w:lang w:val="lv-LV"/>
        </w:rPr>
        <w:t>Šobrīd nav pārliecības, ka plānotās darbības un pieejamais finansējums būs pietiekams NEKP mērķu sasniegšanai. Eiropas Komisija uzskata, ka rīcībpolitikas un pasākumi, ko Latvija plāno, lai samazinātu kopīgajos centienos paredzētās emisijas, nav pietiekami, lai sasniegtu 2030. gada kopīgo centienu mērķrādītāju.</w:t>
      </w:r>
    </w:p>
    <w:p w14:paraId="6B40B4FC" w14:textId="77777777" w:rsidR="00812A72" w:rsidRPr="00186716" w:rsidRDefault="00812A72" w:rsidP="00812A72">
      <w:pPr>
        <w:widowControl/>
        <w:spacing w:after="120" w:line="240" w:lineRule="auto"/>
        <w:rPr>
          <w:rFonts w:ascii="Verdana Pro Cond Light" w:eastAsia="Times New Roman" w:hAnsi="Verdana Pro Cond Light"/>
          <w:color w:val="000000"/>
          <w:lang w:val="lv-LV" w:eastAsia="lv-LV"/>
        </w:rPr>
      </w:pPr>
      <w:r w:rsidRPr="00186716">
        <w:rPr>
          <w:rFonts w:ascii="Verdana Pro Cond Light" w:hAnsi="Verdana Pro Cond Light"/>
          <w:lang w:val="lv-LV"/>
        </w:rPr>
        <w:t xml:space="preserve">Viena no problēmām ir uzskaites trūkums, cik lieli līdzekļi tiek novirzīti “zaļajai” ekonomikai. Tāpēc ir atbalstāma “zaļā budžeta” marķēšanas ieviešana Latvijā, kura palīdzēs </w:t>
      </w:r>
      <w:r w:rsidRPr="00186716">
        <w:rPr>
          <w:rFonts w:ascii="Verdana Pro Cond Light" w:hAnsi="Verdana Pro Cond Light"/>
          <w:color w:val="212529"/>
          <w:shd w:val="clear" w:color="auto" w:fill="FFFFFF"/>
          <w:lang w:val="lv-LV"/>
        </w:rPr>
        <w:t xml:space="preserve">saskaņot izdevumu un ieņēmumu plānošanu ar klimata un vides mērķiem. </w:t>
      </w:r>
      <w:r w:rsidRPr="00186716">
        <w:rPr>
          <w:rFonts w:ascii="Verdana Pro Cond Light" w:hAnsi="Verdana Pro Cond Light"/>
          <w:lang w:val="lv-LV"/>
        </w:rPr>
        <w:t xml:space="preserve">Vienlaikus būtu lietderīgi aprēķināt budžeta izdevumus “zaļajai” ekonomikai arī retrospektīvi par iepriekšējajiem gadiem. Tas ļautu labāk uzraudzīt </w:t>
      </w:r>
      <w:r w:rsidRPr="00186716">
        <w:rPr>
          <w:rFonts w:ascii="Verdana Pro Cond Light" w:eastAsia="Times New Roman" w:hAnsi="Verdana Pro Cond Light"/>
          <w:color w:val="000000"/>
          <w:lang w:val="lv-LV" w:eastAsia="lv-LV"/>
        </w:rPr>
        <w:t>klimata mērķu sasniegšanas dinamiku un precīzāk prognozēt nākotnes vajadzības.</w:t>
      </w:r>
    </w:p>
    <w:p w14:paraId="2C6C1086" w14:textId="77777777" w:rsidR="00812A72" w:rsidRPr="00537DE7" w:rsidRDefault="00812A72" w:rsidP="00812A72">
      <w:pPr>
        <w:widowControl/>
        <w:spacing w:after="120" w:line="240" w:lineRule="auto"/>
        <w:rPr>
          <w:rFonts w:ascii="Verdana Pro Cond Light" w:hAnsi="Verdana Pro Cond Light" w:cs="Arial"/>
          <w:lang w:val="lv-LV"/>
        </w:rPr>
      </w:pPr>
      <w:r w:rsidRPr="00537DE7">
        <w:rPr>
          <w:rFonts w:ascii="Verdana Pro Cond Light" w:hAnsi="Verdana Pro Cond Light"/>
          <w:lang w:val="lv-LV"/>
        </w:rPr>
        <w:t>Neskatoties uz daudzām politiskām izmaiņām 2024.</w:t>
      </w:r>
      <w:r>
        <w:rPr>
          <w:rFonts w:ascii="Verdana Pro Cond Light" w:hAnsi="Verdana Pro Cond Light"/>
          <w:lang w:val="lv-LV"/>
        </w:rPr>
        <w:t> </w:t>
      </w:r>
      <w:r w:rsidRPr="00537DE7">
        <w:rPr>
          <w:rFonts w:ascii="Verdana Pro Cond Light" w:hAnsi="Verdana Pro Cond Light"/>
          <w:lang w:val="lv-LV"/>
        </w:rPr>
        <w:t xml:space="preserve">gadā, </w:t>
      </w:r>
      <w:r w:rsidRPr="00186716">
        <w:rPr>
          <w:rFonts w:ascii="Verdana Pro Cond Light" w:hAnsi="Verdana Pro Cond Light" w:cs="Arial"/>
          <w:lang w:val="lv-LV"/>
        </w:rPr>
        <w:t xml:space="preserve">Eiropas Komisijas </w:t>
      </w:r>
      <w:r>
        <w:rPr>
          <w:rFonts w:ascii="Verdana Pro Cond Light" w:hAnsi="Verdana Pro Cond Light" w:cs="Arial"/>
          <w:lang w:val="lv-LV"/>
        </w:rPr>
        <w:t>priekšsēdētāja</w:t>
      </w:r>
      <w:r w:rsidRPr="00186716">
        <w:rPr>
          <w:rFonts w:ascii="Verdana Pro Cond Light" w:hAnsi="Verdana Pro Cond Light" w:cs="Arial"/>
          <w:lang w:val="lv-LV"/>
        </w:rPr>
        <w:t xml:space="preserve"> Urzulas fon der Leienas publiskajā paziņojumā “Eiropas izvēle. Politiskās vadlīnijas nākamajai Eiropas Komisijai” uzsvēra, ka esošā 2030.</w:t>
      </w:r>
      <w:r>
        <w:rPr>
          <w:rFonts w:ascii="Verdana Pro Cond Light" w:hAnsi="Verdana Pro Cond Light" w:cs="Arial"/>
          <w:lang w:val="lv-LV"/>
        </w:rPr>
        <w:t> </w:t>
      </w:r>
      <w:r w:rsidRPr="00186716">
        <w:rPr>
          <w:rFonts w:ascii="Verdana Pro Cond Light" w:hAnsi="Verdana Pro Cond Light" w:cs="Arial"/>
          <w:lang w:val="lv-LV"/>
        </w:rPr>
        <w:t>gada tiesiskā ietvara ievešana tiks turpināta. Papildus tam tiks izstrādātas vairākas citas jaunas iniciatīvas</w:t>
      </w:r>
      <w:r w:rsidRPr="00537DE7">
        <w:rPr>
          <w:rFonts w:ascii="Verdana Pro Cond Light" w:hAnsi="Verdana Pro Cond Light" w:cs="Arial"/>
          <w:lang w:val="lv-LV"/>
        </w:rPr>
        <w:t>.</w:t>
      </w:r>
    </w:p>
    <w:p w14:paraId="48C2AA96" w14:textId="77777777" w:rsidR="00812A72" w:rsidRPr="00537DE7" w:rsidRDefault="00812A72" w:rsidP="00812A72">
      <w:pPr>
        <w:widowControl/>
        <w:spacing w:after="120" w:line="240" w:lineRule="auto"/>
        <w:rPr>
          <w:rFonts w:ascii="Verdana Pro Cond Light" w:hAnsi="Verdana Pro Cond Light" w:cs="Arial"/>
          <w:lang w:val="lv-LV"/>
        </w:rPr>
      </w:pPr>
      <w:r w:rsidRPr="00537DE7">
        <w:rPr>
          <w:rFonts w:ascii="Verdana Pro Cond Light" w:hAnsi="Verdana Pro Cond Light" w:cs="Arial"/>
          <w:lang w:val="lv-LV"/>
        </w:rPr>
        <w:t xml:space="preserve">Mario Dragi ziņojumā par viņa personīgo redzējumu </w:t>
      </w:r>
      <w:r w:rsidRPr="00186716">
        <w:rPr>
          <w:rFonts w:ascii="Verdana Pro Cond Light" w:hAnsi="Verdana Pro Cond Light" w:cs="Arial"/>
          <w:lang w:val="lv-LV"/>
        </w:rPr>
        <w:t>par Eiropas konkurētspējas nākotni</w:t>
      </w:r>
      <w:r w:rsidRPr="00537DE7">
        <w:rPr>
          <w:rFonts w:ascii="Verdana Pro Cond Light" w:hAnsi="Verdana Pro Cond Light" w:cs="Arial"/>
          <w:lang w:val="lv-LV"/>
        </w:rPr>
        <w:t xml:space="preserve"> </w:t>
      </w:r>
      <w:r w:rsidRPr="00186716">
        <w:rPr>
          <w:rFonts w:ascii="Verdana Pro Cond Light" w:hAnsi="Verdana Pro Cond Light" w:cs="Arial"/>
          <w:lang w:val="lv-LV"/>
        </w:rPr>
        <w:t>iezīmē trīs galvenās darbības sfēras, lai nodrošinātu ilgtspējīgu izaugsmi ES</w:t>
      </w:r>
      <w:r w:rsidRPr="00537DE7">
        <w:rPr>
          <w:rFonts w:ascii="Verdana Pro Cond Light" w:hAnsi="Verdana Pro Cond Light" w:cs="Arial"/>
          <w:lang w:val="lv-LV"/>
        </w:rPr>
        <w:t xml:space="preserve">: inovācijas, dekarbonizācijas un konkurētspējas plāns, drošība un atkarību mazināšana. </w:t>
      </w:r>
      <w:r w:rsidRPr="00186716">
        <w:rPr>
          <w:rFonts w:ascii="Verdana Pro Cond Light" w:hAnsi="Verdana Pro Cond Light" w:cs="Arial"/>
          <w:lang w:val="lv-LV"/>
        </w:rPr>
        <w:t>Ja Eiropas ambiciozajiem klimata mērķiem tiks izstrādāts saskaņots plāns to sasniegšanai, dekarbonizācija Eiropai būs iespēja. Taču, ja ES nesaskaņos savu politiku, pastāv risks, ka dekarbonizācija var būt pretrunā ar konkurētspēju un izaugsmi.</w:t>
      </w:r>
    </w:p>
    <w:p w14:paraId="6F172863" w14:textId="77777777" w:rsidR="00812A72" w:rsidRPr="00186716" w:rsidRDefault="00812A72" w:rsidP="00812A72">
      <w:pPr>
        <w:widowControl/>
        <w:spacing w:after="120" w:line="240" w:lineRule="auto"/>
        <w:rPr>
          <w:rFonts w:ascii="Verdana Pro Cond Light" w:hAnsi="Verdana Pro Cond Light" w:cs="Arial"/>
          <w:lang w:val="lv-LV"/>
        </w:rPr>
      </w:pPr>
      <w:r w:rsidRPr="00186716">
        <w:rPr>
          <w:rFonts w:ascii="Verdana Pro Cond Light" w:hAnsi="Verdana Pro Cond Light" w:cs="Arial"/>
          <w:lang w:val="lv-LV"/>
        </w:rPr>
        <w:t xml:space="preserve">Atbilstoši Eiropas Komisijas novērtējumam un Pasaules Ekonomikas Foruma sniegtajai informācijai, ES dalībvalstu nepieciešamās papildu investīcijas </w:t>
      </w:r>
      <w:r>
        <w:rPr>
          <w:rFonts w:ascii="Verdana Pro Cond Light" w:hAnsi="Verdana Pro Cond Light" w:cs="Arial"/>
          <w:lang w:val="lv-LV"/>
        </w:rPr>
        <w:t>Z</w:t>
      </w:r>
      <w:r w:rsidRPr="00186716">
        <w:rPr>
          <w:rFonts w:ascii="Verdana Pro Cond Light" w:hAnsi="Verdana Pro Cond Light" w:cs="Arial"/>
          <w:lang w:val="lv-LV"/>
        </w:rPr>
        <w:t>aļā kursa mērķu sasniegšanai līdz 2030.</w:t>
      </w:r>
      <w:r>
        <w:rPr>
          <w:rFonts w:ascii="Verdana Pro Cond Light" w:hAnsi="Verdana Pro Cond Light" w:cs="Arial"/>
          <w:lang w:val="lv-LV"/>
        </w:rPr>
        <w:t> </w:t>
      </w:r>
      <w:r w:rsidRPr="00186716">
        <w:rPr>
          <w:rFonts w:ascii="Verdana Pro Cond Light" w:hAnsi="Verdana Pro Cond Light" w:cs="Arial"/>
          <w:lang w:val="lv-LV"/>
        </w:rPr>
        <w:t>gadam ir novērtētas vairāk nekā 620 miljardu eiro apmērā gadā.</w:t>
      </w:r>
    </w:p>
    <w:p w14:paraId="66754D62" w14:textId="77777777" w:rsidR="00812A72" w:rsidRDefault="00812A72" w:rsidP="00812A72">
      <w:pPr>
        <w:widowControl/>
        <w:spacing w:after="120" w:line="240" w:lineRule="auto"/>
        <w:rPr>
          <w:rFonts w:ascii="Verdana Pro Cond Light" w:hAnsi="Verdana Pro Cond Light" w:cs="Arial"/>
          <w:lang w:val="lv-LV"/>
        </w:rPr>
      </w:pPr>
      <w:r w:rsidRPr="00186716">
        <w:rPr>
          <w:rFonts w:ascii="Verdana Pro Cond Light" w:hAnsi="Verdana Pro Cond Light" w:cs="Arial"/>
          <w:lang w:val="lv-LV"/>
        </w:rPr>
        <w:t>Zaļā kursa un klimatneitralitātes iniciatīvu finansējums sastāv no nacionālā, pašvaldību un starptautiskā finansējuma, un to veido publiskie, privātie un alternatīvie finansējuma avoti. Kopumā valstu pieeja paredz lielāku uzsvaru uz privātajām investīcijām, paredzot publiskā finansējuma iesaisti līdz vienai trešdaļai no kopējām nepieciešamām investīcijām.</w:t>
      </w:r>
    </w:p>
    <w:p w14:paraId="3D268656" w14:textId="77777777" w:rsidR="00812A72" w:rsidRPr="00186716" w:rsidRDefault="00812A72" w:rsidP="00812A72">
      <w:pPr>
        <w:widowControl/>
        <w:spacing w:after="120" w:line="240" w:lineRule="auto"/>
        <w:rPr>
          <w:rFonts w:ascii="Verdana Pro Cond Light" w:hAnsi="Verdana Pro Cond Light" w:cs="Arial"/>
          <w:lang w:val="lv-LV"/>
        </w:rPr>
      </w:pPr>
      <w:r w:rsidRPr="00186716">
        <w:rPr>
          <w:rFonts w:ascii="Verdana Pro Cond Light" w:hAnsi="Verdana Pro Cond Light" w:cs="Arial"/>
          <w:lang w:val="lv-LV"/>
        </w:rPr>
        <w:t>Ziņojuma ietvaros apskatītajās valstīs investīciju intensitāte ievērojami svārstās, veidojot no 1,7</w:t>
      </w:r>
      <w:r>
        <w:rPr>
          <w:rFonts w:ascii="Verdana Pro Cond Light" w:hAnsi="Verdana Pro Cond Light" w:cs="Arial"/>
          <w:lang w:val="lv-LV"/>
        </w:rPr>
        <w:t> </w:t>
      </w:r>
      <w:r w:rsidRPr="00186716">
        <w:rPr>
          <w:rFonts w:ascii="Verdana Pro Cond Light" w:hAnsi="Verdana Pro Cond Light" w:cs="Arial"/>
          <w:lang w:val="lv-LV"/>
        </w:rPr>
        <w:t>% līdz 5,6</w:t>
      </w:r>
      <w:r>
        <w:rPr>
          <w:rFonts w:ascii="Verdana Pro Cond Light" w:hAnsi="Verdana Pro Cond Light" w:cs="Arial"/>
          <w:lang w:val="lv-LV"/>
        </w:rPr>
        <w:t> </w:t>
      </w:r>
      <w:r w:rsidRPr="00186716">
        <w:rPr>
          <w:rFonts w:ascii="Verdana Pro Cond Light" w:hAnsi="Verdana Pro Cond Light" w:cs="Arial"/>
          <w:lang w:val="lv-LV"/>
        </w:rPr>
        <w:t>% no IKP gadā. To ietekmē valsts lielums, ekonomikas struktūra, pašreizējais enerģijas ģenerācijas portfelis u.c. būtiski faktori. Vienlaikus valstu salīdzinājums ir ļoti aptuvens, jo valstīm ir ļoti dažādas pieejas uzskaitot gan veiktās, gan nepieciešamās investīcijas.</w:t>
      </w:r>
    </w:p>
    <w:p w14:paraId="09FC7400" w14:textId="77777777" w:rsidR="00812A72" w:rsidRPr="00186716" w:rsidRDefault="00812A72" w:rsidP="00812A72">
      <w:pPr>
        <w:widowControl/>
        <w:spacing w:after="120" w:line="240" w:lineRule="auto"/>
        <w:rPr>
          <w:rFonts w:ascii="Verdana Pro Cond Light" w:hAnsi="Verdana Pro Cond Light"/>
          <w:color w:val="000000" w:themeColor="text1"/>
          <w:lang w:val="lv-LV"/>
        </w:rPr>
      </w:pPr>
      <w:r w:rsidRPr="00186716">
        <w:rPr>
          <w:rFonts w:ascii="Verdana Pro Cond Light" w:hAnsi="Verdana Pro Cond Light"/>
          <w:color w:val="000000"/>
          <w:lang w:val="lv-LV"/>
        </w:rPr>
        <w:t xml:space="preserve">Latvijas enerģētikas un klimata mērķu sasniegšanai </w:t>
      </w:r>
      <w:r w:rsidRPr="00186716">
        <w:rPr>
          <w:rFonts w:ascii="Verdana Pro Cond Light" w:hAnsi="Verdana Pro Cond Light"/>
          <w:i/>
          <w:color w:val="000000"/>
          <w:lang w:val="lv-LV"/>
        </w:rPr>
        <w:t xml:space="preserve">indikatīvās izmaksas jeb papildus nepieciešamais </w:t>
      </w:r>
      <w:r w:rsidRPr="00186716">
        <w:rPr>
          <w:rFonts w:ascii="Verdana Pro Cond Light" w:hAnsi="Verdana Pro Cond Light"/>
          <w:color w:val="000000"/>
          <w:lang w:val="lv-LV"/>
        </w:rPr>
        <w:t xml:space="preserve">finansējums ir novērtēts, balstoties uz autoru izstrādāto metodoloģisko </w:t>
      </w:r>
      <w:r w:rsidRPr="00186716">
        <w:rPr>
          <w:rFonts w:ascii="Verdana Pro Cond Light" w:hAnsi="Verdana Pro Cond Light"/>
          <w:lang w:val="lv-LV"/>
        </w:rPr>
        <w:t>pieeju, kuras pamatā ir konceptuālais pieņēmums, ka klimata neitrālas ekonomikas mērķa sasniegšanai ir nepieciešams aizvietot SEG emisiju ietilpīgus aktīvus ar zaļajās tehnoloģijām, kā arī palielināt esošo aktīvu energoefektivitāti.</w:t>
      </w:r>
    </w:p>
    <w:p w14:paraId="34FAE6E9" w14:textId="77777777" w:rsidR="00812A72" w:rsidRPr="00186716" w:rsidRDefault="00812A72" w:rsidP="00812A72">
      <w:pPr>
        <w:widowControl/>
        <w:spacing w:after="120" w:line="240" w:lineRule="auto"/>
        <w:rPr>
          <w:rFonts w:ascii="Verdana Pro Cond Light" w:hAnsi="Verdana Pro Cond Light"/>
          <w:color w:val="000000" w:themeColor="text1"/>
          <w:lang w:val="lv-LV"/>
        </w:rPr>
      </w:pPr>
      <w:r w:rsidRPr="00186716">
        <w:rPr>
          <w:rFonts w:ascii="Verdana Pro Cond Light" w:hAnsi="Verdana Pro Cond Light"/>
          <w:lang w:val="lv-LV"/>
        </w:rPr>
        <w:t>Nozaru ar vislielāko SEG emisiju apjomu nefinanšu aktīvu kopējā vērtība (neieskaitot darījumus ar nekustāmo īpašumu) 2021. gadā bija 75,3 milrd. eiro un veidoja 27,2 % no nefinanšu aktīvu kopējās vērtības Latvijas tautsaimniecībā. Lielākā daļa no SEG emisiju apjoma 2021. gadā bija lauksaimniecības nozarē (30</w:t>
      </w:r>
      <w:r>
        <w:rPr>
          <w:rFonts w:ascii="Verdana Pro Cond Light" w:hAnsi="Verdana Pro Cond Light"/>
          <w:lang w:val="lv-LV"/>
        </w:rPr>
        <w:t> </w:t>
      </w:r>
      <w:r w:rsidRPr="00186716">
        <w:rPr>
          <w:rFonts w:ascii="Verdana Pro Cond Light" w:hAnsi="Verdana Pro Cond Light"/>
          <w:lang w:val="lv-LV"/>
        </w:rPr>
        <w:t>% no SEG emisiju intensīvo nozaru kopējiem nefinanšu aktīviem), enerģētikas nozarē (16,5 %), transporta (22,6 %), apstrādes rūpniecības nozarēs (22,5 %) un komunālās saimniecības nozarē (8,3 %).</w:t>
      </w:r>
    </w:p>
    <w:p w14:paraId="18795A5B" w14:textId="77777777" w:rsidR="00812A72" w:rsidRDefault="00812A72" w:rsidP="00812A72">
      <w:pPr>
        <w:widowControl/>
        <w:spacing w:after="120" w:line="240" w:lineRule="auto"/>
        <w:rPr>
          <w:rFonts w:ascii="Verdana Pro Cond Light" w:hAnsi="Verdana Pro Cond Light"/>
          <w:lang w:val="lv-LV"/>
        </w:rPr>
      </w:pPr>
      <w:r w:rsidRPr="00186716">
        <w:rPr>
          <w:rFonts w:ascii="Verdana Pro Cond Light" w:hAnsi="Verdana Pro Cond Light"/>
          <w:lang w:val="lv-LV"/>
        </w:rPr>
        <w:t>Vērtējot investīciju potenciālu ekonomikā, jāsecina, ka Ekonomikas ministrijas mērķa izaugsmes scenārijā līdz 2030. gadam (NEKP plāns) kopējās investīciju plūsmas (ikgadējie izdevumi bruto pamatkapitāla veidošanai) var sasniegt 67 miljardus EUR (2021. gada cenās), kas kopējo aktīvu vērtību var palielināt par 9 miljardiem EUR. Savukārt, no 2030. līdz 2035. gadam (Ekonomikas izaugsmes plāna laika tvērums) kopējās investīciju plūsmas var sasniegt vēl 57 miljardus EUR, kopējai nefinanšu aktīvu vērtībai pieaugot līdz 298 miljardiem EUR.</w:t>
      </w:r>
    </w:p>
    <w:p w14:paraId="028C0325" w14:textId="77777777" w:rsidR="00812A72" w:rsidRPr="000F5EB6" w:rsidRDefault="00812A72" w:rsidP="00812A72">
      <w:pPr>
        <w:widowControl/>
        <w:spacing w:after="120" w:line="240" w:lineRule="auto"/>
        <w:rPr>
          <w:rFonts w:ascii="Verdana Pro Cond Light" w:hAnsi="Verdana Pro Cond Light"/>
          <w:color w:val="000000" w:themeColor="text1"/>
          <w:lang w:val="lv-LV"/>
        </w:rPr>
      </w:pPr>
      <w:r w:rsidRPr="00186716">
        <w:rPr>
          <w:rFonts w:ascii="Verdana Pro Cond Light" w:hAnsi="Verdana Pro Cond Light"/>
          <w:lang w:val="lv-LV"/>
        </w:rPr>
        <w:lastRenderedPageBreak/>
        <w:t>Jāņem vērā, ka visi ieguldījumi tautsaimniecībā nav saistīti ar pielāgošanos klimata pārmaiņām un klimata mērķu sasniegšanu. Nozīmīgu daļu veido ieguldījumi publiskajā infrastruktūrā (ceļi, dzelzceļš), valsts drošībā (militārie izdevumi) utt. Pēdējos gados no kopējā investīciju apjoma tikai 55</w:t>
      </w:r>
      <w:r>
        <w:rPr>
          <w:rFonts w:ascii="Verdana Pro Cond Light" w:hAnsi="Verdana Pro Cond Light"/>
          <w:lang w:val="lv-LV"/>
        </w:rPr>
        <w:t> </w:t>
      </w:r>
      <w:r w:rsidRPr="00186716">
        <w:rPr>
          <w:rFonts w:ascii="Verdana Pro Cond Light" w:hAnsi="Verdana Pro Cond Light"/>
          <w:lang w:val="lv-LV"/>
        </w:rPr>
        <w:t xml:space="preserve">% investīciju ir saistāmas ar SEG emisiju intensīvajām nozarēm (enerģētika, rūpniecība, lauksaimniecība, transports, atkritumu apsaimniekošana) un tajā skaitā tikai </w:t>
      </w:r>
      <w:r w:rsidRPr="000F5EB6">
        <w:rPr>
          <w:rFonts w:ascii="Verdana Pro Cond Light" w:hAnsi="Verdana Pro Cond Light"/>
          <w:lang w:val="lv-LV"/>
        </w:rPr>
        <w:t>25</w:t>
      </w:r>
      <w:r>
        <w:rPr>
          <w:rFonts w:ascii="Verdana Pro Cond Light" w:hAnsi="Verdana Pro Cond Light"/>
          <w:lang w:val="lv-LV"/>
        </w:rPr>
        <w:t> </w:t>
      </w:r>
      <w:r w:rsidRPr="000F5EB6">
        <w:rPr>
          <w:rFonts w:ascii="Verdana Pro Cond Light" w:hAnsi="Verdana Pro Cond Light"/>
          <w:lang w:val="lv-LV"/>
        </w:rPr>
        <w:t>% no šīm investīcijām ir saistāma ar esošo aktīvu aizvietošanu. Savukārt no esošo aktīvu aizvietošanas tikai daļa ir zaļajās investīcijas.</w:t>
      </w:r>
    </w:p>
    <w:p w14:paraId="50614AC1" w14:textId="77777777" w:rsidR="00812A72" w:rsidRPr="00186716" w:rsidRDefault="00812A72" w:rsidP="00812A72">
      <w:pPr>
        <w:widowControl/>
        <w:spacing w:after="120" w:line="240" w:lineRule="auto"/>
        <w:rPr>
          <w:rFonts w:ascii="Verdana Pro Cond Light" w:hAnsi="Verdana Pro Cond Light"/>
          <w:color w:val="000000" w:themeColor="text1"/>
          <w:lang w:val="lv-LV"/>
        </w:rPr>
      </w:pPr>
      <w:r w:rsidRPr="00186716">
        <w:rPr>
          <w:rFonts w:ascii="Verdana Pro Cond Light" w:hAnsi="Verdana Pro Cond Light"/>
          <w:lang w:val="lv-LV"/>
        </w:rPr>
        <w:t>Ekonomikas ministrijas mērķa izaugsmes scenārijā iespējamie investīciju pieauguma apmēri ir pietiekami, lai nodrošinātu pakāpenisku nefinanšu aktīvu vērtības kāpumu ražošanas kapacitātes palielināšanai. Tomēr ir jāņem vērā, ka ekonomikas dekarbonizācija prasīs papildus ieguldījumus zaļajās tehnoloģijās, kam būs jāaizvieto esošie SEG emisiju radošie aktīvi.</w:t>
      </w:r>
    </w:p>
    <w:p w14:paraId="3F7D9D51" w14:textId="77777777" w:rsidR="00812A72" w:rsidRPr="00186716" w:rsidRDefault="00812A72" w:rsidP="00812A72">
      <w:pPr>
        <w:widowControl/>
        <w:spacing w:after="120" w:line="240" w:lineRule="auto"/>
        <w:rPr>
          <w:rFonts w:ascii="Verdana Pro Cond Light" w:hAnsi="Verdana Pro Cond Light"/>
          <w:color w:val="000000" w:themeColor="text1"/>
          <w:lang w:val="lv-LV"/>
        </w:rPr>
      </w:pPr>
      <w:r w:rsidRPr="00186716">
        <w:rPr>
          <w:rFonts w:ascii="Verdana Pro Cond Light" w:hAnsi="Verdana Pro Cond Light"/>
          <w:color w:val="000000" w:themeColor="text1"/>
          <w:lang w:val="lv-LV"/>
        </w:rPr>
        <w:t>Pēc autoru novērtējuma, lai esošos aktīvus aizvietotu ar zaļajām tehnoloģijām un straujāk virzītos uz nozaru dekarbonizāciju</w:t>
      </w:r>
      <w:r>
        <w:rPr>
          <w:rFonts w:ascii="Verdana Pro Cond Light" w:hAnsi="Verdana Pro Cond Light"/>
          <w:color w:val="000000" w:themeColor="text1"/>
          <w:lang w:val="lv-LV"/>
        </w:rPr>
        <w:t xml:space="preserve"> – </w:t>
      </w:r>
      <w:r w:rsidRPr="00186716">
        <w:rPr>
          <w:rFonts w:ascii="Verdana Pro Cond Light" w:hAnsi="Verdana Pro Cond Light"/>
          <w:color w:val="000000" w:themeColor="text1"/>
          <w:lang w:val="lv-LV"/>
        </w:rPr>
        <w:t>lieli ieguldījumi ir nepieciešami transporta nozarē, kur būtu jāaizvieto vismaz 1/5 daļa no esošiem nefinanšu aktīviem (galvenokārt tie ir ieguldījumi autotransportā), apstrādes rūpniecībā būs jāaizvieto vismaz 50</w:t>
      </w:r>
      <w:r>
        <w:rPr>
          <w:rFonts w:ascii="Verdana Pro Cond Light" w:hAnsi="Verdana Pro Cond Light"/>
          <w:color w:val="000000" w:themeColor="text1"/>
          <w:lang w:val="lv-LV"/>
        </w:rPr>
        <w:t> </w:t>
      </w:r>
      <w:r w:rsidRPr="00186716">
        <w:rPr>
          <w:rFonts w:ascii="Verdana Pro Cond Light" w:hAnsi="Verdana Pro Cond Light"/>
          <w:color w:val="000000" w:themeColor="text1"/>
          <w:lang w:val="lv-LV"/>
        </w:rPr>
        <w:t>% no esošajiem ražošanas aktīviem (mašīnas un iekārtas), enerģētikas nozarē nepieciešams veikt investīcijas nefinanšu aktīvu aizvietošanai vismaz 10</w:t>
      </w:r>
      <w:r>
        <w:rPr>
          <w:rFonts w:ascii="Verdana Pro Cond Light" w:hAnsi="Verdana Pro Cond Light"/>
          <w:color w:val="000000" w:themeColor="text1"/>
          <w:lang w:val="lv-LV"/>
        </w:rPr>
        <w:t> </w:t>
      </w:r>
      <w:r w:rsidRPr="00186716">
        <w:rPr>
          <w:rFonts w:ascii="Verdana Pro Cond Light" w:hAnsi="Verdana Pro Cond Light"/>
          <w:color w:val="000000" w:themeColor="text1"/>
          <w:lang w:val="lv-LV"/>
        </w:rPr>
        <w:t>% no aktīvu kopējās bruto vērtības nozarē, t.sk. 40</w:t>
      </w:r>
      <w:r>
        <w:rPr>
          <w:rFonts w:ascii="Verdana Pro Cond Light" w:hAnsi="Verdana Pro Cond Light"/>
          <w:color w:val="000000" w:themeColor="text1"/>
          <w:lang w:val="lv-LV"/>
        </w:rPr>
        <w:t> </w:t>
      </w:r>
      <w:r w:rsidRPr="00186716">
        <w:rPr>
          <w:rFonts w:ascii="Verdana Pro Cond Light" w:hAnsi="Verdana Pro Cond Light"/>
          <w:color w:val="000000" w:themeColor="text1"/>
          <w:lang w:val="lv-LV"/>
        </w:rPr>
        <w:t>% no mašīnām un iekārtām enerģētikas nozarē, lauksaimniecības nozarē būtu jāaizstāj vismaz 1/5 daļa no transportlīdzekļiem un 10</w:t>
      </w:r>
      <w:r>
        <w:rPr>
          <w:rFonts w:ascii="Verdana Pro Cond Light" w:hAnsi="Verdana Pro Cond Light"/>
          <w:color w:val="000000" w:themeColor="text1"/>
          <w:lang w:val="lv-LV"/>
        </w:rPr>
        <w:t> </w:t>
      </w:r>
      <w:r w:rsidRPr="00186716">
        <w:rPr>
          <w:rFonts w:ascii="Verdana Pro Cond Light" w:hAnsi="Verdana Pro Cond Light"/>
          <w:color w:val="000000" w:themeColor="text1"/>
          <w:lang w:val="lv-LV"/>
        </w:rPr>
        <w:t>% kultivētie bioloģiskie aktīvi, atkritumu apsaimniekošanas nozarē jāaizvieto 40</w:t>
      </w:r>
      <w:r>
        <w:rPr>
          <w:rFonts w:ascii="Verdana Pro Cond Light" w:hAnsi="Verdana Pro Cond Light"/>
          <w:color w:val="000000" w:themeColor="text1"/>
          <w:lang w:val="lv-LV"/>
        </w:rPr>
        <w:t> </w:t>
      </w:r>
      <w:r w:rsidRPr="00186716">
        <w:rPr>
          <w:rFonts w:ascii="Verdana Pro Cond Light" w:hAnsi="Verdana Pro Cond Light"/>
          <w:color w:val="000000" w:themeColor="text1"/>
          <w:lang w:val="lv-LV"/>
        </w:rPr>
        <w:t>% no mašīnām un iekārtām nozarē un 10</w:t>
      </w:r>
      <w:r>
        <w:rPr>
          <w:rFonts w:ascii="Verdana Pro Cond Light" w:hAnsi="Verdana Pro Cond Light"/>
          <w:color w:val="000000" w:themeColor="text1"/>
          <w:lang w:val="lv-LV"/>
        </w:rPr>
        <w:t> </w:t>
      </w:r>
      <w:r w:rsidRPr="00186716">
        <w:rPr>
          <w:rFonts w:ascii="Verdana Pro Cond Light" w:hAnsi="Verdana Pro Cond Light"/>
          <w:color w:val="000000" w:themeColor="text1"/>
          <w:lang w:val="lv-LV"/>
        </w:rPr>
        <w:t>% no transportlīdzekļiem.</w:t>
      </w:r>
    </w:p>
    <w:p w14:paraId="5108F6AE" w14:textId="77777777" w:rsidR="00812A72" w:rsidRPr="00186716" w:rsidRDefault="00812A72" w:rsidP="00812A72">
      <w:pPr>
        <w:widowControl/>
        <w:spacing w:after="120" w:line="240" w:lineRule="auto"/>
        <w:rPr>
          <w:rFonts w:ascii="Verdana Pro Cond Light" w:hAnsi="Verdana Pro Cond Light"/>
          <w:color w:val="000000" w:themeColor="text1"/>
          <w:lang w:val="lv-LV"/>
        </w:rPr>
      </w:pPr>
      <w:r w:rsidRPr="00186716">
        <w:rPr>
          <w:rFonts w:ascii="Verdana Pro Cond Light" w:hAnsi="Verdana Pro Cond Light"/>
          <w:color w:val="000000" w:themeColor="text1"/>
          <w:lang w:val="lv-LV"/>
        </w:rPr>
        <w:t>Kopumā investējot jaunajās zaļajās tehnoloģijās un ražošanas procesu energoefektivitātes palielināšanai, būtu jāaizvieto nefinanšu (ražošanas) aktīvi vismaz 10,7 miljrd. eiro vērtībā (rēķinot 2021.</w:t>
      </w:r>
      <w:r>
        <w:rPr>
          <w:rFonts w:ascii="Verdana Pro Cond Light" w:hAnsi="Verdana Pro Cond Light"/>
          <w:color w:val="000000" w:themeColor="text1"/>
          <w:lang w:val="lv-LV"/>
        </w:rPr>
        <w:t> </w:t>
      </w:r>
      <w:r w:rsidRPr="00186716">
        <w:rPr>
          <w:rFonts w:ascii="Verdana Pro Cond Light" w:hAnsi="Verdana Pro Cond Light"/>
          <w:color w:val="000000" w:themeColor="text1"/>
          <w:lang w:val="lv-LV"/>
        </w:rPr>
        <w:t>gada atjaunošanas cenās), kas ir</w:t>
      </w:r>
      <w:r>
        <w:rPr>
          <w:rFonts w:ascii="Verdana Pro Cond Light" w:hAnsi="Verdana Pro Cond Light"/>
          <w:color w:val="000000" w:themeColor="text1"/>
          <w:lang w:val="lv-LV"/>
        </w:rPr>
        <w:t xml:space="preserve"> </w:t>
      </w:r>
      <w:r w:rsidRPr="00186716">
        <w:rPr>
          <w:rFonts w:ascii="Verdana Pro Cond Light" w:hAnsi="Verdana Pro Cond Light"/>
          <w:color w:val="000000" w:themeColor="text1"/>
          <w:lang w:val="lv-LV"/>
        </w:rPr>
        <w:t>aptuveni 32</w:t>
      </w:r>
      <w:r>
        <w:rPr>
          <w:rFonts w:ascii="Verdana Pro Cond Light" w:hAnsi="Verdana Pro Cond Light"/>
          <w:color w:val="000000" w:themeColor="text1"/>
          <w:lang w:val="lv-LV"/>
        </w:rPr>
        <w:t> </w:t>
      </w:r>
      <w:r w:rsidRPr="00186716">
        <w:rPr>
          <w:rFonts w:ascii="Verdana Pro Cond Light" w:hAnsi="Verdana Pro Cond Light"/>
          <w:color w:val="000000" w:themeColor="text1"/>
          <w:lang w:val="lv-LV"/>
        </w:rPr>
        <w:t>% no IKP 2021. gadā.</w:t>
      </w:r>
    </w:p>
    <w:p w14:paraId="5FEC4B46" w14:textId="77777777" w:rsidR="00812A72" w:rsidRPr="00186716" w:rsidRDefault="00812A72" w:rsidP="00812A72">
      <w:pPr>
        <w:widowControl/>
        <w:spacing w:after="120" w:line="240" w:lineRule="auto"/>
        <w:rPr>
          <w:rFonts w:ascii="Verdana Pro Cond Light" w:hAnsi="Verdana Pro Cond Light"/>
          <w:color w:val="000000" w:themeColor="text1"/>
          <w:lang w:val="lv-LV"/>
        </w:rPr>
      </w:pPr>
      <w:r w:rsidRPr="00186716">
        <w:rPr>
          <w:rFonts w:ascii="Verdana Pro Cond Light" w:hAnsi="Verdana Pro Cond Light"/>
          <w:color w:val="000000" w:themeColor="text1"/>
          <w:lang w:val="lv-LV"/>
        </w:rPr>
        <w:t>Jaunu tehnoloģiju iegāde vienā nozarē var prasīt papildus ieguldījumus citā nozarē. Īpaši tas attiecās un investīcijām infrastruktūras pilnveidošanai, nodrošinot tās atbilstību jaunajām tehnoloģijām. Jaunas tehnoloģijas prasīs ieguldījumus cilvēkkapitālā jaunu prasmju apguvei. Tas kopējo tautsaimniecībā nepieciešamo investīciju apjomu palielinās vēl vismaz divas reizes jeb papildus vismaz par 11 miljrd. eiro.</w:t>
      </w:r>
    </w:p>
    <w:p w14:paraId="0710A303" w14:textId="77777777" w:rsidR="00812A72" w:rsidRPr="00186716" w:rsidRDefault="00812A72" w:rsidP="00812A72">
      <w:pPr>
        <w:widowControl/>
        <w:spacing w:after="120" w:line="240" w:lineRule="auto"/>
        <w:rPr>
          <w:rFonts w:ascii="Verdana Pro Cond Light" w:hAnsi="Verdana Pro Cond Light"/>
          <w:color w:val="000000" w:themeColor="text1"/>
          <w:lang w:val="lv-LV"/>
        </w:rPr>
      </w:pPr>
      <w:r w:rsidRPr="00186716">
        <w:rPr>
          <w:rFonts w:ascii="Verdana Pro Cond Light" w:hAnsi="Verdana Pro Cond Light"/>
          <w:color w:val="000000" w:themeColor="text1"/>
          <w:lang w:val="lv-LV"/>
        </w:rPr>
        <w:t>Papildus investīcijas mājokļu renovācijai un energoefektivitātei var prasīt papildus ieguldījumus. Aizstājot tikai 10</w:t>
      </w:r>
      <w:r>
        <w:rPr>
          <w:rFonts w:ascii="Verdana Pro Cond Light" w:hAnsi="Verdana Pro Cond Light"/>
          <w:color w:val="000000" w:themeColor="text1"/>
          <w:lang w:val="lv-LV"/>
        </w:rPr>
        <w:t> </w:t>
      </w:r>
      <w:r w:rsidRPr="00186716">
        <w:rPr>
          <w:rFonts w:ascii="Verdana Pro Cond Light" w:hAnsi="Verdana Pro Cond Light"/>
          <w:color w:val="000000" w:themeColor="text1"/>
          <w:lang w:val="lv-LV"/>
        </w:rPr>
        <w:t>% no esošajiem uzkrātajiem aktīviem, ir nepieciešami gandrīz 10 miljrd. eiro ieguldījumi jeb 30</w:t>
      </w:r>
      <w:r>
        <w:rPr>
          <w:rFonts w:ascii="Verdana Pro Cond Light" w:hAnsi="Verdana Pro Cond Light"/>
          <w:color w:val="000000" w:themeColor="text1"/>
          <w:lang w:val="lv-LV"/>
        </w:rPr>
        <w:t> </w:t>
      </w:r>
      <w:r w:rsidRPr="00186716">
        <w:rPr>
          <w:rFonts w:ascii="Verdana Pro Cond Light" w:hAnsi="Verdana Pro Cond Light"/>
          <w:color w:val="000000" w:themeColor="text1"/>
          <w:lang w:val="lv-LV"/>
        </w:rPr>
        <w:t>% no IKP 2021.</w:t>
      </w:r>
      <w:r>
        <w:rPr>
          <w:rFonts w:ascii="Verdana Pro Cond Light" w:hAnsi="Verdana Pro Cond Light"/>
          <w:color w:val="000000" w:themeColor="text1"/>
          <w:lang w:val="lv-LV"/>
        </w:rPr>
        <w:t> </w:t>
      </w:r>
      <w:r w:rsidRPr="00186716">
        <w:rPr>
          <w:rFonts w:ascii="Verdana Pro Cond Light" w:hAnsi="Verdana Pro Cond Light"/>
          <w:color w:val="000000" w:themeColor="text1"/>
          <w:lang w:val="lv-LV"/>
        </w:rPr>
        <w:t>gadā.</w:t>
      </w:r>
    </w:p>
    <w:p w14:paraId="244A50C1" w14:textId="77777777" w:rsidR="00812A72" w:rsidRPr="00186716" w:rsidRDefault="00812A72" w:rsidP="00812A72">
      <w:pPr>
        <w:widowControl/>
        <w:spacing w:after="120" w:line="240" w:lineRule="auto"/>
        <w:rPr>
          <w:rFonts w:ascii="Verdana Pro Cond Light" w:hAnsi="Verdana Pro Cond Light"/>
          <w:color w:val="000000" w:themeColor="text1"/>
          <w:lang w:val="lv-LV"/>
        </w:rPr>
      </w:pPr>
      <w:r w:rsidRPr="00186716">
        <w:rPr>
          <w:rFonts w:ascii="Verdana Pro Cond Light" w:hAnsi="Verdana Pro Cond Light"/>
          <w:color w:val="000000" w:themeColor="text1"/>
          <w:lang w:val="lv-LV"/>
        </w:rPr>
        <w:t>Līdz ar to kopējās papildus investīcijas straujākai virzībai uz klimatneitralitāti, zaļajām tehnoloģijām un ekonomikas dekarbonizāciju var sasniegt 31,7 miljrd. eiro jeb 95</w:t>
      </w:r>
      <w:r>
        <w:rPr>
          <w:rFonts w:ascii="Verdana Pro Cond Light" w:hAnsi="Verdana Pro Cond Light"/>
          <w:color w:val="000000" w:themeColor="text1"/>
          <w:lang w:val="lv-LV"/>
        </w:rPr>
        <w:t> </w:t>
      </w:r>
      <w:r w:rsidRPr="00186716">
        <w:rPr>
          <w:rFonts w:ascii="Verdana Pro Cond Light" w:hAnsi="Verdana Pro Cond Light"/>
          <w:color w:val="000000" w:themeColor="text1"/>
          <w:lang w:val="lv-LV"/>
        </w:rPr>
        <w:t>% no IKP 2021.</w:t>
      </w:r>
      <w:r>
        <w:rPr>
          <w:rFonts w:ascii="Verdana Pro Cond Light" w:hAnsi="Verdana Pro Cond Light"/>
          <w:color w:val="000000" w:themeColor="text1"/>
          <w:lang w:val="lv-LV"/>
        </w:rPr>
        <w:t> </w:t>
      </w:r>
      <w:r w:rsidRPr="00186716">
        <w:rPr>
          <w:rFonts w:ascii="Verdana Pro Cond Light" w:hAnsi="Verdana Pro Cond Light"/>
          <w:color w:val="000000" w:themeColor="text1"/>
          <w:lang w:val="lv-LV"/>
        </w:rPr>
        <w:t>gada cenās. Investīciju projektu īstenošanas atlikšana uz vēlāku laiku var būtiski ietekmēt to sadārdzināšanos.</w:t>
      </w:r>
    </w:p>
    <w:p w14:paraId="5208CB76" w14:textId="77777777" w:rsidR="00812A72" w:rsidRPr="00186716" w:rsidRDefault="00812A72" w:rsidP="00812A72">
      <w:pPr>
        <w:widowControl/>
        <w:spacing w:after="120" w:line="240" w:lineRule="auto"/>
        <w:rPr>
          <w:rFonts w:ascii="Verdana Pro Cond Light" w:hAnsi="Verdana Pro Cond Light"/>
          <w:color w:val="000000" w:themeColor="text1"/>
          <w:lang w:val="lv-LV"/>
        </w:rPr>
      </w:pPr>
      <w:r w:rsidRPr="00186716">
        <w:rPr>
          <w:rFonts w:ascii="Verdana Pro Cond Light" w:hAnsi="Verdana Pro Cond Light"/>
          <w:color w:val="000000" w:themeColor="text1"/>
          <w:lang w:val="lv-LV"/>
        </w:rPr>
        <w:t>Ja nepieciešamo aktīvu aizvietošanu straujākai virzībai uz klimatneitralitāti, zaļajām tehnoloģijām un ekonomikas dekarbonizāciju, veiktu līdz 2050.</w:t>
      </w:r>
      <w:r>
        <w:rPr>
          <w:rFonts w:ascii="Verdana Pro Cond Light" w:hAnsi="Verdana Pro Cond Light"/>
          <w:color w:val="000000" w:themeColor="text1"/>
          <w:lang w:val="lv-LV"/>
        </w:rPr>
        <w:t> </w:t>
      </w:r>
      <w:r w:rsidRPr="00186716">
        <w:rPr>
          <w:rFonts w:ascii="Verdana Pro Cond Light" w:hAnsi="Verdana Pro Cond Light"/>
          <w:color w:val="000000" w:themeColor="text1"/>
          <w:lang w:val="lv-LV"/>
        </w:rPr>
        <w:t>gadam, būtu nepieciešamas papildus ekonomikas izaugsmes mērķa scenārijā noteiktajam investīciju apjomam veikt ieguldījumus ik gadu 1 – 1,5 % apmērā no IKP faktiskajās cenās.</w:t>
      </w:r>
    </w:p>
    <w:p w14:paraId="3672556B" w14:textId="77777777" w:rsidR="00812A72" w:rsidRDefault="00812A72" w:rsidP="00812A72">
      <w:pPr>
        <w:widowControl/>
        <w:spacing w:after="120" w:line="240" w:lineRule="auto"/>
        <w:rPr>
          <w:rFonts w:ascii="Verdana Pro Cond Light" w:hAnsi="Verdana Pro Cond Light"/>
          <w:lang w:val="lv-LV"/>
        </w:rPr>
      </w:pPr>
      <w:r w:rsidRPr="00186716">
        <w:rPr>
          <w:rFonts w:ascii="Verdana Pro Cond Light" w:hAnsi="Verdana Pro Cond Light"/>
          <w:lang w:val="lv-LV"/>
        </w:rPr>
        <w:t>NEKP pasākumu īstenošana nepieciešamā finansējuma apjomā paredz 6.3 miljardu eiro jaunās naudas ieplūdināšanu Latvijas ekonomikā līdz 2030. gadam ieskaitot, galvenokārt investīciju veidā (kopējais nepieciešamā finansējuma apjoms līdz 2030. gadam pārsniedz 11 miljardus eiro).</w:t>
      </w:r>
    </w:p>
    <w:p w14:paraId="5B43C4C2" w14:textId="59DF963E" w:rsidR="00812A72" w:rsidRDefault="00812A72" w:rsidP="00812A72">
      <w:pPr>
        <w:widowControl/>
        <w:spacing w:after="120" w:line="240" w:lineRule="auto"/>
        <w:rPr>
          <w:rFonts w:ascii="Verdana Pro Cond Light" w:hAnsi="Verdana Pro Cond Light"/>
          <w:lang w:val="lv-LV"/>
        </w:rPr>
      </w:pPr>
      <w:r w:rsidRPr="00186716">
        <w:rPr>
          <w:rFonts w:ascii="Verdana Pro Cond Light" w:hAnsi="Verdana Pro Cond Light"/>
          <w:lang w:val="lv-LV"/>
        </w:rPr>
        <w:t>NEKP pasākumu īstenošanai ir pozitīva ietekme uz iekšzemes kopproduktu. Reālā IKP līmenis 2050. gadā ir par 7,</w:t>
      </w:r>
      <w:r w:rsidR="00254D20">
        <w:rPr>
          <w:rFonts w:ascii="Verdana Pro Cond Light" w:hAnsi="Verdana Pro Cond Light"/>
          <w:lang w:val="lv-LV"/>
        </w:rPr>
        <w:t>7</w:t>
      </w:r>
      <w:r>
        <w:rPr>
          <w:rFonts w:ascii="Verdana Pro Cond Light" w:hAnsi="Verdana Pro Cond Light"/>
          <w:lang w:val="lv-LV"/>
        </w:rPr>
        <w:t> </w:t>
      </w:r>
      <w:r w:rsidRPr="00186716">
        <w:rPr>
          <w:rFonts w:ascii="Verdana Pro Cond Light" w:hAnsi="Verdana Pro Cond Light"/>
          <w:lang w:val="lv-LV"/>
        </w:rPr>
        <w:t>% lielāks nekā neīstenojot NEKP pasākumus nepieciešamā finansējuma apjomā. No IKP komponentēm visvairāk palielinās investīcijas (vairāk nekā par 10</w:t>
      </w:r>
      <w:r>
        <w:rPr>
          <w:rFonts w:ascii="Verdana Pro Cond Light" w:hAnsi="Verdana Pro Cond Light"/>
          <w:lang w:val="lv-LV"/>
        </w:rPr>
        <w:t> </w:t>
      </w:r>
      <w:r w:rsidRPr="00186716">
        <w:rPr>
          <w:rFonts w:ascii="Verdana Pro Cond Light" w:hAnsi="Verdana Pro Cond Light"/>
          <w:lang w:val="lv-LV"/>
        </w:rPr>
        <w:t>%); pozitīva ietekme ir arī uz privāto patēriņu. Īstermiņā investīciju pieaugums izspiež eksportu un palielina importu, tādējādi pasliktinot tirdzniecības bilanci par 2,0 procentu punktiem no IKP. Ilgtermiņā ekonomikas potenciāla stiprināšanas ietekmē eksports tomēr pieaug vairāk par importu, uzlabojot tirdzniecības bilanci par 1,</w:t>
      </w:r>
      <w:r w:rsidR="00254D20">
        <w:rPr>
          <w:rFonts w:ascii="Verdana Pro Cond Light" w:hAnsi="Verdana Pro Cond Light"/>
          <w:lang w:val="lv-LV"/>
        </w:rPr>
        <w:t>7</w:t>
      </w:r>
      <w:r w:rsidRPr="00186716">
        <w:rPr>
          <w:rFonts w:ascii="Verdana Pro Cond Light" w:hAnsi="Verdana Pro Cond Light"/>
          <w:lang w:val="lv-LV"/>
        </w:rPr>
        <w:t xml:space="preserve"> procentu punktiem no IKP.</w:t>
      </w:r>
    </w:p>
    <w:p w14:paraId="51E02CFA" w14:textId="7DDD2135" w:rsidR="00812A72" w:rsidRPr="004214A9" w:rsidRDefault="00812A72" w:rsidP="0069037D">
      <w:pPr>
        <w:widowControl/>
        <w:spacing w:after="120" w:line="240" w:lineRule="auto"/>
        <w:rPr>
          <w:rFonts w:ascii="Verdana Pro Cond Light" w:hAnsi="Verdana Pro Cond Light"/>
          <w:lang w:val="lv-LV"/>
        </w:rPr>
      </w:pPr>
      <w:r w:rsidRPr="004214A9">
        <w:rPr>
          <w:rFonts w:ascii="Verdana Pro Cond Light" w:hAnsi="Verdana Pro Cond Light"/>
          <w:lang w:val="lv-LV"/>
        </w:rPr>
        <w:t>NEKP pasākumu īstenošanai ir pozitīva ietekme uz produktivitāti, palielinās arī nodarbinātība. Nodarbināto skaits 2050. gadā ir par 4,</w:t>
      </w:r>
      <w:r w:rsidR="00254D20">
        <w:rPr>
          <w:rFonts w:ascii="Verdana Pro Cond Light" w:hAnsi="Verdana Pro Cond Light"/>
          <w:lang w:val="lv-LV"/>
        </w:rPr>
        <w:t>8</w:t>
      </w:r>
      <w:r>
        <w:rPr>
          <w:rFonts w:ascii="Verdana Pro Cond Light" w:hAnsi="Verdana Pro Cond Light"/>
          <w:lang w:val="lv-LV"/>
        </w:rPr>
        <w:t> </w:t>
      </w:r>
      <w:r w:rsidRPr="004214A9">
        <w:rPr>
          <w:rFonts w:ascii="Verdana Pro Cond Light" w:hAnsi="Verdana Pro Cond Light"/>
          <w:lang w:val="lv-LV"/>
        </w:rPr>
        <w:t xml:space="preserve">% lielāks nekā neīstenojot NEKP pasākumus un bezdarba līmenis mazāks par </w:t>
      </w:r>
      <w:r w:rsidR="00254D20">
        <w:rPr>
          <w:rFonts w:ascii="Verdana Pro Cond Light" w:hAnsi="Verdana Pro Cond Light"/>
          <w:lang w:val="lv-LV"/>
        </w:rPr>
        <w:t>3</w:t>
      </w:r>
      <w:r w:rsidRPr="004214A9">
        <w:rPr>
          <w:rFonts w:ascii="Verdana Pro Cond Light" w:hAnsi="Verdana Pro Cond Light"/>
          <w:lang w:val="lv-LV"/>
        </w:rPr>
        <w:t>,</w:t>
      </w:r>
      <w:r w:rsidR="00254D20">
        <w:rPr>
          <w:rFonts w:ascii="Verdana Pro Cond Light" w:hAnsi="Verdana Pro Cond Light"/>
          <w:lang w:val="lv-LV"/>
        </w:rPr>
        <w:t>0</w:t>
      </w:r>
      <w:r w:rsidRPr="004214A9">
        <w:rPr>
          <w:rFonts w:ascii="Verdana Pro Cond Light" w:hAnsi="Verdana Pro Cond Light"/>
          <w:lang w:val="lv-LV"/>
        </w:rPr>
        <w:t xml:space="preserve"> procentu punktiem no ekonomiski aktīvajiem iedzīvotājiem. Ņemot vērā, ka bezdarba līmenis ir zems jau tagad, NEKP pasākumu īstenošana var intensificēt </w:t>
      </w:r>
      <w:r w:rsidRPr="004214A9">
        <w:rPr>
          <w:rFonts w:ascii="Verdana Pro Cond Light" w:hAnsi="Verdana Pro Cond Light"/>
          <w:lang w:val="lv-LV"/>
        </w:rPr>
        <w:lastRenderedPageBreak/>
        <w:t xml:space="preserve">darbaroku trūkumu Latvijas ekonomikā un mazināt bezdarbu zem tā dabiskā līmeņa. </w:t>
      </w:r>
      <w:r w:rsidR="00242ACB">
        <w:rPr>
          <w:rFonts w:ascii="Verdana Pro Cond Light" w:hAnsi="Verdana Pro Cond Light"/>
          <w:lang w:val="lv-LV"/>
        </w:rPr>
        <w:t xml:space="preserve">It īpaši situācijā, kad vienlaicīgi ar NEKP pasākumiem tiek īstenoti arī citi lielie investīciju projekti (piemēram, Rail Baltica). </w:t>
      </w:r>
      <w:r w:rsidRPr="004214A9">
        <w:rPr>
          <w:rFonts w:ascii="Verdana Pro Cond Light" w:hAnsi="Verdana Pro Cond Light"/>
          <w:lang w:val="lv-LV"/>
        </w:rPr>
        <w:t>Lai mazinātu ekonomikas pārkaršanas riskus, lielu NEKP investīciju pasākumu īstenošanas laikā var rasties nepieciešamība palielināt ekonomiski aktīvo iedzīvotāju skaitu – piemēram, veicinot ekonomiski neaktīvu Latvijas iedzīvotāju atgriešanu darba tirgū vai augsti kvalificēto speciālistu imigrāciju.</w:t>
      </w:r>
    </w:p>
    <w:p w14:paraId="202A5F3E" w14:textId="77777777" w:rsidR="00812A72" w:rsidRPr="004214A9" w:rsidRDefault="00812A72" w:rsidP="0069037D">
      <w:pPr>
        <w:widowControl/>
        <w:spacing w:after="120" w:line="240" w:lineRule="auto"/>
        <w:rPr>
          <w:rFonts w:ascii="Verdana Pro Cond Light" w:hAnsi="Verdana Pro Cond Light"/>
          <w:lang w:val="lv-LV"/>
        </w:rPr>
      </w:pPr>
      <w:r w:rsidRPr="004214A9">
        <w:rPr>
          <w:rFonts w:ascii="Verdana Pro Cond Light" w:hAnsi="Verdana Pro Cond Light"/>
          <w:lang w:val="lv-LV"/>
        </w:rPr>
        <w:t>Lielāks darbaspēka pieprasījums nosaka arī augstākas algas. Īstermiņā šo algas pieaugumu var kompensēt augstāka inflācija (tautsaimniecības augšupejas ietekmē), taču ilgtermiņā ietekme uz cenu līmeni ir negatīva, jo papildu investīcijas vairo tautsaimniecības kapacitāti jeb potenciālo IKP. Tādējādi ietekme uz reālo algu (t.i., vidējās algas pirktspēju) ilgtermiņā ir pozitīva.</w:t>
      </w:r>
    </w:p>
    <w:p w14:paraId="1494A0FF" w14:textId="03E2EAD3" w:rsidR="00812A72" w:rsidRPr="004214A9" w:rsidRDefault="00812A72" w:rsidP="0069037D">
      <w:pPr>
        <w:widowControl/>
        <w:spacing w:after="120" w:line="240" w:lineRule="auto"/>
        <w:rPr>
          <w:rFonts w:ascii="Verdana Pro Cond Light" w:hAnsi="Verdana Pro Cond Light"/>
          <w:lang w:val="lv-LV"/>
        </w:rPr>
      </w:pPr>
      <w:r w:rsidRPr="004214A9">
        <w:rPr>
          <w:rFonts w:ascii="Verdana Pro Cond Light" w:hAnsi="Verdana Pro Cond Light"/>
          <w:lang w:val="lv-LV"/>
        </w:rPr>
        <w:t xml:space="preserve">Augstāks IKP un īstermiņā arī lielāks cenu līmenis nosaka pozitīvu NEKP pasākumu ietekmi uz valsts budžeta ieņēmumiem, t.sk. uz nodokļu ieņēmumiem. Valsts budžeta ieņēmumi 2050. gadā ir par </w:t>
      </w:r>
      <w:r w:rsidR="00254D20">
        <w:rPr>
          <w:rFonts w:ascii="Verdana Pro Cond Light" w:hAnsi="Verdana Pro Cond Light"/>
          <w:lang w:val="lv-LV"/>
        </w:rPr>
        <w:t>5</w:t>
      </w:r>
      <w:r w:rsidRPr="004214A9">
        <w:rPr>
          <w:rFonts w:ascii="Verdana Pro Cond Light" w:hAnsi="Verdana Pro Cond Light"/>
          <w:lang w:val="lv-LV"/>
        </w:rPr>
        <w:t>,</w:t>
      </w:r>
      <w:r w:rsidR="00254D20">
        <w:rPr>
          <w:rFonts w:ascii="Verdana Pro Cond Light" w:hAnsi="Verdana Pro Cond Light"/>
          <w:lang w:val="lv-LV"/>
        </w:rPr>
        <w:t>2</w:t>
      </w:r>
      <w:r>
        <w:rPr>
          <w:rFonts w:ascii="Verdana Pro Cond Light" w:hAnsi="Verdana Pro Cond Light"/>
          <w:lang w:val="lv-LV"/>
        </w:rPr>
        <w:t> </w:t>
      </w:r>
      <w:r w:rsidRPr="004214A9">
        <w:rPr>
          <w:rFonts w:ascii="Verdana Pro Cond Light" w:hAnsi="Verdana Pro Cond Light"/>
          <w:lang w:val="lv-LV"/>
        </w:rPr>
        <w:t>% lielāki nekā bāzes scenārijā. Nozaru dalījumā - pieaug visu nozaru pievienotā vērtība.</w:t>
      </w:r>
    </w:p>
    <w:p w14:paraId="24F11774" w14:textId="5BFA015B" w:rsidR="00812A72" w:rsidRPr="004214A9" w:rsidRDefault="00812A72" w:rsidP="0069037D">
      <w:pPr>
        <w:spacing w:after="120" w:line="240" w:lineRule="auto"/>
        <w:rPr>
          <w:rFonts w:ascii="Verdana Pro Cond Light" w:hAnsi="Verdana Pro Cond Light"/>
          <w:lang w:val="lv-LV"/>
        </w:rPr>
      </w:pPr>
      <w:r w:rsidRPr="004214A9">
        <w:rPr>
          <w:rFonts w:ascii="Verdana Pro Cond Light" w:hAnsi="Verdana Pro Cond Light"/>
          <w:lang w:val="lv-LV"/>
        </w:rPr>
        <w:t>Savukārt NEKP pasākumu īstenošana iezīmētā finansējuma apjomā paredz jaunās naudas iepludināšanu Latvijas ekonomikā līdz 2030. gadam ieskaitot 1</w:t>
      </w:r>
      <w:r>
        <w:rPr>
          <w:rFonts w:ascii="Verdana Pro Cond Light" w:hAnsi="Verdana Pro Cond Light"/>
          <w:lang w:val="lv-LV"/>
        </w:rPr>
        <w:t>,</w:t>
      </w:r>
      <w:r w:rsidRPr="004214A9">
        <w:rPr>
          <w:rFonts w:ascii="Verdana Pro Cond Light" w:hAnsi="Verdana Pro Cond Light"/>
          <w:lang w:val="lv-LV"/>
        </w:rPr>
        <w:t>0 miljarda eiro apmērā (kopējais iezīmētā finansējuma apjoms līdz 2030. gadam pārsniedz 1</w:t>
      </w:r>
      <w:r>
        <w:rPr>
          <w:rFonts w:ascii="Verdana Pro Cond Light" w:hAnsi="Verdana Pro Cond Light"/>
          <w:lang w:val="lv-LV"/>
        </w:rPr>
        <w:t>,</w:t>
      </w:r>
      <w:r w:rsidRPr="004214A9">
        <w:rPr>
          <w:rFonts w:ascii="Verdana Pro Cond Light" w:hAnsi="Verdana Pro Cond Light"/>
          <w:lang w:val="lv-LV"/>
        </w:rPr>
        <w:t xml:space="preserve">8 miljardus eiro). Reālā IKP līmenis 2050. gadā ir par </w:t>
      </w:r>
      <w:r w:rsidR="00254D20">
        <w:rPr>
          <w:rFonts w:ascii="Verdana Pro Cond Light" w:hAnsi="Verdana Pro Cond Light"/>
          <w:lang w:val="lv-LV"/>
        </w:rPr>
        <w:t>1</w:t>
      </w:r>
      <w:r w:rsidRPr="004214A9">
        <w:rPr>
          <w:rFonts w:ascii="Verdana Pro Cond Light" w:hAnsi="Verdana Pro Cond Light"/>
          <w:lang w:val="lv-LV"/>
        </w:rPr>
        <w:t>,</w:t>
      </w:r>
      <w:r w:rsidR="00254D20">
        <w:rPr>
          <w:rFonts w:ascii="Verdana Pro Cond Light" w:hAnsi="Verdana Pro Cond Light"/>
          <w:lang w:val="lv-LV"/>
        </w:rPr>
        <w:t>3</w:t>
      </w:r>
      <w:r>
        <w:rPr>
          <w:rFonts w:ascii="Verdana Pro Cond Light" w:hAnsi="Verdana Pro Cond Light"/>
          <w:lang w:val="lv-LV"/>
        </w:rPr>
        <w:t> </w:t>
      </w:r>
      <w:r w:rsidRPr="004214A9">
        <w:rPr>
          <w:rFonts w:ascii="Verdana Pro Cond Light" w:hAnsi="Verdana Pro Cond Light"/>
          <w:lang w:val="lv-LV"/>
        </w:rPr>
        <w:t xml:space="preserve">% lielāks nekā neīstenojot NEKP pasākumus iezīmētā finansējuma apjomā. Kopējā ietekme uz Latvijas darba tirgu nav liela, tādējādi NEKP pasākumu īstenošanai iezīmētā finansējuma apjomā nav būtisku ekonomikas pārkaršanas risku. </w:t>
      </w:r>
    </w:p>
    <w:p w14:paraId="501D7530" w14:textId="77777777" w:rsidR="00812A72" w:rsidRPr="00537DE7" w:rsidRDefault="00812A72" w:rsidP="0069037D">
      <w:pPr>
        <w:widowControl/>
        <w:spacing w:after="120" w:line="240" w:lineRule="auto"/>
        <w:rPr>
          <w:rFonts w:ascii="Verdana Pro Cond Light" w:hAnsi="Verdana Pro Cond Light" w:cs="Arial"/>
          <w:b/>
          <w:bCs/>
          <w:lang w:val="lv-LV"/>
        </w:rPr>
      </w:pPr>
    </w:p>
    <w:p w14:paraId="1525872F" w14:textId="77777777" w:rsidR="00812A72" w:rsidRPr="00537DE7" w:rsidRDefault="00812A72" w:rsidP="0069037D">
      <w:pPr>
        <w:widowControl/>
        <w:spacing w:after="120" w:line="240" w:lineRule="auto"/>
        <w:rPr>
          <w:rFonts w:ascii="Verdana Pro Cond Light" w:hAnsi="Verdana Pro Cond Light" w:cs="Arial"/>
          <w:b/>
          <w:bCs/>
          <w:lang w:val="lv-LV"/>
        </w:rPr>
      </w:pPr>
      <w:r w:rsidRPr="00537DE7">
        <w:rPr>
          <w:rFonts w:ascii="Verdana Pro Cond Light" w:hAnsi="Verdana Pro Cond Light" w:cs="Arial"/>
          <w:b/>
          <w:bCs/>
          <w:lang w:val="lv-LV"/>
        </w:rPr>
        <w:t>Rekomendācijas</w:t>
      </w:r>
    </w:p>
    <w:p w14:paraId="5BBFDA42" w14:textId="77777777" w:rsidR="00812A72" w:rsidRPr="008E154D" w:rsidRDefault="00812A72" w:rsidP="0069037D">
      <w:pPr>
        <w:spacing w:after="120" w:line="240" w:lineRule="auto"/>
        <w:rPr>
          <w:rFonts w:ascii="Verdana Pro Cond Light" w:hAnsi="Verdana Pro Cond Light" w:cs="Arial"/>
          <w:lang w:val="lv-LV"/>
        </w:rPr>
      </w:pPr>
      <w:r w:rsidRPr="008E154D">
        <w:rPr>
          <w:rFonts w:ascii="Verdana Pro Cond Light" w:hAnsi="Verdana Pro Cond Light" w:cs="Arial"/>
          <w:lang w:val="lv-LV"/>
        </w:rPr>
        <w:t>Pievērst uzmanību PEP ikgadējā aktuālo problēmu monitoringa rezultātiem, iespēju robežās ieviešot lielāku skaidrību attiecībā uz politikas veidotāja plāniem aptaujā pieminētajos virzienos, kā arī iesaistoties aktivitātēs, kuras ir izceltas kā galvenās rīcības prioritātes.</w:t>
      </w:r>
    </w:p>
    <w:p w14:paraId="6A24FB0D" w14:textId="77777777" w:rsidR="00812A72" w:rsidRPr="008E154D" w:rsidRDefault="00812A72" w:rsidP="0069037D">
      <w:pPr>
        <w:spacing w:after="120" w:line="240" w:lineRule="auto"/>
        <w:rPr>
          <w:rFonts w:ascii="Verdana Pro Cond Light" w:hAnsi="Verdana Pro Cond Light" w:cs="Arial"/>
          <w:lang w:val="lv-LV"/>
        </w:rPr>
      </w:pPr>
      <w:r w:rsidRPr="008E154D">
        <w:rPr>
          <w:rFonts w:ascii="Verdana Pro Cond Light" w:hAnsi="Verdana Pro Cond Light" w:cs="Arial"/>
          <w:lang w:val="lv-LV"/>
        </w:rPr>
        <w:t xml:space="preserve">Nodrošināt pasākumus uzņēmēju </w:t>
      </w:r>
      <w:r w:rsidRPr="008E154D">
        <w:rPr>
          <w:rFonts w:ascii="Verdana Pro Cond Light" w:hAnsi="Verdana Pro Cond Light"/>
          <w:lang w:val="lv-LV"/>
        </w:rPr>
        <w:t>informētības un organizatorisko prasmju uzlabošanai, lai maksimizētu ieguvumus no Zaļā kursa. Kā arī nodrošināt koordinētu pieeju starp Zaļo kursu saistītiem pasākumiem/pienākumiem, kurus virza dažādas organizācijas.</w:t>
      </w:r>
    </w:p>
    <w:p w14:paraId="27C02333" w14:textId="77777777" w:rsidR="00812A72" w:rsidRPr="008E154D" w:rsidRDefault="00812A72" w:rsidP="0069037D">
      <w:pPr>
        <w:spacing w:after="120" w:line="240" w:lineRule="auto"/>
        <w:rPr>
          <w:rFonts w:ascii="Verdana Pro Cond Light" w:hAnsi="Verdana Pro Cond Light" w:cs="Arial"/>
          <w:lang w:val="lv-LV"/>
        </w:rPr>
      </w:pPr>
      <w:r w:rsidRPr="008E154D">
        <w:rPr>
          <w:rFonts w:ascii="Verdana Pro Cond Light" w:hAnsi="Verdana Pro Cond Light"/>
          <w:lang w:val="lv-LV"/>
        </w:rPr>
        <w:t xml:space="preserve">M.Dragi ziņojumā ir izceltas vairākas rekomendācijas, kas ir būtiskas arī Latvijas enerģētikas pārejas veiksmīgai īstenošanai. Kā galvenos rīcības virzienus var minēt: </w:t>
      </w:r>
      <w:r w:rsidRPr="008E154D">
        <w:rPr>
          <w:rFonts w:ascii="Verdana Pro Cond Light" w:hAnsi="Verdana Pro Cond Light" w:cs="Arial"/>
          <w:lang w:val="lv-LV"/>
        </w:rPr>
        <w:t>samazināt enerģijas izmaksas galalietotājiem, pilnībā izmantojot enerģētikas dekarbonizācijas priekšrocības; paātrināt dekarbonizāciju rentablā veidā, izmantojot tehnoloģiski neitrālu pieeju; vērst valstu uzmanību uz tīklu attīstību, t.sk. paātrinot atļauju piešķiršanas procedūras, nodrošināt Enerģētikas savienības pārvaldību un politiku koordināciju, izstrādāt rīcības plānu rūpniecības nozarei u.c.</w:t>
      </w:r>
    </w:p>
    <w:p w14:paraId="11133093" w14:textId="77777777" w:rsidR="00812A72" w:rsidRPr="008E154D" w:rsidRDefault="00812A72" w:rsidP="0069037D">
      <w:pPr>
        <w:spacing w:after="120" w:line="240" w:lineRule="auto"/>
        <w:rPr>
          <w:rFonts w:ascii="Verdana Pro Cond Light" w:hAnsi="Verdana Pro Cond Light" w:cs="Arial"/>
          <w:lang w:val="lv-LV"/>
        </w:rPr>
      </w:pPr>
      <w:r w:rsidRPr="008E154D">
        <w:rPr>
          <w:rFonts w:ascii="Verdana Pro Cond Light" w:hAnsi="Verdana Pro Cond Light" w:cs="Arial"/>
          <w:lang w:val="lv-LV"/>
        </w:rPr>
        <w:t>Plānojot Zaļā kursa finansējumu, rekomendējams izmantot t.sk. arī citu valstu pieredzi un lielāku uzsvaru likt tieši uz privātajām investīcijām, paredzot publiskā finansējuma iesaisti līdz vienai trešdaļai no kopējām nepieciešamām investīcijām. Vienlaikus sekmīgai Zaļā kursa mērķu sasniegšanai investīciju kopējais apmērs Latvijas gadījumā varētu būt robežās 1-2</w:t>
      </w:r>
      <w:r>
        <w:rPr>
          <w:rFonts w:ascii="Verdana Pro Cond Light" w:hAnsi="Verdana Pro Cond Light" w:cs="Arial"/>
          <w:lang w:val="lv-LV"/>
        </w:rPr>
        <w:t> </w:t>
      </w:r>
      <w:r w:rsidRPr="008E154D">
        <w:rPr>
          <w:rFonts w:ascii="Verdana Pro Cond Light" w:hAnsi="Verdana Pro Cond Light" w:cs="Arial"/>
          <w:lang w:val="lv-LV"/>
        </w:rPr>
        <w:t>% no IKP. Veicot investīcijas, svarīgi nodrošināt maksimālo ekonomisko atdevi no zaļajām investīcijām ilgtermiņā, nevis vienkārši nodrošinot Zaļā kursa mērķu pienākuma izpildi.</w:t>
      </w:r>
    </w:p>
    <w:p w14:paraId="283B3119" w14:textId="060D9A63" w:rsidR="00812A72" w:rsidRPr="008E154D" w:rsidRDefault="00812A72" w:rsidP="0069037D">
      <w:pPr>
        <w:spacing w:after="120" w:line="240" w:lineRule="auto"/>
        <w:rPr>
          <w:rFonts w:ascii="Verdana Pro Cond Light" w:hAnsi="Verdana Pro Cond Light"/>
          <w:lang w:val="lv-LV"/>
        </w:rPr>
      </w:pPr>
      <w:r w:rsidRPr="008E154D">
        <w:rPr>
          <w:rFonts w:ascii="Verdana Pro Cond Light" w:hAnsi="Verdana Pro Cond Light"/>
          <w:lang w:val="lv-LV"/>
        </w:rPr>
        <w:t>Tālākā darbā būtu lietderīgi uzlabot ievadinformāciju, precīzāk definējot investīciju iespējamos avotus, kā arī pilnveidojot pašus NEKP pasākumus, veikt precizētu ietekmju analīzi ar VLA. Izmantojot piedāvāto pieeju, iespējams arī detalizētāk modelēt Transporta enerģijas likuma sociāli ekonomiskās ietekmes, kā arī analizēt klimatneitralitātes sasniegšanas scenāriju sociāli ekonomiskās ietekmes, kad šādi scenāriji būs izstrādāti ar klimata enerģētikas modeli.</w:t>
      </w:r>
    </w:p>
    <w:p w14:paraId="01D760AE" w14:textId="77777777" w:rsidR="00812A72" w:rsidRPr="008E154D" w:rsidRDefault="00812A72" w:rsidP="003C2C92">
      <w:pPr>
        <w:widowControl/>
        <w:spacing w:after="120" w:line="240" w:lineRule="auto"/>
        <w:rPr>
          <w:rFonts w:ascii="Verdana Pro Cond Light" w:hAnsi="Verdana Pro Cond Light"/>
          <w:lang w:val="lv-LV"/>
        </w:rPr>
      </w:pPr>
      <w:r w:rsidRPr="008E154D">
        <w:rPr>
          <w:rFonts w:ascii="Verdana Pro Cond Light" w:hAnsi="Verdana Pro Cond Light"/>
          <w:color w:val="000000" w:themeColor="text1"/>
          <w:lang w:val="lv-LV"/>
        </w:rPr>
        <w:t xml:space="preserve">Lai sasniegtu izvirzītos klimata mērķus, nodrošināt plašāku privātā sektora iesaisti </w:t>
      </w:r>
      <w:r w:rsidRPr="008E154D">
        <w:rPr>
          <w:rFonts w:ascii="Verdana Pro Cond Light" w:hAnsi="Verdana Pro Cond Light"/>
          <w:lang w:val="lv-LV"/>
        </w:rPr>
        <w:t>gan uzlabojot stimulu sistēmu (nodokļi, subsīdijas u.c.), gan arī paplašinot finansēšanas avotus (kreditēšana, kapitāla tirgus, valsts privātā partnerība u.c.).</w:t>
      </w:r>
    </w:p>
    <w:p w14:paraId="3EA4A976" w14:textId="77777777" w:rsidR="00812A72" w:rsidRPr="008E154D" w:rsidRDefault="00812A72" w:rsidP="003C2C92">
      <w:pPr>
        <w:spacing w:after="120" w:line="240" w:lineRule="auto"/>
        <w:rPr>
          <w:rFonts w:ascii="Verdana Pro Cond Light" w:eastAsia="Times New Roman" w:hAnsi="Verdana Pro Cond Light"/>
          <w:color w:val="000000"/>
          <w:lang w:val="lv-LV" w:eastAsia="lv-LV"/>
        </w:rPr>
      </w:pPr>
      <w:r w:rsidRPr="008E154D">
        <w:rPr>
          <w:rFonts w:ascii="Verdana Pro Cond Light" w:hAnsi="Verdana Pro Cond Light"/>
          <w:lang w:val="lv-LV"/>
        </w:rPr>
        <w:t xml:space="preserve">Uzlabot klimata pārmaiņām izdalīto līdzekļu uzskaites sistēmu (arī retrospektīvi par iepriekšējajiem gadiem), ieviešot “zaļā budžeta” marķēšanu Latvijā, kura palīdzēs </w:t>
      </w:r>
      <w:r w:rsidRPr="008E154D">
        <w:rPr>
          <w:rFonts w:ascii="Verdana Pro Cond Light" w:hAnsi="Verdana Pro Cond Light"/>
          <w:color w:val="212529"/>
          <w:shd w:val="clear" w:color="auto" w:fill="FFFFFF"/>
          <w:lang w:val="lv-LV"/>
        </w:rPr>
        <w:t>saskaņot izdevumu un ieņēmumu plānošanu ar klimata un vides mērķiem</w:t>
      </w:r>
      <w:r w:rsidRPr="008E154D">
        <w:rPr>
          <w:rFonts w:ascii="Verdana Pro Cond Light" w:eastAsia="Times New Roman" w:hAnsi="Verdana Pro Cond Light"/>
          <w:color w:val="000000"/>
          <w:lang w:val="lv-LV" w:eastAsia="lv-LV"/>
        </w:rPr>
        <w:t>.</w:t>
      </w:r>
    </w:p>
    <w:p w14:paraId="4E05DAD3" w14:textId="77777777" w:rsidR="00812A72" w:rsidRPr="008E154D" w:rsidRDefault="00812A72" w:rsidP="003C2C92">
      <w:pPr>
        <w:spacing w:after="120" w:line="240" w:lineRule="auto"/>
        <w:rPr>
          <w:rFonts w:ascii="Verdana Pro Cond Light" w:hAnsi="Verdana Pro Cond Light"/>
          <w:lang w:val="lv-LV"/>
        </w:rPr>
      </w:pPr>
      <w:r w:rsidRPr="008E154D">
        <w:rPr>
          <w:rFonts w:ascii="Verdana Pro Cond Light" w:hAnsi="Verdana Pro Cond Light"/>
          <w:lang w:val="lv-LV"/>
        </w:rPr>
        <w:t xml:space="preserve">Tā kā plānotās darbības un pieejamais finansējums nav pietiekams, lai sasniegtu 2030. gada </w:t>
      </w:r>
      <w:r w:rsidRPr="008E154D">
        <w:rPr>
          <w:rFonts w:ascii="Verdana Pro Cond Light" w:hAnsi="Verdana Pro Cond Light"/>
          <w:lang w:val="lv-LV"/>
        </w:rPr>
        <w:lastRenderedPageBreak/>
        <w:t>kopīgo centienu mērķrādītāju, politiski izvērtēt prioritātes ar viss lielāko efektu un tās prioritāri finansēt.</w:t>
      </w:r>
    </w:p>
    <w:p w14:paraId="51A8C205" w14:textId="77777777" w:rsidR="00812A72" w:rsidRPr="008E154D" w:rsidRDefault="00812A72" w:rsidP="003C2C92">
      <w:pPr>
        <w:spacing w:after="120" w:line="240" w:lineRule="auto"/>
        <w:rPr>
          <w:rFonts w:ascii="Verdana Pro Cond Light" w:hAnsi="Verdana Pro Cond Light"/>
          <w:lang w:val="lv-LV"/>
        </w:rPr>
      </w:pPr>
      <w:r w:rsidRPr="008E154D">
        <w:rPr>
          <w:rFonts w:ascii="Verdana Pro Cond Light" w:hAnsi="Verdana Pro Cond Light"/>
          <w:lang w:val="lv-LV"/>
        </w:rPr>
        <w:t xml:space="preserve">Turpināt analizēt </w:t>
      </w:r>
      <w:r w:rsidRPr="008E154D">
        <w:rPr>
          <w:rFonts w:ascii="Verdana Pro Cond Light" w:hAnsi="Verdana Pro Cond Light"/>
          <w:color w:val="000000"/>
          <w:lang w:val="lv-LV"/>
        </w:rPr>
        <w:t xml:space="preserve">Latvijas </w:t>
      </w:r>
      <w:r w:rsidRPr="008E154D">
        <w:rPr>
          <w:rFonts w:ascii="Verdana Pro Cond Light" w:hAnsi="Verdana Pro Cond Light"/>
          <w:lang w:val="lv-LV"/>
        </w:rPr>
        <w:t xml:space="preserve">ekonomikas dekarbonizācijai nepieciešamos </w:t>
      </w:r>
      <w:r w:rsidRPr="008E154D">
        <w:rPr>
          <w:rFonts w:ascii="Verdana Pro Cond Light" w:hAnsi="Verdana Pro Cond Light"/>
          <w:color w:val="000000"/>
          <w:lang w:val="lv-LV"/>
        </w:rPr>
        <w:t>līdzekļus, prioritātes, stimulus u.c., tai skaitā,</w:t>
      </w:r>
      <w:r w:rsidRPr="008E154D">
        <w:rPr>
          <w:rFonts w:ascii="Verdana Pro Cond Light" w:hAnsi="Verdana Pro Cond Light"/>
          <w:lang w:val="lv-LV"/>
        </w:rPr>
        <w:t xml:space="preserve"> pilnveidojot konceptuālo pieņēmumu, ka klimata neitrālas ekonomikas mērķa sasniegšanai ir nepieciešams aizvietot SEG emisiju ietilpīgus aktīvus, kā arī palielināt esošo aktīvu energoefektivitāti.</w:t>
      </w:r>
    </w:p>
    <w:p w14:paraId="4C506178" w14:textId="77777777" w:rsidR="00D804CB" w:rsidRPr="00186716" w:rsidRDefault="00D804CB" w:rsidP="003C2C92">
      <w:pPr>
        <w:widowControl/>
        <w:spacing w:after="120" w:line="240" w:lineRule="auto"/>
        <w:rPr>
          <w:rFonts w:ascii="Verdana Pro Cond Light" w:hAnsi="Verdana Pro Cond Light"/>
          <w:lang w:val="lv-LV"/>
        </w:rPr>
      </w:pPr>
    </w:p>
    <w:sectPr w:rsidR="00D804CB" w:rsidRPr="00186716" w:rsidSect="000360AF">
      <w:footerReference w:type="default" r:id="rId144"/>
      <w:pgSz w:w="11906" w:h="16838" w:code="9"/>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70B31E" w14:textId="77777777" w:rsidR="00B06983" w:rsidRDefault="00B06983" w:rsidP="00AF76EA">
      <w:pPr>
        <w:spacing w:after="0" w:line="240" w:lineRule="auto"/>
      </w:pPr>
      <w:r>
        <w:separator/>
      </w:r>
    </w:p>
  </w:endnote>
  <w:endnote w:type="continuationSeparator" w:id="0">
    <w:p w14:paraId="2A191626" w14:textId="77777777" w:rsidR="00B06983" w:rsidRDefault="00B06983" w:rsidP="00AF76EA">
      <w:pPr>
        <w:spacing w:after="0" w:line="240" w:lineRule="auto"/>
      </w:pPr>
      <w:r>
        <w:continuationSeparator/>
      </w:r>
    </w:p>
  </w:endnote>
  <w:endnote w:type="continuationNotice" w:id="1">
    <w:p w14:paraId="1AD46613" w14:textId="77777777" w:rsidR="00B06983" w:rsidRDefault="00B0698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Nova Cond">
    <w:altName w:val="Arial"/>
    <w:charset w:val="00"/>
    <w:family w:val="swiss"/>
    <w:pitch w:val="variable"/>
    <w:sig w:usb0="0000028F" w:usb1="00000002" w:usb2="00000000" w:usb3="00000000" w:csb0="0000019F" w:csb1="00000000"/>
  </w:font>
  <w:font w:name="Verdana Pro Cond Light">
    <w:altName w:val="Arial"/>
    <w:charset w:val="00"/>
    <w:family w:val="swiss"/>
    <w:pitch w:val="variable"/>
    <w:sig w:usb0="80000287" w:usb1="00000043" w:usb2="00000000" w:usb3="00000000" w:csb0="0000009F" w:csb1="00000000"/>
  </w:font>
  <w:font w:name="Calibri Light">
    <w:panose1 w:val="020F0302020204030204"/>
    <w:charset w:val="00"/>
    <w:family w:val="swiss"/>
    <w:pitch w:val="variable"/>
    <w:sig w:usb0="A0002AEF" w:usb1="4000207B" w:usb2="00000000" w:usb3="00000000" w:csb0="000001FF" w:csb1="00000000"/>
  </w:font>
  <w:font w:name="Arial Nova Cond Light">
    <w:altName w:val="Arial"/>
    <w:charset w:val="00"/>
    <w:family w:val="swiss"/>
    <w:pitch w:val="variable"/>
    <w:sig w:usb0="0000028F" w:usb1="00000002"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inion Pro">
    <w:panose1 w:val="02040503050201020203"/>
    <w:charset w:val="00"/>
    <w:family w:val="roman"/>
    <w:notTrueType/>
    <w:pitch w:val="variable"/>
    <w:sig w:usb0="60000287" w:usb1="00000001" w:usb2="00000000" w:usb3="00000000" w:csb0="0000019F" w:csb1="00000000"/>
  </w:font>
  <w:font w:name="Segoe UI Light">
    <w:panose1 w:val="020B0502040204020203"/>
    <w:charset w:val="00"/>
    <w:family w:val="swiss"/>
    <w:pitch w:val="variable"/>
    <w:sig w:usb0="E4002EFF" w:usb1="C000E47F" w:usb2="00000009" w:usb3="00000000" w:csb0="000001FF" w:csb1="00000000"/>
  </w:font>
  <w:font w:name="Daytona Condensed Light">
    <w:charset w:val="00"/>
    <w:family w:val="swiss"/>
    <w:pitch w:val="variable"/>
    <w:sig w:usb0="8000002F" w:usb1="0000000A"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1270631"/>
      <w:docPartObj>
        <w:docPartGallery w:val="Page Numbers (Bottom of Page)"/>
        <w:docPartUnique/>
      </w:docPartObj>
    </w:sdtPr>
    <w:sdtEndPr>
      <w:rPr>
        <w:rFonts w:ascii="Arial Nova Cond Light" w:hAnsi="Arial Nova Cond Light"/>
        <w:noProof/>
        <w:sz w:val="18"/>
        <w:szCs w:val="18"/>
      </w:rPr>
    </w:sdtEndPr>
    <w:sdtContent>
      <w:p w14:paraId="14F45571" w14:textId="3C63C14B" w:rsidR="00B06983" w:rsidRPr="0069037D" w:rsidRDefault="00B06983" w:rsidP="000360AF">
        <w:pPr>
          <w:pStyle w:val="Footer"/>
          <w:jc w:val="center"/>
          <w:rPr>
            <w:rFonts w:ascii="Arial Nova Cond Light" w:hAnsi="Arial Nova Cond Light"/>
            <w:sz w:val="18"/>
            <w:szCs w:val="18"/>
          </w:rPr>
        </w:pPr>
        <w:r w:rsidRPr="0069037D">
          <w:rPr>
            <w:rFonts w:ascii="Arial Nova Cond Light" w:hAnsi="Arial Nova Cond Light"/>
            <w:sz w:val="18"/>
            <w:szCs w:val="18"/>
          </w:rPr>
          <w:fldChar w:fldCharType="begin"/>
        </w:r>
        <w:r w:rsidRPr="0069037D">
          <w:rPr>
            <w:rFonts w:ascii="Arial Nova Cond Light" w:hAnsi="Arial Nova Cond Light"/>
            <w:sz w:val="18"/>
            <w:szCs w:val="18"/>
          </w:rPr>
          <w:instrText xml:space="preserve"> PAGE   \* MERGEFORMAT </w:instrText>
        </w:r>
        <w:r w:rsidRPr="0069037D">
          <w:rPr>
            <w:rFonts w:ascii="Arial Nova Cond Light" w:hAnsi="Arial Nova Cond Light"/>
            <w:sz w:val="18"/>
            <w:szCs w:val="18"/>
          </w:rPr>
          <w:fldChar w:fldCharType="separate"/>
        </w:r>
        <w:r w:rsidR="0036183E">
          <w:rPr>
            <w:rFonts w:ascii="Arial Nova Cond Light" w:hAnsi="Arial Nova Cond Light"/>
            <w:noProof/>
            <w:sz w:val="18"/>
            <w:szCs w:val="18"/>
          </w:rPr>
          <w:t>69</w:t>
        </w:r>
        <w:r w:rsidRPr="0069037D">
          <w:rPr>
            <w:rFonts w:ascii="Arial Nova Cond Light" w:hAnsi="Arial Nova Cond Light"/>
            <w:noProof/>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2DCB5E" w14:textId="77777777" w:rsidR="00B06983" w:rsidRDefault="00B06983" w:rsidP="00AF76EA">
      <w:pPr>
        <w:spacing w:after="0" w:line="240" w:lineRule="auto"/>
      </w:pPr>
      <w:r>
        <w:separator/>
      </w:r>
    </w:p>
  </w:footnote>
  <w:footnote w:type="continuationSeparator" w:id="0">
    <w:p w14:paraId="784E5A4D" w14:textId="77777777" w:rsidR="00B06983" w:rsidRDefault="00B06983" w:rsidP="00AF76EA">
      <w:pPr>
        <w:spacing w:after="0" w:line="240" w:lineRule="auto"/>
      </w:pPr>
      <w:r>
        <w:continuationSeparator/>
      </w:r>
    </w:p>
  </w:footnote>
  <w:footnote w:type="continuationNotice" w:id="1">
    <w:p w14:paraId="0D103D44" w14:textId="77777777" w:rsidR="00B06983" w:rsidRDefault="00B06983">
      <w:pPr>
        <w:spacing w:after="0" w:line="240" w:lineRule="auto"/>
      </w:pPr>
    </w:p>
  </w:footnote>
  <w:footnote w:id="2">
    <w:p w14:paraId="02619EB0" w14:textId="77777777" w:rsidR="00B06983" w:rsidRPr="00B708F6" w:rsidRDefault="00B06983" w:rsidP="00262896">
      <w:pPr>
        <w:pStyle w:val="FootnoteText"/>
        <w:rPr>
          <w:rFonts w:ascii="Arial Nova Cond Light" w:hAnsi="Arial Nova Cond Light"/>
          <w:sz w:val="16"/>
        </w:rPr>
      </w:pPr>
      <w:r w:rsidRPr="00B708F6">
        <w:rPr>
          <w:rStyle w:val="FootnoteReference"/>
          <w:rFonts w:ascii="Arial Nova Cond Light" w:hAnsi="Arial Nova Cond Light"/>
          <w:sz w:val="16"/>
        </w:rPr>
        <w:footnoteRef/>
      </w:r>
      <w:r w:rsidRPr="00B708F6">
        <w:rPr>
          <w:rFonts w:ascii="Arial Nova Cond Light" w:hAnsi="Arial Nova Cond Light"/>
          <w:sz w:val="16"/>
        </w:rPr>
        <w:t xml:space="preserve"> </w:t>
      </w:r>
      <w:hyperlink r:id="rId1" w:history="1">
        <w:r w:rsidRPr="00B708F6">
          <w:rPr>
            <w:rStyle w:val="Hyperlink"/>
            <w:sz w:val="16"/>
          </w:rPr>
          <w:t>www.worldenergycouncil.lv</w:t>
        </w:r>
      </w:hyperlink>
    </w:p>
  </w:footnote>
  <w:footnote w:id="3">
    <w:p w14:paraId="76118540" w14:textId="77777777" w:rsidR="00B06983" w:rsidRPr="00B708F6" w:rsidRDefault="00B06983" w:rsidP="00262896">
      <w:pPr>
        <w:pStyle w:val="FootnoteText"/>
        <w:rPr>
          <w:rFonts w:ascii="Arial Nova Cond Light" w:hAnsi="Arial Nova Cond Light"/>
        </w:rPr>
      </w:pPr>
      <w:r w:rsidRPr="00B708F6">
        <w:rPr>
          <w:rStyle w:val="FootnoteReference"/>
          <w:rFonts w:ascii="Arial Nova Cond Light" w:hAnsi="Arial Nova Cond Light"/>
          <w:sz w:val="16"/>
        </w:rPr>
        <w:footnoteRef/>
      </w:r>
      <w:r w:rsidRPr="00B708F6">
        <w:rPr>
          <w:rFonts w:ascii="Arial Nova Cond Light" w:hAnsi="Arial Nova Cond Light"/>
          <w:sz w:val="16"/>
        </w:rPr>
        <w:t xml:space="preserve"> </w:t>
      </w:r>
      <w:hyperlink r:id="rId2" w:history="1">
        <w:r w:rsidRPr="00B708F6">
          <w:rPr>
            <w:rStyle w:val="Hyperlink"/>
            <w:sz w:val="16"/>
          </w:rPr>
          <w:t>https://www.worldenergy.org/publications/entry/world-energy-issues-monitor-2024</w:t>
        </w:r>
      </w:hyperlink>
    </w:p>
  </w:footnote>
  <w:footnote w:id="4">
    <w:p w14:paraId="1931D4C0" w14:textId="77777777" w:rsidR="00B06983" w:rsidRPr="00B708F6" w:rsidRDefault="00B06983" w:rsidP="00262896">
      <w:pPr>
        <w:pStyle w:val="FootnoteText"/>
        <w:rPr>
          <w:rFonts w:ascii="Arial Nova Cond Light" w:hAnsi="Arial Nova Cond Light"/>
          <w:lang w:val="lv-LV"/>
        </w:rPr>
      </w:pPr>
      <w:r w:rsidRPr="00B708F6">
        <w:rPr>
          <w:rStyle w:val="FootnoteReference"/>
          <w:rFonts w:ascii="Arial Nova Cond Light" w:hAnsi="Arial Nova Cond Light"/>
        </w:rPr>
        <w:footnoteRef/>
      </w:r>
      <w:r w:rsidRPr="00B708F6">
        <w:rPr>
          <w:rFonts w:ascii="Arial Nova Cond Light" w:hAnsi="Arial Nova Cond Light"/>
          <w:lang w:val="lv-LV"/>
        </w:rPr>
        <w:t xml:space="preserve"> </w:t>
      </w:r>
      <w:hyperlink r:id="rId3" w:history="1">
        <w:r w:rsidRPr="00B708F6">
          <w:rPr>
            <w:rStyle w:val="Hyperlink"/>
            <w:sz w:val="16"/>
            <w:lang w:val="lv-LV"/>
          </w:rPr>
          <w:t>https://ieep.eu/publications/green-deal-barometer-2024/</w:t>
        </w:r>
      </w:hyperlink>
    </w:p>
  </w:footnote>
  <w:footnote w:id="5">
    <w:p w14:paraId="27BB94E8" w14:textId="77777777" w:rsidR="00B06983" w:rsidRDefault="00B06983" w:rsidP="00262896">
      <w:pPr>
        <w:pStyle w:val="FootnoteText"/>
        <w:rPr>
          <w:rFonts w:ascii="Arial Nova Cond Light" w:hAnsi="Arial Nova Cond Light"/>
          <w:sz w:val="16"/>
          <w:szCs w:val="16"/>
        </w:rPr>
      </w:pPr>
      <w:r w:rsidRPr="00B708F6">
        <w:rPr>
          <w:rStyle w:val="FootnoteReference"/>
          <w:rFonts w:ascii="Arial Nova Cond Light" w:hAnsi="Arial Nova Cond Light"/>
          <w:sz w:val="16"/>
          <w:szCs w:val="16"/>
        </w:rPr>
        <w:footnoteRef/>
      </w:r>
      <w:r w:rsidRPr="00B708F6">
        <w:rPr>
          <w:rFonts w:ascii="Arial Nova Cond Light" w:hAnsi="Arial Nova Cond Light"/>
          <w:sz w:val="16"/>
          <w:szCs w:val="16"/>
        </w:rPr>
        <w:t xml:space="preserve"> PWC. </w:t>
      </w:r>
      <w:bookmarkStart w:id="12" w:name="_Hlk176699161"/>
      <w:r w:rsidRPr="00B708F6">
        <w:rPr>
          <w:rFonts w:ascii="Arial Nova Cond Light" w:hAnsi="Arial Nova Cond Light"/>
          <w:sz w:val="16"/>
          <w:szCs w:val="16"/>
          <w:lang w:val="en-US"/>
        </w:rPr>
        <w:t xml:space="preserve">Are Europe’s businesses ready for the EU Green Deal? EU Green Deal Survey Report. </w:t>
      </w:r>
      <w:bookmarkEnd w:id="12"/>
      <w:r w:rsidRPr="00B708F6">
        <w:rPr>
          <w:rFonts w:ascii="Arial Nova Cond Light" w:hAnsi="Arial Nova Cond Light"/>
          <w:sz w:val="16"/>
          <w:szCs w:val="16"/>
          <w:lang w:val="en-US"/>
        </w:rPr>
        <w:t xml:space="preserve">March 2022 </w:t>
      </w:r>
      <w:r w:rsidRPr="00B708F6">
        <w:rPr>
          <w:rFonts w:ascii="Arial Nova Cond Light" w:hAnsi="Arial Nova Cond Light"/>
          <w:sz w:val="16"/>
          <w:szCs w:val="16"/>
          <w:lang w:val="en-US"/>
        </w:rPr>
        <w:br/>
      </w:r>
      <w:hyperlink r:id="rId4" w:history="1">
        <w:r w:rsidRPr="00B708F6">
          <w:rPr>
            <w:rStyle w:val="Hyperlink"/>
            <w:sz w:val="16"/>
            <w:szCs w:val="16"/>
          </w:rPr>
          <w:t>https://www.pwc.com/gx/en/tax/publications/assets/eu-green-deal-tax-report.pdf</w:t>
        </w:r>
      </w:hyperlink>
    </w:p>
    <w:p w14:paraId="624C42E0" w14:textId="77777777" w:rsidR="00B06983" w:rsidRPr="00B708F6" w:rsidRDefault="00B06983" w:rsidP="00262896">
      <w:pPr>
        <w:pStyle w:val="FootnoteText"/>
        <w:rPr>
          <w:rFonts w:ascii="Arial Nova Cond Light" w:hAnsi="Arial Nova Cond Light"/>
          <w:sz w:val="16"/>
          <w:szCs w:val="16"/>
          <w:lang w:val="lv-LV"/>
        </w:rPr>
      </w:pPr>
      <w:r w:rsidRPr="00B708F6">
        <w:rPr>
          <w:rFonts w:ascii="Arial Nova Cond Light" w:hAnsi="Arial Nova Cond Light"/>
          <w:sz w:val="16"/>
          <w:szCs w:val="16"/>
        </w:rPr>
        <w:t xml:space="preserve"> </w:t>
      </w:r>
    </w:p>
  </w:footnote>
  <w:footnote w:id="6">
    <w:p w14:paraId="17ACFDCF" w14:textId="2C509B7D" w:rsidR="00B06983" w:rsidRPr="00B708F6" w:rsidRDefault="00B06983" w:rsidP="00262896">
      <w:pPr>
        <w:pStyle w:val="FootnoteText"/>
        <w:ind w:left="142" w:hanging="142"/>
        <w:rPr>
          <w:rFonts w:ascii="Arial Nova Cond Light" w:hAnsi="Arial Nova Cond Light"/>
          <w:sz w:val="16"/>
          <w:szCs w:val="16"/>
          <w:lang w:val="lv-LV"/>
        </w:rPr>
      </w:pPr>
      <w:r w:rsidRPr="00B708F6">
        <w:rPr>
          <w:rStyle w:val="FootnoteReference"/>
          <w:rFonts w:ascii="Arial Nova Cond Light" w:eastAsia="Calibri" w:hAnsi="Arial Nova Cond Light" w:cs="Calibri Light"/>
          <w:sz w:val="16"/>
          <w:szCs w:val="16"/>
        </w:rPr>
        <w:footnoteRef/>
      </w:r>
      <w:r w:rsidRPr="00B708F6">
        <w:rPr>
          <w:rFonts w:ascii="Arial Nova Cond Light" w:hAnsi="Arial Nova Cond Light" w:cs="Calibri Light"/>
          <w:sz w:val="16"/>
          <w:szCs w:val="16"/>
          <w:lang w:val="lv-LV"/>
        </w:rPr>
        <w:tab/>
      </w:r>
      <w:hyperlink r:id="rId5" w:history="1">
        <w:r w:rsidRPr="00B708F6">
          <w:rPr>
            <w:rStyle w:val="Hyperlink"/>
            <w:sz w:val="16"/>
            <w:szCs w:val="16"/>
            <w:lang w:val="lv-LV"/>
          </w:rPr>
          <w:t>https://www.kem.gov.lv/lv/nacionalais-energetikas-un-klimata-plans-2021-2030-gadam</w:t>
        </w:r>
      </w:hyperlink>
      <w:r w:rsidRPr="00B708F6">
        <w:rPr>
          <w:rFonts w:ascii="Arial Nova Cond Light" w:hAnsi="Arial Nova Cond Light"/>
          <w:sz w:val="16"/>
          <w:szCs w:val="16"/>
          <w:lang w:val="lv-LV"/>
        </w:rPr>
        <w:t xml:space="preserve"> </w:t>
      </w:r>
    </w:p>
  </w:footnote>
  <w:footnote w:id="7">
    <w:p w14:paraId="0B8C1224" w14:textId="2B69E334" w:rsidR="00B06983" w:rsidRPr="00B708F6" w:rsidRDefault="00B06983" w:rsidP="00262896">
      <w:pPr>
        <w:pStyle w:val="FootnoteText"/>
        <w:ind w:left="142" w:hanging="142"/>
        <w:rPr>
          <w:rFonts w:ascii="Arial Nova Cond Light" w:hAnsi="Arial Nova Cond Light"/>
          <w:sz w:val="16"/>
          <w:szCs w:val="16"/>
          <w:lang w:val="lv-LV"/>
        </w:rPr>
      </w:pPr>
      <w:r w:rsidRPr="00B708F6">
        <w:rPr>
          <w:rStyle w:val="FootnoteReference"/>
          <w:rFonts w:ascii="Arial Nova Cond Light" w:eastAsia="Calibri" w:hAnsi="Arial Nova Cond Light" w:cs="Calibri Light"/>
          <w:sz w:val="16"/>
          <w:szCs w:val="16"/>
        </w:rPr>
        <w:footnoteRef/>
      </w:r>
      <w:r w:rsidRPr="00B708F6">
        <w:rPr>
          <w:rFonts w:ascii="Arial Nova Cond Light" w:hAnsi="Arial Nova Cond Light" w:cs="Calibri Light"/>
          <w:sz w:val="16"/>
          <w:szCs w:val="16"/>
          <w:lang w:val="lv-LV"/>
        </w:rPr>
        <w:tab/>
      </w:r>
      <w:hyperlink r:id="rId6" w:history="1">
        <w:r w:rsidRPr="00B708F6">
          <w:rPr>
            <w:rStyle w:val="Hyperlink"/>
            <w:sz w:val="16"/>
            <w:szCs w:val="16"/>
            <w:lang w:val="lv-LV"/>
          </w:rPr>
          <w:t>https://tapportals.mk.gov.lv/legal_acts/3ee763e4-6022-41f5-a3d9-3055fdf261cb</w:t>
        </w:r>
      </w:hyperlink>
      <w:r w:rsidRPr="00B708F6">
        <w:rPr>
          <w:rFonts w:ascii="Arial Nova Cond Light" w:hAnsi="Arial Nova Cond Light"/>
          <w:sz w:val="16"/>
          <w:szCs w:val="16"/>
          <w:lang w:val="lv-LV"/>
        </w:rPr>
        <w:t xml:space="preserve"> </w:t>
      </w:r>
    </w:p>
  </w:footnote>
  <w:footnote w:id="8">
    <w:p w14:paraId="17A093B9" w14:textId="77777777" w:rsidR="00B06983" w:rsidRPr="00B708F6" w:rsidRDefault="00B06983" w:rsidP="00262896">
      <w:pPr>
        <w:pStyle w:val="FootnoteText"/>
        <w:ind w:left="142" w:hanging="142"/>
        <w:rPr>
          <w:rFonts w:ascii="Arial Nova Cond Light" w:hAnsi="Arial Nova Cond Light"/>
          <w:sz w:val="16"/>
          <w:szCs w:val="16"/>
          <w:lang w:val="lv-LV"/>
        </w:rPr>
      </w:pPr>
      <w:r w:rsidRPr="00B708F6">
        <w:rPr>
          <w:rStyle w:val="FootnoteReference"/>
          <w:rFonts w:ascii="Arial Nova Cond Light" w:eastAsia="Calibri" w:hAnsi="Arial Nova Cond Light" w:cs="Calibri Light"/>
          <w:sz w:val="16"/>
          <w:szCs w:val="16"/>
        </w:rPr>
        <w:footnoteRef/>
      </w:r>
      <w:r w:rsidRPr="00B708F6">
        <w:rPr>
          <w:rFonts w:ascii="Arial Nova Cond Light" w:hAnsi="Arial Nova Cond Light"/>
          <w:sz w:val="16"/>
          <w:szCs w:val="16"/>
          <w:lang w:val="lv-LV"/>
        </w:rPr>
        <w:tab/>
      </w:r>
      <w:hyperlink r:id="rId7" w:history="1">
        <w:r w:rsidRPr="00B708F6">
          <w:rPr>
            <w:rStyle w:val="Hyperlink"/>
            <w:sz w:val="16"/>
            <w:szCs w:val="16"/>
            <w:lang w:val="lv-LV"/>
          </w:rPr>
          <w:t>https://www.em.gov.lv/lv/darba-tirgus-zinojums</w:t>
        </w:r>
      </w:hyperlink>
    </w:p>
  </w:footnote>
  <w:footnote w:id="9">
    <w:p w14:paraId="3E731E04" w14:textId="183DFEBC" w:rsidR="00B06983" w:rsidRPr="00B708F6" w:rsidRDefault="00B06983" w:rsidP="00262896">
      <w:pPr>
        <w:pStyle w:val="FootnoteText"/>
        <w:ind w:left="142" w:hanging="142"/>
        <w:rPr>
          <w:rFonts w:ascii="Arial Nova Cond Light" w:hAnsi="Arial Nova Cond Light"/>
          <w:sz w:val="16"/>
          <w:szCs w:val="16"/>
          <w:lang w:val="lv-LV"/>
        </w:rPr>
      </w:pPr>
      <w:r w:rsidRPr="00B708F6">
        <w:rPr>
          <w:rStyle w:val="FootnoteReference"/>
          <w:rFonts w:ascii="Arial Nova Cond Light" w:eastAsia="Calibri" w:hAnsi="Arial Nova Cond Light"/>
          <w:sz w:val="16"/>
          <w:szCs w:val="16"/>
        </w:rPr>
        <w:footnoteRef/>
      </w:r>
      <w:r w:rsidRPr="00B708F6">
        <w:rPr>
          <w:rFonts w:ascii="Arial Nova Cond Light" w:hAnsi="Arial Nova Cond Light"/>
          <w:sz w:val="16"/>
          <w:szCs w:val="16"/>
          <w:lang w:val="lv-LV"/>
        </w:rPr>
        <w:t xml:space="preserve"> </w:t>
      </w:r>
      <w:hyperlink r:id="rId8" w:history="1">
        <w:r w:rsidRPr="00B708F6">
          <w:rPr>
            <w:rStyle w:val="Hyperlink"/>
            <w:sz w:val="16"/>
            <w:szCs w:val="16"/>
            <w:lang w:val="lv-LV"/>
          </w:rPr>
          <w:t>https://tapportals.mk.gov.lv/legal_acts/b83539ff-70f1-49b8-99ba-ce3119f14b23</w:t>
        </w:r>
      </w:hyperlink>
      <w:r w:rsidRPr="00B708F6">
        <w:rPr>
          <w:rFonts w:ascii="Arial Nova Cond Light" w:hAnsi="Arial Nova Cond Light"/>
          <w:sz w:val="16"/>
          <w:szCs w:val="16"/>
          <w:lang w:val="lv-LV"/>
        </w:rPr>
        <w:t xml:space="preserve"> </w:t>
      </w:r>
    </w:p>
  </w:footnote>
  <w:footnote w:id="10">
    <w:p w14:paraId="61535039" w14:textId="77777777" w:rsidR="00B06983" w:rsidRPr="00B708F6" w:rsidRDefault="00B06983" w:rsidP="00262896">
      <w:pPr>
        <w:pStyle w:val="FootnoteText"/>
        <w:rPr>
          <w:rFonts w:ascii="Arial Nova Cond Light" w:hAnsi="Arial Nova Cond Light"/>
          <w:color w:val="0563C1"/>
          <w:sz w:val="16"/>
          <w:szCs w:val="16"/>
          <w:u w:val="single"/>
          <w:lang w:val="lv-LV"/>
        </w:rPr>
      </w:pPr>
      <w:r w:rsidRPr="00B708F6">
        <w:rPr>
          <w:rStyle w:val="FootnoteReference"/>
          <w:rFonts w:ascii="Arial Nova Cond Light" w:eastAsia="Calibri" w:hAnsi="Arial Nova Cond Light"/>
          <w:color w:val="0563C1"/>
          <w:sz w:val="16"/>
          <w:szCs w:val="16"/>
        </w:rPr>
        <w:footnoteRef/>
      </w:r>
      <w:r w:rsidRPr="00B708F6">
        <w:rPr>
          <w:rFonts w:ascii="Arial Nova Cond Light" w:hAnsi="Arial Nova Cond Light"/>
          <w:color w:val="0563C1"/>
          <w:sz w:val="16"/>
          <w:szCs w:val="16"/>
          <w:lang w:val="lv-LV"/>
        </w:rPr>
        <w:t xml:space="preserve"> </w:t>
      </w:r>
      <w:hyperlink r:id="rId9" w:history="1">
        <w:r w:rsidRPr="00B708F6">
          <w:rPr>
            <w:rStyle w:val="Hyperlink"/>
            <w:color w:val="0563C1"/>
            <w:sz w:val="16"/>
            <w:szCs w:val="16"/>
            <w:lang w:val="lv-LV"/>
          </w:rPr>
          <w:t>https://likumi.lv/ta/id/342214-latvijas-strategija-klimatneitralitates-sasniegsanai-lidz-2050-gadam</w:t>
        </w:r>
      </w:hyperlink>
    </w:p>
  </w:footnote>
  <w:footnote w:id="11">
    <w:p w14:paraId="54399391" w14:textId="77777777" w:rsidR="00B06983" w:rsidRPr="00B708F6" w:rsidRDefault="00B06983" w:rsidP="00262896">
      <w:pPr>
        <w:pStyle w:val="FootnoteText"/>
        <w:ind w:left="142" w:hanging="142"/>
        <w:rPr>
          <w:rFonts w:ascii="Arial Nova Cond Light" w:hAnsi="Arial Nova Cond Light"/>
          <w:sz w:val="16"/>
          <w:szCs w:val="16"/>
          <w:lang w:val="lv-LV"/>
        </w:rPr>
      </w:pPr>
      <w:r w:rsidRPr="00B708F6">
        <w:rPr>
          <w:rStyle w:val="FootnoteReference"/>
          <w:rFonts w:ascii="Arial Nova Cond Light" w:eastAsia="Calibri" w:hAnsi="Arial Nova Cond Light"/>
          <w:sz w:val="16"/>
          <w:szCs w:val="16"/>
        </w:rPr>
        <w:footnoteRef/>
      </w:r>
      <w:r w:rsidRPr="00B708F6">
        <w:rPr>
          <w:rFonts w:ascii="Arial Nova Cond Light" w:hAnsi="Arial Nova Cond Light"/>
          <w:sz w:val="16"/>
          <w:szCs w:val="16"/>
          <w:lang w:val="lv-LV"/>
        </w:rPr>
        <w:tab/>
      </w:r>
      <w:hyperlink r:id="rId10" w:history="1">
        <w:r w:rsidRPr="00B708F6">
          <w:rPr>
            <w:rStyle w:val="Hyperlink"/>
            <w:sz w:val="16"/>
            <w:szCs w:val="16"/>
            <w:lang w:val="lv-LV"/>
          </w:rPr>
          <w:t>https://www.kem.gov.lv/lv/jaunums/pasakumi-nacionala-energetikas-un-klimata-plana-versti-uz-ilgtspejigu-investiciju-piesaisti</w:t>
        </w:r>
      </w:hyperlink>
    </w:p>
  </w:footnote>
  <w:footnote w:id="12">
    <w:p w14:paraId="3FDEFAFE" w14:textId="77777777" w:rsidR="00B06983" w:rsidRPr="00B708F6" w:rsidRDefault="00B06983" w:rsidP="00262896">
      <w:pPr>
        <w:pStyle w:val="FootnoteText"/>
        <w:ind w:left="142" w:hanging="142"/>
        <w:rPr>
          <w:rFonts w:ascii="Arial Nova Cond Light" w:hAnsi="Arial Nova Cond Light"/>
          <w:sz w:val="16"/>
          <w:szCs w:val="16"/>
          <w:lang w:val="lv-LV"/>
        </w:rPr>
      </w:pPr>
      <w:r w:rsidRPr="00B708F6">
        <w:rPr>
          <w:rStyle w:val="FootnoteReference"/>
          <w:rFonts w:ascii="Arial Nova Cond Light" w:eastAsia="Calibri" w:hAnsi="Arial Nova Cond Light"/>
          <w:sz w:val="16"/>
          <w:szCs w:val="16"/>
        </w:rPr>
        <w:footnoteRef/>
      </w:r>
      <w:r w:rsidRPr="00B708F6">
        <w:rPr>
          <w:rFonts w:ascii="Arial Nova Cond Light" w:hAnsi="Arial Nova Cond Light"/>
          <w:sz w:val="16"/>
          <w:szCs w:val="16"/>
          <w:lang w:val="lv-LV"/>
        </w:rPr>
        <w:tab/>
      </w:r>
      <w:hyperlink r:id="rId11" w:history="1">
        <w:r w:rsidRPr="00B708F6">
          <w:rPr>
            <w:rStyle w:val="Hyperlink"/>
            <w:sz w:val="16"/>
            <w:szCs w:val="16"/>
            <w:lang w:val="lv-LV"/>
          </w:rPr>
          <w:t>https://www.kem.gov.lv/lv/jaunums/valdiba-dod-zalo-gaismu-latvijai-iesniegt-nacionalo-energetikas-un-klimata-planu-eiropas-komisijai</w:t>
        </w:r>
      </w:hyperlink>
    </w:p>
  </w:footnote>
  <w:footnote w:id="13">
    <w:p w14:paraId="684FA987" w14:textId="77777777" w:rsidR="00B06983" w:rsidRPr="00B708F6" w:rsidRDefault="00B06983" w:rsidP="00262896">
      <w:pPr>
        <w:pStyle w:val="FootnoteText"/>
        <w:ind w:left="142" w:hanging="142"/>
        <w:rPr>
          <w:rFonts w:ascii="Arial Nova Cond Light" w:hAnsi="Arial Nova Cond Light"/>
          <w:color w:val="0563C1"/>
          <w:sz w:val="16"/>
          <w:szCs w:val="16"/>
          <w:lang w:val="lv-LV"/>
        </w:rPr>
      </w:pPr>
      <w:r w:rsidRPr="00B708F6">
        <w:rPr>
          <w:rStyle w:val="FootnoteReference"/>
          <w:rFonts w:ascii="Arial Nova Cond Light" w:eastAsia="Calibri" w:hAnsi="Arial Nova Cond Light" w:cs="Calibri Light"/>
          <w:color w:val="0563C1"/>
          <w:sz w:val="16"/>
          <w:szCs w:val="16"/>
        </w:rPr>
        <w:footnoteRef/>
      </w:r>
      <w:r w:rsidRPr="00B708F6">
        <w:rPr>
          <w:rFonts w:ascii="Arial Nova Cond Light" w:hAnsi="Arial Nova Cond Light" w:cs="Calibri Light"/>
          <w:color w:val="0563C1"/>
          <w:sz w:val="16"/>
          <w:szCs w:val="16"/>
          <w:lang w:val="lv-LV"/>
        </w:rPr>
        <w:tab/>
      </w:r>
      <w:hyperlink r:id="rId12" w:history="1">
        <w:r w:rsidRPr="00B708F6">
          <w:rPr>
            <w:rStyle w:val="Hyperlink"/>
            <w:rFonts w:eastAsiaTheme="minorHAnsi"/>
            <w:color w:val="0563C1"/>
            <w:sz w:val="16"/>
            <w:szCs w:val="16"/>
            <w:lang w:val="lv-LV"/>
          </w:rPr>
          <w:t>https://op.europa.eu/lv/publication-detail/-/publication/9bf9ff11-2ee7-11ef-a61b-01aa75ed71a1/language-lv</w:t>
        </w:r>
      </w:hyperlink>
      <w:r w:rsidRPr="00B708F6">
        <w:rPr>
          <w:rFonts w:ascii="Arial Nova Cond Light" w:eastAsiaTheme="minorHAnsi" w:hAnsi="Arial Nova Cond Light"/>
          <w:color w:val="0563C1"/>
          <w:sz w:val="16"/>
          <w:szCs w:val="16"/>
          <w:lang w:val="lv-LV"/>
        </w:rPr>
        <w:t>.</w:t>
      </w:r>
    </w:p>
  </w:footnote>
  <w:footnote w:id="14">
    <w:p w14:paraId="53279647" w14:textId="77777777" w:rsidR="00B06983" w:rsidRPr="00B708F6" w:rsidRDefault="00B06983" w:rsidP="00262896">
      <w:pPr>
        <w:pStyle w:val="FootnoteText"/>
        <w:rPr>
          <w:rFonts w:ascii="Arial Nova Cond Light" w:hAnsi="Arial Nova Cond Light"/>
          <w:color w:val="0563C1"/>
          <w:sz w:val="16"/>
          <w:szCs w:val="16"/>
          <w:lang w:val="lv-LV"/>
        </w:rPr>
      </w:pPr>
      <w:r w:rsidRPr="00B708F6">
        <w:rPr>
          <w:rStyle w:val="FootnoteReference"/>
          <w:rFonts w:ascii="Arial Nova Cond Light" w:eastAsia="Calibri" w:hAnsi="Arial Nova Cond Light"/>
          <w:color w:val="0563C1"/>
          <w:sz w:val="16"/>
          <w:szCs w:val="16"/>
        </w:rPr>
        <w:footnoteRef/>
      </w:r>
      <w:r w:rsidRPr="00B708F6">
        <w:rPr>
          <w:rFonts w:ascii="Arial Nova Cond Light" w:hAnsi="Arial Nova Cond Light"/>
          <w:color w:val="0563C1"/>
          <w:sz w:val="16"/>
          <w:szCs w:val="16"/>
          <w:lang w:val="lv-LV"/>
        </w:rPr>
        <w:t xml:space="preserve"> </w:t>
      </w:r>
      <w:hyperlink r:id="rId13" w:history="1">
        <w:r w:rsidRPr="00B708F6">
          <w:rPr>
            <w:rStyle w:val="Hyperlink"/>
            <w:rFonts w:eastAsia="Calibri"/>
            <w:color w:val="0563C1"/>
            <w:sz w:val="16"/>
            <w:szCs w:val="16"/>
            <w:lang w:val="lv-LV"/>
          </w:rPr>
          <w:t>https://economy-finance.ec.europa.eu/document/download/60cb4c1d-4277-4f49-a023-4a8f72b3b00d_en?filename=eb081_en.pdf</w:t>
        </w:r>
      </w:hyperlink>
    </w:p>
  </w:footnote>
  <w:footnote w:id="15">
    <w:p w14:paraId="30BD13C3" w14:textId="77777777" w:rsidR="00B06983" w:rsidRPr="00385DCE" w:rsidRDefault="00B06983" w:rsidP="00262896">
      <w:pPr>
        <w:pStyle w:val="FootnoteText"/>
        <w:rPr>
          <w:rFonts w:ascii="Arial Nova Cond Light" w:hAnsi="Arial Nova Cond Light"/>
          <w:color w:val="0563C1"/>
          <w:sz w:val="16"/>
          <w:szCs w:val="16"/>
          <w:lang w:val="lv-LV"/>
        </w:rPr>
      </w:pPr>
      <w:r w:rsidRPr="00385DCE">
        <w:rPr>
          <w:rStyle w:val="FootnoteReference"/>
          <w:rFonts w:ascii="Arial Nova Cond Light" w:eastAsia="Calibri" w:hAnsi="Arial Nova Cond Light"/>
          <w:color w:val="0563C1"/>
          <w:sz w:val="16"/>
          <w:szCs w:val="16"/>
        </w:rPr>
        <w:footnoteRef/>
      </w:r>
      <w:r w:rsidRPr="00385DCE">
        <w:rPr>
          <w:rFonts w:ascii="Arial Nova Cond Light" w:hAnsi="Arial Nova Cond Light"/>
          <w:color w:val="0563C1"/>
          <w:sz w:val="16"/>
          <w:szCs w:val="16"/>
          <w:lang w:val="lv-LV"/>
        </w:rPr>
        <w:t xml:space="preserve"> </w:t>
      </w:r>
      <w:hyperlink r:id="rId14" w:history="1">
        <w:r w:rsidRPr="00385DCE">
          <w:rPr>
            <w:rStyle w:val="Hyperlink"/>
            <w:rFonts w:eastAsia="Calibri"/>
            <w:color w:val="0563C1"/>
            <w:sz w:val="16"/>
            <w:szCs w:val="16"/>
            <w:lang w:val="lv-LV"/>
          </w:rPr>
          <w:t>https://www.oecd.org/en/topics/sub-issues/green-budgeting.html</w:t>
        </w:r>
      </w:hyperlink>
    </w:p>
  </w:footnote>
  <w:footnote w:id="16">
    <w:p w14:paraId="60ABDDE1" w14:textId="77777777" w:rsidR="00B06983" w:rsidRPr="00B708F6" w:rsidRDefault="00B06983" w:rsidP="00262896">
      <w:pPr>
        <w:pStyle w:val="FootnoteText"/>
        <w:rPr>
          <w:rFonts w:ascii="Arial Nova Cond Light" w:hAnsi="Arial Nova Cond Light"/>
          <w:color w:val="0563C1"/>
          <w:sz w:val="16"/>
          <w:szCs w:val="16"/>
          <w:lang w:val="lv-LV"/>
        </w:rPr>
      </w:pPr>
      <w:r w:rsidRPr="00B708F6">
        <w:rPr>
          <w:rStyle w:val="FootnoteReference"/>
          <w:rFonts w:ascii="Arial Nova Cond Light" w:eastAsia="Calibri" w:hAnsi="Arial Nova Cond Light"/>
          <w:color w:val="0563C1"/>
          <w:sz w:val="16"/>
          <w:szCs w:val="16"/>
        </w:rPr>
        <w:footnoteRef/>
      </w:r>
      <w:r w:rsidRPr="00B708F6">
        <w:rPr>
          <w:rFonts w:ascii="Arial Nova Cond Light" w:hAnsi="Arial Nova Cond Light"/>
          <w:color w:val="0563C1"/>
          <w:sz w:val="16"/>
          <w:szCs w:val="16"/>
          <w:lang w:val="lv-LV"/>
        </w:rPr>
        <w:t xml:space="preserve"> </w:t>
      </w:r>
      <w:hyperlink r:id="rId15" w:history="1">
        <w:r w:rsidRPr="00B708F6">
          <w:rPr>
            <w:rStyle w:val="Hyperlink"/>
            <w:sz w:val="16"/>
            <w:szCs w:val="16"/>
            <w:lang w:val="lv-LV"/>
          </w:rPr>
          <w:t>https://www.financeministersforclimate.org/sites/cape/files/inline-files/OECD%20-%20Beyond%20Green%20Tagging%20-%20CFMCA%20June%202024.pdf</w:t>
        </w:r>
      </w:hyperlink>
    </w:p>
  </w:footnote>
  <w:footnote w:id="17">
    <w:p w14:paraId="3C6BE9DD" w14:textId="77777777" w:rsidR="00B06983" w:rsidRPr="00B708F6" w:rsidRDefault="00B06983" w:rsidP="00262896">
      <w:pPr>
        <w:pStyle w:val="FootnoteText"/>
        <w:rPr>
          <w:rFonts w:ascii="Arial Nova Cond Light" w:hAnsi="Arial Nova Cond Light"/>
          <w:color w:val="0563C1"/>
          <w:sz w:val="16"/>
          <w:szCs w:val="16"/>
          <w:lang w:val="lv-LV"/>
        </w:rPr>
      </w:pPr>
      <w:r w:rsidRPr="00B708F6">
        <w:rPr>
          <w:rStyle w:val="FootnoteReference"/>
          <w:rFonts w:ascii="Arial Nova Cond Light" w:eastAsia="Calibri" w:hAnsi="Arial Nova Cond Light"/>
          <w:color w:val="0563C1"/>
          <w:sz w:val="16"/>
          <w:szCs w:val="16"/>
        </w:rPr>
        <w:footnoteRef/>
      </w:r>
      <w:r w:rsidRPr="00B708F6">
        <w:rPr>
          <w:rFonts w:ascii="Arial Nova Cond Light" w:hAnsi="Arial Nova Cond Light"/>
          <w:color w:val="0563C1"/>
          <w:sz w:val="16"/>
          <w:szCs w:val="16"/>
          <w:lang w:val="lv-LV"/>
        </w:rPr>
        <w:t xml:space="preserve"> </w:t>
      </w:r>
      <w:hyperlink r:id="rId16" w:history="1">
        <w:r w:rsidRPr="00B708F6">
          <w:rPr>
            <w:rStyle w:val="Hyperlink"/>
            <w:sz w:val="16"/>
            <w:szCs w:val="16"/>
            <w:lang w:val="lv-LV"/>
          </w:rPr>
          <w:t>https://www.financeministersforclimate.org/sites/cape/files/inline-files/OECD%20-%20Beyond%20Green%20Tagging%20-%20CFMCA%20June%202024.pdf</w:t>
        </w:r>
      </w:hyperlink>
    </w:p>
  </w:footnote>
  <w:footnote w:id="18">
    <w:p w14:paraId="12F7970F" w14:textId="77777777" w:rsidR="00B06983" w:rsidRPr="00B708F6" w:rsidRDefault="00B06983" w:rsidP="00262896">
      <w:pPr>
        <w:pStyle w:val="FootnoteText"/>
        <w:rPr>
          <w:rFonts w:ascii="Arial Nova Cond Light" w:hAnsi="Arial Nova Cond Light"/>
          <w:color w:val="0563C1"/>
          <w:sz w:val="16"/>
          <w:szCs w:val="16"/>
          <w:lang w:val="lv-LV"/>
        </w:rPr>
      </w:pPr>
      <w:r w:rsidRPr="00B708F6">
        <w:rPr>
          <w:rStyle w:val="FootnoteReference"/>
          <w:rFonts w:ascii="Arial Nova Cond Light" w:eastAsia="Calibri" w:hAnsi="Arial Nova Cond Light"/>
          <w:color w:val="0563C1"/>
          <w:sz w:val="16"/>
          <w:szCs w:val="16"/>
        </w:rPr>
        <w:footnoteRef/>
      </w:r>
      <w:r w:rsidRPr="00B708F6">
        <w:rPr>
          <w:rFonts w:ascii="Arial Nova Cond Light" w:hAnsi="Arial Nova Cond Light"/>
          <w:color w:val="0563C1"/>
          <w:sz w:val="16"/>
          <w:szCs w:val="16"/>
          <w:lang w:val="lv-LV"/>
        </w:rPr>
        <w:t xml:space="preserve"> </w:t>
      </w:r>
      <w:hyperlink r:id="rId17" w:history="1">
        <w:r w:rsidRPr="00B708F6">
          <w:rPr>
            <w:rStyle w:val="Hyperlink"/>
            <w:rFonts w:eastAsia="Calibri"/>
            <w:color w:val="0563C1"/>
            <w:sz w:val="16"/>
            <w:szCs w:val="16"/>
            <w:lang w:val="lv-LV"/>
          </w:rPr>
          <w:t>https://tapportals.mk.gov.lv/legal_acts/49121099-541a-415b-a667-4b9a47f9fdcb</w:t>
        </w:r>
      </w:hyperlink>
    </w:p>
  </w:footnote>
  <w:footnote w:id="19">
    <w:p w14:paraId="3F6AD0C6" w14:textId="77777777" w:rsidR="00B06983" w:rsidRPr="00B708F6" w:rsidRDefault="00B06983" w:rsidP="00262896">
      <w:pPr>
        <w:pStyle w:val="FootnoteText"/>
        <w:rPr>
          <w:rFonts w:ascii="Arial Nova Cond Light" w:hAnsi="Arial Nova Cond Light"/>
          <w:sz w:val="16"/>
          <w:szCs w:val="16"/>
          <w:lang w:val="lv-LV"/>
        </w:rPr>
      </w:pPr>
      <w:r w:rsidRPr="00B708F6">
        <w:rPr>
          <w:rStyle w:val="FootnoteReference"/>
          <w:rFonts w:ascii="Arial Nova Cond Light" w:eastAsia="Calibri" w:hAnsi="Arial Nova Cond Light"/>
          <w:sz w:val="16"/>
          <w:szCs w:val="16"/>
        </w:rPr>
        <w:footnoteRef/>
      </w:r>
      <w:r w:rsidRPr="00B708F6">
        <w:rPr>
          <w:rFonts w:ascii="Arial Nova Cond Light" w:hAnsi="Arial Nova Cond Light"/>
          <w:sz w:val="16"/>
          <w:szCs w:val="16"/>
          <w:lang w:val="lv-LV"/>
        </w:rPr>
        <w:t xml:space="preserve"> </w:t>
      </w:r>
      <w:hyperlink r:id="rId18" w:history="1">
        <w:r w:rsidRPr="00B708F6">
          <w:rPr>
            <w:rStyle w:val="Hyperlink"/>
            <w:rFonts w:eastAsia="Calibri"/>
            <w:sz w:val="16"/>
            <w:szCs w:val="16"/>
            <w:lang w:val="lv-LV"/>
          </w:rPr>
          <w:t>https://tapportals.mk.gov.lv/legal_acts/49121099-541a-415b-a667-4b9a47f9fdcb</w:t>
        </w:r>
      </w:hyperlink>
    </w:p>
  </w:footnote>
  <w:footnote w:id="20">
    <w:p w14:paraId="7FD809DA" w14:textId="77777777" w:rsidR="00B06983" w:rsidRPr="00B708F6" w:rsidRDefault="00B06983" w:rsidP="00262896">
      <w:pPr>
        <w:pStyle w:val="FootnoteText"/>
        <w:ind w:left="142" w:hanging="142"/>
        <w:rPr>
          <w:rFonts w:ascii="Arial Nova Cond Light" w:hAnsi="Arial Nova Cond Light"/>
          <w:sz w:val="16"/>
          <w:szCs w:val="16"/>
          <w:lang w:val="lv-LV"/>
        </w:rPr>
      </w:pPr>
      <w:r w:rsidRPr="00B708F6">
        <w:rPr>
          <w:rStyle w:val="FootnoteReference"/>
          <w:rFonts w:ascii="Arial Nova Cond Light" w:eastAsia="Calibri" w:hAnsi="Arial Nova Cond Light" w:cs="Calibri Light"/>
          <w:sz w:val="16"/>
          <w:szCs w:val="16"/>
        </w:rPr>
        <w:footnoteRef/>
      </w:r>
      <w:r w:rsidRPr="00B708F6">
        <w:rPr>
          <w:rFonts w:ascii="Arial Nova Cond Light" w:hAnsi="Arial Nova Cond Light" w:cs="Calibri Light"/>
          <w:sz w:val="16"/>
          <w:szCs w:val="16"/>
          <w:lang w:val="lv-LV"/>
        </w:rPr>
        <w:tab/>
      </w:r>
      <w:r w:rsidRPr="00B708F6">
        <w:rPr>
          <w:rStyle w:val="Hyperlink"/>
          <w:rFonts w:eastAsia="Calibri"/>
          <w:color w:val="000000" w:themeColor="text1"/>
          <w:sz w:val="16"/>
          <w:szCs w:val="16"/>
          <w:u w:val="none"/>
          <w:lang w:val="lv-LV"/>
        </w:rPr>
        <w:t>Plašāk enerģētikas un klimata mērķu sasniegšanai nepieciešamais finansējums un hipotēzes par ES fondu pieejamību līdz 2030. gadam ir skatītas 3. nodaļā.</w:t>
      </w:r>
    </w:p>
  </w:footnote>
  <w:footnote w:id="21">
    <w:p w14:paraId="1DFEECCE" w14:textId="77777777" w:rsidR="00B06983" w:rsidRPr="00B708F6" w:rsidRDefault="00B06983" w:rsidP="00262896">
      <w:pPr>
        <w:spacing w:after="0" w:line="240" w:lineRule="auto"/>
        <w:ind w:left="170" w:hanging="170"/>
        <w:rPr>
          <w:rFonts w:ascii="Arial Nova Cond Light" w:hAnsi="Arial Nova Cond Light"/>
          <w:sz w:val="16"/>
          <w:szCs w:val="16"/>
          <w:lang w:val="lv-LV"/>
        </w:rPr>
      </w:pPr>
      <w:r w:rsidRPr="00B708F6">
        <w:rPr>
          <w:rStyle w:val="FootnoteReference"/>
          <w:rFonts w:ascii="Arial Nova Cond Light" w:hAnsi="Arial Nova Cond Light"/>
          <w:sz w:val="16"/>
          <w:szCs w:val="16"/>
        </w:rPr>
        <w:footnoteRef/>
      </w:r>
      <w:r w:rsidRPr="00B708F6">
        <w:rPr>
          <w:rFonts w:ascii="Arial Nova Cond Light" w:hAnsi="Arial Nova Cond Light"/>
          <w:sz w:val="16"/>
          <w:szCs w:val="16"/>
          <w:lang w:val="lv-LV"/>
        </w:rPr>
        <w:tab/>
      </w:r>
      <w:hyperlink r:id="rId19" w:history="1">
        <w:r w:rsidRPr="00B708F6">
          <w:rPr>
            <w:rStyle w:val="Hyperlink"/>
            <w:sz w:val="16"/>
            <w:szCs w:val="16"/>
            <w:lang w:val="lv-LV"/>
          </w:rPr>
          <w:t>https://commission.europa.eu/document/download/e6cd4328-673c-4e7a-8683-f63ffb2cf648_en?filename=Political%20Guidelines%202024-2029_EN.pdf</w:t>
        </w:r>
      </w:hyperlink>
    </w:p>
  </w:footnote>
  <w:footnote w:id="22">
    <w:p w14:paraId="57CF5102" w14:textId="77777777" w:rsidR="00B06983" w:rsidRPr="00B708F6" w:rsidRDefault="00B06983" w:rsidP="00262896">
      <w:pPr>
        <w:pStyle w:val="FootnoteText"/>
        <w:rPr>
          <w:rFonts w:ascii="Arial Nova Cond Light" w:hAnsi="Arial Nova Cond Light"/>
          <w:sz w:val="16"/>
        </w:rPr>
      </w:pPr>
      <w:r w:rsidRPr="00B708F6">
        <w:rPr>
          <w:rStyle w:val="FootnoteReference"/>
          <w:rFonts w:ascii="Arial Nova Cond Light" w:hAnsi="Arial Nova Cond Light"/>
          <w:sz w:val="16"/>
        </w:rPr>
        <w:footnoteRef/>
      </w:r>
      <w:r w:rsidRPr="00B708F6">
        <w:rPr>
          <w:rFonts w:ascii="Arial Nova Cond Light" w:hAnsi="Arial Nova Cond Light"/>
          <w:sz w:val="16"/>
        </w:rPr>
        <w:t xml:space="preserve"> Political Guidelines for the next European Commission 2024-2029.</w:t>
      </w:r>
    </w:p>
  </w:footnote>
  <w:footnote w:id="23">
    <w:p w14:paraId="4763A014" w14:textId="77777777" w:rsidR="00B06983" w:rsidRPr="00B708F6" w:rsidRDefault="00B06983" w:rsidP="00262896">
      <w:pPr>
        <w:pStyle w:val="FootnoteText"/>
        <w:ind w:left="170" w:hanging="170"/>
        <w:rPr>
          <w:rFonts w:ascii="Arial Nova Cond Light" w:hAnsi="Arial Nova Cond Light"/>
          <w:sz w:val="16"/>
          <w:szCs w:val="16"/>
          <w:lang w:val="lv-LV"/>
        </w:rPr>
      </w:pPr>
      <w:r w:rsidRPr="00B708F6">
        <w:rPr>
          <w:rStyle w:val="FootnoteReference"/>
          <w:rFonts w:ascii="Arial Nova Cond Light" w:hAnsi="Arial Nova Cond Light"/>
          <w:sz w:val="16"/>
          <w:szCs w:val="16"/>
        </w:rPr>
        <w:footnoteRef/>
      </w:r>
      <w:r w:rsidRPr="00B708F6">
        <w:rPr>
          <w:rFonts w:ascii="Arial Nova Cond Light" w:hAnsi="Arial Nova Cond Light"/>
          <w:sz w:val="16"/>
          <w:szCs w:val="16"/>
        </w:rPr>
        <w:tab/>
      </w:r>
      <w:r w:rsidRPr="00B708F6">
        <w:rPr>
          <w:rFonts w:ascii="Arial Nova Cond Light" w:hAnsi="Arial Nova Cond Light"/>
          <w:sz w:val="16"/>
          <w:szCs w:val="16"/>
          <w:lang w:val="lv-LV"/>
        </w:rPr>
        <w:t xml:space="preserve">Draghi M. </w:t>
      </w:r>
      <w:r w:rsidRPr="00B708F6">
        <w:rPr>
          <w:rFonts w:ascii="Arial Nova Cond Light" w:hAnsi="Arial Nova Cond Light"/>
          <w:sz w:val="16"/>
          <w:szCs w:val="16"/>
          <w:lang w:val="en-US"/>
        </w:rPr>
        <w:t xml:space="preserve">The future of European competitiveness. The future of European competitiveness. September, 2024. </w:t>
      </w:r>
      <w:hyperlink r:id="rId20" w:history="1">
        <w:r w:rsidRPr="00B708F6">
          <w:rPr>
            <w:rStyle w:val="Hyperlink"/>
            <w:sz w:val="16"/>
            <w:szCs w:val="16"/>
            <w:lang w:val="en-US"/>
          </w:rPr>
          <w:t>https://commission.europa.eu/topics/strengthening-european-competitiveness/eu-competitiveness-looking-ahead_en</w:t>
        </w:r>
      </w:hyperlink>
    </w:p>
  </w:footnote>
  <w:footnote w:id="24">
    <w:p w14:paraId="5400FDC0" w14:textId="77777777" w:rsidR="00B06983" w:rsidRPr="00B708F6" w:rsidRDefault="00B06983" w:rsidP="00262896">
      <w:pPr>
        <w:pStyle w:val="FootnoteText"/>
        <w:rPr>
          <w:rFonts w:ascii="Arial Nova Cond Light" w:hAnsi="Arial Nova Cond Light"/>
          <w:sz w:val="16"/>
          <w:szCs w:val="16"/>
        </w:rPr>
      </w:pPr>
      <w:r w:rsidRPr="00B708F6">
        <w:rPr>
          <w:rStyle w:val="FootnoteReference"/>
          <w:rFonts w:ascii="Arial Nova Cond Light" w:hAnsi="Arial Nova Cond Light"/>
          <w:sz w:val="16"/>
          <w:szCs w:val="16"/>
        </w:rPr>
        <w:footnoteRef/>
      </w:r>
      <w:r w:rsidRPr="00B708F6">
        <w:rPr>
          <w:rFonts w:ascii="Arial Nova Cond Light" w:hAnsi="Arial Nova Cond Light"/>
          <w:sz w:val="16"/>
          <w:szCs w:val="16"/>
        </w:rPr>
        <w:t xml:space="preserve"> McKinsey Global Institute. The net-zero transition. What it would cost, what it could bring. Report. McKinsey &amp; Company, 224 p. Janv 2022.</w:t>
      </w:r>
    </w:p>
  </w:footnote>
  <w:footnote w:id="25">
    <w:p w14:paraId="45138A76" w14:textId="77777777" w:rsidR="00B06983" w:rsidRPr="00B708F6" w:rsidRDefault="00B06983" w:rsidP="00262896">
      <w:pPr>
        <w:pStyle w:val="FootnoteText"/>
        <w:rPr>
          <w:rFonts w:ascii="Arial Nova Cond Light" w:hAnsi="Arial Nova Cond Light"/>
          <w:sz w:val="16"/>
          <w:szCs w:val="16"/>
        </w:rPr>
      </w:pPr>
      <w:r w:rsidRPr="00B708F6">
        <w:rPr>
          <w:rStyle w:val="FootnoteReference"/>
          <w:rFonts w:ascii="Arial Nova Cond Light" w:hAnsi="Arial Nova Cond Light"/>
          <w:sz w:val="16"/>
          <w:szCs w:val="16"/>
        </w:rPr>
        <w:footnoteRef/>
      </w:r>
      <w:r w:rsidRPr="00B708F6">
        <w:rPr>
          <w:rFonts w:ascii="Arial Nova Cond Light" w:hAnsi="Arial Nova Cond Light"/>
          <w:sz w:val="16"/>
          <w:szCs w:val="16"/>
        </w:rPr>
        <w:t xml:space="preserve"> </w:t>
      </w:r>
      <w:hyperlink r:id="rId21" w:history="1">
        <w:r w:rsidRPr="00B708F6">
          <w:rPr>
            <w:rStyle w:val="Hyperlink"/>
            <w:sz w:val="16"/>
            <w:szCs w:val="16"/>
          </w:rPr>
          <w:t>https://www.weforum.org/agenda/2024/03/european-union-climate-ambitions-five-areas-of-action/</w:t>
        </w:r>
      </w:hyperlink>
    </w:p>
  </w:footnote>
  <w:footnote w:id="26">
    <w:p w14:paraId="1E8B9DB4" w14:textId="60AA3DA7" w:rsidR="00B06983" w:rsidRPr="00B708F6" w:rsidRDefault="00B06983" w:rsidP="00262896">
      <w:pPr>
        <w:pStyle w:val="FootnoteText"/>
        <w:rPr>
          <w:rFonts w:ascii="Arial Nova Cond Light" w:hAnsi="Arial Nova Cond Light"/>
          <w:sz w:val="16"/>
          <w:szCs w:val="16"/>
        </w:rPr>
      </w:pPr>
      <w:r w:rsidRPr="00B708F6">
        <w:rPr>
          <w:rStyle w:val="FootnoteReference"/>
          <w:rFonts w:ascii="Arial Nova Cond Light" w:hAnsi="Arial Nova Cond Light"/>
          <w:sz w:val="16"/>
          <w:szCs w:val="16"/>
        </w:rPr>
        <w:footnoteRef/>
      </w:r>
      <w:r w:rsidRPr="00B708F6">
        <w:rPr>
          <w:rFonts w:ascii="Arial Nova Cond Light" w:hAnsi="Arial Nova Cond Light"/>
          <w:sz w:val="16"/>
          <w:szCs w:val="16"/>
        </w:rPr>
        <w:t xml:space="preserve"> </w:t>
      </w:r>
      <w:hyperlink r:id="rId22" w:history="1">
        <w:r w:rsidRPr="00B708F6">
          <w:rPr>
            <w:rStyle w:val="Hyperlink"/>
            <w:sz w:val="16"/>
            <w:szCs w:val="16"/>
          </w:rPr>
          <w:t>https://www.eib.org/en/publications/20230323-investment-report-2023</w:t>
        </w:r>
      </w:hyperlink>
      <w:r w:rsidRPr="00B708F6">
        <w:rPr>
          <w:rFonts w:ascii="Arial Nova Cond Light" w:hAnsi="Arial Nova Cond Light"/>
          <w:sz w:val="16"/>
          <w:szCs w:val="16"/>
        </w:rPr>
        <w:t xml:space="preserve"> </w:t>
      </w:r>
    </w:p>
  </w:footnote>
  <w:footnote w:id="27">
    <w:p w14:paraId="6D2DB39E" w14:textId="77777777" w:rsidR="00B06983" w:rsidRPr="00B708F6" w:rsidRDefault="00B06983" w:rsidP="00262896">
      <w:pPr>
        <w:pStyle w:val="FootnoteText"/>
        <w:ind w:left="170" w:hanging="170"/>
        <w:rPr>
          <w:rFonts w:ascii="Arial Nova Cond Light" w:hAnsi="Arial Nova Cond Light"/>
          <w:sz w:val="16"/>
        </w:rPr>
      </w:pPr>
      <w:r w:rsidRPr="00B708F6">
        <w:rPr>
          <w:rStyle w:val="FootnoteReference"/>
          <w:rFonts w:ascii="Arial Nova Cond Light" w:hAnsi="Arial Nova Cond Light"/>
          <w:sz w:val="16"/>
        </w:rPr>
        <w:footnoteRef/>
      </w:r>
      <w:r w:rsidRPr="00B708F6">
        <w:rPr>
          <w:rFonts w:ascii="Arial Nova Cond Light" w:hAnsi="Arial Nova Cond Light"/>
          <w:sz w:val="16"/>
        </w:rPr>
        <w:tab/>
      </w:r>
      <w:hyperlink r:id="rId23" w:history="1">
        <w:r w:rsidRPr="00B708F6">
          <w:rPr>
            <w:rStyle w:val="Hyperlink"/>
            <w:sz w:val="16"/>
          </w:rPr>
          <w:t>https://www.eib.org/en/publications/20230323-investment-report-2023</w:t>
        </w:r>
      </w:hyperlink>
    </w:p>
  </w:footnote>
  <w:footnote w:id="28">
    <w:p w14:paraId="0D509B34" w14:textId="77777777" w:rsidR="00B06983" w:rsidRPr="00B708F6" w:rsidRDefault="00B06983" w:rsidP="00262896">
      <w:pPr>
        <w:pStyle w:val="FootnoteText"/>
        <w:ind w:left="170" w:hanging="170"/>
        <w:rPr>
          <w:rFonts w:ascii="Arial Nova Cond Light" w:hAnsi="Arial Nova Cond Light"/>
        </w:rPr>
      </w:pPr>
      <w:r w:rsidRPr="00B708F6">
        <w:rPr>
          <w:rStyle w:val="FootnoteReference"/>
          <w:rFonts w:ascii="Arial Nova Cond Light" w:hAnsi="Arial Nova Cond Light"/>
          <w:sz w:val="16"/>
        </w:rPr>
        <w:footnoteRef/>
      </w:r>
      <w:r w:rsidRPr="00B708F6">
        <w:rPr>
          <w:rFonts w:ascii="Arial Nova Cond Light" w:hAnsi="Arial Nova Cond Light"/>
          <w:sz w:val="16"/>
        </w:rPr>
        <w:tab/>
      </w:r>
      <w:hyperlink r:id="rId24" w:anchor=":~:text=However%2C%20to%20reach%20the%20EU,2.5%25%20of%20the%20EU%20GDP" w:history="1">
        <w:r w:rsidRPr="00B708F6">
          <w:rPr>
            <w:rStyle w:val="Hyperlink"/>
            <w:sz w:val="16"/>
          </w:rPr>
          <w:t>https://www.i4ce.org/en/european-climate-investments-must-double-to-hit-2030-eu-targets/#:~:text=However%2C%20to%20reach%20the%20EU,2.5%25%20of%20the%20EU%20GDP</w:t>
        </w:r>
      </w:hyperlink>
      <w:r w:rsidRPr="00B708F6">
        <w:rPr>
          <w:rFonts w:ascii="Arial Nova Cond Light" w:hAnsi="Arial Nova Cond Light"/>
          <w:sz w:val="16"/>
        </w:rPr>
        <w:t>.</w:t>
      </w:r>
    </w:p>
  </w:footnote>
  <w:footnote w:id="29">
    <w:p w14:paraId="685ED575" w14:textId="77777777" w:rsidR="00B06983" w:rsidRPr="00B708F6" w:rsidRDefault="00B06983" w:rsidP="00262896">
      <w:pPr>
        <w:pStyle w:val="FootnoteText"/>
        <w:ind w:left="170" w:hanging="170"/>
        <w:rPr>
          <w:rFonts w:ascii="Arial Nova Cond Light" w:hAnsi="Arial Nova Cond Light"/>
          <w:sz w:val="16"/>
        </w:rPr>
      </w:pPr>
      <w:r w:rsidRPr="00B708F6">
        <w:rPr>
          <w:rStyle w:val="FootnoteReference"/>
          <w:rFonts w:ascii="Arial Nova Cond Light" w:hAnsi="Arial Nova Cond Light"/>
          <w:sz w:val="16"/>
        </w:rPr>
        <w:footnoteRef/>
      </w:r>
      <w:r w:rsidRPr="00B708F6">
        <w:rPr>
          <w:rFonts w:ascii="Arial Nova Cond Light" w:hAnsi="Arial Nova Cond Light"/>
          <w:sz w:val="16"/>
        </w:rPr>
        <w:tab/>
        <w:t xml:space="preserve">Aligishiev Z., Bellon M., Massetti E. International Monetory Fund. Macro-Fiscal Implications of Adaptation to Climate Change. March, 2022. eISBN: 9798400201660. Pieejams: </w:t>
      </w:r>
      <w:hyperlink r:id="rId25" w:history="1">
        <w:r w:rsidRPr="00B708F6">
          <w:rPr>
            <w:rStyle w:val="Hyperlink"/>
            <w:sz w:val="16"/>
          </w:rPr>
          <w:t>https://www.elibrary.imf.org/view/journals/066/2022/002/article-A001-en.xml</w:t>
        </w:r>
      </w:hyperlink>
    </w:p>
  </w:footnote>
  <w:footnote w:id="30">
    <w:p w14:paraId="5AB8DDDE" w14:textId="49B1B650" w:rsidR="00B06983" w:rsidRPr="00B708F6" w:rsidRDefault="00B06983" w:rsidP="00262896">
      <w:pPr>
        <w:pStyle w:val="FootnoteText"/>
        <w:rPr>
          <w:rFonts w:ascii="Arial Nova Cond Light" w:hAnsi="Arial Nova Cond Light"/>
          <w:sz w:val="16"/>
          <w:szCs w:val="16"/>
        </w:rPr>
      </w:pPr>
      <w:r w:rsidRPr="00B708F6">
        <w:rPr>
          <w:rStyle w:val="FootnoteReference"/>
          <w:rFonts w:ascii="Arial Nova Cond Light" w:hAnsi="Arial Nova Cond Light"/>
          <w:sz w:val="16"/>
          <w:szCs w:val="16"/>
        </w:rPr>
        <w:footnoteRef/>
      </w:r>
      <w:r w:rsidRPr="00B708F6">
        <w:rPr>
          <w:rFonts w:ascii="Arial Nova Cond Light" w:hAnsi="Arial Nova Cond Light"/>
          <w:sz w:val="16"/>
          <w:szCs w:val="16"/>
        </w:rPr>
        <w:t xml:space="preserve"> </w:t>
      </w:r>
      <w:hyperlink r:id="rId26" w:history="1">
        <w:r w:rsidRPr="00B708F6">
          <w:rPr>
            <w:rStyle w:val="Hyperlink"/>
            <w:sz w:val="16"/>
            <w:szCs w:val="16"/>
          </w:rPr>
          <w:t>https://commission.europa.eu/document/download/cd246df6-377e-4db3-bb48-8475c80aa43c_en?filename=LITHUANIA%20DRAFT%20UPDATED%20NECP%20EN.pdf</w:t>
        </w:r>
      </w:hyperlink>
      <w:r w:rsidRPr="00B708F6">
        <w:rPr>
          <w:rFonts w:ascii="Arial Nova Cond Light" w:hAnsi="Arial Nova Cond Light"/>
          <w:sz w:val="16"/>
          <w:szCs w:val="16"/>
        </w:rPr>
        <w:t xml:space="preserve"> </w:t>
      </w:r>
    </w:p>
  </w:footnote>
  <w:footnote w:id="31">
    <w:p w14:paraId="70F5A64A" w14:textId="41ABF74D" w:rsidR="00B06983" w:rsidRPr="00B708F6" w:rsidRDefault="00B06983" w:rsidP="00262896">
      <w:pPr>
        <w:pStyle w:val="FootnoteText"/>
        <w:rPr>
          <w:rFonts w:ascii="Arial Nova Cond Light" w:hAnsi="Arial Nova Cond Light"/>
          <w:sz w:val="16"/>
          <w:szCs w:val="16"/>
        </w:rPr>
      </w:pPr>
      <w:r w:rsidRPr="00B708F6">
        <w:rPr>
          <w:rStyle w:val="FootnoteReference"/>
          <w:rFonts w:ascii="Arial Nova Cond Light" w:hAnsi="Arial Nova Cond Light"/>
          <w:sz w:val="16"/>
          <w:szCs w:val="16"/>
        </w:rPr>
        <w:footnoteRef/>
      </w:r>
      <w:r w:rsidRPr="00B708F6">
        <w:rPr>
          <w:rFonts w:ascii="Arial Nova Cond Light" w:hAnsi="Arial Nova Cond Light"/>
          <w:sz w:val="16"/>
          <w:szCs w:val="16"/>
        </w:rPr>
        <w:t xml:space="preserve"> </w:t>
      </w:r>
      <w:hyperlink r:id="rId27" w:history="1">
        <w:r w:rsidRPr="00B708F6">
          <w:rPr>
            <w:rStyle w:val="Hyperlink"/>
            <w:sz w:val="16"/>
            <w:szCs w:val="16"/>
          </w:rPr>
          <w:t>https://commission.europa.eu/document/download/81c1c07b-0763-499e-ab8f-068b8e70e018_en?filename=Estonia_Draft_Updated_NECP_2021-2030_en_1.pdf</w:t>
        </w:r>
      </w:hyperlink>
      <w:r w:rsidRPr="00B708F6">
        <w:rPr>
          <w:rFonts w:ascii="Arial Nova Cond Light" w:hAnsi="Arial Nova Cond Light"/>
          <w:sz w:val="16"/>
          <w:szCs w:val="16"/>
        </w:rPr>
        <w:t xml:space="preserve"> </w:t>
      </w:r>
    </w:p>
  </w:footnote>
  <w:footnote w:id="32">
    <w:p w14:paraId="1AF956ED" w14:textId="77777777" w:rsidR="00B06983" w:rsidRPr="00B708F6" w:rsidRDefault="00B06983" w:rsidP="00262896">
      <w:pPr>
        <w:pStyle w:val="FootnoteText"/>
        <w:rPr>
          <w:rFonts w:ascii="Arial Nova Cond Light" w:hAnsi="Arial Nova Cond Light"/>
          <w:sz w:val="16"/>
          <w:szCs w:val="16"/>
        </w:rPr>
      </w:pPr>
      <w:r w:rsidRPr="00B708F6">
        <w:rPr>
          <w:rStyle w:val="FootnoteReference"/>
          <w:rFonts w:ascii="Arial Nova Cond Light" w:hAnsi="Arial Nova Cond Light"/>
          <w:sz w:val="16"/>
          <w:szCs w:val="16"/>
        </w:rPr>
        <w:footnoteRef/>
      </w:r>
      <w:r w:rsidRPr="00B708F6">
        <w:rPr>
          <w:rFonts w:ascii="Arial Nova Cond Light" w:hAnsi="Arial Nova Cond Light"/>
          <w:sz w:val="16"/>
          <w:szCs w:val="16"/>
        </w:rPr>
        <w:t xml:space="preserve"> </w:t>
      </w:r>
      <w:hyperlink r:id="rId28" w:history="1">
        <w:r w:rsidRPr="00B708F6">
          <w:rPr>
            <w:rStyle w:val="Hyperlink"/>
            <w:sz w:val="16"/>
            <w:szCs w:val="16"/>
          </w:rPr>
          <w:t>https://kliimaministeerium.ee/sites/default/files/documents/2024-05/ENMAK%202035%20t%C3%A4iendused%208052024.pdf</w:t>
        </w:r>
      </w:hyperlink>
    </w:p>
  </w:footnote>
  <w:footnote w:id="33">
    <w:p w14:paraId="6A8892A5" w14:textId="77777777" w:rsidR="00B06983" w:rsidRPr="00B708F6" w:rsidRDefault="00B06983" w:rsidP="00262896">
      <w:pPr>
        <w:pStyle w:val="FootnoteText"/>
        <w:ind w:left="170" w:hanging="170"/>
        <w:rPr>
          <w:rFonts w:ascii="Arial Nova Cond Light" w:hAnsi="Arial Nova Cond Light"/>
          <w:sz w:val="16"/>
          <w:szCs w:val="16"/>
        </w:rPr>
      </w:pPr>
      <w:r w:rsidRPr="00B708F6">
        <w:rPr>
          <w:rStyle w:val="FootnoteReference"/>
          <w:rFonts w:ascii="Arial Nova Cond Light" w:hAnsi="Arial Nova Cond Light"/>
          <w:sz w:val="16"/>
          <w:szCs w:val="16"/>
        </w:rPr>
        <w:footnoteRef/>
      </w:r>
      <w:r>
        <w:rPr>
          <w:rFonts w:ascii="Arial Nova Cond Light" w:hAnsi="Arial Nova Cond Light"/>
          <w:sz w:val="16"/>
          <w:szCs w:val="16"/>
        </w:rPr>
        <w:tab/>
      </w:r>
      <w:hyperlink r:id="rId29" w:history="1">
        <w:r w:rsidRPr="00BD6827">
          <w:rPr>
            <w:rStyle w:val="Hyperlink"/>
            <w:sz w:val="16"/>
            <w:szCs w:val="16"/>
          </w:rPr>
          <w:t>https://commission.europa.eu/document/download/f30c8368-abf8-4272-9a97-93e41e221fcb_en?filename=MALTA_DRAFT%20UPDATED%20NECP%202021%202030.pdf</w:t>
        </w:r>
      </w:hyperlink>
    </w:p>
  </w:footnote>
  <w:footnote w:id="34">
    <w:p w14:paraId="146EA7E6" w14:textId="77777777" w:rsidR="00B06983" w:rsidRPr="00B708F6" w:rsidRDefault="00B06983" w:rsidP="00262896">
      <w:pPr>
        <w:pStyle w:val="FootnoteText"/>
        <w:ind w:left="170" w:hanging="170"/>
        <w:rPr>
          <w:rFonts w:ascii="Arial Nova Cond Light" w:hAnsi="Arial Nova Cond Light"/>
          <w:sz w:val="16"/>
          <w:szCs w:val="16"/>
        </w:rPr>
      </w:pPr>
      <w:r w:rsidRPr="00B708F6">
        <w:rPr>
          <w:rStyle w:val="FootnoteReference"/>
          <w:rFonts w:ascii="Arial Nova Cond Light" w:hAnsi="Arial Nova Cond Light"/>
          <w:sz w:val="16"/>
          <w:szCs w:val="16"/>
        </w:rPr>
        <w:footnoteRef/>
      </w:r>
      <w:r>
        <w:rPr>
          <w:rFonts w:ascii="Arial Nova Cond Light" w:hAnsi="Arial Nova Cond Light"/>
          <w:sz w:val="16"/>
          <w:szCs w:val="16"/>
        </w:rPr>
        <w:tab/>
      </w:r>
      <w:hyperlink r:id="rId30" w:history="1">
        <w:r w:rsidRPr="00BD6827">
          <w:rPr>
            <w:rStyle w:val="Hyperlink"/>
            <w:sz w:val="16"/>
            <w:szCs w:val="16"/>
          </w:rPr>
          <w:t>https://commission.europa.eu/document/download/c33b83eb-9ed5-4162-a23c-24900408f152_en?filename=Cyprus%20Draft%20Updated%20NECP%202021%202030%20%282%29.pdf</w:t>
        </w:r>
      </w:hyperlink>
    </w:p>
  </w:footnote>
  <w:footnote w:id="35">
    <w:p w14:paraId="742BE1DE" w14:textId="77777777" w:rsidR="00B06983" w:rsidRPr="00B708F6" w:rsidRDefault="00B06983" w:rsidP="00262896">
      <w:pPr>
        <w:pStyle w:val="FootnoteText"/>
        <w:ind w:left="170" w:hanging="170"/>
        <w:rPr>
          <w:rFonts w:ascii="Arial Nova Cond Light" w:hAnsi="Arial Nova Cond Light"/>
          <w:sz w:val="16"/>
          <w:szCs w:val="16"/>
        </w:rPr>
      </w:pPr>
      <w:r w:rsidRPr="00B708F6">
        <w:rPr>
          <w:rStyle w:val="FootnoteReference"/>
          <w:rFonts w:ascii="Arial Nova Cond Light" w:hAnsi="Arial Nova Cond Light"/>
          <w:sz w:val="16"/>
          <w:szCs w:val="16"/>
        </w:rPr>
        <w:footnoteRef/>
      </w:r>
      <w:r>
        <w:rPr>
          <w:rFonts w:ascii="Arial Nova Cond Light" w:hAnsi="Arial Nova Cond Light"/>
          <w:sz w:val="16"/>
          <w:szCs w:val="16"/>
        </w:rPr>
        <w:tab/>
      </w:r>
      <w:hyperlink r:id="rId31" w:history="1">
        <w:r w:rsidRPr="00BD6827">
          <w:rPr>
            <w:rStyle w:val="Hyperlink"/>
            <w:sz w:val="16"/>
            <w:szCs w:val="16"/>
          </w:rPr>
          <w:t>https://commission.europa.eu/document/download/78c7f4bd-a3ca-4e83-8732-65f1e0d0baaa_en?filename=DRAFT%20NECP%20update_Finland.pdf</w:t>
        </w:r>
      </w:hyperlink>
    </w:p>
  </w:footnote>
  <w:footnote w:id="36">
    <w:p w14:paraId="5284EE25" w14:textId="77777777" w:rsidR="00B06983" w:rsidRPr="00B708F6" w:rsidRDefault="00B06983" w:rsidP="00262896">
      <w:pPr>
        <w:pStyle w:val="FootnoteText"/>
        <w:ind w:left="170" w:hanging="170"/>
        <w:rPr>
          <w:rFonts w:ascii="Arial Nova Cond Light" w:hAnsi="Arial Nova Cond Light"/>
          <w:sz w:val="16"/>
          <w:szCs w:val="16"/>
        </w:rPr>
      </w:pPr>
      <w:r w:rsidRPr="00B708F6">
        <w:rPr>
          <w:rStyle w:val="FootnoteReference"/>
          <w:rFonts w:ascii="Arial Nova Cond Light" w:hAnsi="Arial Nova Cond Light"/>
          <w:sz w:val="16"/>
          <w:szCs w:val="16"/>
        </w:rPr>
        <w:footnoteRef/>
      </w:r>
      <w:r>
        <w:rPr>
          <w:rFonts w:ascii="Arial Nova Cond Light" w:hAnsi="Arial Nova Cond Light"/>
          <w:sz w:val="16"/>
          <w:szCs w:val="16"/>
        </w:rPr>
        <w:tab/>
      </w:r>
      <w:hyperlink r:id="rId32" w:history="1">
        <w:r w:rsidRPr="00BD6827">
          <w:rPr>
            <w:rStyle w:val="Hyperlink"/>
            <w:sz w:val="16"/>
            <w:szCs w:val="16"/>
          </w:rPr>
          <w:t>https://commission.europa.eu/document/download/e160e0b8-2ac9-4731-bcad-5024ce97bcc9_en?filename=FRANCE%20-%20DRAFT%20UPDATED%20NECP%202021-2030_EN.pdf</w:t>
        </w:r>
      </w:hyperlink>
    </w:p>
  </w:footnote>
  <w:footnote w:id="37">
    <w:p w14:paraId="50B0DBE1" w14:textId="77777777" w:rsidR="00B06983" w:rsidRPr="00B708F6" w:rsidRDefault="00B06983" w:rsidP="00262896">
      <w:pPr>
        <w:pStyle w:val="FootnoteText"/>
        <w:rPr>
          <w:rFonts w:ascii="Arial Nova Cond Light" w:hAnsi="Arial Nova Cond Light"/>
          <w:sz w:val="16"/>
          <w:szCs w:val="16"/>
        </w:rPr>
      </w:pPr>
      <w:r w:rsidRPr="00B708F6">
        <w:rPr>
          <w:rStyle w:val="FootnoteReference"/>
          <w:rFonts w:ascii="Arial Nova Cond Light" w:hAnsi="Arial Nova Cond Light"/>
          <w:sz w:val="16"/>
          <w:szCs w:val="16"/>
        </w:rPr>
        <w:footnoteRef/>
      </w:r>
      <w:r w:rsidRPr="00B708F6">
        <w:rPr>
          <w:rFonts w:ascii="Arial Nova Cond Light" w:hAnsi="Arial Nova Cond Light"/>
          <w:sz w:val="16"/>
          <w:szCs w:val="16"/>
        </w:rPr>
        <w:t xml:space="preserve"> Gourmand L. (2024), “How Much Investment Is Required To Reach France’s Decarbonisation Targets For 2030?”, DG Trésor Working Document, no. 2024/2.</w:t>
      </w:r>
    </w:p>
  </w:footnote>
  <w:footnote w:id="38">
    <w:p w14:paraId="2BF029CC" w14:textId="77777777" w:rsidR="00B06983" w:rsidRPr="00B708F6" w:rsidRDefault="00B06983" w:rsidP="00262896">
      <w:pPr>
        <w:pStyle w:val="FootnoteText"/>
        <w:ind w:left="170" w:hanging="170"/>
        <w:rPr>
          <w:rFonts w:ascii="Arial Nova Cond Light" w:hAnsi="Arial Nova Cond Light"/>
          <w:sz w:val="16"/>
          <w:szCs w:val="16"/>
        </w:rPr>
      </w:pPr>
      <w:r w:rsidRPr="00B708F6">
        <w:rPr>
          <w:rStyle w:val="FootnoteReference"/>
          <w:rFonts w:ascii="Arial Nova Cond Light" w:hAnsi="Arial Nova Cond Light"/>
          <w:sz w:val="16"/>
          <w:szCs w:val="16"/>
        </w:rPr>
        <w:footnoteRef/>
      </w:r>
      <w:r w:rsidRPr="00B708F6">
        <w:rPr>
          <w:rFonts w:ascii="Arial Nova Cond Light" w:hAnsi="Arial Nova Cond Light"/>
          <w:sz w:val="16"/>
          <w:szCs w:val="16"/>
        </w:rPr>
        <w:t xml:space="preserve"> J. Pisani-Ferry and S. Mahfouz (2023), “The Economic Implications of Climate Action”, France Stratégie, Note de synthèse.</w:t>
      </w:r>
    </w:p>
  </w:footnote>
  <w:footnote w:id="39">
    <w:p w14:paraId="37802F88" w14:textId="77777777" w:rsidR="00B06983" w:rsidRPr="00B708F6" w:rsidRDefault="00B06983" w:rsidP="00262896">
      <w:pPr>
        <w:pStyle w:val="FootnoteText"/>
        <w:ind w:left="170" w:hanging="170"/>
        <w:rPr>
          <w:rFonts w:ascii="Arial Nova Cond Light" w:hAnsi="Arial Nova Cond Light"/>
          <w:sz w:val="16"/>
          <w:szCs w:val="16"/>
        </w:rPr>
      </w:pPr>
      <w:r w:rsidRPr="00B708F6">
        <w:rPr>
          <w:rStyle w:val="FootnoteReference"/>
          <w:rFonts w:ascii="Arial Nova Cond Light" w:hAnsi="Arial Nova Cond Light"/>
          <w:sz w:val="16"/>
          <w:szCs w:val="16"/>
        </w:rPr>
        <w:footnoteRef/>
      </w:r>
      <w:r w:rsidRPr="00B708F6">
        <w:rPr>
          <w:rFonts w:ascii="Arial Nova Cond Light" w:hAnsi="Arial Nova Cond Light"/>
          <w:sz w:val="16"/>
          <w:szCs w:val="16"/>
        </w:rPr>
        <w:t xml:space="preserve"> Gourmand L. (2024), “How Much Investment Is Required To Reach France’s Decarbonisation Targets For 2030?”, DG Trésor Working Document, no. 2024/2.</w:t>
      </w:r>
    </w:p>
  </w:footnote>
  <w:footnote w:id="40">
    <w:p w14:paraId="4BAC45A1" w14:textId="77777777" w:rsidR="00B06983" w:rsidRPr="00B708F6" w:rsidRDefault="00B06983" w:rsidP="00262896">
      <w:pPr>
        <w:pStyle w:val="FootnoteText"/>
        <w:ind w:left="170" w:hanging="170"/>
        <w:rPr>
          <w:rFonts w:ascii="Arial Nova Cond Light" w:hAnsi="Arial Nova Cond Light"/>
        </w:rPr>
      </w:pPr>
      <w:r w:rsidRPr="00B708F6">
        <w:rPr>
          <w:rStyle w:val="FootnoteReference"/>
          <w:rFonts w:ascii="Arial Nova Cond Light" w:hAnsi="Arial Nova Cond Light"/>
          <w:sz w:val="16"/>
          <w:szCs w:val="16"/>
        </w:rPr>
        <w:footnoteRef/>
      </w:r>
      <w:r w:rsidRPr="00B708F6">
        <w:rPr>
          <w:rFonts w:ascii="Arial Nova Cond Light" w:hAnsi="Arial Nova Cond Light"/>
          <w:sz w:val="16"/>
          <w:szCs w:val="16"/>
        </w:rPr>
        <w:t xml:space="preserve"> </w:t>
      </w:r>
      <w:hyperlink r:id="rId33" w:anchor=":~:text=Germany%20should%20invest%20an%20additional,Institute%20(IW)%20and%20the%20Macroeconomic" w:history="1">
        <w:r w:rsidRPr="00B708F6">
          <w:rPr>
            <w:rStyle w:val="Hyperlink"/>
            <w:sz w:val="16"/>
            <w:szCs w:val="16"/>
          </w:rPr>
          <w:t>https://www.cleanenergywire.org/news/germany-needs-eu213-bln-more-public-investments-climate-change-mitigation-and-adaptation-economists#:~:text=Germany%20should%20invest%20an%20additional,Institute%20(IW)%20and%20the%20Macroeconomic</w:t>
        </w:r>
      </w:hyperlink>
    </w:p>
  </w:footnote>
  <w:footnote w:id="41">
    <w:p w14:paraId="2AF8076F" w14:textId="77777777" w:rsidR="00B06983" w:rsidRPr="00B708F6" w:rsidRDefault="00B06983" w:rsidP="00262896">
      <w:pPr>
        <w:pStyle w:val="FootnoteText"/>
        <w:ind w:left="170" w:hanging="170"/>
        <w:rPr>
          <w:rFonts w:ascii="Arial Nova Cond Light" w:hAnsi="Arial Nova Cond Light"/>
          <w:sz w:val="16"/>
          <w:szCs w:val="16"/>
          <w:lang w:val="lv-LV"/>
        </w:rPr>
      </w:pPr>
      <w:r w:rsidRPr="00B708F6">
        <w:rPr>
          <w:rStyle w:val="FootnoteReference"/>
          <w:rFonts w:ascii="Arial Nova Cond Light" w:hAnsi="Arial Nova Cond Light"/>
          <w:sz w:val="16"/>
          <w:szCs w:val="16"/>
        </w:rPr>
        <w:footnoteRef/>
      </w:r>
      <w:r w:rsidRPr="00B708F6">
        <w:rPr>
          <w:rFonts w:ascii="Arial Nova Cond Light" w:hAnsi="Arial Nova Cond Light"/>
          <w:sz w:val="16"/>
          <w:szCs w:val="16"/>
          <w:lang w:val="lv-LV"/>
        </w:rPr>
        <w:t xml:space="preserve"> </w:t>
      </w:r>
      <w:hyperlink r:id="rId34" w:history="1">
        <w:r w:rsidRPr="00B708F6">
          <w:rPr>
            <w:rStyle w:val="Hyperlink"/>
            <w:sz w:val="16"/>
            <w:szCs w:val="16"/>
            <w:lang w:val="lv-LV"/>
          </w:rPr>
          <w:t>https://www.bruegel.org/blog-post/how-much-investment-do-we-need-reach-net-zero</w:t>
        </w:r>
      </w:hyperlink>
      <w:r w:rsidRPr="00B708F6">
        <w:rPr>
          <w:rFonts w:ascii="Arial Nova Cond Light" w:hAnsi="Arial Nova Cond Light"/>
          <w:sz w:val="16"/>
          <w:szCs w:val="16"/>
          <w:lang w:val="lv-LV"/>
        </w:rPr>
        <w:t xml:space="preserve">; </w:t>
      </w:r>
      <w:hyperlink r:id="rId35" w:history="1">
        <w:r w:rsidRPr="00B708F6">
          <w:rPr>
            <w:rStyle w:val="Hyperlink"/>
            <w:sz w:val="16"/>
            <w:szCs w:val="16"/>
            <w:lang w:val="lv-LV"/>
          </w:rPr>
          <w:t>https://single-market-economy.ec.europa.eu/publications/staff-working-document-investment-needs-assessment-and-funding-availabilities-strengthen-eus-net_en</w:t>
        </w:r>
      </w:hyperlink>
      <w:r w:rsidRPr="00B708F6">
        <w:rPr>
          <w:rFonts w:ascii="Arial Nova Cond Light" w:hAnsi="Arial Nova Cond Light"/>
          <w:sz w:val="16"/>
          <w:szCs w:val="16"/>
          <w:lang w:val="lv-LV"/>
        </w:rPr>
        <w:t>.</w:t>
      </w:r>
    </w:p>
  </w:footnote>
  <w:footnote w:id="42">
    <w:p w14:paraId="28FA80AA" w14:textId="77777777" w:rsidR="00B06983" w:rsidRPr="00B708F6" w:rsidRDefault="00B06983" w:rsidP="00262896">
      <w:pPr>
        <w:pStyle w:val="FootnoteText"/>
        <w:ind w:left="142" w:hanging="142"/>
        <w:rPr>
          <w:rFonts w:ascii="Arial Nova Cond Light" w:hAnsi="Arial Nova Cond Light"/>
          <w:sz w:val="16"/>
          <w:szCs w:val="16"/>
          <w:lang w:val="lv-LV"/>
        </w:rPr>
      </w:pPr>
      <w:r w:rsidRPr="00B708F6">
        <w:rPr>
          <w:rStyle w:val="FootnoteReference"/>
          <w:rFonts w:ascii="Arial Nova Cond Light" w:eastAsia="Calibri" w:hAnsi="Arial Nova Cond Light" w:cs="Calibri Light"/>
          <w:sz w:val="16"/>
          <w:szCs w:val="16"/>
        </w:rPr>
        <w:footnoteRef/>
      </w:r>
      <w:r w:rsidRPr="00B708F6">
        <w:rPr>
          <w:rFonts w:ascii="Arial Nova Cond Light" w:hAnsi="Arial Nova Cond Light" w:cs="Calibri Light"/>
          <w:sz w:val="16"/>
          <w:szCs w:val="16"/>
          <w:lang w:val="lv-LV"/>
        </w:rPr>
        <w:tab/>
      </w:r>
      <w:hyperlink r:id="rId36" w:history="1">
        <w:r w:rsidRPr="00B708F6">
          <w:rPr>
            <w:rStyle w:val="Hyperlink"/>
            <w:sz w:val="16"/>
            <w:szCs w:val="16"/>
            <w:lang w:val="lv-LV"/>
          </w:rPr>
          <w:t>https://tapportals.mk.gov.lv/legal_acts/3ee763e4-6022-41f5-a3d9-3055fdf261cb</w:t>
        </w:r>
      </w:hyperlink>
    </w:p>
  </w:footnote>
  <w:footnote w:id="43">
    <w:p w14:paraId="2D26B4BA" w14:textId="77777777" w:rsidR="00B06983" w:rsidRPr="00B708F6" w:rsidRDefault="00B06983" w:rsidP="00262896">
      <w:pPr>
        <w:pStyle w:val="FootnoteText"/>
        <w:rPr>
          <w:rFonts w:ascii="Arial Nova Cond Light" w:hAnsi="Arial Nova Cond Light"/>
          <w:sz w:val="16"/>
          <w:szCs w:val="16"/>
          <w:lang w:val="lv-LV"/>
        </w:rPr>
      </w:pPr>
      <w:r w:rsidRPr="00B708F6">
        <w:rPr>
          <w:rStyle w:val="FootnoteReference"/>
          <w:rFonts w:ascii="Arial Nova Cond Light" w:hAnsi="Arial Nova Cond Light"/>
          <w:sz w:val="16"/>
          <w:szCs w:val="16"/>
        </w:rPr>
        <w:footnoteRef/>
      </w:r>
      <w:r w:rsidRPr="00B708F6">
        <w:rPr>
          <w:rFonts w:ascii="Arial Nova Cond Light" w:hAnsi="Arial Nova Cond Light"/>
          <w:sz w:val="16"/>
          <w:szCs w:val="16"/>
          <w:lang w:val="lv-LV"/>
        </w:rPr>
        <w:t xml:space="preserve"> </w:t>
      </w:r>
      <w:hyperlink r:id="rId37" w:history="1">
        <w:r w:rsidRPr="00B708F6">
          <w:rPr>
            <w:rStyle w:val="Hyperlink"/>
            <w:sz w:val="16"/>
            <w:szCs w:val="16"/>
            <w:lang w:val="lv-LV"/>
          </w:rPr>
          <w:t>https://www.eib.org/attachments/lucalli/20230340_econ_eibis_2023_latvia_en.pdf</w:t>
        </w:r>
      </w:hyperlink>
    </w:p>
  </w:footnote>
  <w:footnote w:id="44">
    <w:p w14:paraId="1E060096" w14:textId="3DD614F4" w:rsidR="00B06983" w:rsidRPr="00B34993" w:rsidRDefault="00B06983" w:rsidP="00812A72">
      <w:pPr>
        <w:pStyle w:val="FootnoteText"/>
        <w:ind w:left="170" w:hanging="170"/>
        <w:jc w:val="both"/>
        <w:rPr>
          <w:rFonts w:ascii="Arial Nova Cond Light" w:hAnsi="Arial Nova Cond Light"/>
          <w:sz w:val="16"/>
          <w:szCs w:val="16"/>
          <w:lang w:val="en-US"/>
        </w:rPr>
      </w:pPr>
      <w:r w:rsidRPr="00B34993">
        <w:rPr>
          <w:rStyle w:val="FootnoteReference"/>
          <w:rFonts w:ascii="Arial Nova Cond Light" w:hAnsi="Arial Nova Cond Light"/>
          <w:sz w:val="16"/>
          <w:szCs w:val="16"/>
        </w:rPr>
        <w:footnoteRef/>
      </w:r>
      <w:r w:rsidRPr="00B34993">
        <w:rPr>
          <w:rFonts w:ascii="Arial Nova Cond Light" w:hAnsi="Arial Nova Cond Light"/>
          <w:sz w:val="16"/>
          <w:szCs w:val="16"/>
        </w:rPr>
        <w:t xml:space="preserve"> Babatunde, K. A., Begum, R. A. &amp; Said, F. F., 2017. Application of computable general equilibrium (CGE) to climate change mitigation policy: A systematic review. </w:t>
      </w:r>
      <w:r w:rsidRPr="00B34993">
        <w:rPr>
          <w:rFonts w:ascii="Arial Nova Cond Light" w:hAnsi="Arial Nova Cond Light"/>
          <w:i/>
          <w:iCs/>
          <w:sz w:val="16"/>
          <w:szCs w:val="16"/>
        </w:rPr>
        <w:t>Renewable and Sustainable Energy Reviews</w:t>
      </w:r>
      <w:r w:rsidRPr="00B34993">
        <w:rPr>
          <w:rFonts w:ascii="Arial Nova Cond Light" w:hAnsi="Arial Nova Cond Light"/>
          <w:sz w:val="16"/>
          <w:szCs w:val="16"/>
        </w:rPr>
        <w:t xml:space="preserve">, Volume 78, pp. 61-71 </w:t>
      </w:r>
    </w:p>
  </w:footnote>
  <w:footnote w:id="45">
    <w:p w14:paraId="67512C18" w14:textId="77777777" w:rsidR="00B06983" w:rsidRPr="00B34993" w:rsidRDefault="00B06983" w:rsidP="00812A72">
      <w:pPr>
        <w:pStyle w:val="FootnoteText"/>
        <w:ind w:left="170" w:hanging="170"/>
        <w:jc w:val="both"/>
        <w:rPr>
          <w:rFonts w:ascii="Arial Nova Cond Light" w:hAnsi="Arial Nova Cond Light"/>
          <w:lang w:val="lv-LV"/>
        </w:rPr>
      </w:pPr>
      <w:r w:rsidRPr="00B34993">
        <w:rPr>
          <w:rStyle w:val="FootnoteReference"/>
          <w:rFonts w:ascii="Arial Nova Cond Light" w:hAnsi="Arial Nova Cond Light"/>
          <w:sz w:val="16"/>
          <w:szCs w:val="16"/>
        </w:rPr>
        <w:footnoteRef/>
      </w:r>
      <w:r w:rsidRPr="00B34993">
        <w:rPr>
          <w:rFonts w:ascii="Arial Nova Cond Light" w:hAnsi="Arial Nova Cond Light"/>
          <w:sz w:val="16"/>
          <w:szCs w:val="16"/>
        </w:rPr>
        <w:t xml:space="preserve"> Herbst, A., Toro, F., Reitze, F. &amp; Jochem, E., 2012. Introduction to Energy Systems Modelling. </w:t>
      </w:r>
      <w:r w:rsidRPr="00B34993">
        <w:rPr>
          <w:rFonts w:ascii="Arial Nova Cond Light" w:hAnsi="Arial Nova Cond Light"/>
          <w:i/>
          <w:iCs/>
          <w:sz w:val="16"/>
          <w:szCs w:val="16"/>
        </w:rPr>
        <w:t>Swiss Journal of Economics and Statistics</w:t>
      </w:r>
      <w:r w:rsidRPr="00B34993">
        <w:rPr>
          <w:rFonts w:ascii="Arial Nova Cond Light" w:hAnsi="Arial Nova Cond Light"/>
          <w:sz w:val="16"/>
          <w:szCs w:val="16"/>
        </w:rPr>
        <w:t>, Volume 148, pp. 111–135.</w:t>
      </w:r>
    </w:p>
  </w:footnote>
  <w:footnote w:id="46">
    <w:p w14:paraId="52280CD6" w14:textId="77777777" w:rsidR="00B06983" w:rsidRPr="00B34993" w:rsidRDefault="00B06983" w:rsidP="00812A72">
      <w:pPr>
        <w:pStyle w:val="FootnoteText"/>
        <w:ind w:left="170" w:hanging="170"/>
        <w:rPr>
          <w:rFonts w:ascii="Arial Nova Cond Light" w:hAnsi="Arial Nova Cond Light"/>
          <w:sz w:val="16"/>
          <w:szCs w:val="16"/>
          <w:lang w:val="lv-LV"/>
        </w:rPr>
      </w:pPr>
      <w:r w:rsidRPr="00B34993">
        <w:rPr>
          <w:rStyle w:val="FootnoteReference"/>
          <w:rFonts w:ascii="Arial Nova Cond Light" w:eastAsia="Calibri" w:hAnsi="Arial Nova Cond Light" w:cs="Calibri Light"/>
          <w:sz w:val="16"/>
          <w:szCs w:val="16"/>
        </w:rPr>
        <w:footnoteRef/>
      </w:r>
      <w:r w:rsidRPr="00B34993">
        <w:rPr>
          <w:rFonts w:ascii="Arial Nova Cond Light" w:hAnsi="Arial Nova Cond Light" w:cs="Calibri Light"/>
          <w:sz w:val="16"/>
          <w:szCs w:val="16"/>
          <w:lang w:val="lv-LV"/>
        </w:rPr>
        <w:tab/>
      </w:r>
      <w:r w:rsidRPr="00B34993">
        <w:rPr>
          <w:rFonts w:ascii="Arial Nova Cond Light" w:hAnsi="Arial Nova Cond Light"/>
          <w:color w:val="000000"/>
          <w:sz w:val="16"/>
          <w:szCs w:val="16"/>
          <w:lang w:val="lv-LV"/>
        </w:rPr>
        <w:t>Plašāk enerģētikas un klimata mērķu sasniegšanai nepieciešamais finansējums un hipotēzes par ES fondu pieejamību līdz 2030 .gadam ir skatītas 3. nodaļā.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C47CF"/>
    <w:multiLevelType w:val="hybridMultilevel"/>
    <w:tmpl w:val="3DA2B93A"/>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55827CF"/>
    <w:multiLevelType w:val="hybridMultilevel"/>
    <w:tmpl w:val="BB2E720E"/>
    <w:lvl w:ilvl="0" w:tplc="06B8362C">
      <w:start w:val="1"/>
      <w:numFmt w:val="bullet"/>
      <w:lvlText w:val=""/>
      <w:lvlJc w:val="left"/>
      <w:pPr>
        <w:ind w:left="768" w:hanging="360"/>
      </w:pPr>
      <w:rPr>
        <w:rFonts w:ascii="Symbol" w:hAnsi="Symbol" w:hint="default"/>
      </w:rPr>
    </w:lvl>
    <w:lvl w:ilvl="1" w:tplc="04260003" w:tentative="1">
      <w:start w:val="1"/>
      <w:numFmt w:val="bullet"/>
      <w:lvlText w:val="o"/>
      <w:lvlJc w:val="left"/>
      <w:pPr>
        <w:ind w:left="1488" w:hanging="360"/>
      </w:pPr>
      <w:rPr>
        <w:rFonts w:ascii="Courier New" w:hAnsi="Courier New" w:cs="Courier New" w:hint="default"/>
      </w:rPr>
    </w:lvl>
    <w:lvl w:ilvl="2" w:tplc="04260005" w:tentative="1">
      <w:start w:val="1"/>
      <w:numFmt w:val="bullet"/>
      <w:lvlText w:val=""/>
      <w:lvlJc w:val="left"/>
      <w:pPr>
        <w:ind w:left="2208" w:hanging="360"/>
      </w:pPr>
      <w:rPr>
        <w:rFonts w:ascii="Wingdings" w:hAnsi="Wingdings" w:hint="default"/>
      </w:rPr>
    </w:lvl>
    <w:lvl w:ilvl="3" w:tplc="04260001" w:tentative="1">
      <w:start w:val="1"/>
      <w:numFmt w:val="bullet"/>
      <w:lvlText w:val=""/>
      <w:lvlJc w:val="left"/>
      <w:pPr>
        <w:ind w:left="2928" w:hanging="360"/>
      </w:pPr>
      <w:rPr>
        <w:rFonts w:ascii="Symbol" w:hAnsi="Symbol" w:hint="default"/>
      </w:rPr>
    </w:lvl>
    <w:lvl w:ilvl="4" w:tplc="04260003" w:tentative="1">
      <w:start w:val="1"/>
      <w:numFmt w:val="bullet"/>
      <w:lvlText w:val="o"/>
      <w:lvlJc w:val="left"/>
      <w:pPr>
        <w:ind w:left="3648" w:hanging="360"/>
      </w:pPr>
      <w:rPr>
        <w:rFonts w:ascii="Courier New" w:hAnsi="Courier New" w:cs="Courier New" w:hint="default"/>
      </w:rPr>
    </w:lvl>
    <w:lvl w:ilvl="5" w:tplc="04260005" w:tentative="1">
      <w:start w:val="1"/>
      <w:numFmt w:val="bullet"/>
      <w:lvlText w:val=""/>
      <w:lvlJc w:val="left"/>
      <w:pPr>
        <w:ind w:left="4368" w:hanging="360"/>
      </w:pPr>
      <w:rPr>
        <w:rFonts w:ascii="Wingdings" w:hAnsi="Wingdings" w:hint="default"/>
      </w:rPr>
    </w:lvl>
    <w:lvl w:ilvl="6" w:tplc="04260001" w:tentative="1">
      <w:start w:val="1"/>
      <w:numFmt w:val="bullet"/>
      <w:lvlText w:val=""/>
      <w:lvlJc w:val="left"/>
      <w:pPr>
        <w:ind w:left="5088" w:hanging="360"/>
      </w:pPr>
      <w:rPr>
        <w:rFonts w:ascii="Symbol" w:hAnsi="Symbol" w:hint="default"/>
      </w:rPr>
    </w:lvl>
    <w:lvl w:ilvl="7" w:tplc="04260003" w:tentative="1">
      <w:start w:val="1"/>
      <w:numFmt w:val="bullet"/>
      <w:lvlText w:val="o"/>
      <w:lvlJc w:val="left"/>
      <w:pPr>
        <w:ind w:left="5808" w:hanging="360"/>
      </w:pPr>
      <w:rPr>
        <w:rFonts w:ascii="Courier New" w:hAnsi="Courier New" w:cs="Courier New" w:hint="default"/>
      </w:rPr>
    </w:lvl>
    <w:lvl w:ilvl="8" w:tplc="04260005" w:tentative="1">
      <w:start w:val="1"/>
      <w:numFmt w:val="bullet"/>
      <w:lvlText w:val=""/>
      <w:lvlJc w:val="left"/>
      <w:pPr>
        <w:ind w:left="6528" w:hanging="360"/>
      </w:pPr>
      <w:rPr>
        <w:rFonts w:ascii="Wingdings" w:hAnsi="Wingdings" w:hint="default"/>
      </w:rPr>
    </w:lvl>
  </w:abstractNum>
  <w:abstractNum w:abstractNumId="2" w15:restartNumberingAfterBreak="0">
    <w:nsid w:val="076F5FB5"/>
    <w:multiLevelType w:val="hybridMultilevel"/>
    <w:tmpl w:val="C1D21176"/>
    <w:lvl w:ilvl="0" w:tplc="06B8362C">
      <w:start w:val="1"/>
      <w:numFmt w:val="bullet"/>
      <w:lvlText w:val=""/>
      <w:lvlJc w:val="left"/>
      <w:pPr>
        <w:ind w:left="772" w:hanging="360"/>
      </w:pPr>
      <w:rPr>
        <w:rFonts w:ascii="Symbol" w:hAnsi="Symbol" w:hint="default"/>
      </w:rPr>
    </w:lvl>
    <w:lvl w:ilvl="1" w:tplc="04260003" w:tentative="1">
      <w:start w:val="1"/>
      <w:numFmt w:val="bullet"/>
      <w:lvlText w:val="o"/>
      <w:lvlJc w:val="left"/>
      <w:pPr>
        <w:ind w:left="1492" w:hanging="360"/>
      </w:pPr>
      <w:rPr>
        <w:rFonts w:ascii="Courier New" w:hAnsi="Courier New" w:cs="Courier New" w:hint="default"/>
      </w:rPr>
    </w:lvl>
    <w:lvl w:ilvl="2" w:tplc="04260005" w:tentative="1">
      <w:start w:val="1"/>
      <w:numFmt w:val="bullet"/>
      <w:lvlText w:val=""/>
      <w:lvlJc w:val="left"/>
      <w:pPr>
        <w:ind w:left="2212" w:hanging="360"/>
      </w:pPr>
      <w:rPr>
        <w:rFonts w:ascii="Wingdings" w:hAnsi="Wingdings" w:hint="default"/>
      </w:rPr>
    </w:lvl>
    <w:lvl w:ilvl="3" w:tplc="04260001" w:tentative="1">
      <w:start w:val="1"/>
      <w:numFmt w:val="bullet"/>
      <w:lvlText w:val=""/>
      <w:lvlJc w:val="left"/>
      <w:pPr>
        <w:ind w:left="2932" w:hanging="360"/>
      </w:pPr>
      <w:rPr>
        <w:rFonts w:ascii="Symbol" w:hAnsi="Symbol" w:hint="default"/>
      </w:rPr>
    </w:lvl>
    <w:lvl w:ilvl="4" w:tplc="04260003" w:tentative="1">
      <w:start w:val="1"/>
      <w:numFmt w:val="bullet"/>
      <w:lvlText w:val="o"/>
      <w:lvlJc w:val="left"/>
      <w:pPr>
        <w:ind w:left="3652" w:hanging="360"/>
      </w:pPr>
      <w:rPr>
        <w:rFonts w:ascii="Courier New" w:hAnsi="Courier New" w:cs="Courier New" w:hint="default"/>
      </w:rPr>
    </w:lvl>
    <w:lvl w:ilvl="5" w:tplc="04260005" w:tentative="1">
      <w:start w:val="1"/>
      <w:numFmt w:val="bullet"/>
      <w:lvlText w:val=""/>
      <w:lvlJc w:val="left"/>
      <w:pPr>
        <w:ind w:left="4372" w:hanging="360"/>
      </w:pPr>
      <w:rPr>
        <w:rFonts w:ascii="Wingdings" w:hAnsi="Wingdings" w:hint="default"/>
      </w:rPr>
    </w:lvl>
    <w:lvl w:ilvl="6" w:tplc="04260001" w:tentative="1">
      <w:start w:val="1"/>
      <w:numFmt w:val="bullet"/>
      <w:lvlText w:val=""/>
      <w:lvlJc w:val="left"/>
      <w:pPr>
        <w:ind w:left="5092" w:hanging="360"/>
      </w:pPr>
      <w:rPr>
        <w:rFonts w:ascii="Symbol" w:hAnsi="Symbol" w:hint="default"/>
      </w:rPr>
    </w:lvl>
    <w:lvl w:ilvl="7" w:tplc="04260003" w:tentative="1">
      <w:start w:val="1"/>
      <w:numFmt w:val="bullet"/>
      <w:lvlText w:val="o"/>
      <w:lvlJc w:val="left"/>
      <w:pPr>
        <w:ind w:left="5812" w:hanging="360"/>
      </w:pPr>
      <w:rPr>
        <w:rFonts w:ascii="Courier New" w:hAnsi="Courier New" w:cs="Courier New" w:hint="default"/>
      </w:rPr>
    </w:lvl>
    <w:lvl w:ilvl="8" w:tplc="04260005" w:tentative="1">
      <w:start w:val="1"/>
      <w:numFmt w:val="bullet"/>
      <w:lvlText w:val=""/>
      <w:lvlJc w:val="left"/>
      <w:pPr>
        <w:ind w:left="6532" w:hanging="360"/>
      </w:pPr>
      <w:rPr>
        <w:rFonts w:ascii="Wingdings" w:hAnsi="Wingdings" w:hint="default"/>
      </w:rPr>
    </w:lvl>
  </w:abstractNum>
  <w:abstractNum w:abstractNumId="3" w15:restartNumberingAfterBreak="0">
    <w:nsid w:val="118267D7"/>
    <w:multiLevelType w:val="hybridMultilevel"/>
    <w:tmpl w:val="CE2ADA2E"/>
    <w:lvl w:ilvl="0" w:tplc="06B8362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3C94347"/>
    <w:multiLevelType w:val="hybridMultilevel"/>
    <w:tmpl w:val="8624A5B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D2A0E95"/>
    <w:multiLevelType w:val="hybridMultilevel"/>
    <w:tmpl w:val="34B2D768"/>
    <w:lvl w:ilvl="0" w:tplc="06B8362C">
      <w:start w:val="1"/>
      <w:numFmt w:val="bullet"/>
      <w:lvlText w:val=""/>
      <w:lvlJc w:val="left"/>
      <w:pPr>
        <w:ind w:left="768" w:hanging="360"/>
      </w:pPr>
      <w:rPr>
        <w:rFonts w:ascii="Symbol" w:hAnsi="Symbol" w:hint="default"/>
      </w:rPr>
    </w:lvl>
    <w:lvl w:ilvl="1" w:tplc="04260003" w:tentative="1">
      <w:start w:val="1"/>
      <w:numFmt w:val="bullet"/>
      <w:lvlText w:val="o"/>
      <w:lvlJc w:val="left"/>
      <w:pPr>
        <w:ind w:left="1488" w:hanging="360"/>
      </w:pPr>
      <w:rPr>
        <w:rFonts w:ascii="Courier New" w:hAnsi="Courier New" w:cs="Courier New" w:hint="default"/>
      </w:rPr>
    </w:lvl>
    <w:lvl w:ilvl="2" w:tplc="04260005" w:tentative="1">
      <w:start w:val="1"/>
      <w:numFmt w:val="bullet"/>
      <w:lvlText w:val=""/>
      <w:lvlJc w:val="left"/>
      <w:pPr>
        <w:ind w:left="2208" w:hanging="360"/>
      </w:pPr>
      <w:rPr>
        <w:rFonts w:ascii="Wingdings" w:hAnsi="Wingdings" w:hint="default"/>
      </w:rPr>
    </w:lvl>
    <w:lvl w:ilvl="3" w:tplc="04260001" w:tentative="1">
      <w:start w:val="1"/>
      <w:numFmt w:val="bullet"/>
      <w:lvlText w:val=""/>
      <w:lvlJc w:val="left"/>
      <w:pPr>
        <w:ind w:left="2928" w:hanging="360"/>
      </w:pPr>
      <w:rPr>
        <w:rFonts w:ascii="Symbol" w:hAnsi="Symbol" w:hint="default"/>
      </w:rPr>
    </w:lvl>
    <w:lvl w:ilvl="4" w:tplc="04260003" w:tentative="1">
      <w:start w:val="1"/>
      <w:numFmt w:val="bullet"/>
      <w:lvlText w:val="o"/>
      <w:lvlJc w:val="left"/>
      <w:pPr>
        <w:ind w:left="3648" w:hanging="360"/>
      </w:pPr>
      <w:rPr>
        <w:rFonts w:ascii="Courier New" w:hAnsi="Courier New" w:cs="Courier New" w:hint="default"/>
      </w:rPr>
    </w:lvl>
    <w:lvl w:ilvl="5" w:tplc="04260005" w:tentative="1">
      <w:start w:val="1"/>
      <w:numFmt w:val="bullet"/>
      <w:lvlText w:val=""/>
      <w:lvlJc w:val="left"/>
      <w:pPr>
        <w:ind w:left="4368" w:hanging="360"/>
      </w:pPr>
      <w:rPr>
        <w:rFonts w:ascii="Wingdings" w:hAnsi="Wingdings" w:hint="default"/>
      </w:rPr>
    </w:lvl>
    <w:lvl w:ilvl="6" w:tplc="04260001" w:tentative="1">
      <w:start w:val="1"/>
      <w:numFmt w:val="bullet"/>
      <w:lvlText w:val=""/>
      <w:lvlJc w:val="left"/>
      <w:pPr>
        <w:ind w:left="5088" w:hanging="360"/>
      </w:pPr>
      <w:rPr>
        <w:rFonts w:ascii="Symbol" w:hAnsi="Symbol" w:hint="default"/>
      </w:rPr>
    </w:lvl>
    <w:lvl w:ilvl="7" w:tplc="04260003" w:tentative="1">
      <w:start w:val="1"/>
      <w:numFmt w:val="bullet"/>
      <w:lvlText w:val="o"/>
      <w:lvlJc w:val="left"/>
      <w:pPr>
        <w:ind w:left="5808" w:hanging="360"/>
      </w:pPr>
      <w:rPr>
        <w:rFonts w:ascii="Courier New" w:hAnsi="Courier New" w:cs="Courier New" w:hint="default"/>
      </w:rPr>
    </w:lvl>
    <w:lvl w:ilvl="8" w:tplc="04260005" w:tentative="1">
      <w:start w:val="1"/>
      <w:numFmt w:val="bullet"/>
      <w:lvlText w:val=""/>
      <w:lvlJc w:val="left"/>
      <w:pPr>
        <w:ind w:left="6528" w:hanging="360"/>
      </w:pPr>
      <w:rPr>
        <w:rFonts w:ascii="Wingdings" w:hAnsi="Wingdings" w:hint="default"/>
      </w:rPr>
    </w:lvl>
  </w:abstractNum>
  <w:abstractNum w:abstractNumId="6" w15:restartNumberingAfterBreak="0">
    <w:nsid w:val="1EE749A2"/>
    <w:multiLevelType w:val="hybridMultilevel"/>
    <w:tmpl w:val="32CE66D2"/>
    <w:lvl w:ilvl="0" w:tplc="06B8362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3D01568"/>
    <w:multiLevelType w:val="hybridMultilevel"/>
    <w:tmpl w:val="BCA0DD2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7256163"/>
    <w:multiLevelType w:val="hybridMultilevel"/>
    <w:tmpl w:val="B510A2B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EE40FD"/>
    <w:multiLevelType w:val="hybridMultilevel"/>
    <w:tmpl w:val="B44666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39B7AB4"/>
    <w:multiLevelType w:val="hybridMultilevel"/>
    <w:tmpl w:val="3D8C9B9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B0C6B6B"/>
    <w:multiLevelType w:val="hybridMultilevel"/>
    <w:tmpl w:val="4D46E462"/>
    <w:lvl w:ilvl="0" w:tplc="06B8362C">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44430993"/>
    <w:multiLevelType w:val="hybridMultilevel"/>
    <w:tmpl w:val="EB56D418"/>
    <w:lvl w:ilvl="0" w:tplc="06B8362C">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68F1360"/>
    <w:multiLevelType w:val="hybridMultilevel"/>
    <w:tmpl w:val="E400585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6F56112"/>
    <w:multiLevelType w:val="hybridMultilevel"/>
    <w:tmpl w:val="667409C0"/>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C161C4F"/>
    <w:multiLevelType w:val="hybridMultilevel"/>
    <w:tmpl w:val="9430823A"/>
    <w:lvl w:ilvl="0" w:tplc="0426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5903058"/>
    <w:multiLevelType w:val="multilevel"/>
    <w:tmpl w:val="B366C9F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562E72F4"/>
    <w:multiLevelType w:val="multilevel"/>
    <w:tmpl w:val="4A3A1376"/>
    <w:lvl w:ilvl="0">
      <w:start w:val="1"/>
      <w:numFmt w:val="decimal"/>
      <w:lvlText w:val="%1."/>
      <w:lvlJc w:val="left"/>
      <w:pPr>
        <w:ind w:left="720" w:hanging="360"/>
      </w:pPr>
    </w:lvl>
    <w:lvl w:ilvl="1">
      <w:start w:val="1"/>
      <w:numFmt w:val="decimal"/>
      <w:isLgl/>
      <w:lvlText w:val="%1.%2."/>
      <w:lvlJc w:val="left"/>
      <w:pPr>
        <w:ind w:left="720" w:hanging="360"/>
      </w:pPr>
      <w:rPr>
        <w:rFonts w:ascii="Calibri" w:hAnsi="Calibri" w:cs="Times New Roman" w:hint="default"/>
        <w:b w:val="0"/>
        <w:i w:val="0"/>
      </w:rPr>
    </w:lvl>
    <w:lvl w:ilvl="2">
      <w:start w:val="1"/>
      <w:numFmt w:val="decimal"/>
      <w:isLgl/>
      <w:lvlText w:val="%1.%2.%3."/>
      <w:lvlJc w:val="left"/>
      <w:pPr>
        <w:ind w:left="1080" w:hanging="720"/>
      </w:pPr>
      <w:rPr>
        <w:rFonts w:ascii="Calibri" w:hAnsi="Calibri" w:cs="Times New Roman" w:hint="default"/>
        <w:b w:val="0"/>
        <w:i w:val="0"/>
      </w:rPr>
    </w:lvl>
    <w:lvl w:ilvl="3">
      <w:start w:val="1"/>
      <w:numFmt w:val="decimal"/>
      <w:isLgl/>
      <w:lvlText w:val="%1.%2.%3.%4."/>
      <w:lvlJc w:val="left"/>
      <w:pPr>
        <w:ind w:left="1080" w:hanging="720"/>
      </w:pPr>
      <w:rPr>
        <w:rFonts w:ascii="Calibri" w:hAnsi="Calibri" w:cs="Times New Roman" w:hint="default"/>
        <w:b w:val="0"/>
        <w:i w:val="0"/>
      </w:rPr>
    </w:lvl>
    <w:lvl w:ilvl="4">
      <w:start w:val="1"/>
      <w:numFmt w:val="decimal"/>
      <w:isLgl/>
      <w:lvlText w:val="%1.%2.%3.%4.%5."/>
      <w:lvlJc w:val="left"/>
      <w:pPr>
        <w:ind w:left="1440" w:hanging="1080"/>
      </w:pPr>
      <w:rPr>
        <w:rFonts w:ascii="Calibri" w:hAnsi="Calibri" w:cs="Times New Roman" w:hint="default"/>
        <w:b w:val="0"/>
        <w:i w:val="0"/>
      </w:rPr>
    </w:lvl>
    <w:lvl w:ilvl="5">
      <w:start w:val="1"/>
      <w:numFmt w:val="decimal"/>
      <w:isLgl/>
      <w:lvlText w:val="%1.%2.%3.%4.%5.%6."/>
      <w:lvlJc w:val="left"/>
      <w:pPr>
        <w:ind w:left="1440" w:hanging="1080"/>
      </w:pPr>
      <w:rPr>
        <w:rFonts w:ascii="Calibri" w:hAnsi="Calibri" w:cs="Times New Roman" w:hint="default"/>
        <w:b w:val="0"/>
        <w:i w:val="0"/>
      </w:rPr>
    </w:lvl>
    <w:lvl w:ilvl="6">
      <w:start w:val="1"/>
      <w:numFmt w:val="decimal"/>
      <w:isLgl/>
      <w:lvlText w:val="%1.%2.%3.%4.%5.%6.%7."/>
      <w:lvlJc w:val="left"/>
      <w:pPr>
        <w:ind w:left="1800" w:hanging="1440"/>
      </w:pPr>
      <w:rPr>
        <w:rFonts w:ascii="Calibri" w:hAnsi="Calibri" w:cs="Times New Roman" w:hint="default"/>
        <w:b w:val="0"/>
        <w:i w:val="0"/>
      </w:rPr>
    </w:lvl>
    <w:lvl w:ilvl="7">
      <w:start w:val="1"/>
      <w:numFmt w:val="decimal"/>
      <w:isLgl/>
      <w:lvlText w:val="%1.%2.%3.%4.%5.%6.%7.%8."/>
      <w:lvlJc w:val="left"/>
      <w:pPr>
        <w:ind w:left="1800" w:hanging="1440"/>
      </w:pPr>
      <w:rPr>
        <w:rFonts w:ascii="Calibri" w:hAnsi="Calibri" w:cs="Times New Roman" w:hint="default"/>
        <w:b w:val="0"/>
        <w:i w:val="0"/>
      </w:rPr>
    </w:lvl>
    <w:lvl w:ilvl="8">
      <w:start w:val="1"/>
      <w:numFmt w:val="decimal"/>
      <w:isLgl/>
      <w:lvlText w:val="%1.%2.%3.%4.%5.%6.%7.%8.%9."/>
      <w:lvlJc w:val="left"/>
      <w:pPr>
        <w:ind w:left="2160" w:hanging="1800"/>
      </w:pPr>
      <w:rPr>
        <w:rFonts w:ascii="Calibri" w:hAnsi="Calibri" w:cs="Times New Roman" w:hint="default"/>
        <w:b w:val="0"/>
        <w:i w:val="0"/>
      </w:rPr>
    </w:lvl>
  </w:abstractNum>
  <w:abstractNum w:abstractNumId="18" w15:restartNumberingAfterBreak="0">
    <w:nsid w:val="586900F0"/>
    <w:multiLevelType w:val="hybridMultilevel"/>
    <w:tmpl w:val="622EE6B4"/>
    <w:lvl w:ilvl="0" w:tplc="06B8362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58D94827"/>
    <w:multiLevelType w:val="hybridMultilevel"/>
    <w:tmpl w:val="77EAB6E6"/>
    <w:lvl w:ilvl="0" w:tplc="426CB7EC">
      <w:start w:val="4"/>
      <w:numFmt w:val="bullet"/>
      <w:lvlText w:val=""/>
      <w:lvlJc w:val="left"/>
      <w:pPr>
        <w:ind w:left="720" w:hanging="360"/>
      </w:pPr>
      <w:rPr>
        <w:rFonts w:ascii="Symbol" w:eastAsia="Calibr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5D12387D"/>
    <w:multiLevelType w:val="hybridMultilevel"/>
    <w:tmpl w:val="977AB806"/>
    <w:lvl w:ilvl="0" w:tplc="06B8362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61C215EF"/>
    <w:multiLevelType w:val="hybridMultilevel"/>
    <w:tmpl w:val="4AF05222"/>
    <w:lvl w:ilvl="0" w:tplc="0426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ED41184"/>
    <w:multiLevelType w:val="hybridMultilevel"/>
    <w:tmpl w:val="2AD45F68"/>
    <w:lvl w:ilvl="0" w:tplc="06B8362C">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3" w15:restartNumberingAfterBreak="0">
    <w:nsid w:val="705420DB"/>
    <w:multiLevelType w:val="hybridMultilevel"/>
    <w:tmpl w:val="4F2CC9DA"/>
    <w:lvl w:ilvl="0" w:tplc="06B8362C">
      <w:start w:val="1"/>
      <w:numFmt w:val="bullet"/>
      <w:lvlText w:val=""/>
      <w:lvlJc w:val="left"/>
      <w:pPr>
        <w:ind w:left="927" w:hanging="360"/>
      </w:pPr>
      <w:rPr>
        <w:rFonts w:ascii="Symbol" w:hAnsi="Symbol"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4" w15:restartNumberingAfterBreak="0">
    <w:nsid w:val="7403655A"/>
    <w:multiLevelType w:val="hybridMultilevel"/>
    <w:tmpl w:val="07B4ECC2"/>
    <w:lvl w:ilvl="0" w:tplc="0426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604548B"/>
    <w:multiLevelType w:val="hybridMultilevel"/>
    <w:tmpl w:val="53C2CED8"/>
    <w:lvl w:ilvl="0" w:tplc="06B8362C">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3"/>
  </w:num>
  <w:num w:numId="2">
    <w:abstractNumId w:val="10"/>
  </w:num>
  <w:num w:numId="3">
    <w:abstractNumId w:val="17"/>
  </w:num>
  <w:num w:numId="4">
    <w:abstractNumId w:val="1"/>
  </w:num>
  <w:num w:numId="5">
    <w:abstractNumId w:val="5"/>
  </w:num>
  <w:num w:numId="6">
    <w:abstractNumId w:val="23"/>
  </w:num>
  <w:num w:numId="7">
    <w:abstractNumId w:val="3"/>
  </w:num>
  <w:num w:numId="8">
    <w:abstractNumId w:val="14"/>
  </w:num>
  <w:num w:numId="9">
    <w:abstractNumId w:val="16"/>
  </w:num>
  <w:num w:numId="10">
    <w:abstractNumId w:val="18"/>
  </w:num>
  <w:num w:numId="11">
    <w:abstractNumId w:val="20"/>
  </w:num>
  <w:num w:numId="12">
    <w:abstractNumId w:val="24"/>
  </w:num>
  <w:num w:numId="13">
    <w:abstractNumId w:val="22"/>
  </w:num>
  <w:num w:numId="14">
    <w:abstractNumId w:val="15"/>
  </w:num>
  <w:num w:numId="15">
    <w:abstractNumId w:val="2"/>
  </w:num>
  <w:num w:numId="16">
    <w:abstractNumId w:val="8"/>
  </w:num>
  <w:num w:numId="17">
    <w:abstractNumId w:val="7"/>
  </w:num>
  <w:num w:numId="18">
    <w:abstractNumId w:val="4"/>
  </w:num>
  <w:num w:numId="19">
    <w:abstractNumId w:val="25"/>
  </w:num>
  <w:num w:numId="20">
    <w:abstractNumId w:val="11"/>
  </w:num>
  <w:num w:numId="21">
    <w:abstractNumId w:val="12"/>
  </w:num>
  <w:num w:numId="22">
    <w:abstractNumId w:val="21"/>
  </w:num>
  <w:num w:numId="23">
    <w:abstractNumId w:val="19"/>
  </w:num>
  <w:num w:numId="24">
    <w:abstractNumId w:val="0"/>
  </w:num>
  <w:num w:numId="25">
    <w:abstractNumId w:val="6"/>
  </w:num>
  <w:num w:numId="26">
    <w:abstractNumId w:val="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725A"/>
    <w:rsid w:val="000007DE"/>
    <w:rsid w:val="00000B59"/>
    <w:rsid w:val="0000674C"/>
    <w:rsid w:val="00007982"/>
    <w:rsid w:val="00007F5E"/>
    <w:rsid w:val="00010C5F"/>
    <w:rsid w:val="0001121F"/>
    <w:rsid w:val="00015077"/>
    <w:rsid w:val="0001554F"/>
    <w:rsid w:val="0002297E"/>
    <w:rsid w:val="00023E3F"/>
    <w:rsid w:val="000306D2"/>
    <w:rsid w:val="00032DE2"/>
    <w:rsid w:val="00032ED2"/>
    <w:rsid w:val="000360AF"/>
    <w:rsid w:val="0003627B"/>
    <w:rsid w:val="00041C6C"/>
    <w:rsid w:val="00042408"/>
    <w:rsid w:val="00050410"/>
    <w:rsid w:val="0005747B"/>
    <w:rsid w:val="00070809"/>
    <w:rsid w:val="000743D1"/>
    <w:rsid w:val="000803CA"/>
    <w:rsid w:val="000828A3"/>
    <w:rsid w:val="00093436"/>
    <w:rsid w:val="0009518A"/>
    <w:rsid w:val="00097491"/>
    <w:rsid w:val="000A5D3D"/>
    <w:rsid w:val="000B3AAF"/>
    <w:rsid w:val="000B6579"/>
    <w:rsid w:val="000C3EE1"/>
    <w:rsid w:val="000C6D41"/>
    <w:rsid w:val="000D55B4"/>
    <w:rsid w:val="000E2B6A"/>
    <w:rsid w:val="000E7927"/>
    <w:rsid w:val="000F151C"/>
    <w:rsid w:val="000F2E93"/>
    <w:rsid w:val="000F3EF0"/>
    <w:rsid w:val="00100C2D"/>
    <w:rsid w:val="00102C7C"/>
    <w:rsid w:val="00104362"/>
    <w:rsid w:val="00105FFA"/>
    <w:rsid w:val="00111C5F"/>
    <w:rsid w:val="00114265"/>
    <w:rsid w:val="00124A6B"/>
    <w:rsid w:val="00124C43"/>
    <w:rsid w:val="00127647"/>
    <w:rsid w:val="00131960"/>
    <w:rsid w:val="001374B4"/>
    <w:rsid w:val="00146AD8"/>
    <w:rsid w:val="001577C0"/>
    <w:rsid w:val="00166D08"/>
    <w:rsid w:val="00180ADD"/>
    <w:rsid w:val="00186716"/>
    <w:rsid w:val="001870B0"/>
    <w:rsid w:val="00190B78"/>
    <w:rsid w:val="00193D14"/>
    <w:rsid w:val="001A663C"/>
    <w:rsid w:val="001C2A97"/>
    <w:rsid w:val="001C42AD"/>
    <w:rsid w:val="001D09F0"/>
    <w:rsid w:val="001D24AD"/>
    <w:rsid w:val="001D5EB4"/>
    <w:rsid w:val="001D617A"/>
    <w:rsid w:val="00211170"/>
    <w:rsid w:val="00221906"/>
    <w:rsid w:val="00224012"/>
    <w:rsid w:val="00242ACB"/>
    <w:rsid w:val="00251498"/>
    <w:rsid w:val="00251745"/>
    <w:rsid w:val="00254D20"/>
    <w:rsid w:val="002553AD"/>
    <w:rsid w:val="00262896"/>
    <w:rsid w:val="002637CB"/>
    <w:rsid w:val="00267CB8"/>
    <w:rsid w:val="0028093F"/>
    <w:rsid w:val="0028125E"/>
    <w:rsid w:val="00285312"/>
    <w:rsid w:val="00287140"/>
    <w:rsid w:val="002914D6"/>
    <w:rsid w:val="00294997"/>
    <w:rsid w:val="0029543D"/>
    <w:rsid w:val="002A3D7C"/>
    <w:rsid w:val="002A6EDA"/>
    <w:rsid w:val="002B1F1D"/>
    <w:rsid w:val="002B6E6C"/>
    <w:rsid w:val="002B6F56"/>
    <w:rsid w:val="002C01C1"/>
    <w:rsid w:val="002D598B"/>
    <w:rsid w:val="002E0A9E"/>
    <w:rsid w:val="002E2CB3"/>
    <w:rsid w:val="002F43C9"/>
    <w:rsid w:val="00300F54"/>
    <w:rsid w:val="00301C5B"/>
    <w:rsid w:val="00306303"/>
    <w:rsid w:val="00315269"/>
    <w:rsid w:val="00321847"/>
    <w:rsid w:val="00322286"/>
    <w:rsid w:val="00327650"/>
    <w:rsid w:val="003335FC"/>
    <w:rsid w:val="003404AC"/>
    <w:rsid w:val="00345414"/>
    <w:rsid w:val="003475E3"/>
    <w:rsid w:val="00354F8A"/>
    <w:rsid w:val="0036183E"/>
    <w:rsid w:val="0036336D"/>
    <w:rsid w:val="00367621"/>
    <w:rsid w:val="00374EFA"/>
    <w:rsid w:val="00375EAD"/>
    <w:rsid w:val="003829A0"/>
    <w:rsid w:val="00382AD0"/>
    <w:rsid w:val="003857F6"/>
    <w:rsid w:val="00385DCE"/>
    <w:rsid w:val="003874D0"/>
    <w:rsid w:val="00393B61"/>
    <w:rsid w:val="003946CB"/>
    <w:rsid w:val="003A00E6"/>
    <w:rsid w:val="003A2F64"/>
    <w:rsid w:val="003A4513"/>
    <w:rsid w:val="003A4D84"/>
    <w:rsid w:val="003A721D"/>
    <w:rsid w:val="003B0F7E"/>
    <w:rsid w:val="003B3EFA"/>
    <w:rsid w:val="003B71D9"/>
    <w:rsid w:val="003C2C92"/>
    <w:rsid w:val="003D0CB2"/>
    <w:rsid w:val="003E4D6C"/>
    <w:rsid w:val="003E595B"/>
    <w:rsid w:val="003F16BE"/>
    <w:rsid w:val="003F238D"/>
    <w:rsid w:val="003F3C9B"/>
    <w:rsid w:val="003F4FFB"/>
    <w:rsid w:val="003F5F49"/>
    <w:rsid w:val="00404324"/>
    <w:rsid w:val="00407B98"/>
    <w:rsid w:val="00411677"/>
    <w:rsid w:val="00421274"/>
    <w:rsid w:val="00422E1F"/>
    <w:rsid w:val="004270A6"/>
    <w:rsid w:val="0043202D"/>
    <w:rsid w:val="00440E3C"/>
    <w:rsid w:val="00443648"/>
    <w:rsid w:val="00452475"/>
    <w:rsid w:val="004630BB"/>
    <w:rsid w:val="00464712"/>
    <w:rsid w:val="004667D7"/>
    <w:rsid w:val="0047027D"/>
    <w:rsid w:val="00470D07"/>
    <w:rsid w:val="00480CAA"/>
    <w:rsid w:val="00481C46"/>
    <w:rsid w:val="00495E90"/>
    <w:rsid w:val="004A3775"/>
    <w:rsid w:val="004B0DCC"/>
    <w:rsid w:val="004B4457"/>
    <w:rsid w:val="004B4874"/>
    <w:rsid w:val="004C11E5"/>
    <w:rsid w:val="004F51DA"/>
    <w:rsid w:val="004F56E7"/>
    <w:rsid w:val="0050006D"/>
    <w:rsid w:val="005062D2"/>
    <w:rsid w:val="005262BA"/>
    <w:rsid w:val="00545A80"/>
    <w:rsid w:val="0054738B"/>
    <w:rsid w:val="00565EA4"/>
    <w:rsid w:val="00571E65"/>
    <w:rsid w:val="00574C8A"/>
    <w:rsid w:val="005932E7"/>
    <w:rsid w:val="00597D3D"/>
    <w:rsid w:val="005B3AE8"/>
    <w:rsid w:val="005C1B99"/>
    <w:rsid w:val="005C540C"/>
    <w:rsid w:val="005C6051"/>
    <w:rsid w:val="005D43EA"/>
    <w:rsid w:val="005D4AF5"/>
    <w:rsid w:val="005E1477"/>
    <w:rsid w:val="005E18BE"/>
    <w:rsid w:val="005E1F42"/>
    <w:rsid w:val="005E2E02"/>
    <w:rsid w:val="005F04F0"/>
    <w:rsid w:val="005F3D16"/>
    <w:rsid w:val="005F46C3"/>
    <w:rsid w:val="005F4D7C"/>
    <w:rsid w:val="006032DA"/>
    <w:rsid w:val="006032DE"/>
    <w:rsid w:val="00603CE0"/>
    <w:rsid w:val="00606DA4"/>
    <w:rsid w:val="00607694"/>
    <w:rsid w:val="006078FD"/>
    <w:rsid w:val="00610C1E"/>
    <w:rsid w:val="00613FD1"/>
    <w:rsid w:val="00633E1D"/>
    <w:rsid w:val="006429C3"/>
    <w:rsid w:val="00642E6C"/>
    <w:rsid w:val="00653D9B"/>
    <w:rsid w:val="00655A3A"/>
    <w:rsid w:val="00656C15"/>
    <w:rsid w:val="00664C68"/>
    <w:rsid w:val="00666364"/>
    <w:rsid w:val="00670A8C"/>
    <w:rsid w:val="00674542"/>
    <w:rsid w:val="00680043"/>
    <w:rsid w:val="00681A92"/>
    <w:rsid w:val="00681BE5"/>
    <w:rsid w:val="00686682"/>
    <w:rsid w:val="0068734E"/>
    <w:rsid w:val="0069037D"/>
    <w:rsid w:val="006957FE"/>
    <w:rsid w:val="00696165"/>
    <w:rsid w:val="006966B5"/>
    <w:rsid w:val="0069727B"/>
    <w:rsid w:val="006A1201"/>
    <w:rsid w:val="006A15CE"/>
    <w:rsid w:val="006B0C0A"/>
    <w:rsid w:val="006B2AAE"/>
    <w:rsid w:val="006C13C6"/>
    <w:rsid w:val="006C5241"/>
    <w:rsid w:val="006C5E31"/>
    <w:rsid w:val="006C77B4"/>
    <w:rsid w:val="006D1A03"/>
    <w:rsid w:val="006D2237"/>
    <w:rsid w:val="006E6750"/>
    <w:rsid w:val="006E6F7B"/>
    <w:rsid w:val="006E7668"/>
    <w:rsid w:val="007032AA"/>
    <w:rsid w:val="0070506F"/>
    <w:rsid w:val="007152AB"/>
    <w:rsid w:val="007304C3"/>
    <w:rsid w:val="00731EAD"/>
    <w:rsid w:val="00732BA8"/>
    <w:rsid w:val="00736B4E"/>
    <w:rsid w:val="00740ACA"/>
    <w:rsid w:val="00746DD1"/>
    <w:rsid w:val="007473CA"/>
    <w:rsid w:val="007534A6"/>
    <w:rsid w:val="00756046"/>
    <w:rsid w:val="00757AA3"/>
    <w:rsid w:val="00760D81"/>
    <w:rsid w:val="00775AAF"/>
    <w:rsid w:val="007973DD"/>
    <w:rsid w:val="007A5C8E"/>
    <w:rsid w:val="007C08BC"/>
    <w:rsid w:val="007C14F7"/>
    <w:rsid w:val="007D34ED"/>
    <w:rsid w:val="007D37DC"/>
    <w:rsid w:val="007D65E7"/>
    <w:rsid w:val="00812A72"/>
    <w:rsid w:val="00816369"/>
    <w:rsid w:val="00817739"/>
    <w:rsid w:val="0082154E"/>
    <w:rsid w:val="008331A9"/>
    <w:rsid w:val="008341E8"/>
    <w:rsid w:val="008351DE"/>
    <w:rsid w:val="0083669F"/>
    <w:rsid w:val="008449A9"/>
    <w:rsid w:val="008453BD"/>
    <w:rsid w:val="0086060C"/>
    <w:rsid w:val="00872002"/>
    <w:rsid w:val="00872CDD"/>
    <w:rsid w:val="00877323"/>
    <w:rsid w:val="0088435B"/>
    <w:rsid w:val="00891D42"/>
    <w:rsid w:val="00897789"/>
    <w:rsid w:val="008A7BCA"/>
    <w:rsid w:val="008C7516"/>
    <w:rsid w:val="008D073F"/>
    <w:rsid w:val="008E09E6"/>
    <w:rsid w:val="008F5779"/>
    <w:rsid w:val="00902955"/>
    <w:rsid w:val="0090524B"/>
    <w:rsid w:val="0090725A"/>
    <w:rsid w:val="00910D4B"/>
    <w:rsid w:val="009129BF"/>
    <w:rsid w:val="00915708"/>
    <w:rsid w:val="00921604"/>
    <w:rsid w:val="00924F52"/>
    <w:rsid w:val="00930847"/>
    <w:rsid w:val="009310FD"/>
    <w:rsid w:val="00933D5E"/>
    <w:rsid w:val="00934AB3"/>
    <w:rsid w:val="00934B6B"/>
    <w:rsid w:val="00945C1D"/>
    <w:rsid w:val="00952DDF"/>
    <w:rsid w:val="00957526"/>
    <w:rsid w:val="009578E6"/>
    <w:rsid w:val="00985D1B"/>
    <w:rsid w:val="009A0CE2"/>
    <w:rsid w:val="009A618D"/>
    <w:rsid w:val="009B03BD"/>
    <w:rsid w:val="009B1897"/>
    <w:rsid w:val="009B6177"/>
    <w:rsid w:val="009C7603"/>
    <w:rsid w:val="009D1FC5"/>
    <w:rsid w:val="009E202D"/>
    <w:rsid w:val="009E5775"/>
    <w:rsid w:val="009F0858"/>
    <w:rsid w:val="009F1D93"/>
    <w:rsid w:val="00A1451E"/>
    <w:rsid w:val="00A211CF"/>
    <w:rsid w:val="00A224E2"/>
    <w:rsid w:val="00A3015C"/>
    <w:rsid w:val="00A32370"/>
    <w:rsid w:val="00A4324D"/>
    <w:rsid w:val="00A6348B"/>
    <w:rsid w:val="00A63FBF"/>
    <w:rsid w:val="00A663FF"/>
    <w:rsid w:val="00A671B9"/>
    <w:rsid w:val="00A75AB5"/>
    <w:rsid w:val="00A86140"/>
    <w:rsid w:val="00A90334"/>
    <w:rsid w:val="00A93D72"/>
    <w:rsid w:val="00A961F5"/>
    <w:rsid w:val="00AA0B2A"/>
    <w:rsid w:val="00AB3438"/>
    <w:rsid w:val="00AB3A8E"/>
    <w:rsid w:val="00AB58F7"/>
    <w:rsid w:val="00AC0319"/>
    <w:rsid w:val="00AC351E"/>
    <w:rsid w:val="00AD1CA5"/>
    <w:rsid w:val="00AD4BB1"/>
    <w:rsid w:val="00AE1F76"/>
    <w:rsid w:val="00AF76EA"/>
    <w:rsid w:val="00B04943"/>
    <w:rsid w:val="00B054F9"/>
    <w:rsid w:val="00B06983"/>
    <w:rsid w:val="00B17873"/>
    <w:rsid w:val="00B237F3"/>
    <w:rsid w:val="00B257BE"/>
    <w:rsid w:val="00B3276C"/>
    <w:rsid w:val="00B44260"/>
    <w:rsid w:val="00B51216"/>
    <w:rsid w:val="00B66104"/>
    <w:rsid w:val="00B83614"/>
    <w:rsid w:val="00B87A60"/>
    <w:rsid w:val="00B9123F"/>
    <w:rsid w:val="00B97DB6"/>
    <w:rsid w:val="00BA1246"/>
    <w:rsid w:val="00BB161B"/>
    <w:rsid w:val="00BB616E"/>
    <w:rsid w:val="00BD5742"/>
    <w:rsid w:val="00BD73D7"/>
    <w:rsid w:val="00BE4884"/>
    <w:rsid w:val="00BE64C0"/>
    <w:rsid w:val="00BF40DE"/>
    <w:rsid w:val="00C1305E"/>
    <w:rsid w:val="00C17309"/>
    <w:rsid w:val="00C20386"/>
    <w:rsid w:val="00C27B6C"/>
    <w:rsid w:val="00C40799"/>
    <w:rsid w:val="00C52DAE"/>
    <w:rsid w:val="00C54E40"/>
    <w:rsid w:val="00C562D9"/>
    <w:rsid w:val="00C62A8C"/>
    <w:rsid w:val="00C815E4"/>
    <w:rsid w:val="00C83C62"/>
    <w:rsid w:val="00C84D6A"/>
    <w:rsid w:val="00C91735"/>
    <w:rsid w:val="00C92326"/>
    <w:rsid w:val="00CB4E89"/>
    <w:rsid w:val="00CB51FA"/>
    <w:rsid w:val="00CC75F0"/>
    <w:rsid w:val="00CE0689"/>
    <w:rsid w:val="00CE4FA7"/>
    <w:rsid w:val="00CF083E"/>
    <w:rsid w:val="00CF2456"/>
    <w:rsid w:val="00CF66FF"/>
    <w:rsid w:val="00D04AE4"/>
    <w:rsid w:val="00D07C11"/>
    <w:rsid w:val="00D21C1C"/>
    <w:rsid w:val="00D24F07"/>
    <w:rsid w:val="00D51CE2"/>
    <w:rsid w:val="00D53FDC"/>
    <w:rsid w:val="00D57230"/>
    <w:rsid w:val="00D62509"/>
    <w:rsid w:val="00D6630E"/>
    <w:rsid w:val="00D71A6E"/>
    <w:rsid w:val="00D7546E"/>
    <w:rsid w:val="00D80097"/>
    <w:rsid w:val="00D804CB"/>
    <w:rsid w:val="00D948CD"/>
    <w:rsid w:val="00D94ED0"/>
    <w:rsid w:val="00DA1D47"/>
    <w:rsid w:val="00DA207B"/>
    <w:rsid w:val="00DA2C8E"/>
    <w:rsid w:val="00DA424D"/>
    <w:rsid w:val="00DA4FAF"/>
    <w:rsid w:val="00DB5A5D"/>
    <w:rsid w:val="00DB7618"/>
    <w:rsid w:val="00DB7A50"/>
    <w:rsid w:val="00DC0E4B"/>
    <w:rsid w:val="00DC375F"/>
    <w:rsid w:val="00DE38E8"/>
    <w:rsid w:val="00DF0D22"/>
    <w:rsid w:val="00DF28F2"/>
    <w:rsid w:val="00DF5B16"/>
    <w:rsid w:val="00E00D69"/>
    <w:rsid w:val="00E02D0D"/>
    <w:rsid w:val="00E1563F"/>
    <w:rsid w:val="00E16E1C"/>
    <w:rsid w:val="00E1702A"/>
    <w:rsid w:val="00E2157A"/>
    <w:rsid w:val="00E220F2"/>
    <w:rsid w:val="00E2530E"/>
    <w:rsid w:val="00E26920"/>
    <w:rsid w:val="00E26C18"/>
    <w:rsid w:val="00E433A4"/>
    <w:rsid w:val="00E435F9"/>
    <w:rsid w:val="00E44177"/>
    <w:rsid w:val="00E46B27"/>
    <w:rsid w:val="00E67547"/>
    <w:rsid w:val="00E84FCB"/>
    <w:rsid w:val="00E861AF"/>
    <w:rsid w:val="00E91590"/>
    <w:rsid w:val="00E92FCE"/>
    <w:rsid w:val="00EA0D7E"/>
    <w:rsid w:val="00EA257E"/>
    <w:rsid w:val="00EA72DA"/>
    <w:rsid w:val="00EB6F97"/>
    <w:rsid w:val="00EC56D3"/>
    <w:rsid w:val="00ED04C4"/>
    <w:rsid w:val="00ED3083"/>
    <w:rsid w:val="00ED74B0"/>
    <w:rsid w:val="00EE2D1B"/>
    <w:rsid w:val="00EE32DD"/>
    <w:rsid w:val="00EE64DC"/>
    <w:rsid w:val="00F00C28"/>
    <w:rsid w:val="00F321C5"/>
    <w:rsid w:val="00F40BF4"/>
    <w:rsid w:val="00F57914"/>
    <w:rsid w:val="00F60EF5"/>
    <w:rsid w:val="00F6795D"/>
    <w:rsid w:val="00F74795"/>
    <w:rsid w:val="00F80F82"/>
    <w:rsid w:val="00F81085"/>
    <w:rsid w:val="00F810E4"/>
    <w:rsid w:val="00F85C28"/>
    <w:rsid w:val="00F90F5E"/>
    <w:rsid w:val="00F918D8"/>
    <w:rsid w:val="00F93896"/>
    <w:rsid w:val="00F973B7"/>
    <w:rsid w:val="00FA0D7D"/>
    <w:rsid w:val="00FA28D5"/>
    <w:rsid w:val="00FA3BE2"/>
    <w:rsid w:val="00FA6ABB"/>
    <w:rsid w:val="00FB0EBD"/>
    <w:rsid w:val="00FC1FFF"/>
    <w:rsid w:val="00FC2A8E"/>
    <w:rsid w:val="00FC2E91"/>
    <w:rsid w:val="00FD0E0D"/>
    <w:rsid w:val="00FD4955"/>
    <w:rsid w:val="00FD5500"/>
    <w:rsid w:val="00FE1455"/>
    <w:rsid w:val="00FE44E9"/>
    <w:rsid w:val="00FF227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EFAAD8F"/>
  <w15:chartTrackingRefBased/>
  <w15:docId w15:val="{AE92FD44-E53A-499C-ABFA-F43AE75CC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725A"/>
    <w:pPr>
      <w:widowControl w:val="0"/>
      <w:spacing w:after="200" w:line="276" w:lineRule="auto"/>
    </w:pPr>
    <w:rPr>
      <w:rFonts w:ascii="Calibri" w:eastAsia="Calibri" w:hAnsi="Calibri" w:cs="Times New Roman"/>
      <w:kern w:val="0"/>
      <w:lang w:val="en-US"/>
      <w14:ligatures w14:val="none"/>
    </w:rPr>
  </w:style>
  <w:style w:type="paragraph" w:styleId="Heading1">
    <w:name w:val="heading 1"/>
    <w:basedOn w:val="Normal"/>
    <w:next w:val="Normal"/>
    <w:link w:val="Heading1Char"/>
    <w:uiPriority w:val="9"/>
    <w:qFormat/>
    <w:rsid w:val="00D948CD"/>
    <w:pPr>
      <w:keepNext/>
      <w:keepLines/>
      <w:spacing w:before="240" w:after="360" w:line="240" w:lineRule="auto"/>
      <w:outlineLvl w:val="0"/>
    </w:pPr>
    <w:rPr>
      <w:rFonts w:ascii="Arial Nova Cond" w:eastAsiaTheme="majorEastAsia" w:hAnsi="Arial Nova Cond" w:cstheme="majorBidi"/>
      <w:b/>
      <w:caps/>
      <w:color w:val="2F5496" w:themeColor="accent1" w:themeShade="BF"/>
      <w:sz w:val="40"/>
      <w:szCs w:val="32"/>
    </w:rPr>
  </w:style>
  <w:style w:type="paragraph" w:styleId="Heading2">
    <w:name w:val="heading 2"/>
    <w:basedOn w:val="Normal"/>
    <w:next w:val="Normal"/>
    <w:link w:val="Heading2Char"/>
    <w:uiPriority w:val="9"/>
    <w:unhideWhenUsed/>
    <w:qFormat/>
    <w:rsid w:val="00D04AE4"/>
    <w:pPr>
      <w:keepNext/>
      <w:keepLines/>
      <w:spacing w:after="240" w:line="240" w:lineRule="auto"/>
      <w:outlineLvl w:val="1"/>
    </w:pPr>
    <w:rPr>
      <w:rFonts w:ascii="Verdana Pro Cond Light" w:eastAsiaTheme="majorEastAsia" w:hAnsi="Verdana Pro Cond Light" w:cstheme="majorBidi"/>
      <w:b/>
      <w:caps/>
      <w:color w:val="2F5496" w:themeColor="accent1" w:themeShade="BF"/>
      <w:sz w:val="28"/>
      <w:szCs w:val="26"/>
    </w:rPr>
  </w:style>
  <w:style w:type="paragraph" w:styleId="Heading5">
    <w:name w:val="heading 5"/>
    <w:basedOn w:val="Normal"/>
    <w:next w:val="Normal"/>
    <w:link w:val="Heading5Char"/>
    <w:uiPriority w:val="9"/>
    <w:semiHidden/>
    <w:unhideWhenUsed/>
    <w:qFormat/>
    <w:rsid w:val="007152AB"/>
    <w:pPr>
      <w:keepNext/>
      <w:keepLines/>
      <w:widowControl/>
      <w:spacing w:before="80" w:after="40" w:line="278" w:lineRule="auto"/>
      <w:outlineLvl w:val="4"/>
    </w:pPr>
    <w:rPr>
      <w:rFonts w:asciiTheme="minorHAnsi" w:eastAsiaTheme="majorEastAsia" w:hAnsiTheme="minorHAnsi" w:cstheme="majorBidi"/>
      <w:color w:val="2F5496" w:themeColor="accent1" w:themeShade="BF"/>
      <w:kern w:val="2"/>
      <w:sz w:val="24"/>
      <w:szCs w:val="24"/>
      <w:lang w:val="lv-LV"/>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F76EA"/>
    <w:pPr>
      <w:tabs>
        <w:tab w:val="center" w:pos="4153"/>
        <w:tab w:val="right" w:pos="8306"/>
      </w:tabs>
      <w:spacing w:after="0" w:line="240" w:lineRule="auto"/>
    </w:pPr>
  </w:style>
  <w:style w:type="character" w:customStyle="1" w:styleId="HeaderChar">
    <w:name w:val="Header Char"/>
    <w:basedOn w:val="DefaultParagraphFont"/>
    <w:link w:val="Header"/>
    <w:uiPriority w:val="99"/>
    <w:rsid w:val="00AF76EA"/>
    <w:rPr>
      <w:rFonts w:ascii="Calibri" w:eastAsia="Calibri" w:hAnsi="Calibri" w:cs="Times New Roman"/>
      <w:kern w:val="0"/>
      <w:lang w:val="en-US"/>
      <w14:ligatures w14:val="none"/>
    </w:rPr>
  </w:style>
  <w:style w:type="paragraph" w:styleId="Footer">
    <w:name w:val="footer"/>
    <w:basedOn w:val="Normal"/>
    <w:link w:val="FooterChar"/>
    <w:uiPriority w:val="99"/>
    <w:unhideWhenUsed/>
    <w:rsid w:val="00AF76EA"/>
    <w:pPr>
      <w:tabs>
        <w:tab w:val="center" w:pos="4153"/>
        <w:tab w:val="right" w:pos="8306"/>
      </w:tabs>
      <w:spacing w:after="0" w:line="240" w:lineRule="auto"/>
    </w:pPr>
  </w:style>
  <w:style w:type="character" w:customStyle="1" w:styleId="FooterChar">
    <w:name w:val="Footer Char"/>
    <w:basedOn w:val="DefaultParagraphFont"/>
    <w:link w:val="Footer"/>
    <w:uiPriority w:val="99"/>
    <w:rsid w:val="00AF76EA"/>
    <w:rPr>
      <w:rFonts w:ascii="Calibri" w:eastAsia="Calibri" w:hAnsi="Calibri" w:cs="Times New Roman"/>
      <w:kern w:val="0"/>
      <w:lang w:val="en-US"/>
      <w14:ligatures w14:val="none"/>
    </w:rPr>
  </w:style>
  <w:style w:type="paragraph" w:styleId="ListParagraph">
    <w:name w:val="List Paragraph"/>
    <w:aliases w:val="2,Akapit z listą BS,Numbered Para 1,Dot pt,No Spacing1,List Paragraph Char Char Char,Indicator Text,List Paragraph1,Bullet 1,Bullet Points,MAIN CONTENT,IFCL - List Paragraph,List Paragraph12,OBC Bullet,F5 List Paragraph,Strip,Bullet Styl"/>
    <w:basedOn w:val="Normal"/>
    <w:link w:val="ListParagraphChar"/>
    <w:uiPriority w:val="34"/>
    <w:qFormat/>
    <w:rsid w:val="00AF76EA"/>
    <w:pPr>
      <w:ind w:left="720"/>
      <w:contextualSpacing/>
    </w:pPr>
  </w:style>
  <w:style w:type="paragraph" w:styleId="FootnoteText">
    <w:name w:val="footnote text"/>
    <w:aliases w:val="Footnote,Fußnote,Schriftart: 9 pt,Schriftart: 10 pt,Schriftart: 8 pt,WB-Fußnotentext,WB-Fußnotentext Char Char,WB-Fußnotentext Char,stile 1,Footnote1,Footnote2,Footnote3,Footnote4,Footnote5,Footnote6,Footnote7,Footnote8,Footnote9,Fußn,f,ft"/>
    <w:basedOn w:val="Normal"/>
    <w:link w:val="FootnoteTextChar"/>
    <w:uiPriority w:val="99"/>
    <w:qFormat/>
    <w:rsid w:val="00574C8A"/>
    <w:pPr>
      <w:widowControl/>
      <w:spacing w:after="0" w:line="240" w:lineRule="auto"/>
    </w:pPr>
    <w:rPr>
      <w:rFonts w:ascii="Calibri Light" w:eastAsia="Times New Roman" w:hAnsi="Calibri Light"/>
      <w:sz w:val="20"/>
      <w:szCs w:val="20"/>
      <w:lang w:val="en-GB"/>
    </w:rPr>
  </w:style>
  <w:style w:type="character" w:customStyle="1" w:styleId="FootnoteTextChar">
    <w:name w:val="Footnote Text Char"/>
    <w:aliases w:val="Footnote Char,Fußnote Char,Schriftart: 9 pt Char,Schriftart: 10 pt Char,Schriftart: 8 pt Char,WB-Fußnotentext Char1,WB-Fußnotentext Char Char Char,WB-Fußnotentext Char Char1,stile 1 Char,Footnote1 Char,Footnote2 Char,Footnote3 Char"/>
    <w:basedOn w:val="DefaultParagraphFont"/>
    <w:link w:val="FootnoteText"/>
    <w:uiPriority w:val="99"/>
    <w:qFormat/>
    <w:rsid w:val="00574C8A"/>
    <w:rPr>
      <w:rFonts w:ascii="Calibri Light" w:eastAsia="Times New Roman" w:hAnsi="Calibri Light" w:cs="Times New Roman"/>
      <w:kern w:val="0"/>
      <w:sz w:val="20"/>
      <w:szCs w:val="20"/>
      <w:lang w:val="en-GB"/>
      <w14:ligatures w14:val="none"/>
    </w:rPr>
  </w:style>
  <w:style w:type="character" w:styleId="FootnoteReference">
    <w:name w:val="footnote reference"/>
    <w:aliases w:val="Footnote Reference Number,Footnote Reference Superscript,Footnote symbol,fr,SUPERS,ftref,Footnote Refernece,stylish,BVI fnr,Fußnotenzeichen_Raxen,callout,Footnote symbFootnote Refernece,Odwołanie przypisu,Footnotes refss,Ref,E,E FNZ"/>
    <w:basedOn w:val="DefaultParagraphFont"/>
    <w:link w:val="CharCharCharChar"/>
    <w:uiPriority w:val="99"/>
    <w:qFormat/>
    <w:rsid w:val="00574C8A"/>
    <w:rPr>
      <w:vertAlign w:val="superscript"/>
    </w:rPr>
  </w:style>
  <w:style w:type="character" w:styleId="Hyperlink">
    <w:name w:val="Hyperlink"/>
    <w:basedOn w:val="DefaultParagraphFont"/>
    <w:uiPriority w:val="99"/>
    <w:unhideWhenUsed/>
    <w:rsid w:val="00D948CD"/>
    <w:rPr>
      <w:rFonts w:ascii="Arial Nova Cond Light" w:hAnsi="Arial Nova Cond Light"/>
      <w:color w:val="0563C1" w:themeColor="hyperlink"/>
      <w:u w:val="single"/>
    </w:rPr>
  </w:style>
  <w:style w:type="paragraph" w:customStyle="1" w:styleId="CharCharCharChar">
    <w:name w:val="Char Char Char Char"/>
    <w:aliases w:val="Char2"/>
    <w:basedOn w:val="Normal"/>
    <w:next w:val="Normal"/>
    <w:link w:val="FootnoteReference"/>
    <w:uiPriority w:val="99"/>
    <w:rsid w:val="00574C8A"/>
    <w:pPr>
      <w:widowControl/>
      <w:spacing w:after="160" w:line="240" w:lineRule="exact"/>
      <w:textAlignment w:val="baseline"/>
    </w:pPr>
    <w:rPr>
      <w:rFonts w:asciiTheme="minorHAnsi" w:eastAsiaTheme="minorHAnsi" w:hAnsiTheme="minorHAnsi" w:cstheme="minorBidi"/>
      <w:kern w:val="2"/>
      <w:vertAlign w:val="superscript"/>
      <w:lang w:val="lv-LV"/>
      <w14:ligatures w14:val="standardContextual"/>
    </w:rPr>
  </w:style>
  <w:style w:type="character" w:customStyle="1" w:styleId="UnresolvedMention1">
    <w:name w:val="Unresolved Mention1"/>
    <w:basedOn w:val="DefaultParagraphFont"/>
    <w:uiPriority w:val="99"/>
    <w:semiHidden/>
    <w:unhideWhenUsed/>
    <w:rsid w:val="00574C8A"/>
    <w:rPr>
      <w:color w:val="605E5C"/>
      <w:shd w:val="clear" w:color="auto" w:fill="E1DFDD"/>
    </w:rPr>
  </w:style>
  <w:style w:type="character" w:styleId="FollowedHyperlink">
    <w:name w:val="FollowedHyperlink"/>
    <w:basedOn w:val="DefaultParagraphFont"/>
    <w:uiPriority w:val="99"/>
    <w:semiHidden/>
    <w:unhideWhenUsed/>
    <w:rsid w:val="00574C8A"/>
    <w:rPr>
      <w:color w:val="954F72" w:themeColor="followedHyperlink"/>
      <w:u w:val="single"/>
    </w:rPr>
  </w:style>
  <w:style w:type="character" w:customStyle="1" w:styleId="ListParagraphChar">
    <w:name w:val="List Paragraph Char"/>
    <w:aliases w:val="2 Char,Akapit z listą BS Char,Numbered Para 1 Char,Dot pt Char,No Spacing1 Char,List Paragraph Char Char Char Char,Indicator Text Char,List Paragraph1 Char,Bullet 1 Char,Bullet Points Char,MAIN CONTENT Char,IFCL - List Paragraph Char"/>
    <w:link w:val="ListParagraph"/>
    <w:uiPriority w:val="34"/>
    <w:qFormat/>
    <w:rsid w:val="006D2237"/>
    <w:rPr>
      <w:rFonts w:ascii="Calibri" w:eastAsia="Calibri" w:hAnsi="Calibri" w:cs="Times New Roman"/>
      <w:kern w:val="0"/>
      <w:lang w:val="en-US"/>
      <w14:ligatures w14:val="none"/>
    </w:rPr>
  </w:style>
  <w:style w:type="paragraph" w:styleId="NormalWeb">
    <w:name w:val="Normal (Web)"/>
    <w:basedOn w:val="Normal"/>
    <w:uiPriority w:val="99"/>
    <w:semiHidden/>
    <w:unhideWhenUsed/>
    <w:rsid w:val="001577C0"/>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styleId="Strong">
    <w:name w:val="Strong"/>
    <w:basedOn w:val="DefaultParagraphFont"/>
    <w:uiPriority w:val="22"/>
    <w:qFormat/>
    <w:rsid w:val="00032DE2"/>
    <w:rPr>
      <w:b/>
      <w:bCs/>
    </w:rPr>
  </w:style>
  <w:style w:type="paragraph" w:customStyle="1" w:styleId="text-align-justify">
    <w:name w:val="text-align-justify"/>
    <w:basedOn w:val="Normal"/>
    <w:rsid w:val="00A86140"/>
    <w:pPr>
      <w:widowControl/>
      <w:spacing w:before="100" w:beforeAutospacing="1" w:after="100" w:afterAutospacing="1" w:line="240" w:lineRule="auto"/>
    </w:pPr>
    <w:rPr>
      <w:rFonts w:ascii="Times New Roman" w:eastAsia="Times New Roman" w:hAnsi="Times New Roman"/>
      <w:sz w:val="24"/>
      <w:szCs w:val="24"/>
      <w:lang w:val="lv-LV" w:eastAsia="lv-LV"/>
    </w:rPr>
  </w:style>
  <w:style w:type="table" w:customStyle="1" w:styleId="GridTable5Dark-Accent31">
    <w:name w:val="Grid Table 5 Dark - Accent 31"/>
    <w:basedOn w:val="TableNormal"/>
    <w:uiPriority w:val="50"/>
    <w:rsid w:val="00E92FCE"/>
    <w:pPr>
      <w:spacing w:after="0" w:line="240" w:lineRule="auto"/>
    </w:pPr>
    <w:rPr>
      <w:rFonts w:ascii="Times New Roman" w:hAnsi="Times New Roman"/>
      <w:kern w:val="0"/>
      <w:sz w:val="28"/>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customStyle="1" w:styleId="BVIfnrChar1CharCharChar">
    <w:name w:val="BVI fnr Char1 Char Char Char"/>
    <w:aliases w:val="BVI fnr Car Car Char1 Char Char Char,BVI fnr Car Char1 Char Char Char,BVI fnr Car Car Car Car Char Char1 Char Char"/>
    <w:basedOn w:val="Normal"/>
    <w:uiPriority w:val="99"/>
    <w:rsid w:val="000007DE"/>
    <w:pPr>
      <w:widowControl/>
      <w:spacing w:after="160" w:line="240" w:lineRule="exact"/>
    </w:pPr>
    <w:rPr>
      <w:rFonts w:asciiTheme="minorHAnsi" w:eastAsiaTheme="minorEastAsia" w:hAnsiTheme="minorHAnsi" w:cstheme="minorBidi"/>
      <w:vertAlign w:val="superscript"/>
      <w:lang w:val="lv-LV"/>
    </w:rPr>
  </w:style>
  <w:style w:type="table" w:styleId="TableGrid">
    <w:name w:val="Table Grid"/>
    <w:basedOn w:val="TableNormal"/>
    <w:uiPriority w:val="39"/>
    <w:rsid w:val="008331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semiHidden/>
    <w:rsid w:val="007152AB"/>
    <w:rPr>
      <w:rFonts w:eastAsiaTheme="majorEastAsia" w:cstheme="majorBidi"/>
      <w:color w:val="2F5496" w:themeColor="accent1" w:themeShade="BF"/>
      <w:sz w:val="24"/>
      <w:szCs w:val="24"/>
    </w:rPr>
  </w:style>
  <w:style w:type="paragraph" w:styleId="TOC2">
    <w:name w:val="toc 2"/>
    <w:basedOn w:val="Normal"/>
    <w:next w:val="Normal"/>
    <w:autoRedefine/>
    <w:uiPriority w:val="39"/>
    <w:unhideWhenUsed/>
    <w:rsid w:val="00CF083E"/>
    <w:pPr>
      <w:widowControl/>
      <w:tabs>
        <w:tab w:val="right" w:leader="dot" w:pos="9629"/>
      </w:tabs>
      <w:spacing w:after="240" w:line="240" w:lineRule="auto"/>
      <w:ind w:left="284"/>
    </w:pPr>
    <w:rPr>
      <w:rFonts w:ascii="Arial Nova Cond Light" w:eastAsiaTheme="minorHAnsi" w:hAnsi="Arial Nova Cond Light" w:cstheme="minorBidi"/>
      <w:b/>
      <w:bCs/>
      <w:caps/>
      <w:noProof/>
      <w:szCs w:val="32"/>
      <w:lang w:val="lv-LV"/>
    </w:rPr>
  </w:style>
  <w:style w:type="character" w:customStyle="1" w:styleId="Heading1Char">
    <w:name w:val="Heading 1 Char"/>
    <w:basedOn w:val="DefaultParagraphFont"/>
    <w:link w:val="Heading1"/>
    <w:uiPriority w:val="9"/>
    <w:rsid w:val="00D948CD"/>
    <w:rPr>
      <w:rFonts w:ascii="Arial Nova Cond" w:eastAsiaTheme="majorEastAsia" w:hAnsi="Arial Nova Cond" w:cstheme="majorBidi"/>
      <w:b/>
      <w:caps/>
      <w:color w:val="2F5496" w:themeColor="accent1" w:themeShade="BF"/>
      <w:kern w:val="0"/>
      <w:sz w:val="40"/>
      <w:szCs w:val="32"/>
      <w:lang w:val="en-US"/>
      <w14:ligatures w14:val="none"/>
    </w:rPr>
  </w:style>
  <w:style w:type="character" w:customStyle="1" w:styleId="Heading2Char">
    <w:name w:val="Heading 2 Char"/>
    <w:basedOn w:val="DefaultParagraphFont"/>
    <w:link w:val="Heading2"/>
    <w:uiPriority w:val="9"/>
    <w:rsid w:val="00D04AE4"/>
    <w:rPr>
      <w:rFonts w:ascii="Verdana Pro Cond Light" w:eastAsiaTheme="majorEastAsia" w:hAnsi="Verdana Pro Cond Light" w:cstheme="majorBidi"/>
      <w:b/>
      <w:caps/>
      <w:color w:val="2F5496" w:themeColor="accent1" w:themeShade="BF"/>
      <w:kern w:val="0"/>
      <w:sz w:val="28"/>
      <w:szCs w:val="26"/>
      <w:lang w:val="en-US"/>
      <w14:ligatures w14:val="none"/>
    </w:rPr>
  </w:style>
  <w:style w:type="paragraph" w:styleId="TOC1">
    <w:name w:val="toc 1"/>
    <w:basedOn w:val="Normal"/>
    <w:next w:val="Normal"/>
    <w:autoRedefine/>
    <w:uiPriority w:val="39"/>
    <w:unhideWhenUsed/>
    <w:rsid w:val="00CF083E"/>
    <w:pPr>
      <w:tabs>
        <w:tab w:val="right" w:leader="dot" w:pos="9638"/>
      </w:tabs>
      <w:spacing w:after="360" w:line="240" w:lineRule="auto"/>
    </w:pPr>
    <w:rPr>
      <w:rFonts w:ascii="Arial Nova Cond Light" w:hAnsi="Arial Nova Cond Light"/>
      <w:b/>
      <w:caps/>
      <w:noProof/>
      <w:sz w:val="24"/>
      <w:lang w:val="lv-LV"/>
    </w:rPr>
  </w:style>
  <w:style w:type="paragraph" w:styleId="BodyTextIndent2">
    <w:name w:val="Body Text Indent 2"/>
    <w:basedOn w:val="Normal"/>
    <w:link w:val="BodyTextIndent2Char"/>
    <w:unhideWhenUsed/>
    <w:rsid w:val="008351DE"/>
    <w:pPr>
      <w:widowControl/>
      <w:spacing w:after="120" w:line="480" w:lineRule="auto"/>
      <w:ind w:left="283"/>
    </w:pPr>
    <w:rPr>
      <w:rFonts w:ascii="Calibri Light" w:hAnsi="Calibri Light"/>
      <w:sz w:val="24"/>
      <w:szCs w:val="24"/>
      <w:lang w:val="x-none" w:eastAsia="x-none"/>
    </w:rPr>
  </w:style>
  <w:style w:type="character" w:customStyle="1" w:styleId="BodyTextIndent2Char">
    <w:name w:val="Body Text Indent 2 Char"/>
    <w:basedOn w:val="DefaultParagraphFont"/>
    <w:link w:val="BodyTextIndent2"/>
    <w:rsid w:val="008351DE"/>
    <w:rPr>
      <w:rFonts w:ascii="Calibri Light" w:eastAsia="Calibri" w:hAnsi="Calibri Light" w:cs="Times New Roman"/>
      <w:kern w:val="0"/>
      <w:sz w:val="24"/>
      <w:szCs w:val="24"/>
      <w:lang w:val="x-none" w:eastAsia="x-none"/>
      <w14:ligatures w14:val="none"/>
    </w:rPr>
  </w:style>
  <w:style w:type="paragraph" w:styleId="Caption">
    <w:name w:val="caption"/>
    <w:basedOn w:val="Normal"/>
    <w:next w:val="Normal"/>
    <w:uiPriority w:val="35"/>
    <w:unhideWhenUsed/>
    <w:qFormat/>
    <w:rsid w:val="009A0CE2"/>
    <w:pPr>
      <w:spacing w:line="240" w:lineRule="auto"/>
    </w:pPr>
    <w:rPr>
      <w:i/>
      <w:iCs/>
      <w:color w:val="44546A" w:themeColor="text2"/>
      <w:sz w:val="18"/>
      <w:szCs w:val="18"/>
    </w:rPr>
  </w:style>
  <w:style w:type="character" w:customStyle="1" w:styleId="UnresolvedMention2">
    <w:name w:val="Unresolved Mention2"/>
    <w:basedOn w:val="DefaultParagraphFont"/>
    <w:uiPriority w:val="99"/>
    <w:semiHidden/>
    <w:unhideWhenUsed/>
    <w:rsid w:val="005062D2"/>
    <w:rPr>
      <w:color w:val="605E5C"/>
      <w:shd w:val="clear" w:color="auto" w:fill="E1DFDD"/>
    </w:rPr>
  </w:style>
  <w:style w:type="character" w:styleId="CommentReference">
    <w:name w:val="annotation reference"/>
    <w:basedOn w:val="DefaultParagraphFont"/>
    <w:uiPriority w:val="99"/>
    <w:semiHidden/>
    <w:unhideWhenUsed/>
    <w:rsid w:val="003829A0"/>
    <w:rPr>
      <w:sz w:val="16"/>
      <w:szCs w:val="16"/>
    </w:rPr>
  </w:style>
  <w:style w:type="paragraph" w:styleId="CommentText">
    <w:name w:val="annotation text"/>
    <w:basedOn w:val="Normal"/>
    <w:link w:val="CommentTextChar"/>
    <w:uiPriority w:val="99"/>
    <w:unhideWhenUsed/>
    <w:rsid w:val="003829A0"/>
    <w:pPr>
      <w:spacing w:line="240" w:lineRule="auto"/>
    </w:pPr>
    <w:rPr>
      <w:sz w:val="20"/>
      <w:szCs w:val="20"/>
    </w:rPr>
  </w:style>
  <w:style w:type="character" w:customStyle="1" w:styleId="CommentTextChar">
    <w:name w:val="Comment Text Char"/>
    <w:basedOn w:val="DefaultParagraphFont"/>
    <w:link w:val="CommentText"/>
    <w:uiPriority w:val="99"/>
    <w:rsid w:val="003829A0"/>
    <w:rPr>
      <w:rFonts w:ascii="Calibri" w:eastAsia="Calibri" w:hAnsi="Calibri" w:cs="Times New Roman"/>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3829A0"/>
    <w:rPr>
      <w:b/>
      <w:bCs/>
    </w:rPr>
  </w:style>
  <w:style w:type="character" w:customStyle="1" w:styleId="CommentSubjectChar">
    <w:name w:val="Comment Subject Char"/>
    <w:basedOn w:val="CommentTextChar"/>
    <w:link w:val="CommentSubject"/>
    <w:uiPriority w:val="99"/>
    <w:semiHidden/>
    <w:rsid w:val="003829A0"/>
    <w:rPr>
      <w:rFonts w:ascii="Calibri" w:eastAsia="Calibri" w:hAnsi="Calibri" w:cs="Times New Roman"/>
      <w:b/>
      <w:bCs/>
      <w:kern w:val="0"/>
      <w:sz w:val="20"/>
      <w:szCs w:val="20"/>
      <w:lang w:val="en-US"/>
      <w14:ligatures w14:val="none"/>
    </w:rPr>
  </w:style>
  <w:style w:type="paragraph" w:styleId="BalloonText">
    <w:name w:val="Balloon Text"/>
    <w:basedOn w:val="Normal"/>
    <w:link w:val="BalloonTextChar"/>
    <w:uiPriority w:val="99"/>
    <w:semiHidden/>
    <w:unhideWhenUsed/>
    <w:rsid w:val="003829A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29A0"/>
    <w:rPr>
      <w:rFonts w:ascii="Segoe UI" w:eastAsia="Calibri" w:hAnsi="Segoe UI" w:cs="Segoe UI"/>
      <w:kern w:val="0"/>
      <w:sz w:val="18"/>
      <w:szCs w:val="18"/>
      <w:lang w:val="en-US"/>
      <w14:ligatures w14:val="none"/>
    </w:rPr>
  </w:style>
  <w:style w:type="paragraph" w:styleId="HTMLPreformatted">
    <w:name w:val="HTML Preformatted"/>
    <w:basedOn w:val="Normal"/>
    <w:link w:val="HTMLPreformattedChar"/>
    <w:uiPriority w:val="99"/>
    <w:semiHidden/>
    <w:unhideWhenUsed/>
    <w:rsid w:val="00464712"/>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464712"/>
    <w:rPr>
      <w:rFonts w:ascii="Consolas" w:eastAsia="Calibri" w:hAnsi="Consolas" w:cs="Times New Roman"/>
      <w:kern w:val="0"/>
      <w:sz w:val="20"/>
      <w:szCs w:val="20"/>
      <w:lang w:val="en-US"/>
      <w14:ligatures w14:val="none"/>
    </w:rPr>
  </w:style>
  <w:style w:type="character" w:customStyle="1" w:styleId="UnresolvedMention3">
    <w:name w:val="Unresolved Mention3"/>
    <w:basedOn w:val="DefaultParagraphFont"/>
    <w:uiPriority w:val="99"/>
    <w:semiHidden/>
    <w:unhideWhenUsed/>
    <w:rsid w:val="00A90334"/>
    <w:rPr>
      <w:color w:val="605E5C"/>
      <w:shd w:val="clear" w:color="auto" w:fill="E1DFDD"/>
    </w:rPr>
  </w:style>
  <w:style w:type="character" w:customStyle="1" w:styleId="UnresolvedMention4">
    <w:name w:val="Unresolved Mention4"/>
    <w:basedOn w:val="DefaultParagraphFont"/>
    <w:uiPriority w:val="99"/>
    <w:semiHidden/>
    <w:unhideWhenUsed/>
    <w:rsid w:val="009D1FC5"/>
    <w:rPr>
      <w:color w:val="605E5C"/>
      <w:shd w:val="clear" w:color="auto" w:fill="E1DFDD"/>
    </w:rPr>
  </w:style>
  <w:style w:type="paragraph" w:styleId="Revision">
    <w:name w:val="Revision"/>
    <w:hidden/>
    <w:uiPriority w:val="99"/>
    <w:semiHidden/>
    <w:rsid w:val="00010C5F"/>
    <w:pPr>
      <w:spacing w:after="0" w:line="240" w:lineRule="auto"/>
    </w:pPr>
    <w:rPr>
      <w:rFonts w:ascii="Calibri" w:eastAsia="Calibri" w:hAnsi="Calibri" w:cs="Times New Roman"/>
      <w:kern w:val="0"/>
      <w:lang w:val="en-US"/>
      <w14:ligatures w14:val="none"/>
    </w:rPr>
  </w:style>
  <w:style w:type="character" w:customStyle="1" w:styleId="UnresolvedMention5">
    <w:name w:val="Unresolved Mention5"/>
    <w:basedOn w:val="DefaultParagraphFont"/>
    <w:uiPriority w:val="99"/>
    <w:semiHidden/>
    <w:unhideWhenUsed/>
    <w:rsid w:val="00757A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46970">
      <w:bodyDiv w:val="1"/>
      <w:marLeft w:val="0"/>
      <w:marRight w:val="0"/>
      <w:marTop w:val="0"/>
      <w:marBottom w:val="0"/>
      <w:divBdr>
        <w:top w:val="none" w:sz="0" w:space="0" w:color="auto"/>
        <w:left w:val="none" w:sz="0" w:space="0" w:color="auto"/>
        <w:bottom w:val="none" w:sz="0" w:space="0" w:color="auto"/>
        <w:right w:val="none" w:sz="0" w:space="0" w:color="auto"/>
      </w:divBdr>
    </w:div>
    <w:div w:id="18047487">
      <w:bodyDiv w:val="1"/>
      <w:marLeft w:val="0"/>
      <w:marRight w:val="0"/>
      <w:marTop w:val="0"/>
      <w:marBottom w:val="0"/>
      <w:divBdr>
        <w:top w:val="none" w:sz="0" w:space="0" w:color="auto"/>
        <w:left w:val="none" w:sz="0" w:space="0" w:color="auto"/>
        <w:bottom w:val="none" w:sz="0" w:space="0" w:color="auto"/>
        <w:right w:val="none" w:sz="0" w:space="0" w:color="auto"/>
      </w:divBdr>
    </w:div>
    <w:div w:id="36010212">
      <w:bodyDiv w:val="1"/>
      <w:marLeft w:val="0"/>
      <w:marRight w:val="0"/>
      <w:marTop w:val="0"/>
      <w:marBottom w:val="0"/>
      <w:divBdr>
        <w:top w:val="none" w:sz="0" w:space="0" w:color="auto"/>
        <w:left w:val="none" w:sz="0" w:space="0" w:color="auto"/>
        <w:bottom w:val="none" w:sz="0" w:space="0" w:color="auto"/>
        <w:right w:val="none" w:sz="0" w:space="0" w:color="auto"/>
      </w:divBdr>
    </w:div>
    <w:div w:id="54745414">
      <w:bodyDiv w:val="1"/>
      <w:marLeft w:val="0"/>
      <w:marRight w:val="0"/>
      <w:marTop w:val="0"/>
      <w:marBottom w:val="0"/>
      <w:divBdr>
        <w:top w:val="none" w:sz="0" w:space="0" w:color="auto"/>
        <w:left w:val="none" w:sz="0" w:space="0" w:color="auto"/>
        <w:bottom w:val="none" w:sz="0" w:space="0" w:color="auto"/>
        <w:right w:val="none" w:sz="0" w:space="0" w:color="auto"/>
      </w:divBdr>
    </w:div>
    <w:div w:id="122886948">
      <w:bodyDiv w:val="1"/>
      <w:marLeft w:val="0"/>
      <w:marRight w:val="0"/>
      <w:marTop w:val="0"/>
      <w:marBottom w:val="0"/>
      <w:divBdr>
        <w:top w:val="none" w:sz="0" w:space="0" w:color="auto"/>
        <w:left w:val="none" w:sz="0" w:space="0" w:color="auto"/>
        <w:bottom w:val="none" w:sz="0" w:space="0" w:color="auto"/>
        <w:right w:val="none" w:sz="0" w:space="0" w:color="auto"/>
      </w:divBdr>
    </w:div>
    <w:div w:id="134950576">
      <w:bodyDiv w:val="1"/>
      <w:marLeft w:val="0"/>
      <w:marRight w:val="0"/>
      <w:marTop w:val="0"/>
      <w:marBottom w:val="0"/>
      <w:divBdr>
        <w:top w:val="none" w:sz="0" w:space="0" w:color="auto"/>
        <w:left w:val="none" w:sz="0" w:space="0" w:color="auto"/>
        <w:bottom w:val="none" w:sz="0" w:space="0" w:color="auto"/>
        <w:right w:val="none" w:sz="0" w:space="0" w:color="auto"/>
      </w:divBdr>
    </w:div>
    <w:div w:id="140968201">
      <w:bodyDiv w:val="1"/>
      <w:marLeft w:val="0"/>
      <w:marRight w:val="0"/>
      <w:marTop w:val="0"/>
      <w:marBottom w:val="0"/>
      <w:divBdr>
        <w:top w:val="none" w:sz="0" w:space="0" w:color="auto"/>
        <w:left w:val="none" w:sz="0" w:space="0" w:color="auto"/>
        <w:bottom w:val="none" w:sz="0" w:space="0" w:color="auto"/>
        <w:right w:val="none" w:sz="0" w:space="0" w:color="auto"/>
      </w:divBdr>
    </w:div>
    <w:div w:id="173694304">
      <w:bodyDiv w:val="1"/>
      <w:marLeft w:val="0"/>
      <w:marRight w:val="0"/>
      <w:marTop w:val="0"/>
      <w:marBottom w:val="0"/>
      <w:divBdr>
        <w:top w:val="none" w:sz="0" w:space="0" w:color="auto"/>
        <w:left w:val="none" w:sz="0" w:space="0" w:color="auto"/>
        <w:bottom w:val="none" w:sz="0" w:space="0" w:color="auto"/>
        <w:right w:val="none" w:sz="0" w:space="0" w:color="auto"/>
      </w:divBdr>
    </w:div>
    <w:div w:id="187761886">
      <w:bodyDiv w:val="1"/>
      <w:marLeft w:val="0"/>
      <w:marRight w:val="0"/>
      <w:marTop w:val="0"/>
      <w:marBottom w:val="0"/>
      <w:divBdr>
        <w:top w:val="none" w:sz="0" w:space="0" w:color="auto"/>
        <w:left w:val="none" w:sz="0" w:space="0" w:color="auto"/>
        <w:bottom w:val="none" w:sz="0" w:space="0" w:color="auto"/>
        <w:right w:val="none" w:sz="0" w:space="0" w:color="auto"/>
      </w:divBdr>
    </w:div>
    <w:div w:id="249587934">
      <w:bodyDiv w:val="1"/>
      <w:marLeft w:val="0"/>
      <w:marRight w:val="0"/>
      <w:marTop w:val="0"/>
      <w:marBottom w:val="0"/>
      <w:divBdr>
        <w:top w:val="none" w:sz="0" w:space="0" w:color="auto"/>
        <w:left w:val="none" w:sz="0" w:space="0" w:color="auto"/>
        <w:bottom w:val="none" w:sz="0" w:space="0" w:color="auto"/>
        <w:right w:val="none" w:sz="0" w:space="0" w:color="auto"/>
      </w:divBdr>
    </w:div>
    <w:div w:id="281887947">
      <w:bodyDiv w:val="1"/>
      <w:marLeft w:val="0"/>
      <w:marRight w:val="0"/>
      <w:marTop w:val="0"/>
      <w:marBottom w:val="0"/>
      <w:divBdr>
        <w:top w:val="none" w:sz="0" w:space="0" w:color="auto"/>
        <w:left w:val="none" w:sz="0" w:space="0" w:color="auto"/>
        <w:bottom w:val="none" w:sz="0" w:space="0" w:color="auto"/>
        <w:right w:val="none" w:sz="0" w:space="0" w:color="auto"/>
      </w:divBdr>
    </w:div>
    <w:div w:id="327902213">
      <w:bodyDiv w:val="1"/>
      <w:marLeft w:val="0"/>
      <w:marRight w:val="0"/>
      <w:marTop w:val="0"/>
      <w:marBottom w:val="0"/>
      <w:divBdr>
        <w:top w:val="none" w:sz="0" w:space="0" w:color="auto"/>
        <w:left w:val="none" w:sz="0" w:space="0" w:color="auto"/>
        <w:bottom w:val="none" w:sz="0" w:space="0" w:color="auto"/>
        <w:right w:val="none" w:sz="0" w:space="0" w:color="auto"/>
      </w:divBdr>
    </w:div>
    <w:div w:id="414397270">
      <w:bodyDiv w:val="1"/>
      <w:marLeft w:val="0"/>
      <w:marRight w:val="0"/>
      <w:marTop w:val="0"/>
      <w:marBottom w:val="0"/>
      <w:divBdr>
        <w:top w:val="none" w:sz="0" w:space="0" w:color="auto"/>
        <w:left w:val="none" w:sz="0" w:space="0" w:color="auto"/>
        <w:bottom w:val="none" w:sz="0" w:space="0" w:color="auto"/>
        <w:right w:val="none" w:sz="0" w:space="0" w:color="auto"/>
      </w:divBdr>
    </w:div>
    <w:div w:id="508832716">
      <w:bodyDiv w:val="1"/>
      <w:marLeft w:val="0"/>
      <w:marRight w:val="0"/>
      <w:marTop w:val="0"/>
      <w:marBottom w:val="0"/>
      <w:divBdr>
        <w:top w:val="none" w:sz="0" w:space="0" w:color="auto"/>
        <w:left w:val="none" w:sz="0" w:space="0" w:color="auto"/>
        <w:bottom w:val="none" w:sz="0" w:space="0" w:color="auto"/>
        <w:right w:val="none" w:sz="0" w:space="0" w:color="auto"/>
      </w:divBdr>
    </w:div>
    <w:div w:id="519512018">
      <w:bodyDiv w:val="1"/>
      <w:marLeft w:val="0"/>
      <w:marRight w:val="0"/>
      <w:marTop w:val="0"/>
      <w:marBottom w:val="0"/>
      <w:divBdr>
        <w:top w:val="none" w:sz="0" w:space="0" w:color="auto"/>
        <w:left w:val="none" w:sz="0" w:space="0" w:color="auto"/>
        <w:bottom w:val="none" w:sz="0" w:space="0" w:color="auto"/>
        <w:right w:val="none" w:sz="0" w:space="0" w:color="auto"/>
      </w:divBdr>
    </w:div>
    <w:div w:id="537550654">
      <w:bodyDiv w:val="1"/>
      <w:marLeft w:val="0"/>
      <w:marRight w:val="0"/>
      <w:marTop w:val="0"/>
      <w:marBottom w:val="0"/>
      <w:divBdr>
        <w:top w:val="none" w:sz="0" w:space="0" w:color="auto"/>
        <w:left w:val="none" w:sz="0" w:space="0" w:color="auto"/>
        <w:bottom w:val="none" w:sz="0" w:space="0" w:color="auto"/>
        <w:right w:val="none" w:sz="0" w:space="0" w:color="auto"/>
      </w:divBdr>
    </w:div>
    <w:div w:id="566963310">
      <w:bodyDiv w:val="1"/>
      <w:marLeft w:val="0"/>
      <w:marRight w:val="0"/>
      <w:marTop w:val="0"/>
      <w:marBottom w:val="0"/>
      <w:divBdr>
        <w:top w:val="none" w:sz="0" w:space="0" w:color="auto"/>
        <w:left w:val="none" w:sz="0" w:space="0" w:color="auto"/>
        <w:bottom w:val="none" w:sz="0" w:space="0" w:color="auto"/>
        <w:right w:val="none" w:sz="0" w:space="0" w:color="auto"/>
      </w:divBdr>
    </w:div>
    <w:div w:id="614018683">
      <w:bodyDiv w:val="1"/>
      <w:marLeft w:val="0"/>
      <w:marRight w:val="0"/>
      <w:marTop w:val="0"/>
      <w:marBottom w:val="0"/>
      <w:divBdr>
        <w:top w:val="none" w:sz="0" w:space="0" w:color="auto"/>
        <w:left w:val="none" w:sz="0" w:space="0" w:color="auto"/>
        <w:bottom w:val="none" w:sz="0" w:space="0" w:color="auto"/>
        <w:right w:val="none" w:sz="0" w:space="0" w:color="auto"/>
      </w:divBdr>
    </w:div>
    <w:div w:id="644705545">
      <w:bodyDiv w:val="1"/>
      <w:marLeft w:val="0"/>
      <w:marRight w:val="0"/>
      <w:marTop w:val="0"/>
      <w:marBottom w:val="0"/>
      <w:divBdr>
        <w:top w:val="none" w:sz="0" w:space="0" w:color="auto"/>
        <w:left w:val="none" w:sz="0" w:space="0" w:color="auto"/>
        <w:bottom w:val="none" w:sz="0" w:space="0" w:color="auto"/>
        <w:right w:val="none" w:sz="0" w:space="0" w:color="auto"/>
      </w:divBdr>
    </w:div>
    <w:div w:id="650989157">
      <w:bodyDiv w:val="1"/>
      <w:marLeft w:val="0"/>
      <w:marRight w:val="0"/>
      <w:marTop w:val="0"/>
      <w:marBottom w:val="0"/>
      <w:divBdr>
        <w:top w:val="none" w:sz="0" w:space="0" w:color="auto"/>
        <w:left w:val="none" w:sz="0" w:space="0" w:color="auto"/>
        <w:bottom w:val="none" w:sz="0" w:space="0" w:color="auto"/>
        <w:right w:val="none" w:sz="0" w:space="0" w:color="auto"/>
      </w:divBdr>
    </w:div>
    <w:div w:id="712078027">
      <w:bodyDiv w:val="1"/>
      <w:marLeft w:val="0"/>
      <w:marRight w:val="0"/>
      <w:marTop w:val="0"/>
      <w:marBottom w:val="0"/>
      <w:divBdr>
        <w:top w:val="none" w:sz="0" w:space="0" w:color="auto"/>
        <w:left w:val="none" w:sz="0" w:space="0" w:color="auto"/>
        <w:bottom w:val="none" w:sz="0" w:space="0" w:color="auto"/>
        <w:right w:val="none" w:sz="0" w:space="0" w:color="auto"/>
      </w:divBdr>
    </w:div>
    <w:div w:id="729618104">
      <w:bodyDiv w:val="1"/>
      <w:marLeft w:val="0"/>
      <w:marRight w:val="0"/>
      <w:marTop w:val="0"/>
      <w:marBottom w:val="0"/>
      <w:divBdr>
        <w:top w:val="none" w:sz="0" w:space="0" w:color="auto"/>
        <w:left w:val="none" w:sz="0" w:space="0" w:color="auto"/>
        <w:bottom w:val="none" w:sz="0" w:space="0" w:color="auto"/>
        <w:right w:val="none" w:sz="0" w:space="0" w:color="auto"/>
      </w:divBdr>
    </w:div>
    <w:div w:id="784235975">
      <w:bodyDiv w:val="1"/>
      <w:marLeft w:val="0"/>
      <w:marRight w:val="0"/>
      <w:marTop w:val="0"/>
      <w:marBottom w:val="0"/>
      <w:divBdr>
        <w:top w:val="none" w:sz="0" w:space="0" w:color="auto"/>
        <w:left w:val="none" w:sz="0" w:space="0" w:color="auto"/>
        <w:bottom w:val="none" w:sz="0" w:space="0" w:color="auto"/>
        <w:right w:val="none" w:sz="0" w:space="0" w:color="auto"/>
      </w:divBdr>
    </w:div>
    <w:div w:id="799686713">
      <w:bodyDiv w:val="1"/>
      <w:marLeft w:val="0"/>
      <w:marRight w:val="0"/>
      <w:marTop w:val="0"/>
      <w:marBottom w:val="0"/>
      <w:divBdr>
        <w:top w:val="none" w:sz="0" w:space="0" w:color="auto"/>
        <w:left w:val="none" w:sz="0" w:space="0" w:color="auto"/>
        <w:bottom w:val="none" w:sz="0" w:space="0" w:color="auto"/>
        <w:right w:val="none" w:sz="0" w:space="0" w:color="auto"/>
      </w:divBdr>
    </w:div>
    <w:div w:id="839126068">
      <w:bodyDiv w:val="1"/>
      <w:marLeft w:val="0"/>
      <w:marRight w:val="0"/>
      <w:marTop w:val="0"/>
      <w:marBottom w:val="0"/>
      <w:divBdr>
        <w:top w:val="none" w:sz="0" w:space="0" w:color="auto"/>
        <w:left w:val="none" w:sz="0" w:space="0" w:color="auto"/>
        <w:bottom w:val="none" w:sz="0" w:space="0" w:color="auto"/>
        <w:right w:val="none" w:sz="0" w:space="0" w:color="auto"/>
      </w:divBdr>
    </w:div>
    <w:div w:id="849103685">
      <w:bodyDiv w:val="1"/>
      <w:marLeft w:val="0"/>
      <w:marRight w:val="0"/>
      <w:marTop w:val="0"/>
      <w:marBottom w:val="0"/>
      <w:divBdr>
        <w:top w:val="none" w:sz="0" w:space="0" w:color="auto"/>
        <w:left w:val="none" w:sz="0" w:space="0" w:color="auto"/>
        <w:bottom w:val="none" w:sz="0" w:space="0" w:color="auto"/>
        <w:right w:val="none" w:sz="0" w:space="0" w:color="auto"/>
      </w:divBdr>
    </w:div>
    <w:div w:id="854265706">
      <w:bodyDiv w:val="1"/>
      <w:marLeft w:val="0"/>
      <w:marRight w:val="0"/>
      <w:marTop w:val="0"/>
      <w:marBottom w:val="0"/>
      <w:divBdr>
        <w:top w:val="none" w:sz="0" w:space="0" w:color="auto"/>
        <w:left w:val="none" w:sz="0" w:space="0" w:color="auto"/>
        <w:bottom w:val="none" w:sz="0" w:space="0" w:color="auto"/>
        <w:right w:val="none" w:sz="0" w:space="0" w:color="auto"/>
      </w:divBdr>
      <w:divsChild>
        <w:div w:id="240718166">
          <w:marLeft w:val="0"/>
          <w:marRight w:val="0"/>
          <w:marTop w:val="0"/>
          <w:marBottom w:val="0"/>
          <w:divBdr>
            <w:top w:val="none" w:sz="0" w:space="0" w:color="auto"/>
            <w:left w:val="none" w:sz="0" w:space="0" w:color="auto"/>
            <w:bottom w:val="none" w:sz="0" w:space="0" w:color="auto"/>
            <w:right w:val="none" w:sz="0" w:space="0" w:color="auto"/>
          </w:divBdr>
          <w:divsChild>
            <w:div w:id="608704103">
              <w:marLeft w:val="0"/>
              <w:marRight w:val="0"/>
              <w:marTop w:val="0"/>
              <w:marBottom w:val="0"/>
              <w:divBdr>
                <w:top w:val="none" w:sz="0" w:space="0" w:color="auto"/>
                <w:left w:val="none" w:sz="0" w:space="0" w:color="auto"/>
                <w:bottom w:val="none" w:sz="0" w:space="0" w:color="auto"/>
                <w:right w:val="none" w:sz="0" w:space="0" w:color="auto"/>
              </w:divBdr>
            </w:div>
          </w:divsChild>
        </w:div>
        <w:div w:id="961686609">
          <w:marLeft w:val="0"/>
          <w:marRight w:val="0"/>
          <w:marTop w:val="0"/>
          <w:marBottom w:val="0"/>
          <w:divBdr>
            <w:top w:val="none" w:sz="0" w:space="0" w:color="auto"/>
            <w:left w:val="none" w:sz="0" w:space="0" w:color="auto"/>
            <w:bottom w:val="none" w:sz="0" w:space="0" w:color="auto"/>
            <w:right w:val="none" w:sz="0" w:space="0" w:color="auto"/>
          </w:divBdr>
          <w:divsChild>
            <w:div w:id="1297567030">
              <w:marLeft w:val="0"/>
              <w:marRight w:val="0"/>
              <w:marTop w:val="0"/>
              <w:marBottom w:val="0"/>
              <w:divBdr>
                <w:top w:val="none" w:sz="0" w:space="0" w:color="auto"/>
                <w:left w:val="none" w:sz="0" w:space="0" w:color="auto"/>
                <w:bottom w:val="none" w:sz="0" w:space="0" w:color="auto"/>
                <w:right w:val="none" w:sz="0" w:space="0" w:color="auto"/>
              </w:divBdr>
              <w:divsChild>
                <w:div w:id="496655725">
                  <w:marLeft w:val="0"/>
                  <w:marRight w:val="0"/>
                  <w:marTop w:val="0"/>
                  <w:marBottom w:val="0"/>
                  <w:divBdr>
                    <w:top w:val="none" w:sz="0" w:space="0" w:color="auto"/>
                    <w:left w:val="none" w:sz="0" w:space="0" w:color="auto"/>
                    <w:bottom w:val="none" w:sz="0" w:space="0" w:color="auto"/>
                    <w:right w:val="none" w:sz="0" w:space="0" w:color="auto"/>
                  </w:divBdr>
                  <w:divsChild>
                    <w:div w:id="190344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9898577">
      <w:bodyDiv w:val="1"/>
      <w:marLeft w:val="0"/>
      <w:marRight w:val="0"/>
      <w:marTop w:val="0"/>
      <w:marBottom w:val="0"/>
      <w:divBdr>
        <w:top w:val="none" w:sz="0" w:space="0" w:color="auto"/>
        <w:left w:val="none" w:sz="0" w:space="0" w:color="auto"/>
        <w:bottom w:val="none" w:sz="0" w:space="0" w:color="auto"/>
        <w:right w:val="none" w:sz="0" w:space="0" w:color="auto"/>
      </w:divBdr>
    </w:div>
    <w:div w:id="930897678">
      <w:bodyDiv w:val="1"/>
      <w:marLeft w:val="0"/>
      <w:marRight w:val="0"/>
      <w:marTop w:val="0"/>
      <w:marBottom w:val="0"/>
      <w:divBdr>
        <w:top w:val="none" w:sz="0" w:space="0" w:color="auto"/>
        <w:left w:val="none" w:sz="0" w:space="0" w:color="auto"/>
        <w:bottom w:val="none" w:sz="0" w:space="0" w:color="auto"/>
        <w:right w:val="none" w:sz="0" w:space="0" w:color="auto"/>
      </w:divBdr>
    </w:div>
    <w:div w:id="981499639">
      <w:bodyDiv w:val="1"/>
      <w:marLeft w:val="0"/>
      <w:marRight w:val="0"/>
      <w:marTop w:val="0"/>
      <w:marBottom w:val="0"/>
      <w:divBdr>
        <w:top w:val="none" w:sz="0" w:space="0" w:color="auto"/>
        <w:left w:val="none" w:sz="0" w:space="0" w:color="auto"/>
        <w:bottom w:val="none" w:sz="0" w:space="0" w:color="auto"/>
        <w:right w:val="none" w:sz="0" w:space="0" w:color="auto"/>
      </w:divBdr>
    </w:div>
    <w:div w:id="986131047">
      <w:bodyDiv w:val="1"/>
      <w:marLeft w:val="0"/>
      <w:marRight w:val="0"/>
      <w:marTop w:val="0"/>
      <w:marBottom w:val="0"/>
      <w:divBdr>
        <w:top w:val="none" w:sz="0" w:space="0" w:color="auto"/>
        <w:left w:val="none" w:sz="0" w:space="0" w:color="auto"/>
        <w:bottom w:val="none" w:sz="0" w:space="0" w:color="auto"/>
        <w:right w:val="none" w:sz="0" w:space="0" w:color="auto"/>
      </w:divBdr>
    </w:div>
    <w:div w:id="1040056369">
      <w:bodyDiv w:val="1"/>
      <w:marLeft w:val="0"/>
      <w:marRight w:val="0"/>
      <w:marTop w:val="0"/>
      <w:marBottom w:val="0"/>
      <w:divBdr>
        <w:top w:val="none" w:sz="0" w:space="0" w:color="auto"/>
        <w:left w:val="none" w:sz="0" w:space="0" w:color="auto"/>
        <w:bottom w:val="none" w:sz="0" w:space="0" w:color="auto"/>
        <w:right w:val="none" w:sz="0" w:space="0" w:color="auto"/>
      </w:divBdr>
    </w:div>
    <w:div w:id="1043485348">
      <w:bodyDiv w:val="1"/>
      <w:marLeft w:val="0"/>
      <w:marRight w:val="0"/>
      <w:marTop w:val="0"/>
      <w:marBottom w:val="0"/>
      <w:divBdr>
        <w:top w:val="none" w:sz="0" w:space="0" w:color="auto"/>
        <w:left w:val="none" w:sz="0" w:space="0" w:color="auto"/>
        <w:bottom w:val="none" w:sz="0" w:space="0" w:color="auto"/>
        <w:right w:val="none" w:sz="0" w:space="0" w:color="auto"/>
      </w:divBdr>
    </w:div>
    <w:div w:id="1056078959">
      <w:bodyDiv w:val="1"/>
      <w:marLeft w:val="0"/>
      <w:marRight w:val="0"/>
      <w:marTop w:val="0"/>
      <w:marBottom w:val="0"/>
      <w:divBdr>
        <w:top w:val="none" w:sz="0" w:space="0" w:color="auto"/>
        <w:left w:val="none" w:sz="0" w:space="0" w:color="auto"/>
        <w:bottom w:val="none" w:sz="0" w:space="0" w:color="auto"/>
        <w:right w:val="none" w:sz="0" w:space="0" w:color="auto"/>
      </w:divBdr>
    </w:div>
    <w:div w:id="1056322621">
      <w:bodyDiv w:val="1"/>
      <w:marLeft w:val="0"/>
      <w:marRight w:val="0"/>
      <w:marTop w:val="0"/>
      <w:marBottom w:val="0"/>
      <w:divBdr>
        <w:top w:val="none" w:sz="0" w:space="0" w:color="auto"/>
        <w:left w:val="none" w:sz="0" w:space="0" w:color="auto"/>
        <w:bottom w:val="none" w:sz="0" w:space="0" w:color="auto"/>
        <w:right w:val="none" w:sz="0" w:space="0" w:color="auto"/>
      </w:divBdr>
    </w:div>
    <w:div w:id="1078286506">
      <w:bodyDiv w:val="1"/>
      <w:marLeft w:val="0"/>
      <w:marRight w:val="0"/>
      <w:marTop w:val="0"/>
      <w:marBottom w:val="0"/>
      <w:divBdr>
        <w:top w:val="none" w:sz="0" w:space="0" w:color="auto"/>
        <w:left w:val="none" w:sz="0" w:space="0" w:color="auto"/>
        <w:bottom w:val="none" w:sz="0" w:space="0" w:color="auto"/>
        <w:right w:val="none" w:sz="0" w:space="0" w:color="auto"/>
      </w:divBdr>
    </w:div>
    <w:div w:id="1078403699">
      <w:bodyDiv w:val="1"/>
      <w:marLeft w:val="0"/>
      <w:marRight w:val="0"/>
      <w:marTop w:val="0"/>
      <w:marBottom w:val="0"/>
      <w:divBdr>
        <w:top w:val="none" w:sz="0" w:space="0" w:color="auto"/>
        <w:left w:val="none" w:sz="0" w:space="0" w:color="auto"/>
        <w:bottom w:val="none" w:sz="0" w:space="0" w:color="auto"/>
        <w:right w:val="none" w:sz="0" w:space="0" w:color="auto"/>
      </w:divBdr>
    </w:div>
    <w:div w:id="1083332093">
      <w:bodyDiv w:val="1"/>
      <w:marLeft w:val="0"/>
      <w:marRight w:val="0"/>
      <w:marTop w:val="0"/>
      <w:marBottom w:val="0"/>
      <w:divBdr>
        <w:top w:val="none" w:sz="0" w:space="0" w:color="auto"/>
        <w:left w:val="none" w:sz="0" w:space="0" w:color="auto"/>
        <w:bottom w:val="none" w:sz="0" w:space="0" w:color="auto"/>
        <w:right w:val="none" w:sz="0" w:space="0" w:color="auto"/>
      </w:divBdr>
    </w:div>
    <w:div w:id="1096560864">
      <w:bodyDiv w:val="1"/>
      <w:marLeft w:val="0"/>
      <w:marRight w:val="0"/>
      <w:marTop w:val="0"/>
      <w:marBottom w:val="0"/>
      <w:divBdr>
        <w:top w:val="none" w:sz="0" w:space="0" w:color="auto"/>
        <w:left w:val="none" w:sz="0" w:space="0" w:color="auto"/>
        <w:bottom w:val="none" w:sz="0" w:space="0" w:color="auto"/>
        <w:right w:val="none" w:sz="0" w:space="0" w:color="auto"/>
      </w:divBdr>
    </w:div>
    <w:div w:id="1188716974">
      <w:bodyDiv w:val="1"/>
      <w:marLeft w:val="0"/>
      <w:marRight w:val="0"/>
      <w:marTop w:val="0"/>
      <w:marBottom w:val="0"/>
      <w:divBdr>
        <w:top w:val="none" w:sz="0" w:space="0" w:color="auto"/>
        <w:left w:val="none" w:sz="0" w:space="0" w:color="auto"/>
        <w:bottom w:val="none" w:sz="0" w:space="0" w:color="auto"/>
        <w:right w:val="none" w:sz="0" w:space="0" w:color="auto"/>
      </w:divBdr>
    </w:div>
    <w:div w:id="1206020710">
      <w:bodyDiv w:val="1"/>
      <w:marLeft w:val="0"/>
      <w:marRight w:val="0"/>
      <w:marTop w:val="0"/>
      <w:marBottom w:val="0"/>
      <w:divBdr>
        <w:top w:val="none" w:sz="0" w:space="0" w:color="auto"/>
        <w:left w:val="none" w:sz="0" w:space="0" w:color="auto"/>
        <w:bottom w:val="none" w:sz="0" w:space="0" w:color="auto"/>
        <w:right w:val="none" w:sz="0" w:space="0" w:color="auto"/>
      </w:divBdr>
    </w:div>
    <w:div w:id="1285963283">
      <w:bodyDiv w:val="1"/>
      <w:marLeft w:val="0"/>
      <w:marRight w:val="0"/>
      <w:marTop w:val="0"/>
      <w:marBottom w:val="0"/>
      <w:divBdr>
        <w:top w:val="none" w:sz="0" w:space="0" w:color="auto"/>
        <w:left w:val="none" w:sz="0" w:space="0" w:color="auto"/>
        <w:bottom w:val="none" w:sz="0" w:space="0" w:color="auto"/>
        <w:right w:val="none" w:sz="0" w:space="0" w:color="auto"/>
      </w:divBdr>
    </w:div>
    <w:div w:id="1495875304">
      <w:bodyDiv w:val="1"/>
      <w:marLeft w:val="0"/>
      <w:marRight w:val="0"/>
      <w:marTop w:val="0"/>
      <w:marBottom w:val="0"/>
      <w:divBdr>
        <w:top w:val="none" w:sz="0" w:space="0" w:color="auto"/>
        <w:left w:val="none" w:sz="0" w:space="0" w:color="auto"/>
        <w:bottom w:val="none" w:sz="0" w:space="0" w:color="auto"/>
        <w:right w:val="none" w:sz="0" w:space="0" w:color="auto"/>
      </w:divBdr>
    </w:div>
    <w:div w:id="1528370560">
      <w:bodyDiv w:val="1"/>
      <w:marLeft w:val="0"/>
      <w:marRight w:val="0"/>
      <w:marTop w:val="0"/>
      <w:marBottom w:val="0"/>
      <w:divBdr>
        <w:top w:val="none" w:sz="0" w:space="0" w:color="auto"/>
        <w:left w:val="none" w:sz="0" w:space="0" w:color="auto"/>
        <w:bottom w:val="none" w:sz="0" w:space="0" w:color="auto"/>
        <w:right w:val="none" w:sz="0" w:space="0" w:color="auto"/>
      </w:divBdr>
    </w:div>
    <w:div w:id="1563251616">
      <w:bodyDiv w:val="1"/>
      <w:marLeft w:val="0"/>
      <w:marRight w:val="0"/>
      <w:marTop w:val="0"/>
      <w:marBottom w:val="0"/>
      <w:divBdr>
        <w:top w:val="none" w:sz="0" w:space="0" w:color="auto"/>
        <w:left w:val="none" w:sz="0" w:space="0" w:color="auto"/>
        <w:bottom w:val="none" w:sz="0" w:space="0" w:color="auto"/>
        <w:right w:val="none" w:sz="0" w:space="0" w:color="auto"/>
      </w:divBdr>
    </w:div>
    <w:div w:id="1580165875">
      <w:bodyDiv w:val="1"/>
      <w:marLeft w:val="0"/>
      <w:marRight w:val="0"/>
      <w:marTop w:val="0"/>
      <w:marBottom w:val="0"/>
      <w:divBdr>
        <w:top w:val="none" w:sz="0" w:space="0" w:color="auto"/>
        <w:left w:val="none" w:sz="0" w:space="0" w:color="auto"/>
        <w:bottom w:val="none" w:sz="0" w:space="0" w:color="auto"/>
        <w:right w:val="none" w:sz="0" w:space="0" w:color="auto"/>
      </w:divBdr>
    </w:div>
    <w:div w:id="1601137853">
      <w:bodyDiv w:val="1"/>
      <w:marLeft w:val="0"/>
      <w:marRight w:val="0"/>
      <w:marTop w:val="0"/>
      <w:marBottom w:val="0"/>
      <w:divBdr>
        <w:top w:val="none" w:sz="0" w:space="0" w:color="auto"/>
        <w:left w:val="none" w:sz="0" w:space="0" w:color="auto"/>
        <w:bottom w:val="none" w:sz="0" w:space="0" w:color="auto"/>
        <w:right w:val="none" w:sz="0" w:space="0" w:color="auto"/>
      </w:divBdr>
    </w:div>
    <w:div w:id="1608464033">
      <w:bodyDiv w:val="1"/>
      <w:marLeft w:val="0"/>
      <w:marRight w:val="0"/>
      <w:marTop w:val="0"/>
      <w:marBottom w:val="0"/>
      <w:divBdr>
        <w:top w:val="none" w:sz="0" w:space="0" w:color="auto"/>
        <w:left w:val="none" w:sz="0" w:space="0" w:color="auto"/>
        <w:bottom w:val="none" w:sz="0" w:space="0" w:color="auto"/>
        <w:right w:val="none" w:sz="0" w:space="0" w:color="auto"/>
      </w:divBdr>
    </w:div>
    <w:div w:id="1636983663">
      <w:bodyDiv w:val="1"/>
      <w:marLeft w:val="0"/>
      <w:marRight w:val="0"/>
      <w:marTop w:val="0"/>
      <w:marBottom w:val="0"/>
      <w:divBdr>
        <w:top w:val="none" w:sz="0" w:space="0" w:color="auto"/>
        <w:left w:val="none" w:sz="0" w:space="0" w:color="auto"/>
        <w:bottom w:val="none" w:sz="0" w:space="0" w:color="auto"/>
        <w:right w:val="none" w:sz="0" w:space="0" w:color="auto"/>
      </w:divBdr>
    </w:div>
    <w:div w:id="1698844326">
      <w:bodyDiv w:val="1"/>
      <w:marLeft w:val="0"/>
      <w:marRight w:val="0"/>
      <w:marTop w:val="0"/>
      <w:marBottom w:val="0"/>
      <w:divBdr>
        <w:top w:val="none" w:sz="0" w:space="0" w:color="auto"/>
        <w:left w:val="none" w:sz="0" w:space="0" w:color="auto"/>
        <w:bottom w:val="none" w:sz="0" w:space="0" w:color="auto"/>
        <w:right w:val="none" w:sz="0" w:space="0" w:color="auto"/>
      </w:divBdr>
    </w:div>
    <w:div w:id="1736733525">
      <w:bodyDiv w:val="1"/>
      <w:marLeft w:val="0"/>
      <w:marRight w:val="0"/>
      <w:marTop w:val="0"/>
      <w:marBottom w:val="0"/>
      <w:divBdr>
        <w:top w:val="none" w:sz="0" w:space="0" w:color="auto"/>
        <w:left w:val="none" w:sz="0" w:space="0" w:color="auto"/>
        <w:bottom w:val="none" w:sz="0" w:space="0" w:color="auto"/>
        <w:right w:val="none" w:sz="0" w:space="0" w:color="auto"/>
      </w:divBdr>
    </w:div>
    <w:div w:id="1737969139">
      <w:bodyDiv w:val="1"/>
      <w:marLeft w:val="0"/>
      <w:marRight w:val="0"/>
      <w:marTop w:val="0"/>
      <w:marBottom w:val="0"/>
      <w:divBdr>
        <w:top w:val="none" w:sz="0" w:space="0" w:color="auto"/>
        <w:left w:val="none" w:sz="0" w:space="0" w:color="auto"/>
        <w:bottom w:val="none" w:sz="0" w:space="0" w:color="auto"/>
        <w:right w:val="none" w:sz="0" w:space="0" w:color="auto"/>
      </w:divBdr>
    </w:div>
    <w:div w:id="1754207896">
      <w:bodyDiv w:val="1"/>
      <w:marLeft w:val="0"/>
      <w:marRight w:val="0"/>
      <w:marTop w:val="0"/>
      <w:marBottom w:val="0"/>
      <w:divBdr>
        <w:top w:val="none" w:sz="0" w:space="0" w:color="auto"/>
        <w:left w:val="none" w:sz="0" w:space="0" w:color="auto"/>
        <w:bottom w:val="none" w:sz="0" w:space="0" w:color="auto"/>
        <w:right w:val="none" w:sz="0" w:space="0" w:color="auto"/>
      </w:divBdr>
      <w:divsChild>
        <w:div w:id="317879182">
          <w:marLeft w:val="0"/>
          <w:marRight w:val="0"/>
          <w:marTop w:val="0"/>
          <w:marBottom w:val="0"/>
          <w:divBdr>
            <w:top w:val="none" w:sz="0" w:space="0" w:color="auto"/>
            <w:left w:val="none" w:sz="0" w:space="0" w:color="auto"/>
            <w:bottom w:val="none" w:sz="0" w:space="0" w:color="auto"/>
            <w:right w:val="none" w:sz="0" w:space="0" w:color="auto"/>
          </w:divBdr>
          <w:divsChild>
            <w:div w:id="1445155049">
              <w:marLeft w:val="0"/>
              <w:marRight w:val="0"/>
              <w:marTop w:val="0"/>
              <w:marBottom w:val="0"/>
              <w:divBdr>
                <w:top w:val="none" w:sz="0" w:space="0" w:color="auto"/>
                <w:left w:val="none" w:sz="0" w:space="0" w:color="auto"/>
                <w:bottom w:val="none" w:sz="0" w:space="0" w:color="auto"/>
                <w:right w:val="none" w:sz="0" w:space="0" w:color="auto"/>
              </w:divBdr>
            </w:div>
          </w:divsChild>
        </w:div>
        <w:div w:id="1293559790">
          <w:marLeft w:val="0"/>
          <w:marRight w:val="0"/>
          <w:marTop w:val="0"/>
          <w:marBottom w:val="0"/>
          <w:divBdr>
            <w:top w:val="none" w:sz="0" w:space="0" w:color="auto"/>
            <w:left w:val="none" w:sz="0" w:space="0" w:color="auto"/>
            <w:bottom w:val="none" w:sz="0" w:space="0" w:color="auto"/>
            <w:right w:val="none" w:sz="0" w:space="0" w:color="auto"/>
          </w:divBdr>
          <w:divsChild>
            <w:div w:id="293678715">
              <w:marLeft w:val="0"/>
              <w:marRight w:val="0"/>
              <w:marTop w:val="0"/>
              <w:marBottom w:val="0"/>
              <w:divBdr>
                <w:top w:val="none" w:sz="0" w:space="0" w:color="auto"/>
                <w:left w:val="none" w:sz="0" w:space="0" w:color="auto"/>
                <w:bottom w:val="none" w:sz="0" w:space="0" w:color="auto"/>
                <w:right w:val="none" w:sz="0" w:space="0" w:color="auto"/>
              </w:divBdr>
              <w:divsChild>
                <w:div w:id="1068068015">
                  <w:marLeft w:val="0"/>
                  <w:marRight w:val="0"/>
                  <w:marTop w:val="0"/>
                  <w:marBottom w:val="0"/>
                  <w:divBdr>
                    <w:top w:val="none" w:sz="0" w:space="0" w:color="auto"/>
                    <w:left w:val="none" w:sz="0" w:space="0" w:color="auto"/>
                    <w:bottom w:val="none" w:sz="0" w:space="0" w:color="auto"/>
                    <w:right w:val="none" w:sz="0" w:space="0" w:color="auto"/>
                  </w:divBdr>
                  <w:divsChild>
                    <w:div w:id="1012024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3840162">
      <w:bodyDiv w:val="1"/>
      <w:marLeft w:val="0"/>
      <w:marRight w:val="0"/>
      <w:marTop w:val="0"/>
      <w:marBottom w:val="0"/>
      <w:divBdr>
        <w:top w:val="none" w:sz="0" w:space="0" w:color="auto"/>
        <w:left w:val="none" w:sz="0" w:space="0" w:color="auto"/>
        <w:bottom w:val="none" w:sz="0" w:space="0" w:color="auto"/>
        <w:right w:val="none" w:sz="0" w:space="0" w:color="auto"/>
      </w:divBdr>
    </w:div>
    <w:div w:id="1902597260">
      <w:bodyDiv w:val="1"/>
      <w:marLeft w:val="0"/>
      <w:marRight w:val="0"/>
      <w:marTop w:val="0"/>
      <w:marBottom w:val="0"/>
      <w:divBdr>
        <w:top w:val="none" w:sz="0" w:space="0" w:color="auto"/>
        <w:left w:val="none" w:sz="0" w:space="0" w:color="auto"/>
        <w:bottom w:val="none" w:sz="0" w:space="0" w:color="auto"/>
        <w:right w:val="none" w:sz="0" w:space="0" w:color="auto"/>
      </w:divBdr>
    </w:div>
    <w:div w:id="1929658364">
      <w:bodyDiv w:val="1"/>
      <w:marLeft w:val="0"/>
      <w:marRight w:val="0"/>
      <w:marTop w:val="0"/>
      <w:marBottom w:val="0"/>
      <w:divBdr>
        <w:top w:val="none" w:sz="0" w:space="0" w:color="auto"/>
        <w:left w:val="none" w:sz="0" w:space="0" w:color="auto"/>
        <w:bottom w:val="none" w:sz="0" w:space="0" w:color="auto"/>
        <w:right w:val="none" w:sz="0" w:space="0" w:color="auto"/>
      </w:divBdr>
    </w:div>
    <w:div w:id="1941060991">
      <w:bodyDiv w:val="1"/>
      <w:marLeft w:val="0"/>
      <w:marRight w:val="0"/>
      <w:marTop w:val="0"/>
      <w:marBottom w:val="0"/>
      <w:divBdr>
        <w:top w:val="none" w:sz="0" w:space="0" w:color="auto"/>
        <w:left w:val="none" w:sz="0" w:space="0" w:color="auto"/>
        <w:bottom w:val="none" w:sz="0" w:space="0" w:color="auto"/>
        <w:right w:val="none" w:sz="0" w:space="0" w:color="auto"/>
      </w:divBdr>
    </w:div>
    <w:div w:id="1956254556">
      <w:bodyDiv w:val="1"/>
      <w:marLeft w:val="0"/>
      <w:marRight w:val="0"/>
      <w:marTop w:val="0"/>
      <w:marBottom w:val="0"/>
      <w:divBdr>
        <w:top w:val="none" w:sz="0" w:space="0" w:color="auto"/>
        <w:left w:val="none" w:sz="0" w:space="0" w:color="auto"/>
        <w:bottom w:val="none" w:sz="0" w:space="0" w:color="auto"/>
        <w:right w:val="none" w:sz="0" w:space="0" w:color="auto"/>
      </w:divBdr>
      <w:divsChild>
        <w:div w:id="1332638480">
          <w:marLeft w:val="0"/>
          <w:marRight w:val="0"/>
          <w:marTop w:val="0"/>
          <w:marBottom w:val="0"/>
          <w:divBdr>
            <w:top w:val="none" w:sz="0" w:space="0" w:color="auto"/>
            <w:left w:val="none" w:sz="0" w:space="0" w:color="auto"/>
            <w:bottom w:val="none" w:sz="0" w:space="0" w:color="auto"/>
            <w:right w:val="none" w:sz="0" w:space="0" w:color="auto"/>
          </w:divBdr>
        </w:div>
        <w:div w:id="1624113274">
          <w:marLeft w:val="0"/>
          <w:marRight w:val="0"/>
          <w:marTop w:val="0"/>
          <w:marBottom w:val="0"/>
          <w:divBdr>
            <w:top w:val="none" w:sz="0" w:space="0" w:color="auto"/>
            <w:left w:val="none" w:sz="0" w:space="0" w:color="auto"/>
            <w:bottom w:val="none" w:sz="0" w:space="0" w:color="auto"/>
            <w:right w:val="none" w:sz="0" w:space="0" w:color="auto"/>
          </w:divBdr>
        </w:div>
        <w:div w:id="1991131052">
          <w:marLeft w:val="0"/>
          <w:marRight w:val="0"/>
          <w:marTop w:val="0"/>
          <w:marBottom w:val="0"/>
          <w:divBdr>
            <w:top w:val="none" w:sz="0" w:space="0" w:color="auto"/>
            <w:left w:val="none" w:sz="0" w:space="0" w:color="auto"/>
            <w:bottom w:val="none" w:sz="0" w:space="0" w:color="auto"/>
            <w:right w:val="none" w:sz="0" w:space="0" w:color="auto"/>
          </w:divBdr>
        </w:div>
        <w:div w:id="1274366172">
          <w:marLeft w:val="0"/>
          <w:marRight w:val="0"/>
          <w:marTop w:val="0"/>
          <w:marBottom w:val="0"/>
          <w:divBdr>
            <w:top w:val="none" w:sz="0" w:space="0" w:color="auto"/>
            <w:left w:val="none" w:sz="0" w:space="0" w:color="auto"/>
            <w:bottom w:val="none" w:sz="0" w:space="0" w:color="auto"/>
            <w:right w:val="none" w:sz="0" w:space="0" w:color="auto"/>
          </w:divBdr>
        </w:div>
        <w:div w:id="1125195031">
          <w:marLeft w:val="0"/>
          <w:marRight w:val="0"/>
          <w:marTop w:val="0"/>
          <w:marBottom w:val="0"/>
          <w:divBdr>
            <w:top w:val="none" w:sz="0" w:space="0" w:color="auto"/>
            <w:left w:val="none" w:sz="0" w:space="0" w:color="auto"/>
            <w:bottom w:val="none" w:sz="0" w:space="0" w:color="auto"/>
            <w:right w:val="none" w:sz="0" w:space="0" w:color="auto"/>
          </w:divBdr>
        </w:div>
      </w:divsChild>
    </w:div>
    <w:div w:id="1971589943">
      <w:bodyDiv w:val="1"/>
      <w:marLeft w:val="0"/>
      <w:marRight w:val="0"/>
      <w:marTop w:val="0"/>
      <w:marBottom w:val="0"/>
      <w:divBdr>
        <w:top w:val="none" w:sz="0" w:space="0" w:color="auto"/>
        <w:left w:val="none" w:sz="0" w:space="0" w:color="auto"/>
        <w:bottom w:val="none" w:sz="0" w:space="0" w:color="auto"/>
        <w:right w:val="none" w:sz="0" w:space="0" w:color="auto"/>
      </w:divBdr>
    </w:div>
    <w:div w:id="2040738536">
      <w:bodyDiv w:val="1"/>
      <w:marLeft w:val="0"/>
      <w:marRight w:val="0"/>
      <w:marTop w:val="0"/>
      <w:marBottom w:val="0"/>
      <w:divBdr>
        <w:top w:val="none" w:sz="0" w:space="0" w:color="auto"/>
        <w:left w:val="none" w:sz="0" w:space="0" w:color="auto"/>
        <w:bottom w:val="none" w:sz="0" w:space="0" w:color="auto"/>
        <w:right w:val="none" w:sz="0" w:space="0" w:color="auto"/>
      </w:divBdr>
    </w:div>
    <w:div w:id="2051152013">
      <w:bodyDiv w:val="1"/>
      <w:marLeft w:val="0"/>
      <w:marRight w:val="0"/>
      <w:marTop w:val="0"/>
      <w:marBottom w:val="0"/>
      <w:divBdr>
        <w:top w:val="none" w:sz="0" w:space="0" w:color="auto"/>
        <w:left w:val="none" w:sz="0" w:space="0" w:color="auto"/>
        <w:bottom w:val="none" w:sz="0" w:space="0" w:color="auto"/>
        <w:right w:val="none" w:sz="0" w:space="0" w:color="auto"/>
      </w:divBdr>
    </w:div>
    <w:div w:id="2052607592">
      <w:bodyDiv w:val="1"/>
      <w:marLeft w:val="0"/>
      <w:marRight w:val="0"/>
      <w:marTop w:val="0"/>
      <w:marBottom w:val="0"/>
      <w:divBdr>
        <w:top w:val="none" w:sz="0" w:space="0" w:color="auto"/>
        <w:left w:val="none" w:sz="0" w:space="0" w:color="auto"/>
        <w:bottom w:val="none" w:sz="0" w:space="0" w:color="auto"/>
        <w:right w:val="none" w:sz="0" w:space="0" w:color="auto"/>
      </w:divBdr>
    </w:div>
    <w:div w:id="2069837235">
      <w:bodyDiv w:val="1"/>
      <w:marLeft w:val="0"/>
      <w:marRight w:val="0"/>
      <w:marTop w:val="0"/>
      <w:marBottom w:val="0"/>
      <w:divBdr>
        <w:top w:val="none" w:sz="0" w:space="0" w:color="auto"/>
        <w:left w:val="none" w:sz="0" w:space="0" w:color="auto"/>
        <w:bottom w:val="none" w:sz="0" w:space="0" w:color="auto"/>
        <w:right w:val="none" w:sz="0" w:space="0" w:color="auto"/>
      </w:divBdr>
    </w:div>
    <w:div w:id="2093164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117" Type="http://schemas.openxmlformats.org/officeDocument/2006/relationships/chart" Target="charts/chart80.xml"/><Relationship Id="rId21" Type="http://schemas.openxmlformats.org/officeDocument/2006/relationships/oleObject" Target="embeddings/oleObject1.bin"/><Relationship Id="rId42" Type="http://schemas.openxmlformats.org/officeDocument/2006/relationships/chart" Target="charts/chart11.xml"/><Relationship Id="rId47" Type="http://schemas.openxmlformats.org/officeDocument/2006/relationships/hyperlink" Target="https://ec.europa.eu/regional_policy/information-sources/cohesion-report_en" TargetMode="External"/><Relationship Id="rId63" Type="http://schemas.openxmlformats.org/officeDocument/2006/relationships/chart" Target="charts/chart26.xml"/><Relationship Id="rId68" Type="http://schemas.openxmlformats.org/officeDocument/2006/relationships/chart" Target="charts/chart31.xml"/><Relationship Id="rId84" Type="http://schemas.openxmlformats.org/officeDocument/2006/relationships/chart" Target="charts/chart47.xml"/><Relationship Id="rId89" Type="http://schemas.openxmlformats.org/officeDocument/2006/relationships/chart" Target="charts/chart52.xml"/><Relationship Id="rId112" Type="http://schemas.openxmlformats.org/officeDocument/2006/relationships/chart" Target="charts/chart75.xml"/><Relationship Id="rId133" Type="http://schemas.openxmlformats.org/officeDocument/2006/relationships/chart" Target="charts/chart96.xml"/><Relationship Id="rId138" Type="http://schemas.openxmlformats.org/officeDocument/2006/relationships/chart" Target="charts/chart101.xml"/><Relationship Id="rId16" Type="http://schemas.openxmlformats.org/officeDocument/2006/relationships/image" Target="media/image6.png"/><Relationship Id="rId107" Type="http://schemas.openxmlformats.org/officeDocument/2006/relationships/chart" Target="charts/chart70.xml"/><Relationship Id="rId11" Type="http://schemas.openxmlformats.org/officeDocument/2006/relationships/image" Target="media/image1.png"/><Relationship Id="rId32" Type="http://schemas.openxmlformats.org/officeDocument/2006/relationships/chart" Target="charts/chart1.xml"/><Relationship Id="rId37" Type="http://schemas.openxmlformats.org/officeDocument/2006/relationships/chart" Target="charts/chart6.xml"/><Relationship Id="rId53" Type="http://schemas.openxmlformats.org/officeDocument/2006/relationships/chart" Target="charts/chart19.xml"/><Relationship Id="rId58" Type="http://schemas.openxmlformats.org/officeDocument/2006/relationships/chart" Target="charts/chart21.xml"/><Relationship Id="rId74" Type="http://schemas.openxmlformats.org/officeDocument/2006/relationships/chart" Target="charts/chart37.xml"/><Relationship Id="rId79" Type="http://schemas.openxmlformats.org/officeDocument/2006/relationships/chart" Target="charts/chart42.xml"/><Relationship Id="rId102" Type="http://schemas.openxmlformats.org/officeDocument/2006/relationships/chart" Target="charts/chart65.xml"/><Relationship Id="rId123" Type="http://schemas.openxmlformats.org/officeDocument/2006/relationships/chart" Target="charts/chart86.xml"/><Relationship Id="rId128" Type="http://schemas.openxmlformats.org/officeDocument/2006/relationships/chart" Target="charts/chart91.xml"/><Relationship Id="rId144" Type="http://schemas.openxmlformats.org/officeDocument/2006/relationships/footer" Target="footer1.xml"/><Relationship Id="rId5" Type="http://schemas.openxmlformats.org/officeDocument/2006/relationships/numbering" Target="numbering.xml"/><Relationship Id="rId90" Type="http://schemas.openxmlformats.org/officeDocument/2006/relationships/chart" Target="charts/chart53.xml"/><Relationship Id="rId95" Type="http://schemas.openxmlformats.org/officeDocument/2006/relationships/chart" Target="charts/chart58.xml"/><Relationship Id="rId22" Type="http://schemas.openxmlformats.org/officeDocument/2006/relationships/image" Target="media/image11.jpeg"/><Relationship Id="rId27" Type="http://schemas.openxmlformats.org/officeDocument/2006/relationships/image" Target="media/image16.jpg"/><Relationship Id="rId43" Type="http://schemas.openxmlformats.org/officeDocument/2006/relationships/chart" Target="charts/chart12.xml"/><Relationship Id="rId48" Type="http://schemas.openxmlformats.org/officeDocument/2006/relationships/chart" Target="charts/chart14.xml"/><Relationship Id="rId64" Type="http://schemas.openxmlformats.org/officeDocument/2006/relationships/chart" Target="charts/chart27.xml"/><Relationship Id="rId69" Type="http://schemas.openxmlformats.org/officeDocument/2006/relationships/chart" Target="charts/chart32.xml"/><Relationship Id="rId113" Type="http://schemas.openxmlformats.org/officeDocument/2006/relationships/chart" Target="charts/chart76.xml"/><Relationship Id="rId118" Type="http://schemas.openxmlformats.org/officeDocument/2006/relationships/chart" Target="charts/chart81.xml"/><Relationship Id="rId134" Type="http://schemas.openxmlformats.org/officeDocument/2006/relationships/chart" Target="charts/chart97.xml"/><Relationship Id="rId139" Type="http://schemas.openxmlformats.org/officeDocument/2006/relationships/chart" Target="charts/chart102.xml"/><Relationship Id="rId80" Type="http://schemas.openxmlformats.org/officeDocument/2006/relationships/chart" Target="charts/chart43.xml"/><Relationship Id="rId85" Type="http://schemas.openxmlformats.org/officeDocument/2006/relationships/chart" Target="charts/chart48.xml"/><Relationship Id="rId3" Type="http://schemas.openxmlformats.org/officeDocument/2006/relationships/customXml" Target="../customXml/item3.xml"/><Relationship Id="rId12" Type="http://schemas.openxmlformats.org/officeDocument/2006/relationships/image" Target="media/image2.jpg"/><Relationship Id="rId17" Type="http://schemas.openxmlformats.org/officeDocument/2006/relationships/image" Target="media/image7.png"/><Relationship Id="rId25" Type="http://schemas.openxmlformats.org/officeDocument/2006/relationships/image" Target="media/image14.png"/><Relationship Id="rId33" Type="http://schemas.openxmlformats.org/officeDocument/2006/relationships/chart" Target="charts/chart2.xml"/><Relationship Id="rId38" Type="http://schemas.openxmlformats.org/officeDocument/2006/relationships/chart" Target="charts/chart7.xml"/><Relationship Id="rId46" Type="http://schemas.openxmlformats.org/officeDocument/2006/relationships/image" Target="media/image22.png"/><Relationship Id="rId59" Type="http://schemas.openxmlformats.org/officeDocument/2006/relationships/chart" Target="charts/chart22.xml"/><Relationship Id="rId67" Type="http://schemas.openxmlformats.org/officeDocument/2006/relationships/chart" Target="charts/chart30.xml"/><Relationship Id="rId103" Type="http://schemas.openxmlformats.org/officeDocument/2006/relationships/chart" Target="charts/chart66.xml"/><Relationship Id="rId108" Type="http://schemas.openxmlformats.org/officeDocument/2006/relationships/chart" Target="charts/chart71.xml"/><Relationship Id="rId116" Type="http://schemas.openxmlformats.org/officeDocument/2006/relationships/chart" Target="charts/chart79.xml"/><Relationship Id="rId124" Type="http://schemas.openxmlformats.org/officeDocument/2006/relationships/chart" Target="charts/chart87.xml"/><Relationship Id="rId129" Type="http://schemas.openxmlformats.org/officeDocument/2006/relationships/chart" Target="charts/chart92.xml"/><Relationship Id="rId137" Type="http://schemas.openxmlformats.org/officeDocument/2006/relationships/chart" Target="charts/chart100.xml"/><Relationship Id="rId20" Type="http://schemas.openxmlformats.org/officeDocument/2006/relationships/image" Target="media/image10.png"/><Relationship Id="rId41" Type="http://schemas.openxmlformats.org/officeDocument/2006/relationships/chart" Target="charts/chart10.xml"/><Relationship Id="rId54" Type="http://schemas.openxmlformats.org/officeDocument/2006/relationships/image" Target="media/image23.jpg"/><Relationship Id="rId62" Type="http://schemas.openxmlformats.org/officeDocument/2006/relationships/chart" Target="charts/chart25.xml"/><Relationship Id="rId70" Type="http://schemas.openxmlformats.org/officeDocument/2006/relationships/chart" Target="charts/chart33.xml"/><Relationship Id="rId75" Type="http://schemas.openxmlformats.org/officeDocument/2006/relationships/chart" Target="charts/chart38.xml"/><Relationship Id="rId83" Type="http://schemas.openxmlformats.org/officeDocument/2006/relationships/chart" Target="charts/chart46.xml"/><Relationship Id="rId88" Type="http://schemas.openxmlformats.org/officeDocument/2006/relationships/chart" Target="charts/chart51.xml"/><Relationship Id="rId91" Type="http://schemas.openxmlformats.org/officeDocument/2006/relationships/chart" Target="charts/chart54.xml"/><Relationship Id="rId96" Type="http://schemas.openxmlformats.org/officeDocument/2006/relationships/chart" Target="charts/chart59.xml"/><Relationship Id="rId111" Type="http://schemas.openxmlformats.org/officeDocument/2006/relationships/chart" Target="charts/chart74.xml"/><Relationship Id="rId132" Type="http://schemas.openxmlformats.org/officeDocument/2006/relationships/chart" Target="charts/chart95.xml"/><Relationship Id="rId140" Type="http://schemas.openxmlformats.org/officeDocument/2006/relationships/chart" Target="charts/chart103.xml"/><Relationship Id="rId14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2.jpeg"/><Relationship Id="rId28" Type="http://schemas.openxmlformats.org/officeDocument/2006/relationships/image" Target="media/image17.png"/><Relationship Id="rId36" Type="http://schemas.openxmlformats.org/officeDocument/2006/relationships/chart" Target="charts/chart5.xml"/><Relationship Id="rId49" Type="http://schemas.openxmlformats.org/officeDocument/2006/relationships/chart" Target="charts/chart15.xml"/><Relationship Id="rId57" Type="http://schemas.openxmlformats.org/officeDocument/2006/relationships/chart" Target="charts/chart20.xml"/><Relationship Id="rId106" Type="http://schemas.openxmlformats.org/officeDocument/2006/relationships/chart" Target="charts/chart69.xml"/><Relationship Id="rId114" Type="http://schemas.openxmlformats.org/officeDocument/2006/relationships/chart" Target="charts/chart77.xml"/><Relationship Id="rId119" Type="http://schemas.openxmlformats.org/officeDocument/2006/relationships/chart" Target="charts/chart82.xml"/><Relationship Id="rId127" Type="http://schemas.openxmlformats.org/officeDocument/2006/relationships/chart" Target="charts/chart90.xml"/><Relationship Id="rId10" Type="http://schemas.openxmlformats.org/officeDocument/2006/relationships/endnotes" Target="endnotes.xml"/><Relationship Id="rId31" Type="http://schemas.openxmlformats.org/officeDocument/2006/relationships/image" Target="media/image20.jpg"/><Relationship Id="rId44" Type="http://schemas.openxmlformats.org/officeDocument/2006/relationships/chart" Target="charts/chart13.xml"/><Relationship Id="rId52" Type="http://schemas.openxmlformats.org/officeDocument/2006/relationships/chart" Target="charts/chart18.xml"/><Relationship Id="rId60" Type="http://schemas.openxmlformats.org/officeDocument/2006/relationships/chart" Target="charts/chart23.xml"/><Relationship Id="rId65" Type="http://schemas.openxmlformats.org/officeDocument/2006/relationships/chart" Target="charts/chart28.xml"/><Relationship Id="rId73" Type="http://schemas.openxmlformats.org/officeDocument/2006/relationships/chart" Target="charts/chart36.xml"/><Relationship Id="rId78" Type="http://schemas.openxmlformats.org/officeDocument/2006/relationships/chart" Target="charts/chart41.xml"/><Relationship Id="rId81" Type="http://schemas.openxmlformats.org/officeDocument/2006/relationships/chart" Target="charts/chart44.xml"/><Relationship Id="rId86" Type="http://schemas.openxmlformats.org/officeDocument/2006/relationships/chart" Target="charts/chart49.xml"/><Relationship Id="rId94" Type="http://schemas.openxmlformats.org/officeDocument/2006/relationships/chart" Target="charts/chart57.xml"/><Relationship Id="rId99" Type="http://schemas.openxmlformats.org/officeDocument/2006/relationships/chart" Target="charts/chart62.xml"/><Relationship Id="rId101" Type="http://schemas.openxmlformats.org/officeDocument/2006/relationships/chart" Target="charts/chart64.xml"/><Relationship Id="rId122" Type="http://schemas.openxmlformats.org/officeDocument/2006/relationships/chart" Target="charts/chart85.xml"/><Relationship Id="rId130" Type="http://schemas.openxmlformats.org/officeDocument/2006/relationships/chart" Target="charts/chart93.xml"/><Relationship Id="rId135" Type="http://schemas.openxmlformats.org/officeDocument/2006/relationships/chart" Target="charts/chart98.xml"/><Relationship Id="rId143" Type="http://schemas.openxmlformats.org/officeDocument/2006/relationships/image" Target="media/image25.jpe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chart" Target="charts/chart8.xml"/><Relationship Id="rId109" Type="http://schemas.openxmlformats.org/officeDocument/2006/relationships/chart" Target="charts/chart72.xml"/><Relationship Id="rId34" Type="http://schemas.openxmlformats.org/officeDocument/2006/relationships/chart" Target="charts/chart3.xml"/><Relationship Id="rId50" Type="http://schemas.openxmlformats.org/officeDocument/2006/relationships/chart" Target="charts/chart16.xml"/><Relationship Id="rId55" Type="http://schemas.openxmlformats.org/officeDocument/2006/relationships/image" Target="media/image24.png"/><Relationship Id="rId76" Type="http://schemas.openxmlformats.org/officeDocument/2006/relationships/chart" Target="charts/chart39.xml"/><Relationship Id="rId97" Type="http://schemas.openxmlformats.org/officeDocument/2006/relationships/chart" Target="charts/chart60.xml"/><Relationship Id="rId104" Type="http://schemas.openxmlformats.org/officeDocument/2006/relationships/chart" Target="charts/chart67.xml"/><Relationship Id="rId120" Type="http://schemas.openxmlformats.org/officeDocument/2006/relationships/chart" Target="charts/chart83.xml"/><Relationship Id="rId125" Type="http://schemas.openxmlformats.org/officeDocument/2006/relationships/chart" Target="charts/chart88.xml"/><Relationship Id="rId141" Type="http://schemas.openxmlformats.org/officeDocument/2006/relationships/chart" Target="charts/chart104.xml"/><Relationship Id="rId146"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chart" Target="charts/chart34.xml"/><Relationship Id="rId92" Type="http://schemas.openxmlformats.org/officeDocument/2006/relationships/chart" Target="charts/chart55.xml"/><Relationship Id="rId2" Type="http://schemas.openxmlformats.org/officeDocument/2006/relationships/customXml" Target="../customXml/item2.xml"/><Relationship Id="rId29" Type="http://schemas.openxmlformats.org/officeDocument/2006/relationships/image" Target="media/image18.png"/><Relationship Id="rId24" Type="http://schemas.openxmlformats.org/officeDocument/2006/relationships/image" Target="media/image13.png"/><Relationship Id="rId40" Type="http://schemas.openxmlformats.org/officeDocument/2006/relationships/chart" Target="charts/chart9.xml"/><Relationship Id="rId45" Type="http://schemas.openxmlformats.org/officeDocument/2006/relationships/image" Target="media/image21.png"/><Relationship Id="rId66" Type="http://schemas.openxmlformats.org/officeDocument/2006/relationships/chart" Target="charts/chart29.xml"/><Relationship Id="rId87" Type="http://schemas.openxmlformats.org/officeDocument/2006/relationships/chart" Target="charts/chart50.xml"/><Relationship Id="rId110" Type="http://schemas.openxmlformats.org/officeDocument/2006/relationships/chart" Target="charts/chart73.xml"/><Relationship Id="rId115" Type="http://schemas.openxmlformats.org/officeDocument/2006/relationships/chart" Target="charts/chart78.xml"/><Relationship Id="rId131" Type="http://schemas.openxmlformats.org/officeDocument/2006/relationships/chart" Target="charts/chart94.xml"/><Relationship Id="rId136" Type="http://schemas.openxmlformats.org/officeDocument/2006/relationships/chart" Target="charts/chart99.xml"/><Relationship Id="rId61" Type="http://schemas.openxmlformats.org/officeDocument/2006/relationships/chart" Target="charts/chart24.xml"/><Relationship Id="rId82" Type="http://schemas.openxmlformats.org/officeDocument/2006/relationships/chart" Target="charts/chart45.xml"/><Relationship Id="rId19" Type="http://schemas.openxmlformats.org/officeDocument/2006/relationships/image" Target="media/image9.png"/><Relationship Id="rId14" Type="http://schemas.openxmlformats.org/officeDocument/2006/relationships/image" Target="media/image4.jpg"/><Relationship Id="rId30" Type="http://schemas.openxmlformats.org/officeDocument/2006/relationships/image" Target="media/image19.png"/><Relationship Id="rId35" Type="http://schemas.openxmlformats.org/officeDocument/2006/relationships/chart" Target="charts/chart4.xml"/><Relationship Id="rId56" Type="http://schemas.openxmlformats.org/officeDocument/2006/relationships/hyperlink" Target="https://www.lvpeak.lu.lv/fileadmin/user_upload/lu_portal/lvpeak.lu.lv/LU_domnica_LV_PEAK/Projekti/FM_projekti/FM_CGE_Gala_Zinojums.pdf" TargetMode="External"/><Relationship Id="rId77" Type="http://schemas.openxmlformats.org/officeDocument/2006/relationships/chart" Target="charts/chart40.xml"/><Relationship Id="rId100" Type="http://schemas.openxmlformats.org/officeDocument/2006/relationships/chart" Target="charts/chart63.xml"/><Relationship Id="rId105" Type="http://schemas.openxmlformats.org/officeDocument/2006/relationships/chart" Target="charts/chart68.xml"/><Relationship Id="rId126" Type="http://schemas.openxmlformats.org/officeDocument/2006/relationships/chart" Target="charts/chart89.xml"/><Relationship Id="rId8" Type="http://schemas.openxmlformats.org/officeDocument/2006/relationships/webSettings" Target="webSettings.xml"/><Relationship Id="rId51" Type="http://schemas.openxmlformats.org/officeDocument/2006/relationships/chart" Target="charts/chart17.xml"/><Relationship Id="rId72" Type="http://schemas.openxmlformats.org/officeDocument/2006/relationships/chart" Target="charts/chart35.xml"/><Relationship Id="rId93" Type="http://schemas.openxmlformats.org/officeDocument/2006/relationships/chart" Target="charts/chart56.xml"/><Relationship Id="rId98" Type="http://schemas.openxmlformats.org/officeDocument/2006/relationships/chart" Target="charts/chart61.xml"/><Relationship Id="rId121" Type="http://schemas.openxmlformats.org/officeDocument/2006/relationships/chart" Target="charts/chart84.xml"/><Relationship Id="rId142" Type="http://schemas.openxmlformats.org/officeDocument/2006/relationships/chart" Target="charts/chart105.xml"/></Relationships>
</file>

<file path=word/_rels/footnotes.xml.rels><?xml version="1.0" encoding="UTF-8" standalone="yes"?>
<Relationships xmlns="http://schemas.openxmlformats.org/package/2006/relationships"><Relationship Id="rId8" Type="http://schemas.openxmlformats.org/officeDocument/2006/relationships/hyperlink" Target="https://tapportals.mk.gov.lv/legal_acts/b83539ff-70f1-49b8-99ba-ce3119f14b23" TargetMode="External"/><Relationship Id="rId13" Type="http://schemas.openxmlformats.org/officeDocument/2006/relationships/hyperlink" Target="https://economy-finance.ec.europa.eu/document/download/60cb4c1d-4277-4f49-a023-4a8f72b3b00d_en?filename=eb081_en.pdf" TargetMode="External"/><Relationship Id="rId18" Type="http://schemas.openxmlformats.org/officeDocument/2006/relationships/hyperlink" Target="https://tapportals.mk.gov.lv/legal_acts/49121099-541a-415b-a667-4b9a47f9fdcb" TargetMode="External"/><Relationship Id="rId26" Type="http://schemas.openxmlformats.org/officeDocument/2006/relationships/hyperlink" Target="https://commission.europa.eu/document/download/cd246df6-377e-4db3-bb48-8475c80aa43c_en?filename=LITHUANIA%20DRAFT%20UPDATED%20NECP%20EN.pdf" TargetMode="External"/><Relationship Id="rId3" Type="http://schemas.openxmlformats.org/officeDocument/2006/relationships/hyperlink" Target="https://ieep.eu/publications/green-deal-barometer-2024/" TargetMode="External"/><Relationship Id="rId21" Type="http://schemas.openxmlformats.org/officeDocument/2006/relationships/hyperlink" Target="https://www.weforum.org/agenda/2024/03/european-union-climate-ambitions-five-areas-of-action/" TargetMode="External"/><Relationship Id="rId34" Type="http://schemas.openxmlformats.org/officeDocument/2006/relationships/hyperlink" Target="https://www.bruegel.org/blog-post/how-much-investment-do-we-need-reach-net-zero" TargetMode="External"/><Relationship Id="rId7" Type="http://schemas.openxmlformats.org/officeDocument/2006/relationships/hyperlink" Target="https://www.em.gov.lv/lv/darba-tirgus-zinojums" TargetMode="External"/><Relationship Id="rId12" Type="http://schemas.openxmlformats.org/officeDocument/2006/relationships/hyperlink" Target="https://op.europa.eu/lv/publication-detail/-/publication/9bf9ff11-2ee7-11ef-a61b-01aa75ed71a1/language-lv" TargetMode="External"/><Relationship Id="rId17" Type="http://schemas.openxmlformats.org/officeDocument/2006/relationships/hyperlink" Target="https://tapportals.mk.gov.lv/legal_acts/49121099-541a-415b-a667-4b9a47f9fdcb" TargetMode="External"/><Relationship Id="rId25" Type="http://schemas.openxmlformats.org/officeDocument/2006/relationships/hyperlink" Target="https://www.elibrary.imf.org/view/journals/066/2022/002/article-A001-en.xml" TargetMode="External"/><Relationship Id="rId33" Type="http://schemas.openxmlformats.org/officeDocument/2006/relationships/hyperlink" Target="https://www.cleanenergywire.org/news/germany-needs-eu213-bln-more-public-investments-climate-change-mitigation-and-adaptation-economists" TargetMode="External"/><Relationship Id="rId2" Type="http://schemas.openxmlformats.org/officeDocument/2006/relationships/hyperlink" Target="https://www.worldenergy.org/publications/entry/world-energy-issues-monitor-2024" TargetMode="External"/><Relationship Id="rId16" Type="http://schemas.openxmlformats.org/officeDocument/2006/relationships/hyperlink" Target="https://www.financeministersforclimate.org/sites/cape/files/inline-files/OECD%20-%20Beyond%20Green%20Tagging%20-%20CFMCA%20June%202024.pdf" TargetMode="External"/><Relationship Id="rId20" Type="http://schemas.openxmlformats.org/officeDocument/2006/relationships/hyperlink" Target="https://commission.europa.eu/topics/strengthening-european-competitiveness/eu-competitiveness-looking-ahead_en" TargetMode="External"/><Relationship Id="rId29" Type="http://schemas.openxmlformats.org/officeDocument/2006/relationships/hyperlink" Target="https://commission.europa.eu/document/download/f30c8368-abf8-4272-9a97-93e41e221fcb_en?filename=MALTA_DRAFT%20UPDATED%20NECP%202021%202030.pdf" TargetMode="External"/><Relationship Id="rId1" Type="http://schemas.openxmlformats.org/officeDocument/2006/relationships/hyperlink" Target="http://www.worldenergycouncil.lv" TargetMode="External"/><Relationship Id="rId6" Type="http://schemas.openxmlformats.org/officeDocument/2006/relationships/hyperlink" Target="https://tapportals.mk.gov.lv/legal_acts/3ee763e4-6022-41f5-a3d9-3055fdf261cb" TargetMode="External"/><Relationship Id="rId11" Type="http://schemas.openxmlformats.org/officeDocument/2006/relationships/hyperlink" Target="https://www.kem.gov.lv/lv/jaunums/valdiba-dod-zalo-gaismu-latvijai-iesniegt-nacionalo-energetikas-un-klimata-planu-eiropas-komisijai" TargetMode="External"/><Relationship Id="rId24" Type="http://schemas.openxmlformats.org/officeDocument/2006/relationships/hyperlink" Target="https://www.i4ce.org/en/european-climate-investments-must-double-to-hit-2030-eu-targets/" TargetMode="External"/><Relationship Id="rId32" Type="http://schemas.openxmlformats.org/officeDocument/2006/relationships/hyperlink" Target="https://commission.europa.eu/document/download/e160e0b8-2ac9-4731-bcad-5024ce97bcc9_en?filename=FRANCE%20-%20DRAFT%20UPDATED%20NECP%202021-2030_EN.pdf" TargetMode="External"/><Relationship Id="rId37" Type="http://schemas.openxmlformats.org/officeDocument/2006/relationships/hyperlink" Target="https://www.eib.org/attachments/lucalli/20230340_econ_eibis_2023_latvia_en.pdf" TargetMode="External"/><Relationship Id="rId5" Type="http://schemas.openxmlformats.org/officeDocument/2006/relationships/hyperlink" Target="https://www.kem.gov.lv/lv/nacionalais-energetikas-un-klimata-plans-2021-2030-gadam" TargetMode="External"/><Relationship Id="rId15" Type="http://schemas.openxmlformats.org/officeDocument/2006/relationships/hyperlink" Target="https://www.financeministersforclimate.org/sites/cape/files/inline-files/OECD%20-%20Beyond%20Green%20Tagging%20-%20CFMCA%20June%202024.pdf" TargetMode="External"/><Relationship Id="rId23" Type="http://schemas.openxmlformats.org/officeDocument/2006/relationships/hyperlink" Target="https://www.eib.org/en/publications/20230323-investment-report-2023" TargetMode="External"/><Relationship Id="rId28" Type="http://schemas.openxmlformats.org/officeDocument/2006/relationships/hyperlink" Target="https://kliimaministeerium.ee/sites/default/files/documents/2024-05/ENMAK%202035%20t%C3%A4iendused%208052024.pdf" TargetMode="External"/><Relationship Id="rId36" Type="http://schemas.openxmlformats.org/officeDocument/2006/relationships/hyperlink" Target="https://tapportals.mk.gov.lv/legal_acts/3ee763e4-6022-41f5-a3d9-3055fdf261cb" TargetMode="External"/><Relationship Id="rId10" Type="http://schemas.openxmlformats.org/officeDocument/2006/relationships/hyperlink" Target="https://www.kem.gov.lv/lv/jaunums/pasakumi-nacionala-energetikas-un-klimata-plana-versti-uz-ilgtspejigu-investiciju-piesaisti" TargetMode="External"/><Relationship Id="rId19" Type="http://schemas.openxmlformats.org/officeDocument/2006/relationships/hyperlink" Target="https://commission.europa.eu/document/download/e6cd4328-673c-4e7a-8683-f63ffb2cf648_en?filename=Political%20Guidelines%202024-2029_EN.pdf" TargetMode="External"/><Relationship Id="rId31" Type="http://schemas.openxmlformats.org/officeDocument/2006/relationships/hyperlink" Target="https://commission.europa.eu/document/download/78c7f4bd-a3ca-4e83-8732-65f1e0d0baaa_en?filename=DRAFT%20NECP%20update_Finland.pdf" TargetMode="External"/><Relationship Id="rId4" Type="http://schemas.openxmlformats.org/officeDocument/2006/relationships/hyperlink" Target="https://www.pwc.com/gx/en/tax/publications/assets/eu-green-deal-tax-report.pdf" TargetMode="External"/><Relationship Id="rId9" Type="http://schemas.openxmlformats.org/officeDocument/2006/relationships/hyperlink" Target="https://likumi.lv/ta/id/342214-latvijas-strategija-klimatneitralitates-sasniegsanai-lidz-2050-gadam" TargetMode="External"/><Relationship Id="rId14" Type="http://schemas.openxmlformats.org/officeDocument/2006/relationships/hyperlink" Target="https://www.oecd.org/en/topics/sub-issues/green-budgeting.html" TargetMode="External"/><Relationship Id="rId22" Type="http://schemas.openxmlformats.org/officeDocument/2006/relationships/hyperlink" Target="https://www.eib.org/en/publications/20230323-investment-report-2023" TargetMode="External"/><Relationship Id="rId27" Type="http://schemas.openxmlformats.org/officeDocument/2006/relationships/hyperlink" Target="https://commission.europa.eu/document/download/81c1c07b-0763-499e-ab8f-068b8e70e018_en?filename=Estonia_Draft_Updated_NECP_2021-2030_en_1.pdf" TargetMode="External"/><Relationship Id="rId30" Type="http://schemas.openxmlformats.org/officeDocument/2006/relationships/hyperlink" Target="https://commission.europa.eu/document/download/c33b83eb-9ed5-4162-a23c-24900408f152_en?filename=Cyprus%20Draft%20Updated%20NECP%202021%202030%20%282%29.pdf" TargetMode="External"/><Relationship Id="rId35" Type="http://schemas.openxmlformats.org/officeDocument/2006/relationships/hyperlink" Target="https://single-market-economy.ec.europa.eu/publications/staff-working-document-investment-needs-assessment-and-funding-availabilities-strengthen-eus-net_en"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0.xml"/><Relationship Id="rId1" Type="http://schemas.microsoft.com/office/2011/relationships/chartStyle" Target="style10.xml"/></Relationships>
</file>

<file path=word/charts/_rels/chart100.xml.rels><?xml version="1.0" encoding="UTF-8" standalone="yes"?>
<Relationships xmlns="http://schemas.openxmlformats.org/package/2006/relationships"><Relationship Id="rId3" Type="http://schemas.openxmlformats.org/officeDocument/2006/relationships/package" Target="../embeddings/Microsoft_Excel_Worksheet99.xlsx"/><Relationship Id="rId2" Type="http://schemas.microsoft.com/office/2011/relationships/chartColorStyle" Target="colors100.xml"/><Relationship Id="rId1" Type="http://schemas.microsoft.com/office/2011/relationships/chartStyle" Target="style100.xml"/></Relationships>
</file>

<file path=word/charts/_rels/chart101.xml.rels><?xml version="1.0" encoding="UTF-8" standalone="yes"?>
<Relationships xmlns="http://schemas.openxmlformats.org/package/2006/relationships"><Relationship Id="rId3" Type="http://schemas.openxmlformats.org/officeDocument/2006/relationships/package" Target="../embeddings/Microsoft_Excel_Worksheet100.xlsx"/><Relationship Id="rId2" Type="http://schemas.microsoft.com/office/2011/relationships/chartColorStyle" Target="colors101.xml"/><Relationship Id="rId1" Type="http://schemas.microsoft.com/office/2011/relationships/chartStyle" Target="style101.xml"/></Relationships>
</file>

<file path=word/charts/_rels/chart102.xml.rels><?xml version="1.0" encoding="UTF-8" standalone="yes"?>
<Relationships xmlns="http://schemas.openxmlformats.org/package/2006/relationships"><Relationship Id="rId3" Type="http://schemas.openxmlformats.org/officeDocument/2006/relationships/package" Target="../embeddings/Microsoft_Excel_Worksheet101.xlsx"/><Relationship Id="rId2" Type="http://schemas.microsoft.com/office/2011/relationships/chartColorStyle" Target="colors102.xml"/><Relationship Id="rId1" Type="http://schemas.microsoft.com/office/2011/relationships/chartStyle" Target="style102.xml"/></Relationships>
</file>

<file path=word/charts/_rels/chart103.xml.rels><?xml version="1.0" encoding="UTF-8" standalone="yes"?>
<Relationships xmlns="http://schemas.openxmlformats.org/package/2006/relationships"><Relationship Id="rId3" Type="http://schemas.openxmlformats.org/officeDocument/2006/relationships/package" Target="../embeddings/Microsoft_Excel_Worksheet102.xlsx"/><Relationship Id="rId2" Type="http://schemas.microsoft.com/office/2011/relationships/chartColorStyle" Target="colors103.xml"/><Relationship Id="rId1" Type="http://schemas.microsoft.com/office/2011/relationships/chartStyle" Target="style103.xml"/></Relationships>
</file>

<file path=word/charts/_rels/chart104.xml.rels><?xml version="1.0" encoding="UTF-8" standalone="yes"?>
<Relationships xmlns="http://schemas.openxmlformats.org/package/2006/relationships"><Relationship Id="rId3" Type="http://schemas.openxmlformats.org/officeDocument/2006/relationships/package" Target="../embeddings/Microsoft_Excel_Worksheet103.xlsx"/><Relationship Id="rId2" Type="http://schemas.microsoft.com/office/2011/relationships/chartColorStyle" Target="colors104.xml"/><Relationship Id="rId1" Type="http://schemas.microsoft.com/office/2011/relationships/chartStyle" Target="style104.xml"/></Relationships>
</file>

<file path=word/charts/_rels/chart105.xml.rels><?xml version="1.0" encoding="UTF-8" standalone="yes"?>
<Relationships xmlns="http://schemas.openxmlformats.org/package/2006/relationships"><Relationship Id="rId3" Type="http://schemas.openxmlformats.org/officeDocument/2006/relationships/package" Target="../embeddings/Microsoft_Excel_Worksheet104.xlsx"/><Relationship Id="rId2" Type="http://schemas.microsoft.com/office/2011/relationships/chartColorStyle" Target="colors105.xml"/><Relationship Id="rId1" Type="http://schemas.microsoft.com/office/2011/relationships/chartStyle" Target="style105.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13.xlsx"/><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package" Target="../embeddings/Microsoft_Excel_Worksheet14.xlsx"/><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package" Target="../embeddings/Microsoft_Excel_Worksheet15.xlsx"/><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package" Target="../embeddings/Microsoft_Excel_Worksheet16.xlsx"/><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package" Target="../embeddings/Microsoft_Excel_Worksheet17.xlsx"/><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package" Target="../embeddings/Microsoft_Excel_Worksheet18.xlsx"/><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package" Target="../embeddings/Microsoft_Excel_Worksheet19.xlsx"/><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package" Target="../embeddings/Microsoft_Excel_Worksheet20.xlsx"/><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package" Target="../embeddings/Microsoft_Excel_Worksheet21.xlsx"/><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package" Target="../embeddings/Microsoft_Excel_Worksheet22.xlsx"/><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package" Target="../embeddings/Microsoft_Excel_Worksheet23.xlsx"/><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package" Target="../embeddings/Microsoft_Excel_Worksheet24.xlsx"/><Relationship Id="rId2" Type="http://schemas.microsoft.com/office/2011/relationships/chartColorStyle" Target="colors25.xml"/><Relationship Id="rId1" Type="http://schemas.microsoft.com/office/2011/relationships/chartStyle" Target="style25.xml"/></Relationships>
</file>

<file path=word/charts/_rels/chart26.xml.rels><?xml version="1.0" encoding="UTF-8" standalone="yes"?>
<Relationships xmlns="http://schemas.openxmlformats.org/package/2006/relationships"><Relationship Id="rId3" Type="http://schemas.openxmlformats.org/officeDocument/2006/relationships/package" Target="../embeddings/Microsoft_Excel_Worksheet25.xlsx"/><Relationship Id="rId2" Type="http://schemas.microsoft.com/office/2011/relationships/chartColorStyle" Target="colors26.xml"/><Relationship Id="rId1" Type="http://schemas.microsoft.com/office/2011/relationships/chartStyle" Target="style26.xml"/></Relationships>
</file>

<file path=word/charts/_rels/chart27.xml.rels><?xml version="1.0" encoding="UTF-8" standalone="yes"?>
<Relationships xmlns="http://schemas.openxmlformats.org/package/2006/relationships"><Relationship Id="rId3" Type="http://schemas.openxmlformats.org/officeDocument/2006/relationships/package" Target="../embeddings/Microsoft_Excel_Worksheet26.xlsx"/><Relationship Id="rId2" Type="http://schemas.microsoft.com/office/2011/relationships/chartColorStyle" Target="colors27.xml"/><Relationship Id="rId1" Type="http://schemas.microsoft.com/office/2011/relationships/chartStyle" Target="style27.xml"/></Relationships>
</file>

<file path=word/charts/_rels/chart28.xml.rels><?xml version="1.0" encoding="UTF-8" standalone="yes"?>
<Relationships xmlns="http://schemas.openxmlformats.org/package/2006/relationships"><Relationship Id="rId3" Type="http://schemas.openxmlformats.org/officeDocument/2006/relationships/package" Target="../embeddings/Microsoft_Excel_Worksheet27.xlsx"/><Relationship Id="rId2" Type="http://schemas.microsoft.com/office/2011/relationships/chartColorStyle" Target="colors28.xml"/><Relationship Id="rId1" Type="http://schemas.microsoft.com/office/2011/relationships/chartStyle" Target="style28.xml"/></Relationships>
</file>

<file path=word/charts/_rels/chart29.xml.rels><?xml version="1.0" encoding="UTF-8" standalone="yes"?>
<Relationships xmlns="http://schemas.openxmlformats.org/package/2006/relationships"><Relationship Id="rId3" Type="http://schemas.openxmlformats.org/officeDocument/2006/relationships/package" Target="../embeddings/Microsoft_Excel_Worksheet28.xlsx"/><Relationship Id="rId2" Type="http://schemas.microsoft.com/office/2011/relationships/chartColorStyle" Target="colors29.xml"/><Relationship Id="rId1" Type="http://schemas.microsoft.com/office/2011/relationships/chartStyle" Target="style29.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30.xml.rels><?xml version="1.0" encoding="UTF-8" standalone="yes"?>
<Relationships xmlns="http://schemas.openxmlformats.org/package/2006/relationships"><Relationship Id="rId3" Type="http://schemas.openxmlformats.org/officeDocument/2006/relationships/package" Target="../embeddings/Microsoft_Excel_Worksheet29.xlsx"/><Relationship Id="rId2" Type="http://schemas.microsoft.com/office/2011/relationships/chartColorStyle" Target="colors30.xml"/><Relationship Id="rId1" Type="http://schemas.microsoft.com/office/2011/relationships/chartStyle" Target="style30.xml"/></Relationships>
</file>

<file path=word/charts/_rels/chart31.xml.rels><?xml version="1.0" encoding="UTF-8" standalone="yes"?>
<Relationships xmlns="http://schemas.openxmlformats.org/package/2006/relationships"><Relationship Id="rId3" Type="http://schemas.openxmlformats.org/officeDocument/2006/relationships/package" Target="../embeddings/Microsoft_Excel_Worksheet30.xlsx"/><Relationship Id="rId2" Type="http://schemas.microsoft.com/office/2011/relationships/chartColorStyle" Target="colors31.xml"/><Relationship Id="rId1" Type="http://schemas.microsoft.com/office/2011/relationships/chartStyle" Target="style31.xml"/></Relationships>
</file>

<file path=word/charts/_rels/chart32.xml.rels><?xml version="1.0" encoding="UTF-8" standalone="yes"?>
<Relationships xmlns="http://schemas.openxmlformats.org/package/2006/relationships"><Relationship Id="rId3" Type="http://schemas.openxmlformats.org/officeDocument/2006/relationships/package" Target="../embeddings/Microsoft_Excel_Worksheet31.xlsx"/><Relationship Id="rId2" Type="http://schemas.microsoft.com/office/2011/relationships/chartColorStyle" Target="colors32.xml"/><Relationship Id="rId1" Type="http://schemas.microsoft.com/office/2011/relationships/chartStyle" Target="style32.xml"/></Relationships>
</file>

<file path=word/charts/_rels/chart33.xml.rels><?xml version="1.0" encoding="UTF-8" standalone="yes"?>
<Relationships xmlns="http://schemas.openxmlformats.org/package/2006/relationships"><Relationship Id="rId3" Type="http://schemas.openxmlformats.org/officeDocument/2006/relationships/package" Target="../embeddings/Microsoft_Excel_Worksheet32.xlsx"/><Relationship Id="rId2" Type="http://schemas.microsoft.com/office/2011/relationships/chartColorStyle" Target="colors33.xml"/><Relationship Id="rId1" Type="http://schemas.microsoft.com/office/2011/relationships/chartStyle" Target="style33.xml"/></Relationships>
</file>

<file path=word/charts/_rels/chart34.xml.rels><?xml version="1.0" encoding="UTF-8" standalone="yes"?>
<Relationships xmlns="http://schemas.openxmlformats.org/package/2006/relationships"><Relationship Id="rId3" Type="http://schemas.openxmlformats.org/officeDocument/2006/relationships/package" Target="../embeddings/Microsoft_Excel_Worksheet33.xlsx"/><Relationship Id="rId2" Type="http://schemas.microsoft.com/office/2011/relationships/chartColorStyle" Target="colors34.xml"/><Relationship Id="rId1" Type="http://schemas.microsoft.com/office/2011/relationships/chartStyle" Target="style34.xml"/></Relationships>
</file>

<file path=word/charts/_rels/chart35.xml.rels><?xml version="1.0" encoding="UTF-8" standalone="yes"?>
<Relationships xmlns="http://schemas.openxmlformats.org/package/2006/relationships"><Relationship Id="rId3" Type="http://schemas.openxmlformats.org/officeDocument/2006/relationships/package" Target="../embeddings/Microsoft_Excel_Worksheet34.xlsx"/><Relationship Id="rId2" Type="http://schemas.microsoft.com/office/2011/relationships/chartColorStyle" Target="colors35.xml"/><Relationship Id="rId1" Type="http://schemas.microsoft.com/office/2011/relationships/chartStyle" Target="style35.xml"/></Relationships>
</file>

<file path=word/charts/_rels/chart36.xml.rels><?xml version="1.0" encoding="UTF-8" standalone="yes"?>
<Relationships xmlns="http://schemas.openxmlformats.org/package/2006/relationships"><Relationship Id="rId3" Type="http://schemas.openxmlformats.org/officeDocument/2006/relationships/package" Target="../embeddings/Microsoft_Excel_Worksheet35.xlsx"/><Relationship Id="rId2" Type="http://schemas.microsoft.com/office/2011/relationships/chartColorStyle" Target="colors36.xml"/><Relationship Id="rId1" Type="http://schemas.microsoft.com/office/2011/relationships/chartStyle" Target="style36.xml"/></Relationships>
</file>

<file path=word/charts/_rels/chart37.xml.rels><?xml version="1.0" encoding="UTF-8" standalone="yes"?>
<Relationships xmlns="http://schemas.openxmlformats.org/package/2006/relationships"><Relationship Id="rId3" Type="http://schemas.openxmlformats.org/officeDocument/2006/relationships/package" Target="../embeddings/Microsoft_Excel_Worksheet36.xlsx"/><Relationship Id="rId2" Type="http://schemas.microsoft.com/office/2011/relationships/chartColorStyle" Target="colors37.xml"/><Relationship Id="rId1" Type="http://schemas.microsoft.com/office/2011/relationships/chartStyle" Target="style37.xml"/></Relationships>
</file>

<file path=word/charts/_rels/chart38.xml.rels><?xml version="1.0" encoding="UTF-8" standalone="yes"?>
<Relationships xmlns="http://schemas.openxmlformats.org/package/2006/relationships"><Relationship Id="rId3" Type="http://schemas.openxmlformats.org/officeDocument/2006/relationships/package" Target="../embeddings/Microsoft_Excel_Worksheet37.xlsx"/><Relationship Id="rId2" Type="http://schemas.microsoft.com/office/2011/relationships/chartColorStyle" Target="colors38.xml"/><Relationship Id="rId1" Type="http://schemas.microsoft.com/office/2011/relationships/chartStyle" Target="style38.xml"/></Relationships>
</file>

<file path=word/charts/_rels/chart39.xml.rels><?xml version="1.0" encoding="UTF-8" standalone="yes"?>
<Relationships xmlns="http://schemas.openxmlformats.org/package/2006/relationships"><Relationship Id="rId3" Type="http://schemas.openxmlformats.org/officeDocument/2006/relationships/package" Target="../embeddings/Microsoft_Excel_Worksheet38.xlsx"/><Relationship Id="rId2" Type="http://schemas.microsoft.com/office/2011/relationships/chartColorStyle" Target="colors39.xml"/><Relationship Id="rId1" Type="http://schemas.microsoft.com/office/2011/relationships/chartStyle" Target="style39.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40.xml.rels><?xml version="1.0" encoding="UTF-8" standalone="yes"?>
<Relationships xmlns="http://schemas.openxmlformats.org/package/2006/relationships"><Relationship Id="rId3" Type="http://schemas.openxmlformats.org/officeDocument/2006/relationships/package" Target="../embeddings/Microsoft_Excel_Worksheet39.xlsx"/><Relationship Id="rId2" Type="http://schemas.microsoft.com/office/2011/relationships/chartColorStyle" Target="colors40.xml"/><Relationship Id="rId1" Type="http://schemas.microsoft.com/office/2011/relationships/chartStyle" Target="style40.xml"/></Relationships>
</file>

<file path=word/charts/_rels/chart41.xml.rels><?xml version="1.0" encoding="UTF-8" standalone="yes"?>
<Relationships xmlns="http://schemas.openxmlformats.org/package/2006/relationships"><Relationship Id="rId3" Type="http://schemas.openxmlformats.org/officeDocument/2006/relationships/package" Target="../embeddings/Microsoft_Excel_Worksheet40.xlsx"/><Relationship Id="rId2" Type="http://schemas.microsoft.com/office/2011/relationships/chartColorStyle" Target="colors41.xml"/><Relationship Id="rId1" Type="http://schemas.microsoft.com/office/2011/relationships/chartStyle" Target="style41.xml"/></Relationships>
</file>

<file path=word/charts/_rels/chart42.xml.rels><?xml version="1.0" encoding="UTF-8" standalone="yes"?>
<Relationships xmlns="http://schemas.openxmlformats.org/package/2006/relationships"><Relationship Id="rId3" Type="http://schemas.openxmlformats.org/officeDocument/2006/relationships/package" Target="../embeddings/Microsoft_Excel_Worksheet41.xlsx"/><Relationship Id="rId2" Type="http://schemas.microsoft.com/office/2011/relationships/chartColorStyle" Target="colors42.xml"/><Relationship Id="rId1" Type="http://schemas.microsoft.com/office/2011/relationships/chartStyle" Target="style42.xml"/></Relationships>
</file>

<file path=word/charts/_rels/chart43.xml.rels><?xml version="1.0" encoding="UTF-8" standalone="yes"?>
<Relationships xmlns="http://schemas.openxmlformats.org/package/2006/relationships"><Relationship Id="rId3" Type="http://schemas.openxmlformats.org/officeDocument/2006/relationships/package" Target="../embeddings/Microsoft_Excel_Worksheet42.xlsx"/><Relationship Id="rId2" Type="http://schemas.microsoft.com/office/2011/relationships/chartColorStyle" Target="colors43.xml"/><Relationship Id="rId1" Type="http://schemas.microsoft.com/office/2011/relationships/chartStyle" Target="style43.xml"/></Relationships>
</file>

<file path=word/charts/_rels/chart44.xml.rels><?xml version="1.0" encoding="UTF-8" standalone="yes"?>
<Relationships xmlns="http://schemas.openxmlformats.org/package/2006/relationships"><Relationship Id="rId3" Type="http://schemas.openxmlformats.org/officeDocument/2006/relationships/package" Target="../embeddings/Microsoft_Excel_Worksheet43.xlsx"/><Relationship Id="rId2" Type="http://schemas.microsoft.com/office/2011/relationships/chartColorStyle" Target="colors44.xml"/><Relationship Id="rId1" Type="http://schemas.microsoft.com/office/2011/relationships/chartStyle" Target="style44.xml"/></Relationships>
</file>

<file path=word/charts/_rels/chart45.xml.rels><?xml version="1.0" encoding="UTF-8" standalone="yes"?>
<Relationships xmlns="http://schemas.openxmlformats.org/package/2006/relationships"><Relationship Id="rId3" Type="http://schemas.openxmlformats.org/officeDocument/2006/relationships/package" Target="../embeddings/Microsoft_Excel_Worksheet44.xlsx"/><Relationship Id="rId2" Type="http://schemas.microsoft.com/office/2011/relationships/chartColorStyle" Target="colors45.xml"/><Relationship Id="rId1" Type="http://schemas.microsoft.com/office/2011/relationships/chartStyle" Target="style45.xml"/></Relationships>
</file>

<file path=word/charts/_rels/chart46.xml.rels><?xml version="1.0" encoding="UTF-8" standalone="yes"?>
<Relationships xmlns="http://schemas.openxmlformats.org/package/2006/relationships"><Relationship Id="rId3" Type="http://schemas.openxmlformats.org/officeDocument/2006/relationships/package" Target="../embeddings/Microsoft_Excel_Worksheet45.xlsx"/><Relationship Id="rId2" Type="http://schemas.microsoft.com/office/2011/relationships/chartColorStyle" Target="colors46.xml"/><Relationship Id="rId1" Type="http://schemas.microsoft.com/office/2011/relationships/chartStyle" Target="style46.xml"/></Relationships>
</file>

<file path=word/charts/_rels/chart47.xml.rels><?xml version="1.0" encoding="UTF-8" standalone="yes"?>
<Relationships xmlns="http://schemas.openxmlformats.org/package/2006/relationships"><Relationship Id="rId3" Type="http://schemas.openxmlformats.org/officeDocument/2006/relationships/package" Target="../embeddings/Microsoft_Excel_Worksheet46.xlsx"/><Relationship Id="rId2" Type="http://schemas.microsoft.com/office/2011/relationships/chartColorStyle" Target="colors47.xml"/><Relationship Id="rId1" Type="http://schemas.microsoft.com/office/2011/relationships/chartStyle" Target="style47.xml"/></Relationships>
</file>

<file path=word/charts/_rels/chart48.xml.rels><?xml version="1.0" encoding="UTF-8" standalone="yes"?>
<Relationships xmlns="http://schemas.openxmlformats.org/package/2006/relationships"><Relationship Id="rId3" Type="http://schemas.openxmlformats.org/officeDocument/2006/relationships/package" Target="../embeddings/Microsoft_Excel_Worksheet47.xlsx"/><Relationship Id="rId2" Type="http://schemas.microsoft.com/office/2011/relationships/chartColorStyle" Target="colors48.xml"/><Relationship Id="rId1" Type="http://schemas.microsoft.com/office/2011/relationships/chartStyle" Target="style48.xml"/></Relationships>
</file>

<file path=word/charts/_rels/chart49.xml.rels><?xml version="1.0" encoding="UTF-8" standalone="yes"?>
<Relationships xmlns="http://schemas.openxmlformats.org/package/2006/relationships"><Relationship Id="rId3" Type="http://schemas.openxmlformats.org/officeDocument/2006/relationships/package" Target="../embeddings/Microsoft_Excel_Worksheet48.xlsx"/><Relationship Id="rId2" Type="http://schemas.microsoft.com/office/2011/relationships/chartColorStyle" Target="colors49.xml"/><Relationship Id="rId1" Type="http://schemas.microsoft.com/office/2011/relationships/chartStyle" Target="style49.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50.xml.rels><?xml version="1.0" encoding="UTF-8" standalone="yes"?>
<Relationships xmlns="http://schemas.openxmlformats.org/package/2006/relationships"><Relationship Id="rId3" Type="http://schemas.openxmlformats.org/officeDocument/2006/relationships/package" Target="../embeddings/Microsoft_Excel_Worksheet49.xlsx"/><Relationship Id="rId2" Type="http://schemas.microsoft.com/office/2011/relationships/chartColorStyle" Target="colors50.xml"/><Relationship Id="rId1" Type="http://schemas.microsoft.com/office/2011/relationships/chartStyle" Target="style50.xml"/></Relationships>
</file>

<file path=word/charts/_rels/chart51.xml.rels><?xml version="1.0" encoding="UTF-8" standalone="yes"?>
<Relationships xmlns="http://schemas.openxmlformats.org/package/2006/relationships"><Relationship Id="rId3" Type="http://schemas.openxmlformats.org/officeDocument/2006/relationships/package" Target="../embeddings/Microsoft_Excel_Worksheet50.xlsx"/><Relationship Id="rId2" Type="http://schemas.microsoft.com/office/2011/relationships/chartColorStyle" Target="colors51.xml"/><Relationship Id="rId1" Type="http://schemas.microsoft.com/office/2011/relationships/chartStyle" Target="style51.xml"/></Relationships>
</file>

<file path=word/charts/_rels/chart52.xml.rels><?xml version="1.0" encoding="UTF-8" standalone="yes"?>
<Relationships xmlns="http://schemas.openxmlformats.org/package/2006/relationships"><Relationship Id="rId3" Type="http://schemas.openxmlformats.org/officeDocument/2006/relationships/package" Target="../embeddings/Microsoft_Excel_Worksheet51.xlsx"/><Relationship Id="rId2" Type="http://schemas.microsoft.com/office/2011/relationships/chartColorStyle" Target="colors52.xml"/><Relationship Id="rId1" Type="http://schemas.microsoft.com/office/2011/relationships/chartStyle" Target="style52.xml"/></Relationships>
</file>

<file path=word/charts/_rels/chart53.xml.rels><?xml version="1.0" encoding="UTF-8" standalone="yes"?>
<Relationships xmlns="http://schemas.openxmlformats.org/package/2006/relationships"><Relationship Id="rId3" Type="http://schemas.openxmlformats.org/officeDocument/2006/relationships/package" Target="../embeddings/Microsoft_Excel_Worksheet52.xlsx"/><Relationship Id="rId2" Type="http://schemas.microsoft.com/office/2011/relationships/chartColorStyle" Target="colors53.xml"/><Relationship Id="rId1" Type="http://schemas.microsoft.com/office/2011/relationships/chartStyle" Target="style53.xml"/></Relationships>
</file>

<file path=word/charts/_rels/chart54.xml.rels><?xml version="1.0" encoding="UTF-8" standalone="yes"?>
<Relationships xmlns="http://schemas.openxmlformats.org/package/2006/relationships"><Relationship Id="rId3" Type="http://schemas.openxmlformats.org/officeDocument/2006/relationships/package" Target="../embeddings/Microsoft_Excel_Worksheet53.xlsx"/><Relationship Id="rId2" Type="http://schemas.microsoft.com/office/2011/relationships/chartColorStyle" Target="colors54.xml"/><Relationship Id="rId1" Type="http://schemas.microsoft.com/office/2011/relationships/chartStyle" Target="style54.xml"/></Relationships>
</file>

<file path=word/charts/_rels/chart55.xml.rels><?xml version="1.0" encoding="UTF-8" standalone="yes"?>
<Relationships xmlns="http://schemas.openxmlformats.org/package/2006/relationships"><Relationship Id="rId3" Type="http://schemas.openxmlformats.org/officeDocument/2006/relationships/package" Target="../embeddings/Microsoft_Excel_Worksheet54.xlsx"/><Relationship Id="rId2" Type="http://schemas.microsoft.com/office/2011/relationships/chartColorStyle" Target="colors55.xml"/><Relationship Id="rId1" Type="http://schemas.microsoft.com/office/2011/relationships/chartStyle" Target="style55.xml"/></Relationships>
</file>

<file path=word/charts/_rels/chart56.xml.rels><?xml version="1.0" encoding="UTF-8" standalone="yes"?>
<Relationships xmlns="http://schemas.openxmlformats.org/package/2006/relationships"><Relationship Id="rId3" Type="http://schemas.openxmlformats.org/officeDocument/2006/relationships/package" Target="../embeddings/Microsoft_Excel_Worksheet55.xlsx"/><Relationship Id="rId2" Type="http://schemas.microsoft.com/office/2011/relationships/chartColorStyle" Target="colors56.xml"/><Relationship Id="rId1" Type="http://schemas.microsoft.com/office/2011/relationships/chartStyle" Target="style56.xml"/></Relationships>
</file>

<file path=word/charts/_rels/chart57.xml.rels><?xml version="1.0" encoding="UTF-8" standalone="yes"?>
<Relationships xmlns="http://schemas.openxmlformats.org/package/2006/relationships"><Relationship Id="rId3" Type="http://schemas.openxmlformats.org/officeDocument/2006/relationships/package" Target="../embeddings/Microsoft_Excel_Worksheet56.xlsx"/><Relationship Id="rId2" Type="http://schemas.microsoft.com/office/2011/relationships/chartColorStyle" Target="colors57.xml"/><Relationship Id="rId1" Type="http://schemas.microsoft.com/office/2011/relationships/chartStyle" Target="style57.xml"/></Relationships>
</file>

<file path=word/charts/_rels/chart58.xml.rels><?xml version="1.0" encoding="UTF-8" standalone="yes"?>
<Relationships xmlns="http://schemas.openxmlformats.org/package/2006/relationships"><Relationship Id="rId3" Type="http://schemas.openxmlformats.org/officeDocument/2006/relationships/package" Target="../embeddings/Microsoft_Excel_Worksheet57.xlsx"/><Relationship Id="rId2" Type="http://schemas.microsoft.com/office/2011/relationships/chartColorStyle" Target="colors58.xml"/><Relationship Id="rId1" Type="http://schemas.microsoft.com/office/2011/relationships/chartStyle" Target="style58.xml"/></Relationships>
</file>

<file path=word/charts/_rels/chart59.xml.rels><?xml version="1.0" encoding="UTF-8" standalone="yes"?>
<Relationships xmlns="http://schemas.openxmlformats.org/package/2006/relationships"><Relationship Id="rId3" Type="http://schemas.openxmlformats.org/officeDocument/2006/relationships/package" Target="../embeddings/Microsoft_Excel_Worksheet58.xlsx"/><Relationship Id="rId2" Type="http://schemas.microsoft.com/office/2011/relationships/chartColorStyle" Target="colors59.xml"/><Relationship Id="rId1" Type="http://schemas.microsoft.com/office/2011/relationships/chartStyle" Target="style59.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60.xml.rels><?xml version="1.0" encoding="UTF-8" standalone="yes"?>
<Relationships xmlns="http://schemas.openxmlformats.org/package/2006/relationships"><Relationship Id="rId3" Type="http://schemas.openxmlformats.org/officeDocument/2006/relationships/package" Target="../embeddings/Microsoft_Excel_Worksheet59.xlsx"/><Relationship Id="rId2" Type="http://schemas.microsoft.com/office/2011/relationships/chartColorStyle" Target="colors60.xml"/><Relationship Id="rId1" Type="http://schemas.microsoft.com/office/2011/relationships/chartStyle" Target="style60.xml"/></Relationships>
</file>

<file path=word/charts/_rels/chart61.xml.rels><?xml version="1.0" encoding="UTF-8" standalone="yes"?>
<Relationships xmlns="http://schemas.openxmlformats.org/package/2006/relationships"><Relationship Id="rId3" Type="http://schemas.openxmlformats.org/officeDocument/2006/relationships/package" Target="../embeddings/Microsoft_Excel_Worksheet60.xlsx"/><Relationship Id="rId2" Type="http://schemas.microsoft.com/office/2011/relationships/chartColorStyle" Target="colors61.xml"/><Relationship Id="rId1" Type="http://schemas.microsoft.com/office/2011/relationships/chartStyle" Target="style61.xml"/></Relationships>
</file>

<file path=word/charts/_rels/chart62.xml.rels><?xml version="1.0" encoding="UTF-8" standalone="yes"?>
<Relationships xmlns="http://schemas.openxmlformats.org/package/2006/relationships"><Relationship Id="rId3" Type="http://schemas.openxmlformats.org/officeDocument/2006/relationships/package" Target="../embeddings/Microsoft_Excel_Worksheet61.xlsx"/><Relationship Id="rId2" Type="http://schemas.microsoft.com/office/2011/relationships/chartColorStyle" Target="colors62.xml"/><Relationship Id="rId1" Type="http://schemas.microsoft.com/office/2011/relationships/chartStyle" Target="style62.xml"/></Relationships>
</file>

<file path=word/charts/_rels/chart63.xml.rels><?xml version="1.0" encoding="UTF-8" standalone="yes"?>
<Relationships xmlns="http://schemas.openxmlformats.org/package/2006/relationships"><Relationship Id="rId3" Type="http://schemas.openxmlformats.org/officeDocument/2006/relationships/package" Target="../embeddings/Microsoft_Excel_Worksheet62.xlsx"/><Relationship Id="rId2" Type="http://schemas.microsoft.com/office/2011/relationships/chartColorStyle" Target="colors63.xml"/><Relationship Id="rId1" Type="http://schemas.microsoft.com/office/2011/relationships/chartStyle" Target="style63.xml"/></Relationships>
</file>

<file path=word/charts/_rels/chart64.xml.rels><?xml version="1.0" encoding="UTF-8" standalone="yes"?>
<Relationships xmlns="http://schemas.openxmlformats.org/package/2006/relationships"><Relationship Id="rId3" Type="http://schemas.openxmlformats.org/officeDocument/2006/relationships/package" Target="../embeddings/Microsoft_Excel_Worksheet63.xlsx"/><Relationship Id="rId2" Type="http://schemas.microsoft.com/office/2011/relationships/chartColorStyle" Target="colors64.xml"/><Relationship Id="rId1" Type="http://schemas.microsoft.com/office/2011/relationships/chartStyle" Target="style64.xml"/></Relationships>
</file>

<file path=word/charts/_rels/chart65.xml.rels><?xml version="1.0" encoding="UTF-8" standalone="yes"?>
<Relationships xmlns="http://schemas.openxmlformats.org/package/2006/relationships"><Relationship Id="rId3" Type="http://schemas.openxmlformats.org/officeDocument/2006/relationships/package" Target="../embeddings/Microsoft_Excel_Worksheet64.xlsx"/><Relationship Id="rId2" Type="http://schemas.microsoft.com/office/2011/relationships/chartColorStyle" Target="colors65.xml"/><Relationship Id="rId1" Type="http://schemas.microsoft.com/office/2011/relationships/chartStyle" Target="style65.xml"/></Relationships>
</file>

<file path=word/charts/_rels/chart66.xml.rels><?xml version="1.0" encoding="UTF-8" standalone="yes"?>
<Relationships xmlns="http://schemas.openxmlformats.org/package/2006/relationships"><Relationship Id="rId3" Type="http://schemas.openxmlformats.org/officeDocument/2006/relationships/package" Target="../embeddings/Microsoft_Excel_Worksheet65.xlsx"/><Relationship Id="rId2" Type="http://schemas.microsoft.com/office/2011/relationships/chartColorStyle" Target="colors66.xml"/><Relationship Id="rId1" Type="http://schemas.microsoft.com/office/2011/relationships/chartStyle" Target="style66.xml"/></Relationships>
</file>

<file path=word/charts/_rels/chart67.xml.rels><?xml version="1.0" encoding="UTF-8" standalone="yes"?>
<Relationships xmlns="http://schemas.openxmlformats.org/package/2006/relationships"><Relationship Id="rId3" Type="http://schemas.openxmlformats.org/officeDocument/2006/relationships/package" Target="../embeddings/Microsoft_Excel_Worksheet66.xlsx"/><Relationship Id="rId2" Type="http://schemas.microsoft.com/office/2011/relationships/chartColorStyle" Target="colors67.xml"/><Relationship Id="rId1" Type="http://schemas.microsoft.com/office/2011/relationships/chartStyle" Target="style67.xml"/></Relationships>
</file>

<file path=word/charts/_rels/chart68.xml.rels><?xml version="1.0" encoding="UTF-8" standalone="yes"?>
<Relationships xmlns="http://schemas.openxmlformats.org/package/2006/relationships"><Relationship Id="rId3" Type="http://schemas.openxmlformats.org/officeDocument/2006/relationships/package" Target="../embeddings/Microsoft_Excel_Worksheet67.xlsx"/><Relationship Id="rId2" Type="http://schemas.microsoft.com/office/2011/relationships/chartColorStyle" Target="colors68.xml"/><Relationship Id="rId1" Type="http://schemas.microsoft.com/office/2011/relationships/chartStyle" Target="style68.xml"/></Relationships>
</file>

<file path=word/charts/_rels/chart69.xml.rels><?xml version="1.0" encoding="UTF-8" standalone="yes"?>
<Relationships xmlns="http://schemas.openxmlformats.org/package/2006/relationships"><Relationship Id="rId3" Type="http://schemas.openxmlformats.org/officeDocument/2006/relationships/package" Target="../embeddings/Microsoft_Excel_Worksheet68.xlsx"/><Relationship Id="rId2" Type="http://schemas.microsoft.com/office/2011/relationships/chartColorStyle" Target="colors69.xml"/><Relationship Id="rId1" Type="http://schemas.microsoft.com/office/2011/relationships/chartStyle" Target="style69.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70.xml.rels><?xml version="1.0" encoding="UTF-8" standalone="yes"?>
<Relationships xmlns="http://schemas.openxmlformats.org/package/2006/relationships"><Relationship Id="rId3" Type="http://schemas.openxmlformats.org/officeDocument/2006/relationships/package" Target="../embeddings/Microsoft_Excel_Worksheet69.xlsx"/><Relationship Id="rId2" Type="http://schemas.microsoft.com/office/2011/relationships/chartColorStyle" Target="colors70.xml"/><Relationship Id="rId1" Type="http://schemas.microsoft.com/office/2011/relationships/chartStyle" Target="style70.xml"/></Relationships>
</file>

<file path=word/charts/_rels/chart71.xml.rels><?xml version="1.0" encoding="UTF-8" standalone="yes"?>
<Relationships xmlns="http://schemas.openxmlformats.org/package/2006/relationships"><Relationship Id="rId3" Type="http://schemas.openxmlformats.org/officeDocument/2006/relationships/package" Target="../embeddings/Microsoft_Excel_Worksheet70.xlsx"/><Relationship Id="rId2" Type="http://schemas.microsoft.com/office/2011/relationships/chartColorStyle" Target="colors71.xml"/><Relationship Id="rId1" Type="http://schemas.microsoft.com/office/2011/relationships/chartStyle" Target="style71.xml"/></Relationships>
</file>

<file path=word/charts/_rels/chart72.xml.rels><?xml version="1.0" encoding="UTF-8" standalone="yes"?>
<Relationships xmlns="http://schemas.openxmlformats.org/package/2006/relationships"><Relationship Id="rId3" Type="http://schemas.openxmlformats.org/officeDocument/2006/relationships/package" Target="../embeddings/Microsoft_Excel_Worksheet71.xlsx"/><Relationship Id="rId2" Type="http://schemas.microsoft.com/office/2011/relationships/chartColorStyle" Target="colors72.xml"/><Relationship Id="rId1" Type="http://schemas.microsoft.com/office/2011/relationships/chartStyle" Target="style72.xml"/></Relationships>
</file>

<file path=word/charts/_rels/chart73.xml.rels><?xml version="1.0" encoding="UTF-8" standalone="yes"?>
<Relationships xmlns="http://schemas.openxmlformats.org/package/2006/relationships"><Relationship Id="rId3" Type="http://schemas.openxmlformats.org/officeDocument/2006/relationships/package" Target="../embeddings/Microsoft_Excel_Worksheet72.xlsx"/><Relationship Id="rId2" Type="http://schemas.microsoft.com/office/2011/relationships/chartColorStyle" Target="colors73.xml"/><Relationship Id="rId1" Type="http://schemas.microsoft.com/office/2011/relationships/chartStyle" Target="style73.xml"/></Relationships>
</file>

<file path=word/charts/_rels/chart74.xml.rels><?xml version="1.0" encoding="UTF-8" standalone="yes"?>
<Relationships xmlns="http://schemas.openxmlformats.org/package/2006/relationships"><Relationship Id="rId3" Type="http://schemas.openxmlformats.org/officeDocument/2006/relationships/package" Target="../embeddings/Microsoft_Excel_Worksheet73.xlsx"/><Relationship Id="rId2" Type="http://schemas.microsoft.com/office/2011/relationships/chartColorStyle" Target="colors74.xml"/><Relationship Id="rId1" Type="http://schemas.microsoft.com/office/2011/relationships/chartStyle" Target="style74.xml"/></Relationships>
</file>

<file path=word/charts/_rels/chart75.xml.rels><?xml version="1.0" encoding="UTF-8" standalone="yes"?>
<Relationships xmlns="http://schemas.openxmlformats.org/package/2006/relationships"><Relationship Id="rId3" Type="http://schemas.openxmlformats.org/officeDocument/2006/relationships/package" Target="../embeddings/Microsoft_Excel_Worksheet74.xlsx"/><Relationship Id="rId2" Type="http://schemas.microsoft.com/office/2011/relationships/chartColorStyle" Target="colors75.xml"/><Relationship Id="rId1" Type="http://schemas.microsoft.com/office/2011/relationships/chartStyle" Target="style75.xml"/></Relationships>
</file>

<file path=word/charts/_rels/chart76.xml.rels><?xml version="1.0" encoding="UTF-8" standalone="yes"?>
<Relationships xmlns="http://schemas.openxmlformats.org/package/2006/relationships"><Relationship Id="rId3" Type="http://schemas.openxmlformats.org/officeDocument/2006/relationships/package" Target="../embeddings/Microsoft_Excel_Worksheet75.xlsx"/><Relationship Id="rId2" Type="http://schemas.microsoft.com/office/2011/relationships/chartColorStyle" Target="colors76.xml"/><Relationship Id="rId1" Type="http://schemas.microsoft.com/office/2011/relationships/chartStyle" Target="style76.xml"/></Relationships>
</file>

<file path=word/charts/_rels/chart77.xml.rels><?xml version="1.0" encoding="UTF-8" standalone="yes"?>
<Relationships xmlns="http://schemas.openxmlformats.org/package/2006/relationships"><Relationship Id="rId3" Type="http://schemas.openxmlformats.org/officeDocument/2006/relationships/package" Target="../embeddings/Microsoft_Excel_Worksheet76.xlsx"/><Relationship Id="rId2" Type="http://schemas.microsoft.com/office/2011/relationships/chartColorStyle" Target="colors77.xml"/><Relationship Id="rId1" Type="http://schemas.microsoft.com/office/2011/relationships/chartStyle" Target="style77.xml"/></Relationships>
</file>

<file path=word/charts/_rels/chart78.xml.rels><?xml version="1.0" encoding="UTF-8" standalone="yes"?>
<Relationships xmlns="http://schemas.openxmlformats.org/package/2006/relationships"><Relationship Id="rId3" Type="http://schemas.openxmlformats.org/officeDocument/2006/relationships/package" Target="../embeddings/Microsoft_Excel_Worksheet77.xlsx"/><Relationship Id="rId2" Type="http://schemas.microsoft.com/office/2011/relationships/chartColorStyle" Target="colors78.xml"/><Relationship Id="rId1" Type="http://schemas.microsoft.com/office/2011/relationships/chartStyle" Target="style78.xml"/></Relationships>
</file>

<file path=word/charts/_rels/chart79.xml.rels><?xml version="1.0" encoding="UTF-8" standalone="yes"?>
<Relationships xmlns="http://schemas.openxmlformats.org/package/2006/relationships"><Relationship Id="rId3" Type="http://schemas.openxmlformats.org/officeDocument/2006/relationships/package" Target="../embeddings/Microsoft_Excel_Worksheet78.xlsx"/><Relationship Id="rId2" Type="http://schemas.microsoft.com/office/2011/relationships/chartColorStyle" Target="colors79.xml"/><Relationship Id="rId1" Type="http://schemas.microsoft.com/office/2011/relationships/chartStyle" Target="style79.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80.xml.rels><?xml version="1.0" encoding="UTF-8" standalone="yes"?>
<Relationships xmlns="http://schemas.openxmlformats.org/package/2006/relationships"><Relationship Id="rId3" Type="http://schemas.openxmlformats.org/officeDocument/2006/relationships/package" Target="../embeddings/Microsoft_Excel_Worksheet79.xlsx"/><Relationship Id="rId2" Type="http://schemas.microsoft.com/office/2011/relationships/chartColorStyle" Target="colors80.xml"/><Relationship Id="rId1" Type="http://schemas.microsoft.com/office/2011/relationships/chartStyle" Target="style80.xml"/></Relationships>
</file>

<file path=word/charts/_rels/chart81.xml.rels><?xml version="1.0" encoding="UTF-8" standalone="yes"?>
<Relationships xmlns="http://schemas.openxmlformats.org/package/2006/relationships"><Relationship Id="rId3" Type="http://schemas.openxmlformats.org/officeDocument/2006/relationships/package" Target="../embeddings/Microsoft_Excel_Worksheet80.xlsx"/><Relationship Id="rId2" Type="http://schemas.microsoft.com/office/2011/relationships/chartColorStyle" Target="colors81.xml"/><Relationship Id="rId1" Type="http://schemas.microsoft.com/office/2011/relationships/chartStyle" Target="style81.xml"/></Relationships>
</file>

<file path=word/charts/_rels/chart82.xml.rels><?xml version="1.0" encoding="UTF-8" standalone="yes"?>
<Relationships xmlns="http://schemas.openxmlformats.org/package/2006/relationships"><Relationship Id="rId3" Type="http://schemas.openxmlformats.org/officeDocument/2006/relationships/package" Target="../embeddings/Microsoft_Excel_Worksheet81.xlsx"/><Relationship Id="rId2" Type="http://schemas.microsoft.com/office/2011/relationships/chartColorStyle" Target="colors82.xml"/><Relationship Id="rId1" Type="http://schemas.microsoft.com/office/2011/relationships/chartStyle" Target="style82.xml"/></Relationships>
</file>

<file path=word/charts/_rels/chart83.xml.rels><?xml version="1.0" encoding="UTF-8" standalone="yes"?>
<Relationships xmlns="http://schemas.openxmlformats.org/package/2006/relationships"><Relationship Id="rId3" Type="http://schemas.openxmlformats.org/officeDocument/2006/relationships/package" Target="../embeddings/Microsoft_Excel_Worksheet82.xlsx"/><Relationship Id="rId2" Type="http://schemas.microsoft.com/office/2011/relationships/chartColorStyle" Target="colors83.xml"/><Relationship Id="rId1" Type="http://schemas.microsoft.com/office/2011/relationships/chartStyle" Target="style83.xml"/></Relationships>
</file>

<file path=word/charts/_rels/chart84.xml.rels><?xml version="1.0" encoding="UTF-8" standalone="yes"?>
<Relationships xmlns="http://schemas.openxmlformats.org/package/2006/relationships"><Relationship Id="rId3" Type="http://schemas.openxmlformats.org/officeDocument/2006/relationships/package" Target="../embeddings/Microsoft_Excel_Worksheet83.xlsx"/><Relationship Id="rId2" Type="http://schemas.microsoft.com/office/2011/relationships/chartColorStyle" Target="colors84.xml"/><Relationship Id="rId1" Type="http://schemas.microsoft.com/office/2011/relationships/chartStyle" Target="style84.xml"/></Relationships>
</file>

<file path=word/charts/_rels/chart85.xml.rels><?xml version="1.0" encoding="UTF-8" standalone="yes"?>
<Relationships xmlns="http://schemas.openxmlformats.org/package/2006/relationships"><Relationship Id="rId3" Type="http://schemas.openxmlformats.org/officeDocument/2006/relationships/package" Target="../embeddings/Microsoft_Excel_Worksheet84.xlsx"/><Relationship Id="rId2" Type="http://schemas.microsoft.com/office/2011/relationships/chartColorStyle" Target="colors85.xml"/><Relationship Id="rId1" Type="http://schemas.microsoft.com/office/2011/relationships/chartStyle" Target="style85.xml"/></Relationships>
</file>

<file path=word/charts/_rels/chart86.xml.rels><?xml version="1.0" encoding="UTF-8" standalone="yes"?>
<Relationships xmlns="http://schemas.openxmlformats.org/package/2006/relationships"><Relationship Id="rId3" Type="http://schemas.openxmlformats.org/officeDocument/2006/relationships/package" Target="../embeddings/Microsoft_Excel_Worksheet85.xlsx"/><Relationship Id="rId2" Type="http://schemas.microsoft.com/office/2011/relationships/chartColorStyle" Target="colors86.xml"/><Relationship Id="rId1" Type="http://schemas.microsoft.com/office/2011/relationships/chartStyle" Target="style86.xml"/></Relationships>
</file>

<file path=word/charts/_rels/chart87.xml.rels><?xml version="1.0" encoding="UTF-8" standalone="yes"?>
<Relationships xmlns="http://schemas.openxmlformats.org/package/2006/relationships"><Relationship Id="rId3" Type="http://schemas.openxmlformats.org/officeDocument/2006/relationships/package" Target="../embeddings/Microsoft_Excel_Worksheet86.xlsx"/><Relationship Id="rId2" Type="http://schemas.microsoft.com/office/2011/relationships/chartColorStyle" Target="colors87.xml"/><Relationship Id="rId1" Type="http://schemas.microsoft.com/office/2011/relationships/chartStyle" Target="style87.xml"/></Relationships>
</file>

<file path=word/charts/_rels/chart88.xml.rels><?xml version="1.0" encoding="UTF-8" standalone="yes"?>
<Relationships xmlns="http://schemas.openxmlformats.org/package/2006/relationships"><Relationship Id="rId3" Type="http://schemas.openxmlformats.org/officeDocument/2006/relationships/package" Target="../embeddings/Microsoft_Excel_Worksheet87.xlsx"/><Relationship Id="rId2" Type="http://schemas.microsoft.com/office/2011/relationships/chartColorStyle" Target="colors88.xml"/><Relationship Id="rId1" Type="http://schemas.microsoft.com/office/2011/relationships/chartStyle" Target="style88.xml"/></Relationships>
</file>

<file path=word/charts/_rels/chart89.xml.rels><?xml version="1.0" encoding="UTF-8" standalone="yes"?>
<Relationships xmlns="http://schemas.openxmlformats.org/package/2006/relationships"><Relationship Id="rId3" Type="http://schemas.openxmlformats.org/officeDocument/2006/relationships/package" Target="../embeddings/Microsoft_Excel_Worksheet88.xlsx"/><Relationship Id="rId2" Type="http://schemas.microsoft.com/office/2011/relationships/chartColorStyle" Target="colors89.xml"/><Relationship Id="rId1" Type="http://schemas.microsoft.com/office/2011/relationships/chartStyle" Target="style89.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_rels/chart90.xml.rels><?xml version="1.0" encoding="UTF-8" standalone="yes"?>
<Relationships xmlns="http://schemas.openxmlformats.org/package/2006/relationships"><Relationship Id="rId3" Type="http://schemas.openxmlformats.org/officeDocument/2006/relationships/package" Target="../embeddings/Microsoft_Excel_Worksheet89.xlsx"/><Relationship Id="rId2" Type="http://schemas.microsoft.com/office/2011/relationships/chartColorStyle" Target="colors90.xml"/><Relationship Id="rId1" Type="http://schemas.microsoft.com/office/2011/relationships/chartStyle" Target="style90.xml"/></Relationships>
</file>

<file path=word/charts/_rels/chart91.xml.rels><?xml version="1.0" encoding="UTF-8" standalone="yes"?>
<Relationships xmlns="http://schemas.openxmlformats.org/package/2006/relationships"><Relationship Id="rId3" Type="http://schemas.openxmlformats.org/officeDocument/2006/relationships/package" Target="../embeddings/Microsoft_Excel_Worksheet90.xlsx"/><Relationship Id="rId2" Type="http://schemas.microsoft.com/office/2011/relationships/chartColorStyle" Target="colors91.xml"/><Relationship Id="rId1" Type="http://schemas.microsoft.com/office/2011/relationships/chartStyle" Target="style91.xml"/></Relationships>
</file>

<file path=word/charts/_rels/chart92.xml.rels><?xml version="1.0" encoding="UTF-8" standalone="yes"?>
<Relationships xmlns="http://schemas.openxmlformats.org/package/2006/relationships"><Relationship Id="rId3" Type="http://schemas.openxmlformats.org/officeDocument/2006/relationships/package" Target="../embeddings/Microsoft_Excel_Worksheet91.xlsx"/><Relationship Id="rId2" Type="http://schemas.microsoft.com/office/2011/relationships/chartColorStyle" Target="colors92.xml"/><Relationship Id="rId1" Type="http://schemas.microsoft.com/office/2011/relationships/chartStyle" Target="style92.xml"/></Relationships>
</file>

<file path=word/charts/_rels/chart93.xml.rels><?xml version="1.0" encoding="UTF-8" standalone="yes"?>
<Relationships xmlns="http://schemas.openxmlformats.org/package/2006/relationships"><Relationship Id="rId3" Type="http://schemas.openxmlformats.org/officeDocument/2006/relationships/package" Target="../embeddings/Microsoft_Excel_Worksheet92.xlsx"/><Relationship Id="rId2" Type="http://schemas.microsoft.com/office/2011/relationships/chartColorStyle" Target="colors93.xml"/><Relationship Id="rId1" Type="http://schemas.microsoft.com/office/2011/relationships/chartStyle" Target="style93.xml"/></Relationships>
</file>

<file path=word/charts/_rels/chart94.xml.rels><?xml version="1.0" encoding="UTF-8" standalone="yes"?>
<Relationships xmlns="http://schemas.openxmlformats.org/package/2006/relationships"><Relationship Id="rId3" Type="http://schemas.openxmlformats.org/officeDocument/2006/relationships/package" Target="../embeddings/Microsoft_Excel_Worksheet93.xlsx"/><Relationship Id="rId2" Type="http://schemas.microsoft.com/office/2011/relationships/chartColorStyle" Target="colors94.xml"/><Relationship Id="rId1" Type="http://schemas.microsoft.com/office/2011/relationships/chartStyle" Target="style94.xml"/></Relationships>
</file>

<file path=word/charts/_rels/chart95.xml.rels><?xml version="1.0" encoding="UTF-8" standalone="yes"?>
<Relationships xmlns="http://schemas.openxmlformats.org/package/2006/relationships"><Relationship Id="rId3" Type="http://schemas.openxmlformats.org/officeDocument/2006/relationships/package" Target="../embeddings/Microsoft_Excel_Worksheet94.xlsx"/><Relationship Id="rId2" Type="http://schemas.microsoft.com/office/2011/relationships/chartColorStyle" Target="colors95.xml"/><Relationship Id="rId1" Type="http://schemas.microsoft.com/office/2011/relationships/chartStyle" Target="style95.xml"/></Relationships>
</file>

<file path=word/charts/_rels/chart96.xml.rels><?xml version="1.0" encoding="UTF-8" standalone="yes"?>
<Relationships xmlns="http://schemas.openxmlformats.org/package/2006/relationships"><Relationship Id="rId3" Type="http://schemas.openxmlformats.org/officeDocument/2006/relationships/package" Target="../embeddings/Microsoft_Excel_Worksheet95.xlsx"/><Relationship Id="rId2" Type="http://schemas.microsoft.com/office/2011/relationships/chartColorStyle" Target="colors96.xml"/><Relationship Id="rId1" Type="http://schemas.microsoft.com/office/2011/relationships/chartStyle" Target="style96.xml"/></Relationships>
</file>

<file path=word/charts/_rels/chart97.xml.rels><?xml version="1.0" encoding="UTF-8" standalone="yes"?>
<Relationships xmlns="http://schemas.openxmlformats.org/package/2006/relationships"><Relationship Id="rId3" Type="http://schemas.openxmlformats.org/officeDocument/2006/relationships/package" Target="../embeddings/Microsoft_Excel_Worksheet96.xlsx"/><Relationship Id="rId2" Type="http://schemas.microsoft.com/office/2011/relationships/chartColorStyle" Target="colors97.xml"/><Relationship Id="rId1" Type="http://schemas.microsoft.com/office/2011/relationships/chartStyle" Target="style97.xml"/></Relationships>
</file>

<file path=word/charts/_rels/chart98.xml.rels><?xml version="1.0" encoding="UTF-8" standalone="yes"?>
<Relationships xmlns="http://schemas.openxmlformats.org/package/2006/relationships"><Relationship Id="rId3" Type="http://schemas.openxmlformats.org/officeDocument/2006/relationships/package" Target="../embeddings/Microsoft_Excel_Worksheet97.xlsx"/><Relationship Id="rId2" Type="http://schemas.microsoft.com/office/2011/relationships/chartColorStyle" Target="colors98.xml"/><Relationship Id="rId1" Type="http://schemas.microsoft.com/office/2011/relationships/chartStyle" Target="style98.xml"/></Relationships>
</file>

<file path=word/charts/_rels/chart99.xml.rels><?xml version="1.0" encoding="UTF-8" standalone="yes"?>
<Relationships xmlns="http://schemas.openxmlformats.org/package/2006/relationships"><Relationship Id="rId3" Type="http://schemas.openxmlformats.org/officeDocument/2006/relationships/package" Target="../embeddings/Microsoft_Excel_Worksheet98.xlsx"/><Relationship Id="rId2" Type="http://schemas.microsoft.com/office/2011/relationships/chartColorStyle" Target="colors99.xml"/><Relationship Id="rId1" Type="http://schemas.microsoft.com/office/2011/relationships/chartStyle" Target="style9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4707097782989899E-2"/>
          <c:y val="3.0707670975090379E-2"/>
          <c:w val="0.87928817408462245"/>
          <c:h val="0.73577623692560823"/>
        </c:manualLayout>
      </c:layout>
      <c:barChart>
        <c:barDir val="col"/>
        <c:grouping val="clustered"/>
        <c:varyColors val="0"/>
        <c:ser>
          <c:idx val="0"/>
          <c:order val="0"/>
          <c:tx>
            <c:strRef>
              <c:f>Sheet1!$A$2</c:f>
              <c:strCache>
                <c:ptCount val="1"/>
                <c:pt idx="0">
                  <c:v>pašreizējā atjaunošanas vērtībā</c:v>
                </c:pt>
              </c:strCache>
            </c:strRef>
          </c:tx>
          <c:spPr>
            <a:solidFill>
              <a:schemeClr val="accent1"/>
            </a:solidFill>
            <a:ln>
              <a:noFill/>
            </a:ln>
            <a:effectLst/>
          </c:spPr>
          <c:invertIfNegative val="0"/>
          <c:cat>
            <c:strRef>
              <c:f>Sheet1!$B$1:$M$1</c:f>
              <c:strCache>
                <c:ptCount val="12"/>
                <c:pt idx="0">
                  <c:v>2010</c:v>
                </c:pt>
                <c:pt idx="1">
                  <c:v>2011</c:v>
                </c:pt>
                <c:pt idx="2">
                  <c:v>2012</c:v>
                </c:pt>
                <c:pt idx="3">
                  <c:v>2013</c:v>
                </c:pt>
                <c:pt idx="4">
                  <c:v>2014</c:v>
                </c:pt>
                <c:pt idx="5">
                  <c:v>2015</c:v>
                </c:pt>
                <c:pt idx="6">
                  <c:v>2016</c:v>
                </c:pt>
                <c:pt idx="7">
                  <c:v>2017</c:v>
                </c:pt>
                <c:pt idx="8">
                  <c:v>2018</c:v>
                </c:pt>
                <c:pt idx="9">
                  <c:v>2019</c:v>
                </c:pt>
                <c:pt idx="10">
                  <c:v>2020</c:v>
                </c:pt>
                <c:pt idx="11">
                  <c:v>2021</c:v>
                </c:pt>
              </c:strCache>
            </c:strRef>
          </c:cat>
          <c:val>
            <c:numRef>
              <c:f>Sheet1!$B$2:$M$2</c:f>
              <c:numCache>
                <c:formatCode>#\ ##0.##########</c:formatCode>
                <c:ptCount val="12"/>
                <c:pt idx="0">
                  <c:v>86307.8</c:v>
                </c:pt>
                <c:pt idx="1">
                  <c:v>96090.7</c:v>
                </c:pt>
                <c:pt idx="2">
                  <c:v>105118.3</c:v>
                </c:pt>
                <c:pt idx="3">
                  <c:v>106956.9</c:v>
                </c:pt>
                <c:pt idx="4">
                  <c:v>109852.6</c:v>
                </c:pt>
                <c:pt idx="5">
                  <c:v>108179.4</c:v>
                </c:pt>
                <c:pt idx="6">
                  <c:v>109396.4</c:v>
                </c:pt>
                <c:pt idx="7">
                  <c:v>113163.1</c:v>
                </c:pt>
                <c:pt idx="8">
                  <c:v>119763.3</c:v>
                </c:pt>
                <c:pt idx="9">
                  <c:v>126326.1</c:v>
                </c:pt>
                <c:pt idx="10">
                  <c:v>128679.9</c:v>
                </c:pt>
                <c:pt idx="11">
                  <c:v>136677.1</c:v>
                </c:pt>
              </c:numCache>
            </c:numRef>
          </c:val>
          <c:extLst>
            <c:ext xmlns:c16="http://schemas.microsoft.com/office/drawing/2014/chart" uri="{C3380CC4-5D6E-409C-BE32-E72D297353CC}">
              <c16:uniqueId val="{00000000-247C-4006-B790-E6FCC106476F}"/>
            </c:ext>
          </c:extLst>
        </c:ser>
        <c:ser>
          <c:idx val="1"/>
          <c:order val="1"/>
          <c:tx>
            <c:strRef>
              <c:f>Sheet1!$A$3</c:f>
              <c:strCache>
                <c:ptCount val="1"/>
                <c:pt idx="0">
                  <c:v>2015.gada salīdzinamās cenās</c:v>
                </c:pt>
              </c:strCache>
            </c:strRef>
          </c:tx>
          <c:spPr>
            <a:solidFill>
              <a:schemeClr val="accent2"/>
            </a:solidFill>
            <a:ln>
              <a:noFill/>
            </a:ln>
            <a:effectLst/>
          </c:spPr>
          <c:invertIfNegative val="0"/>
          <c:cat>
            <c:strRef>
              <c:f>Sheet1!$B$1:$M$1</c:f>
              <c:strCache>
                <c:ptCount val="12"/>
                <c:pt idx="0">
                  <c:v>2010</c:v>
                </c:pt>
                <c:pt idx="1">
                  <c:v>2011</c:v>
                </c:pt>
                <c:pt idx="2">
                  <c:v>2012</c:v>
                </c:pt>
                <c:pt idx="3">
                  <c:v>2013</c:v>
                </c:pt>
                <c:pt idx="4">
                  <c:v>2014</c:v>
                </c:pt>
                <c:pt idx="5">
                  <c:v>2015</c:v>
                </c:pt>
                <c:pt idx="6">
                  <c:v>2016</c:v>
                </c:pt>
                <c:pt idx="7">
                  <c:v>2017</c:v>
                </c:pt>
                <c:pt idx="8">
                  <c:v>2018</c:v>
                </c:pt>
                <c:pt idx="9">
                  <c:v>2019</c:v>
                </c:pt>
                <c:pt idx="10">
                  <c:v>2020</c:v>
                </c:pt>
                <c:pt idx="11">
                  <c:v>2021</c:v>
                </c:pt>
              </c:strCache>
            </c:strRef>
          </c:cat>
          <c:val>
            <c:numRef>
              <c:f>Sheet1!$B$3:$M$3</c:f>
              <c:numCache>
                <c:formatCode>#\ ##0.##########</c:formatCode>
                <c:ptCount val="12"/>
                <c:pt idx="0">
                  <c:v>108988.2</c:v>
                </c:pt>
                <c:pt idx="1">
                  <c:v>108654.5</c:v>
                </c:pt>
                <c:pt idx="2">
                  <c:v>109020.5</c:v>
                </c:pt>
                <c:pt idx="3">
                  <c:v>108963.9</c:v>
                </c:pt>
                <c:pt idx="4">
                  <c:v>108664.3</c:v>
                </c:pt>
                <c:pt idx="5">
                  <c:v>108179.4</c:v>
                </c:pt>
                <c:pt idx="6">
                  <c:v>107295.4</c:v>
                </c:pt>
                <c:pt idx="7">
                  <c:v>106910.8</c:v>
                </c:pt>
                <c:pt idx="8">
                  <c:v>107141.4</c:v>
                </c:pt>
                <c:pt idx="9">
                  <c:v>107336.4</c:v>
                </c:pt>
                <c:pt idx="10">
                  <c:v>107391.6</c:v>
                </c:pt>
                <c:pt idx="11">
                  <c:v>107707.2</c:v>
                </c:pt>
              </c:numCache>
            </c:numRef>
          </c:val>
          <c:extLst>
            <c:ext xmlns:c16="http://schemas.microsoft.com/office/drawing/2014/chart" uri="{C3380CC4-5D6E-409C-BE32-E72D297353CC}">
              <c16:uniqueId val="{00000001-247C-4006-B790-E6FCC106476F}"/>
            </c:ext>
          </c:extLst>
        </c:ser>
        <c:ser>
          <c:idx val="2"/>
          <c:order val="2"/>
          <c:tx>
            <c:strRef>
              <c:f>Sheet1!$A$4</c:f>
              <c:strCache>
                <c:ptCount val="1"/>
                <c:pt idx="0">
                  <c:v>iepriekšējā gada atjaunošanas cenās</c:v>
                </c:pt>
              </c:strCache>
            </c:strRef>
          </c:tx>
          <c:spPr>
            <a:solidFill>
              <a:schemeClr val="bg2">
                <a:lumMod val="75000"/>
              </a:schemeClr>
            </a:solidFill>
            <a:ln>
              <a:noFill/>
            </a:ln>
            <a:effectLst/>
          </c:spPr>
          <c:invertIfNegative val="0"/>
          <c:cat>
            <c:strRef>
              <c:f>Sheet1!$B$1:$M$1</c:f>
              <c:strCache>
                <c:ptCount val="12"/>
                <c:pt idx="0">
                  <c:v>2010</c:v>
                </c:pt>
                <c:pt idx="1">
                  <c:v>2011</c:v>
                </c:pt>
                <c:pt idx="2">
                  <c:v>2012</c:v>
                </c:pt>
                <c:pt idx="3">
                  <c:v>2013</c:v>
                </c:pt>
                <c:pt idx="4">
                  <c:v>2014</c:v>
                </c:pt>
                <c:pt idx="5">
                  <c:v>2015</c:v>
                </c:pt>
                <c:pt idx="6">
                  <c:v>2016</c:v>
                </c:pt>
                <c:pt idx="7">
                  <c:v>2017</c:v>
                </c:pt>
                <c:pt idx="8">
                  <c:v>2018</c:v>
                </c:pt>
                <c:pt idx="9">
                  <c:v>2019</c:v>
                </c:pt>
                <c:pt idx="10">
                  <c:v>2020</c:v>
                </c:pt>
                <c:pt idx="11">
                  <c:v>2021</c:v>
                </c:pt>
              </c:strCache>
            </c:strRef>
          </c:cat>
          <c:val>
            <c:numRef>
              <c:f>Sheet1!$B$4:$M$4</c:f>
              <c:numCache>
                <c:formatCode>#\ ##0.##########</c:formatCode>
                <c:ptCount val="12"/>
                <c:pt idx="0">
                  <c:v>87450.4</c:v>
                </c:pt>
                <c:pt idx="1">
                  <c:v>86043.6</c:v>
                </c:pt>
                <c:pt idx="2">
                  <c:v>96414.399999999994</c:v>
                </c:pt>
                <c:pt idx="3">
                  <c:v>105063.8</c:v>
                </c:pt>
                <c:pt idx="4">
                  <c:v>106662.8</c:v>
                </c:pt>
                <c:pt idx="5">
                  <c:v>109362.4</c:v>
                </c:pt>
                <c:pt idx="6">
                  <c:v>107295.4</c:v>
                </c:pt>
                <c:pt idx="7">
                  <c:v>109004.2</c:v>
                </c:pt>
                <c:pt idx="8">
                  <c:v>113407.3</c:v>
                </c:pt>
                <c:pt idx="9">
                  <c:v>119981.3</c:v>
                </c:pt>
                <c:pt idx="10" formatCode="#\ ##0.0">
                  <c:v>126391</c:v>
                </c:pt>
                <c:pt idx="11" formatCode="#\ ##0.0">
                  <c:v>129058</c:v>
                </c:pt>
              </c:numCache>
            </c:numRef>
          </c:val>
          <c:extLst>
            <c:ext xmlns:c16="http://schemas.microsoft.com/office/drawing/2014/chart" uri="{C3380CC4-5D6E-409C-BE32-E72D297353CC}">
              <c16:uniqueId val="{00000002-247C-4006-B790-E6FCC106476F}"/>
            </c:ext>
          </c:extLst>
        </c:ser>
        <c:dLbls>
          <c:showLegendKey val="0"/>
          <c:showVal val="0"/>
          <c:showCatName val="0"/>
          <c:showSerName val="0"/>
          <c:showPercent val="0"/>
          <c:showBubbleSize val="0"/>
        </c:dLbls>
        <c:gapWidth val="74"/>
        <c:overlap val="27"/>
        <c:axId val="1234465999"/>
        <c:axId val="2020463024"/>
      </c:barChart>
      <c:catAx>
        <c:axId val="123446599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mj-lt"/>
                <a:ea typeface="+mn-ea"/>
                <a:cs typeface="+mn-cs"/>
              </a:defRPr>
            </a:pPr>
            <a:endParaRPr lang="en-US"/>
          </a:p>
        </c:txPr>
        <c:crossAx val="2020463024"/>
        <c:crosses val="autoZero"/>
        <c:auto val="1"/>
        <c:lblAlgn val="ctr"/>
        <c:lblOffset val="100"/>
        <c:noMultiLvlLbl val="0"/>
      </c:catAx>
      <c:valAx>
        <c:axId val="2020463024"/>
        <c:scaling>
          <c:orientation val="minMax"/>
          <c:max val="140000"/>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mj-lt"/>
                <a:ea typeface="+mn-ea"/>
                <a:cs typeface="+mn-cs"/>
              </a:defRPr>
            </a:pPr>
            <a:endParaRPr lang="en-US"/>
          </a:p>
        </c:txPr>
        <c:crossAx val="1234465999"/>
        <c:crosses val="autoZero"/>
        <c:crossBetween val="between"/>
        <c:majorUnit val="30000"/>
      </c:valAx>
      <c:spPr>
        <a:noFill/>
        <a:ln>
          <a:noFill/>
        </a:ln>
        <a:effectLst/>
      </c:spPr>
    </c:plotArea>
    <c:legend>
      <c:legendPos val="b"/>
      <c:layout>
        <c:manualLayout>
          <c:xMode val="edge"/>
          <c:yMode val="edge"/>
          <c:x val="4.1096691802183033E-2"/>
          <c:y val="0.86271135375377928"/>
          <c:w val="0.9427106321681773"/>
          <c:h val="0.10538232246071004"/>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j-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chemeClr val="tx1"/>
          </a:solidFill>
          <a:latin typeface="+mj-lt"/>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143631333178568"/>
          <c:y val="7.4626865671641784E-2"/>
          <c:w val="0.76291258662749317"/>
          <c:h val="0.80782400729752935"/>
        </c:manualLayout>
      </c:layout>
      <c:lineChart>
        <c:grouping val="standard"/>
        <c:varyColors val="0"/>
        <c:ser>
          <c:idx val="0"/>
          <c:order val="0"/>
          <c:tx>
            <c:strRef>
              <c:f>Sheet1!$A$2</c:f>
              <c:strCache>
                <c:ptCount val="1"/>
                <c:pt idx="0">
                  <c:v>SEG emisijas</c:v>
                </c:pt>
              </c:strCache>
            </c:strRef>
          </c:tx>
          <c:spPr>
            <a:ln w="28575" cap="rnd">
              <a:solidFill>
                <a:schemeClr val="accent1"/>
              </a:solidFill>
              <a:round/>
            </a:ln>
            <a:effectLst/>
          </c:spPr>
          <c:marker>
            <c:symbol val="none"/>
          </c:marker>
          <c:cat>
            <c:strRef>
              <c:f>Sheet1!$B$1:$N$1</c:f>
              <c:strCach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strCache>
            </c:strRef>
          </c:cat>
          <c:val>
            <c:numRef>
              <c:f>Sheet1!$B$2:$N$2</c:f>
              <c:numCache>
                <c:formatCode>0</c:formatCode>
                <c:ptCount val="13"/>
                <c:pt idx="0">
                  <c:v>1764.45778</c:v>
                </c:pt>
                <c:pt idx="1">
                  <c:v>1587.6215199999999</c:v>
                </c:pt>
                <c:pt idx="2">
                  <c:v>1652.91383</c:v>
                </c:pt>
                <c:pt idx="3">
                  <c:v>1434.20613</c:v>
                </c:pt>
                <c:pt idx="4">
                  <c:v>1405.73534</c:v>
                </c:pt>
                <c:pt idx="5">
                  <c:v>1266.3291999999999</c:v>
                </c:pt>
                <c:pt idx="6">
                  <c:v>1103.55242</c:v>
                </c:pt>
                <c:pt idx="7">
                  <c:v>1244.9333999999999</c:v>
                </c:pt>
                <c:pt idx="8">
                  <c:v>1459.60294</c:v>
                </c:pt>
                <c:pt idx="9">
                  <c:v>1394.2934600000001</c:v>
                </c:pt>
                <c:pt idx="10">
                  <c:v>1316.22081</c:v>
                </c:pt>
                <c:pt idx="11">
                  <c:v>1298.31448</c:v>
                </c:pt>
                <c:pt idx="12">
                  <c:v>1250.4144699999999</c:v>
                </c:pt>
              </c:numCache>
            </c:numRef>
          </c:val>
          <c:smooth val="0"/>
          <c:extLst>
            <c:ext xmlns:c16="http://schemas.microsoft.com/office/drawing/2014/chart" uri="{C3380CC4-5D6E-409C-BE32-E72D297353CC}">
              <c16:uniqueId val="{00000000-392E-4C94-BD1A-428AD7E5C110}"/>
            </c:ext>
          </c:extLst>
        </c:ser>
        <c:dLbls>
          <c:showLegendKey val="0"/>
          <c:showVal val="0"/>
          <c:showCatName val="0"/>
          <c:showSerName val="0"/>
          <c:showPercent val="0"/>
          <c:showBubbleSize val="0"/>
        </c:dLbls>
        <c:marker val="1"/>
        <c:smooth val="0"/>
        <c:axId val="1265740688"/>
        <c:axId val="1265724368"/>
      </c:lineChart>
      <c:lineChart>
        <c:grouping val="standard"/>
        <c:varyColors val="0"/>
        <c:ser>
          <c:idx val="1"/>
          <c:order val="1"/>
          <c:tx>
            <c:strRef>
              <c:f>Sheet1!$A$3</c:f>
              <c:strCache>
                <c:ptCount val="1"/>
                <c:pt idx="0">
                  <c:v>SEG emisiju intensitāte (kg. uz 1 euro PV faktiskajās cenās) (labā ass)</c:v>
                </c:pt>
              </c:strCache>
            </c:strRef>
          </c:tx>
          <c:spPr>
            <a:ln w="28575" cap="rnd">
              <a:solidFill>
                <a:schemeClr val="accent2"/>
              </a:solidFill>
              <a:round/>
            </a:ln>
            <a:effectLst/>
          </c:spPr>
          <c:marker>
            <c:symbol val="none"/>
          </c:marker>
          <c:cat>
            <c:strRef>
              <c:f>Sheet1!$B$1:$N$1</c:f>
              <c:strCach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strCache>
            </c:strRef>
          </c:cat>
          <c:val>
            <c:numRef>
              <c:f>Sheet1!$B$3:$N$3</c:f>
              <c:numCache>
                <c:formatCode>#\ ##0.##</c:formatCode>
                <c:ptCount val="13"/>
                <c:pt idx="0">
                  <c:v>0.82818999999999998</c:v>
                </c:pt>
                <c:pt idx="1">
                  <c:v>0.68693000000000004</c:v>
                </c:pt>
                <c:pt idx="2">
                  <c:v>0.65871999999999997</c:v>
                </c:pt>
                <c:pt idx="3">
                  <c:v>0.56740000000000002</c:v>
                </c:pt>
                <c:pt idx="4">
                  <c:v>0.56657999999999997</c:v>
                </c:pt>
                <c:pt idx="5">
                  <c:v>0.49231000000000003</c:v>
                </c:pt>
                <c:pt idx="6">
                  <c:v>0.42782999999999999</c:v>
                </c:pt>
                <c:pt idx="7">
                  <c:v>0.44063999999999998</c:v>
                </c:pt>
                <c:pt idx="8">
                  <c:v>0.47423999999999999</c:v>
                </c:pt>
                <c:pt idx="9">
                  <c:v>0.42854999999999999</c:v>
                </c:pt>
                <c:pt idx="10">
                  <c:v>0.39491999999999999</c:v>
                </c:pt>
                <c:pt idx="11">
                  <c:v>0.31441999999999998</c:v>
                </c:pt>
                <c:pt idx="12">
                  <c:v>0.24776999999999999</c:v>
                </c:pt>
              </c:numCache>
            </c:numRef>
          </c:val>
          <c:smooth val="0"/>
          <c:extLst>
            <c:ext xmlns:c16="http://schemas.microsoft.com/office/drawing/2014/chart" uri="{C3380CC4-5D6E-409C-BE32-E72D297353CC}">
              <c16:uniqueId val="{00000001-392E-4C94-BD1A-428AD7E5C110}"/>
            </c:ext>
          </c:extLst>
        </c:ser>
        <c:dLbls>
          <c:showLegendKey val="0"/>
          <c:showVal val="0"/>
          <c:showCatName val="0"/>
          <c:showSerName val="0"/>
          <c:showPercent val="0"/>
          <c:showBubbleSize val="0"/>
        </c:dLbls>
        <c:marker val="1"/>
        <c:smooth val="0"/>
        <c:axId val="1260281040"/>
        <c:axId val="1260286800"/>
      </c:lineChart>
      <c:catAx>
        <c:axId val="12657406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1265724368"/>
        <c:crosses val="autoZero"/>
        <c:auto val="1"/>
        <c:lblAlgn val="ctr"/>
        <c:lblOffset val="100"/>
        <c:noMultiLvlLbl val="0"/>
      </c:catAx>
      <c:valAx>
        <c:axId val="126572436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1265740688"/>
        <c:crosses val="autoZero"/>
        <c:crossBetween val="between"/>
      </c:valAx>
      <c:valAx>
        <c:axId val="1260286800"/>
        <c:scaling>
          <c:orientation val="minMax"/>
        </c:scaling>
        <c:delete val="0"/>
        <c:axPos val="r"/>
        <c:numFmt formatCode="#,##0.0" sourceLinked="0"/>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1260281040"/>
        <c:crosses val="max"/>
        <c:crossBetween val="between"/>
      </c:valAx>
      <c:catAx>
        <c:axId val="1260281040"/>
        <c:scaling>
          <c:orientation val="minMax"/>
        </c:scaling>
        <c:delete val="1"/>
        <c:axPos val="b"/>
        <c:numFmt formatCode="General" sourceLinked="1"/>
        <c:majorTickMark val="out"/>
        <c:minorTickMark val="none"/>
        <c:tickLblPos val="nextTo"/>
        <c:crossAx val="1260286800"/>
        <c:crosses val="autoZero"/>
        <c:auto val="1"/>
        <c:lblAlgn val="ctr"/>
        <c:lblOffset val="100"/>
        <c:noMultiLvlLbl val="0"/>
      </c:cat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10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9533383255047"/>
          <c:y val="5.6021139249485707E-2"/>
          <c:w val="0.86299506770869083"/>
          <c:h val="0.77092998510321342"/>
        </c:manualLayout>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Sheet1!$A$2:$A$7</c:f>
              <c:strCache>
                <c:ptCount val="6"/>
                <c:pt idx="0">
                  <c:v>2025-2029</c:v>
                </c:pt>
                <c:pt idx="1">
                  <c:v>2030-2034</c:v>
                </c:pt>
                <c:pt idx="2">
                  <c:v>2035-2039</c:v>
                </c:pt>
                <c:pt idx="3">
                  <c:v>2040-2044</c:v>
                </c:pt>
                <c:pt idx="4">
                  <c:v>2045-2049</c:v>
                </c:pt>
                <c:pt idx="5">
                  <c:v>2050-</c:v>
                </c:pt>
              </c:strCache>
            </c:strRef>
          </c:cat>
          <c:val>
            <c:numRef>
              <c:f>Sheet1!$B$2:$B$7</c:f>
              <c:numCache>
                <c:formatCode>General</c:formatCode>
                <c:ptCount val="6"/>
                <c:pt idx="0">
                  <c:v>-0.31200000000000117</c:v>
                </c:pt>
                <c:pt idx="1">
                  <c:v>-0.61499999999999888</c:v>
                </c:pt>
                <c:pt idx="2">
                  <c:v>-0.63300000000000023</c:v>
                </c:pt>
                <c:pt idx="3">
                  <c:v>-0.60299999999999798</c:v>
                </c:pt>
                <c:pt idx="4">
                  <c:v>-0.57200000000000029</c:v>
                </c:pt>
                <c:pt idx="5">
                  <c:v>-0.51499999999999879</c:v>
                </c:pt>
              </c:numCache>
            </c:numRef>
          </c:val>
          <c:extLst>
            <c:ext xmlns:c16="http://schemas.microsoft.com/office/drawing/2014/chart" uri="{C3380CC4-5D6E-409C-BE32-E72D297353CC}">
              <c16:uniqueId val="{00000000-8F7A-4CC3-AAE2-7DA2E262399A}"/>
            </c:ext>
          </c:extLst>
        </c:ser>
        <c:dLbls>
          <c:showLegendKey val="0"/>
          <c:showVal val="0"/>
          <c:showCatName val="0"/>
          <c:showSerName val="0"/>
          <c:showPercent val="0"/>
          <c:showBubbleSize val="0"/>
        </c:dLbls>
        <c:gapWidth val="100"/>
        <c:axId val="486749784"/>
        <c:axId val="486753744"/>
      </c:barChart>
      <c:catAx>
        <c:axId val="48674978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53744"/>
        <c:crosses val="autoZero"/>
        <c:auto val="1"/>
        <c:lblAlgn val="ctr"/>
        <c:lblOffset val="100"/>
        <c:tickLblSkip val="1"/>
        <c:noMultiLvlLbl val="0"/>
      </c:catAx>
      <c:valAx>
        <c:axId val="486753744"/>
        <c:scaling>
          <c:orientation val="minMax"/>
          <c:min val="-0.8"/>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49784"/>
        <c:crosses val="autoZero"/>
        <c:crossBetween val="between"/>
        <c:majorUnit val="0.2"/>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10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9533383255047"/>
          <c:y val="5.6021139249485707E-2"/>
          <c:w val="0.86299506770869083"/>
          <c:h val="0.77092998510321342"/>
        </c:manualLayout>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Sheet1!$A$2:$A$7</c:f>
              <c:strCache>
                <c:ptCount val="6"/>
                <c:pt idx="0">
                  <c:v>2025-2029</c:v>
                </c:pt>
                <c:pt idx="1">
                  <c:v>2030-2034</c:v>
                </c:pt>
                <c:pt idx="2">
                  <c:v>2035-2039</c:v>
                </c:pt>
                <c:pt idx="3">
                  <c:v>2040-2044</c:v>
                </c:pt>
                <c:pt idx="4">
                  <c:v>2045-2049</c:v>
                </c:pt>
                <c:pt idx="5">
                  <c:v>2050-</c:v>
                </c:pt>
              </c:strCache>
            </c:strRef>
          </c:cat>
          <c:val>
            <c:numRef>
              <c:f>Sheet1!$B$2:$B$7</c:f>
              <c:numCache>
                <c:formatCode>General</c:formatCode>
                <c:ptCount val="6"/>
                <c:pt idx="0">
                  <c:v>0.16844439297829528</c:v>
                </c:pt>
                <c:pt idx="1">
                  <c:v>0.26651384825057134</c:v>
                </c:pt>
                <c:pt idx="2">
                  <c:v>0.21236099065981007</c:v>
                </c:pt>
                <c:pt idx="3">
                  <c:v>0.17238317260304115</c:v>
                </c:pt>
                <c:pt idx="4">
                  <c:v>0.12760332021313214</c:v>
                </c:pt>
                <c:pt idx="5">
                  <c:v>8.2625534420266433E-2</c:v>
                </c:pt>
              </c:numCache>
            </c:numRef>
          </c:val>
          <c:extLst>
            <c:ext xmlns:c16="http://schemas.microsoft.com/office/drawing/2014/chart" uri="{C3380CC4-5D6E-409C-BE32-E72D297353CC}">
              <c16:uniqueId val="{00000000-3890-47F7-B1FF-9A7E1D842D98}"/>
            </c:ext>
          </c:extLst>
        </c:ser>
        <c:dLbls>
          <c:showLegendKey val="0"/>
          <c:showVal val="0"/>
          <c:showCatName val="0"/>
          <c:showSerName val="0"/>
          <c:showPercent val="0"/>
          <c:showBubbleSize val="0"/>
        </c:dLbls>
        <c:gapWidth val="100"/>
        <c:axId val="486749784"/>
        <c:axId val="486753744"/>
      </c:barChart>
      <c:catAx>
        <c:axId val="48674978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53744"/>
        <c:crosses val="autoZero"/>
        <c:auto val="1"/>
        <c:lblAlgn val="ctr"/>
        <c:lblOffset val="100"/>
        <c:tickLblSkip val="1"/>
        <c:noMultiLvlLbl val="0"/>
      </c:catAx>
      <c:valAx>
        <c:axId val="486753744"/>
        <c:scaling>
          <c:orientation val="minMax"/>
          <c:max val="0.30000000000000004"/>
          <c:min val="0"/>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49784"/>
        <c:crosses val="autoZero"/>
        <c:crossBetween val="between"/>
        <c:majorUnit val="0.1"/>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10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9533383255047"/>
          <c:y val="5.6021139249485707E-2"/>
          <c:w val="0.86714616775020181"/>
          <c:h val="0.77092998510321342"/>
        </c:manualLayout>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Sheet1!$A$2:$A$7</c:f>
              <c:strCache>
                <c:ptCount val="6"/>
                <c:pt idx="0">
                  <c:v>2025-2029</c:v>
                </c:pt>
                <c:pt idx="1">
                  <c:v>2030-2034</c:v>
                </c:pt>
                <c:pt idx="2">
                  <c:v>2035-2039</c:v>
                </c:pt>
                <c:pt idx="3">
                  <c:v>2040-2044</c:v>
                </c:pt>
                <c:pt idx="4">
                  <c:v>2045-2049</c:v>
                </c:pt>
                <c:pt idx="5">
                  <c:v>2050-</c:v>
                </c:pt>
              </c:strCache>
            </c:strRef>
          </c:cat>
          <c:val>
            <c:numRef>
              <c:f>Sheet1!$B$2:$B$7</c:f>
              <c:numCache>
                <c:formatCode>General</c:formatCode>
                <c:ptCount val="6"/>
                <c:pt idx="0">
                  <c:v>0.18381934297050373</c:v>
                </c:pt>
                <c:pt idx="1">
                  <c:v>-5.1390955298091789E-2</c:v>
                </c:pt>
                <c:pt idx="2">
                  <c:v>-9.7921116628585381E-2</c:v>
                </c:pt>
                <c:pt idx="3">
                  <c:v>-0.10531230060619734</c:v>
                </c:pt>
                <c:pt idx="4">
                  <c:v>-0.1076258894170401</c:v>
                </c:pt>
                <c:pt idx="5">
                  <c:v>-0.11101951669790777</c:v>
                </c:pt>
              </c:numCache>
            </c:numRef>
          </c:val>
          <c:extLst>
            <c:ext xmlns:c16="http://schemas.microsoft.com/office/drawing/2014/chart" uri="{C3380CC4-5D6E-409C-BE32-E72D297353CC}">
              <c16:uniqueId val="{00000000-1848-4860-95B6-9410B15DABC6}"/>
            </c:ext>
          </c:extLst>
        </c:ser>
        <c:dLbls>
          <c:showLegendKey val="0"/>
          <c:showVal val="0"/>
          <c:showCatName val="0"/>
          <c:showSerName val="0"/>
          <c:showPercent val="0"/>
          <c:showBubbleSize val="0"/>
        </c:dLbls>
        <c:gapWidth val="100"/>
        <c:axId val="486749784"/>
        <c:axId val="486753744"/>
      </c:barChart>
      <c:catAx>
        <c:axId val="48674978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53744"/>
        <c:crosses val="autoZero"/>
        <c:auto val="1"/>
        <c:lblAlgn val="ctr"/>
        <c:lblOffset val="100"/>
        <c:tickLblSkip val="1"/>
        <c:noMultiLvlLbl val="0"/>
      </c:catAx>
      <c:valAx>
        <c:axId val="48675374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49784"/>
        <c:crosses val="autoZero"/>
        <c:crossBetween val="between"/>
        <c:majorUnit val="0.1"/>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10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5966081162931552E-2"/>
          <c:y val="3.130358705161855E-2"/>
          <c:w val="0.84795759753331801"/>
          <c:h val="0.80003545458457037"/>
        </c:manualLayout>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Sheet1!$A$2:$A$7</c:f>
              <c:strCache>
                <c:ptCount val="6"/>
                <c:pt idx="0">
                  <c:v>2025-2029</c:v>
                </c:pt>
                <c:pt idx="1">
                  <c:v>2030-2034</c:v>
                </c:pt>
                <c:pt idx="2">
                  <c:v>2035-2039</c:v>
                </c:pt>
                <c:pt idx="3">
                  <c:v>2040-2044</c:v>
                </c:pt>
                <c:pt idx="4">
                  <c:v>2045-2049</c:v>
                </c:pt>
                <c:pt idx="5">
                  <c:v>2050-</c:v>
                </c:pt>
              </c:strCache>
            </c:strRef>
          </c:cat>
          <c:val>
            <c:numRef>
              <c:f>Sheet1!$B$2:$B$7</c:f>
              <c:numCache>
                <c:formatCode>General</c:formatCode>
                <c:ptCount val="6"/>
                <c:pt idx="0">
                  <c:v>0.66194863533972637</c:v>
                </c:pt>
                <c:pt idx="1">
                  <c:v>1.2364188974547941</c:v>
                </c:pt>
                <c:pt idx="2">
                  <c:v>1.1997542583788157</c:v>
                </c:pt>
                <c:pt idx="3">
                  <c:v>1.0887717852268386</c:v>
                </c:pt>
                <c:pt idx="4">
                  <c:v>1.0350798338303879</c:v>
                </c:pt>
                <c:pt idx="5">
                  <c:v>0.97072408128536791</c:v>
                </c:pt>
              </c:numCache>
            </c:numRef>
          </c:val>
          <c:extLst>
            <c:ext xmlns:c16="http://schemas.microsoft.com/office/drawing/2014/chart" uri="{C3380CC4-5D6E-409C-BE32-E72D297353CC}">
              <c16:uniqueId val="{00000000-D80F-49CC-B27C-2FAEFF8EB034}"/>
            </c:ext>
          </c:extLst>
        </c:ser>
        <c:dLbls>
          <c:showLegendKey val="0"/>
          <c:showVal val="0"/>
          <c:showCatName val="0"/>
          <c:showSerName val="0"/>
          <c:showPercent val="0"/>
          <c:showBubbleSize val="0"/>
        </c:dLbls>
        <c:gapWidth val="100"/>
        <c:overlap val="-27"/>
        <c:axId val="486749784"/>
        <c:axId val="486753744"/>
      </c:barChart>
      <c:catAx>
        <c:axId val="48674978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53744"/>
        <c:crosses val="autoZero"/>
        <c:auto val="1"/>
        <c:lblAlgn val="ctr"/>
        <c:lblOffset val="100"/>
        <c:tickLblSkip val="1"/>
        <c:noMultiLvlLbl val="0"/>
      </c:catAx>
      <c:valAx>
        <c:axId val="48675374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49784"/>
        <c:crosses val="autoZero"/>
        <c:crossBetween val="between"/>
        <c:majorUnit val="0.2"/>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10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948467595396728E-2"/>
          <c:y val="5.1677313920665574E-2"/>
          <c:w val="0.8651912284314397"/>
          <c:h val="0.77949199898399801"/>
        </c:manualLayout>
      </c:layout>
      <c:lineChart>
        <c:grouping val="standard"/>
        <c:varyColors val="0"/>
        <c:ser>
          <c:idx val="0"/>
          <c:order val="0"/>
          <c:tx>
            <c:strRef>
              <c:f>Sheet1!$B$1</c:f>
              <c:strCache>
                <c:ptCount val="1"/>
                <c:pt idx="0">
                  <c:v>PVN</c:v>
                </c:pt>
              </c:strCache>
            </c:strRef>
          </c:tx>
          <c:spPr>
            <a:ln w="47625" cap="rnd">
              <a:solidFill>
                <a:schemeClr val="accent1"/>
              </a:solidFill>
              <a:round/>
            </a:ln>
            <a:effectLst/>
          </c:spPr>
          <c:marker>
            <c:symbol val="none"/>
          </c:marker>
          <c:cat>
            <c:strRef>
              <c:f>Sheet1!$A$2:$A$7</c:f>
              <c:strCache>
                <c:ptCount val="6"/>
                <c:pt idx="0">
                  <c:v>2025-2029</c:v>
                </c:pt>
                <c:pt idx="1">
                  <c:v>2030-2034</c:v>
                </c:pt>
                <c:pt idx="2">
                  <c:v>2035-2039</c:v>
                </c:pt>
                <c:pt idx="3">
                  <c:v>2040-2044</c:v>
                </c:pt>
                <c:pt idx="4">
                  <c:v>2045-2049</c:v>
                </c:pt>
                <c:pt idx="5">
                  <c:v>2050-</c:v>
                </c:pt>
              </c:strCache>
            </c:strRef>
          </c:cat>
          <c:val>
            <c:numRef>
              <c:f>Sheet1!$B$2:$B$7</c:f>
              <c:numCache>
                <c:formatCode>General</c:formatCode>
                <c:ptCount val="6"/>
                <c:pt idx="0">
                  <c:v>0.6658753947977214</c:v>
                </c:pt>
                <c:pt idx="1">
                  <c:v>1.5774057651303353</c:v>
                </c:pt>
                <c:pt idx="2">
                  <c:v>1.5022414188017308</c:v>
                </c:pt>
                <c:pt idx="3">
                  <c:v>1.272600093840226</c:v>
                </c:pt>
                <c:pt idx="4">
                  <c:v>1.1583352273486835</c:v>
                </c:pt>
                <c:pt idx="5">
                  <c:v>1.0306500162707399</c:v>
                </c:pt>
              </c:numCache>
            </c:numRef>
          </c:val>
          <c:smooth val="0"/>
          <c:extLst>
            <c:ext xmlns:c16="http://schemas.microsoft.com/office/drawing/2014/chart" uri="{C3380CC4-5D6E-409C-BE32-E72D297353CC}">
              <c16:uniqueId val="{00000000-5267-44BB-9BF6-08CF5B3A35E2}"/>
            </c:ext>
          </c:extLst>
        </c:ser>
        <c:ser>
          <c:idx val="1"/>
          <c:order val="1"/>
          <c:tx>
            <c:strRef>
              <c:f>Sheet1!$C$1</c:f>
              <c:strCache>
                <c:ptCount val="1"/>
                <c:pt idx="0">
                  <c:v>Tiešie nodokļi</c:v>
                </c:pt>
              </c:strCache>
            </c:strRef>
          </c:tx>
          <c:spPr>
            <a:ln w="47625" cap="rnd">
              <a:solidFill>
                <a:schemeClr val="accent2"/>
              </a:solidFill>
              <a:round/>
            </a:ln>
            <a:effectLst/>
          </c:spPr>
          <c:marker>
            <c:symbol val="none"/>
          </c:marker>
          <c:cat>
            <c:strRef>
              <c:f>Sheet1!$A$2:$A$7</c:f>
              <c:strCache>
                <c:ptCount val="6"/>
                <c:pt idx="0">
                  <c:v>2025-2029</c:v>
                </c:pt>
                <c:pt idx="1">
                  <c:v>2030-2034</c:v>
                </c:pt>
                <c:pt idx="2">
                  <c:v>2035-2039</c:v>
                </c:pt>
                <c:pt idx="3">
                  <c:v>2040-2044</c:v>
                </c:pt>
                <c:pt idx="4">
                  <c:v>2045-2049</c:v>
                </c:pt>
                <c:pt idx="5">
                  <c:v>2050-</c:v>
                </c:pt>
              </c:strCache>
            </c:strRef>
          </c:cat>
          <c:val>
            <c:numRef>
              <c:f>Sheet1!$C$2:$C$7</c:f>
              <c:numCache>
                <c:formatCode>General</c:formatCode>
                <c:ptCount val="6"/>
                <c:pt idx="0">
                  <c:v>0.61693897454442315</c:v>
                </c:pt>
                <c:pt idx="1">
                  <c:v>1.0668756907798782</c:v>
                </c:pt>
                <c:pt idx="2">
                  <c:v>1.0681139209729906</c:v>
                </c:pt>
                <c:pt idx="3">
                  <c:v>1.0136979740409058</c:v>
                </c:pt>
                <c:pt idx="4">
                  <c:v>0.98894401226842232</c:v>
                </c:pt>
                <c:pt idx="5">
                  <c:v>0.95209819503982995</c:v>
                </c:pt>
              </c:numCache>
            </c:numRef>
          </c:val>
          <c:smooth val="0"/>
          <c:extLst>
            <c:ext xmlns:c16="http://schemas.microsoft.com/office/drawing/2014/chart" uri="{C3380CC4-5D6E-409C-BE32-E72D297353CC}">
              <c16:uniqueId val="{00000001-5267-44BB-9BF6-08CF5B3A35E2}"/>
            </c:ext>
          </c:extLst>
        </c:ser>
        <c:ser>
          <c:idx val="2"/>
          <c:order val="2"/>
          <c:tx>
            <c:strRef>
              <c:f>Sheet1!$D$1</c:f>
              <c:strCache>
                <c:ptCount val="1"/>
                <c:pt idx="0">
                  <c:v>VSAOI</c:v>
                </c:pt>
              </c:strCache>
            </c:strRef>
          </c:tx>
          <c:spPr>
            <a:ln w="47625" cap="rnd">
              <a:solidFill>
                <a:schemeClr val="accent3"/>
              </a:solidFill>
              <a:round/>
            </a:ln>
            <a:effectLst/>
          </c:spPr>
          <c:marker>
            <c:symbol val="none"/>
          </c:marker>
          <c:cat>
            <c:strRef>
              <c:f>Sheet1!$A$2:$A$7</c:f>
              <c:strCache>
                <c:ptCount val="6"/>
                <c:pt idx="0">
                  <c:v>2025-2029</c:v>
                </c:pt>
                <c:pt idx="1">
                  <c:v>2030-2034</c:v>
                </c:pt>
                <c:pt idx="2">
                  <c:v>2035-2039</c:v>
                </c:pt>
                <c:pt idx="3">
                  <c:v>2040-2044</c:v>
                </c:pt>
                <c:pt idx="4">
                  <c:v>2045-2049</c:v>
                </c:pt>
                <c:pt idx="5">
                  <c:v>2050-</c:v>
                </c:pt>
              </c:strCache>
            </c:strRef>
          </c:cat>
          <c:val>
            <c:numRef>
              <c:f>Sheet1!$D$2:$D$7</c:f>
              <c:numCache>
                <c:formatCode>General</c:formatCode>
                <c:ptCount val="6"/>
                <c:pt idx="0">
                  <c:v>0.71472257190422495</c:v>
                </c:pt>
                <c:pt idx="1">
                  <c:v>0.97688161840993049</c:v>
                </c:pt>
                <c:pt idx="2">
                  <c:v>0.93779410172483146</c:v>
                </c:pt>
                <c:pt idx="3">
                  <c:v>0.87332910783369799</c:v>
                </c:pt>
                <c:pt idx="4">
                  <c:v>0.84151016960166691</c:v>
                </c:pt>
                <c:pt idx="5">
                  <c:v>0.79345268355346388</c:v>
                </c:pt>
              </c:numCache>
            </c:numRef>
          </c:val>
          <c:smooth val="0"/>
          <c:extLst>
            <c:ext xmlns:c16="http://schemas.microsoft.com/office/drawing/2014/chart" uri="{C3380CC4-5D6E-409C-BE32-E72D297353CC}">
              <c16:uniqueId val="{00000002-5267-44BB-9BF6-08CF5B3A35E2}"/>
            </c:ext>
          </c:extLst>
        </c:ser>
        <c:dLbls>
          <c:showLegendKey val="0"/>
          <c:showVal val="0"/>
          <c:showCatName val="0"/>
          <c:showSerName val="0"/>
          <c:showPercent val="0"/>
          <c:showBubbleSize val="0"/>
        </c:dLbls>
        <c:smooth val="0"/>
        <c:axId val="317965248"/>
        <c:axId val="317960208"/>
      </c:lineChart>
      <c:catAx>
        <c:axId val="317965248"/>
        <c:scaling>
          <c:orientation val="minMax"/>
        </c:scaling>
        <c:delete val="0"/>
        <c:axPos val="b"/>
        <c:numFmt formatCode="0" sourceLinked="0"/>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317960208"/>
        <c:crosses val="autoZero"/>
        <c:auto val="1"/>
        <c:lblAlgn val="ctr"/>
        <c:lblOffset val="100"/>
        <c:tickLblSkip val="1"/>
        <c:noMultiLvlLbl val="0"/>
      </c:catAx>
      <c:valAx>
        <c:axId val="317960208"/>
        <c:scaling>
          <c:orientation val="minMax"/>
          <c:max val="1.8"/>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317965248"/>
        <c:crosses val="autoZero"/>
        <c:crossBetween val="between"/>
        <c:majorUnit val="0.30000000000000004"/>
      </c:valAx>
      <c:spPr>
        <a:noFill/>
        <a:ln>
          <a:noFill/>
        </a:ln>
        <a:effectLst/>
      </c:spPr>
    </c:plotArea>
    <c:legend>
      <c:legendPos val="b"/>
      <c:layout>
        <c:manualLayout>
          <c:xMode val="edge"/>
          <c:yMode val="edge"/>
          <c:x val="0.15427773066828185"/>
          <c:y val="0.70459944119888229"/>
          <c:w val="0.80059406420351298"/>
          <c:h val="8.8187283041232745E-2"/>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10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2035</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dPt>
            <c:idx val="1"/>
            <c:invertIfNegative val="0"/>
            <c:bubble3D val="0"/>
            <c:spPr>
              <a:pattFill prst="narHorz">
                <a:fgClr>
                  <a:schemeClr val="accent2"/>
                </a:fgClr>
                <a:bgClr>
                  <a:schemeClr val="accent2">
                    <a:lumMod val="20000"/>
                    <a:lumOff val="80000"/>
                  </a:schemeClr>
                </a:bgClr>
              </a:pattFill>
              <a:ln>
                <a:noFill/>
              </a:ln>
              <a:effectLst>
                <a:innerShdw blurRad="114300">
                  <a:schemeClr val="accent2"/>
                </a:innerShdw>
              </a:effectLst>
            </c:spPr>
            <c:extLst>
              <c:ext xmlns:c16="http://schemas.microsoft.com/office/drawing/2014/chart" uri="{C3380CC4-5D6E-409C-BE32-E72D297353CC}">
                <c16:uniqueId val="{00000001-5E04-4B0A-ACB6-D5D293B659C2}"/>
              </c:ext>
            </c:extLst>
          </c:dPt>
          <c:cat>
            <c:strRef>
              <c:f>Sheet1!$A$2:$A$25</c:f>
              <c:strCache>
                <c:ptCount val="24"/>
                <c:pt idx="0">
                  <c:v>Sauszemes transports</c:v>
                </c:pt>
                <c:pt idx="1">
                  <c:v>Uzglabāšana</c:v>
                </c:pt>
                <c:pt idx="2">
                  <c:v>Gaisa transports</c:v>
                </c:pt>
                <c:pt idx="3">
                  <c:v>Privātie pakalpojumi</c:v>
                </c:pt>
                <c:pt idx="4">
                  <c:v>Elektrības ražošana</c:v>
                </c:pt>
                <c:pt idx="5">
                  <c:v>Ūdens transports</c:v>
                </c:pt>
                <c:pt idx="6">
                  <c:v>Elektronika un optika</c:v>
                </c:pt>
                <c:pt idx="7">
                  <c:v>Cita rūpniecība</c:v>
                </c:pt>
                <c:pt idx="8">
                  <c:v>Kokrūpniecība</c:v>
                </c:pt>
                <c:pt idx="9">
                  <c:v>Lauksaimniecība</c:v>
                </c:pt>
                <c:pt idx="10">
                  <c:v>Būvniecība</c:v>
                </c:pt>
                <c:pt idx="11">
                  <c:v>Pārtika un dzērieni</c:v>
                </c:pt>
                <c:pt idx="12">
                  <c:v>Metālizstrādājumi</c:v>
                </c:pt>
                <c:pt idx="13">
                  <c:v>Elektriskās iekārtas</c:v>
                </c:pt>
                <c:pt idx="14">
                  <c:v>Papīrs un poligrāfija</c:v>
                </c:pt>
                <c:pt idx="15">
                  <c:v>Farmācija</c:v>
                </c:pt>
                <c:pt idx="16">
                  <c:v>Transportlīdzekļi</c:v>
                </c:pt>
                <c:pt idx="17">
                  <c:v>Nemetāliskie minerāli</c:v>
                </c:pt>
                <c:pt idx="18">
                  <c:v>Ķīmijas produkti</c:v>
                </c:pt>
                <c:pt idx="19">
                  <c:v>Tekstils</c:v>
                </c:pt>
                <c:pt idx="20">
                  <c:v>Metāli</c:v>
                </c:pt>
                <c:pt idx="21">
                  <c:v>Mašīnbūve</c:v>
                </c:pt>
                <c:pt idx="22">
                  <c:v>Gumija un plastmasa</c:v>
                </c:pt>
                <c:pt idx="23">
                  <c:v>Publiskie pakalpojumi</c:v>
                </c:pt>
              </c:strCache>
            </c:strRef>
          </c:cat>
          <c:val>
            <c:numRef>
              <c:f>Sheet1!$B$2:$B$25</c:f>
              <c:numCache>
                <c:formatCode>0.00</c:formatCode>
                <c:ptCount val="24"/>
                <c:pt idx="0">
                  <c:v>2.8849379402885011</c:v>
                </c:pt>
                <c:pt idx="1">
                  <c:v>2.5229293071821752</c:v>
                </c:pt>
                <c:pt idx="2">
                  <c:v>2.4870081662954791</c:v>
                </c:pt>
                <c:pt idx="3">
                  <c:v>1.3588884666979051</c:v>
                </c:pt>
                <c:pt idx="4">
                  <c:v>1.2413624411422908</c:v>
                </c:pt>
                <c:pt idx="5">
                  <c:v>1.1994742030890682</c:v>
                </c:pt>
                <c:pt idx="6">
                  <c:v>1.1577569717104774</c:v>
                </c:pt>
                <c:pt idx="7">
                  <c:v>1.0519110096976592</c:v>
                </c:pt>
                <c:pt idx="8">
                  <c:v>0.96523184848151811</c:v>
                </c:pt>
                <c:pt idx="9">
                  <c:v>0.85634417399607088</c:v>
                </c:pt>
                <c:pt idx="10">
                  <c:v>0.77131052128541766</c:v>
                </c:pt>
                <c:pt idx="11">
                  <c:v>0.73848926632199552</c:v>
                </c:pt>
                <c:pt idx="12">
                  <c:v>0.70981600821893309</c:v>
                </c:pt>
                <c:pt idx="13">
                  <c:v>0.66076549058722289</c:v>
                </c:pt>
                <c:pt idx="14">
                  <c:v>0.63891450401790673</c:v>
                </c:pt>
                <c:pt idx="15">
                  <c:v>0.60694990995797671</c:v>
                </c:pt>
                <c:pt idx="16">
                  <c:v>0.60214514206864411</c:v>
                </c:pt>
                <c:pt idx="17">
                  <c:v>0.59014753688423349</c:v>
                </c:pt>
                <c:pt idx="18">
                  <c:v>0.55185100022994149</c:v>
                </c:pt>
                <c:pt idx="19">
                  <c:v>0.55151544731320001</c:v>
                </c:pt>
                <c:pt idx="20">
                  <c:v>0.49844236760125948</c:v>
                </c:pt>
                <c:pt idx="21">
                  <c:v>0.43176145179788517</c:v>
                </c:pt>
                <c:pt idx="22">
                  <c:v>0.36055143160125258</c:v>
                </c:pt>
                <c:pt idx="23">
                  <c:v>0.26850878510288334</c:v>
                </c:pt>
              </c:numCache>
            </c:numRef>
          </c:val>
          <c:extLst>
            <c:ext xmlns:c16="http://schemas.microsoft.com/office/drawing/2014/chart" uri="{C3380CC4-5D6E-409C-BE32-E72D297353CC}">
              <c16:uniqueId val="{00000002-5E04-4B0A-ACB6-D5D293B659C2}"/>
            </c:ext>
          </c:extLst>
        </c:ser>
        <c:dLbls>
          <c:showLegendKey val="0"/>
          <c:showVal val="0"/>
          <c:showCatName val="0"/>
          <c:showSerName val="0"/>
          <c:showPercent val="0"/>
          <c:showBubbleSize val="0"/>
        </c:dLbls>
        <c:gapWidth val="80"/>
        <c:axId val="314997208"/>
        <c:axId val="315001528"/>
      </c:barChart>
      <c:catAx>
        <c:axId val="314997208"/>
        <c:scaling>
          <c:orientation val="minMax"/>
        </c:scaling>
        <c:delete val="0"/>
        <c:axPos val="b"/>
        <c:numFmt formatCode="General" sourceLinked="1"/>
        <c:majorTickMark val="none"/>
        <c:minorTickMark val="none"/>
        <c:tickLblPos val="low"/>
        <c:spPr>
          <a:noFill/>
          <a:ln w="6350" cap="flat" cmpd="sng" algn="ctr">
            <a:solidFill>
              <a:schemeClr val="tx1">
                <a:lumMod val="25000"/>
                <a:lumOff val="75000"/>
              </a:schemeClr>
            </a:solidFill>
            <a:round/>
          </a:ln>
          <a:effectLst/>
        </c:spPr>
        <c:txPr>
          <a:bodyPr rot="-540000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315001528"/>
        <c:crosses val="autoZero"/>
        <c:auto val="1"/>
        <c:lblAlgn val="ctr"/>
        <c:lblOffset val="100"/>
        <c:noMultiLvlLbl val="0"/>
      </c:catAx>
      <c:valAx>
        <c:axId val="315001528"/>
        <c:scaling>
          <c:orientation val="minMax"/>
          <c:max val="3"/>
          <c:min val="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314997208"/>
        <c:crosses val="autoZero"/>
        <c:crossBetween val="between"/>
        <c:majorUnit val="1"/>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143631333178568"/>
          <c:y val="7.4626865671641784E-2"/>
          <c:w val="0.76291258662749317"/>
          <c:h val="0.81143850696992781"/>
        </c:manualLayout>
      </c:layout>
      <c:lineChart>
        <c:grouping val="standard"/>
        <c:varyColors val="0"/>
        <c:ser>
          <c:idx val="0"/>
          <c:order val="0"/>
          <c:tx>
            <c:strRef>
              <c:f>Sheet1!$A$2</c:f>
              <c:strCache>
                <c:ptCount val="1"/>
                <c:pt idx="0">
                  <c:v>SEG emisijas</c:v>
                </c:pt>
              </c:strCache>
            </c:strRef>
          </c:tx>
          <c:spPr>
            <a:ln w="28575" cap="rnd">
              <a:solidFill>
                <a:schemeClr val="accent1"/>
              </a:solidFill>
              <a:round/>
            </a:ln>
            <a:effectLst/>
          </c:spPr>
          <c:marker>
            <c:symbol val="none"/>
          </c:marker>
          <c:cat>
            <c:strRef>
              <c:f>Sheet1!$B$1:$N$1</c:f>
              <c:strCach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strCache>
            </c:strRef>
          </c:cat>
          <c:val>
            <c:numRef>
              <c:f>Sheet1!$B$2:$N$2</c:f>
              <c:numCache>
                <c:formatCode>0</c:formatCode>
                <c:ptCount val="13"/>
                <c:pt idx="0">
                  <c:v>2387.5526300000001</c:v>
                </c:pt>
                <c:pt idx="1">
                  <c:v>2173.15726</c:v>
                </c:pt>
                <c:pt idx="2">
                  <c:v>1983.9230500000001</c:v>
                </c:pt>
                <c:pt idx="3">
                  <c:v>2077.9089100000001</c:v>
                </c:pt>
                <c:pt idx="4">
                  <c:v>1856.77459</c:v>
                </c:pt>
                <c:pt idx="5">
                  <c:v>1907.63102</c:v>
                </c:pt>
                <c:pt idx="6">
                  <c:v>2004.1215199999999</c:v>
                </c:pt>
                <c:pt idx="7">
                  <c:v>1740.3424399999999</c:v>
                </c:pt>
                <c:pt idx="8">
                  <c:v>2046.81152</c:v>
                </c:pt>
                <c:pt idx="9">
                  <c:v>1966.00523</c:v>
                </c:pt>
                <c:pt idx="10">
                  <c:v>1506.5533</c:v>
                </c:pt>
                <c:pt idx="11">
                  <c:v>1527.2043900000001</c:v>
                </c:pt>
                <c:pt idx="12">
                  <c:v>1087.2507499999999</c:v>
                </c:pt>
              </c:numCache>
            </c:numRef>
          </c:val>
          <c:smooth val="0"/>
          <c:extLst>
            <c:ext xmlns:c16="http://schemas.microsoft.com/office/drawing/2014/chart" uri="{C3380CC4-5D6E-409C-BE32-E72D297353CC}">
              <c16:uniqueId val="{00000000-56B2-459A-921E-B54C9F24A19C}"/>
            </c:ext>
          </c:extLst>
        </c:ser>
        <c:dLbls>
          <c:showLegendKey val="0"/>
          <c:showVal val="0"/>
          <c:showCatName val="0"/>
          <c:showSerName val="0"/>
          <c:showPercent val="0"/>
          <c:showBubbleSize val="0"/>
        </c:dLbls>
        <c:marker val="1"/>
        <c:smooth val="0"/>
        <c:axId val="1265740688"/>
        <c:axId val="1265724368"/>
      </c:lineChart>
      <c:lineChart>
        <c:grouping val="standard"/>
        <c:varyColors val="0"/>
        <c:ser>
          <c:idx val="1"/>
          <c:order val="1"/>
          <c:tx>
            <c:strRef>
              <c:f>Sheet1!$A$3</c:f>
              <c:strCache>
                <c:ptCount val="1"/>
                <c:pt idx="0">
                  <c:v>SEG emisiju intensitāte (kg. uz 1 euro PV faktiskajās cenās) (labā ass)</c:v>
                </c:pt>
              </c:strCache>
            </c:strRef>
          </c:tx>
          <c:spPr>
            <a:ln w="28575" cap="rnd">
              <a:solidFill>
                <a:schemeClr val="accent2"/>
              </a:solidFill>
              <a:round/>
            </a:ln>
            <a:effectLst/>
          </c:spPr>
          <c:marker>
            <c:symbol val="none"/>
          </c:marker>
          <c:cat>
            <c:strRef>
              <c:f>Sheet1!$B$1:$N$1</c:f>
              <c:strCach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strCache>
            </c:strRef>
          </c:cat>
          <c:val>
            <c:numRef>
              <c:f>Sheet1!$B$3:$N$3</c:f>
              <c:numCache>
                <c:formatCode>#\ ##0.##</c:formatCode>
                <c:ptCount val="13"/>
                <c:pt idx="0">
                  <c:v>4.5590099999999998</c:v>
                </c:pt>
                <c:pt idx="1">
                  <c:v>4.0894899999999996</c:v>
                </c:pt>
                <c:pt idx="2">
                  <c:v>3.3292899999999999</c:v>
                </c:pt>
                <c:pt idx="3">
                  <c:v>3.9496500000000001</c:v>
                </c:pt>
                <c:pt idx="4">
                  <c:v>4.36991</c:v>
                </c:pt>
                <c:pt idx="5">
                  <c:v>3.7316699999999998</c:v>
                </c:pt>
                <c:pt idx="6">
                  <c:v>3.13585</c:v>
                </c:pt>
                <c:pt idx="7">
                  <c:v>2.77921</c:v>
                </c:pt>
                <c:pt idx="8">
                  <c:v>5.0401699999999998</c:v>
                </c:pt>
                <c:pt idx="9">
                  <c:v>4.4409400000000003</c:v>
                </c:pt>
                <c:pt idx="10">
                  <c:v>2.85765</c:v>
                </c:pt>
                <c:pt idx="11">
                  <c:v>2.10765</c:v>
                </c:pt>
                <c:pt idx="12">
                  <c:v>0.91388999999999998</c:v>
                </c:pt>
              </c:numCache>
            </c:numRef>
          </c:val>
          <c:smooth val="0"/>
          <c:extLst>
            <c:ext xmlns:c16="http://schemas.microsoft.com/office/drawing/2014/chart" uri="{C3380CC4-5D6E-409C-BE32-E72D297353CC}">
              <c16:uniqueId val="{00000001-56B2-459A-921E-B54C9F24A19C}"/>
            </c:ext>
          </c:extLst>
        </c:ser>
        <c:dLbls>
          <c:showLegendKey val="0"/>
          <c:showVal val="0"/>
          <c:showCatName val="0"/>
          <c:showSerName val="0"/>
          <c:showPercent val="0"/>
          <c:showBubbleSize val="0"/>
        </c:dLbls>
        <c:marker val="1"/>
        <c:smooth val="0"/>
        <c:axId val="1260281040"/>
        <c:axId val="1260286800"/>
      </c:lineChart>
      <c:catAx>
        <c:axId val="12657406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1265724368"/>
        <c:crosses val="autoZero"/>
        <c:auto val="1"/>
        <c:lblAlgn val="ctr"/>
        <c:lblOffset val="100"/>
        <c:noMultiLvlLbl val="0"/>
      </c:catAx>
      <c:valAx>
        <c:axId val="126572436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1265740688"/>
        <c:crosses val="autoZero"/>
        <c:crossBetween val="between"/>
      </c:valAx>
      <c:valAx>
        <c:axId val="1260286800"/>
        <c:scaling>
          <c:orientation val="minMax"/>
        </c:scaling>
        <c:delete val="0"/>
        <c:axPos val="r"/>
        <c:numFmt formatCode="#,##0.0" sourceLinked="0"/>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1260281040"/>
        <c:crosses val="max"/>
        <c:crossBetween val="between"/>
      </c:valAx>
      <c:catAx>
        <c:axId val="1260281040"/>
        <c:scaling>
          <c:orientation val="minMax"/>
        </c:scaling>
        <c:delete val="1"/>
        <c:axPos val="b"/>
        <c:numFmt formatCode="General" sourceLinked="1"/>
        <c:majorTickMark val="out"/>
        <c:minorTickMark val="none"/>
        <c:tickLblPos val="nextTo"/>
        <c:crossAx val="1260286800"/>
        <c:crosses val="autoZero"/>
        <c:auto val="1"/>
        <c:lblAlgn val="ctr"/>
        <c:lblOffset val="100"/>
        <c:noMultiLvlLbl val="0"/>
      </c:cat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427826596590844"/>
          <c:y val="7.4626865671641784E-2"/>
          <c:w val="0.7800706339933704"/>
          <c:h val="0.81551188047980328"/>
        </c:manualLayout>
      </c:layout>
      <c:lineChart>
        <c:grouping val="standard"/>
        <c:varyColors val="0"/>
        <c:ser>
          <c:idx val="0"/>
          <c:order val="0"/>
          <c:tx>
            <c:strRef>
              <c:f>Sheet1!$A$2</c:f>
              <c:strCache>
                <c:ptCount val="1"/>
                <c:pt idx="0">
                  <c:v>SEG emisijas</c:v>
                </c:pt>
              </c:strCache>
            </c:strRef>
          </c:tx>
          <c:spPr>
            <a:ln w="28575" cap="rnd">
              <a:solidFill>
                <a:schemeClr val="accent1"/>
              </a:solidFill>
              <a:round/>
            </a:ln>
            <a:effectLst/>
          </c:spPr>
          <c:marker>
            <c:symbol val="none"/>
          </c:marker>
          <c:cat>
            <c:strRef>
              <c:f>Sheet1!$B$1:$N$1</c:f>
              <c:strCach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strCache>
            </c:strRef>
          </c:cat>
          <c:val>
            <c:numRef>
              <c:f>Sheet1!$B$2:$N$2</c:f>
              <c:numCache>
                <c:formatCode>0</c:formatCode>
                <c:ptCount val="13"/>
                <c:pt idx="0">
                  <c:v>678.23348999999996</c:v>
                </c:pt>
                <c:pt idx="1">
                  <c:v>661.32117000000005</c:v>
                </c:pt>
                <c:pt idx="2">
                  <c:v>597.65013999999996</c:v>
                </c:pt>
                <c:pt idx="3">
                  <c:v>584.74546999999995</c:v>
                </c:pt>
                <c:pt idx="4">
                  <c:v>583.10136</c:v>
                </c:pt>
                <c:pt idx="5">
                  <c:v>534.89125999999999</c:v>
                </c:pt>
                <c:pt idx="6">
                  <c:v>550.59096</c:v>
                </c:pt>
                <c:pt idx="7">
                  <c:v>525.36113</c:v>
                </c:pt>
                <c:pt idx="8">
                  <c:v>521.44001000000003</c:v>
                </c:pt>
                <c:pt idx="9">
                  <c:v>524.72041999999999</c:v>
                </c:pt>
                <c:pt idx="10">
                  <c:v>532.31570999999997</c:v>
                </c:pt>
                <c:pt idx="11">
                  <c:v>530.24093000000005</c:v>
                </c:pt>
                <c:pt idx="12">
                  <c:v>557.36009000000001</c:v>
                </c:pt>
              </c:numCache>
            </c:numRef>
          </c:val>
          <c:smooth val="0"/>
          <c:extLst>
            <c:ext xmlns:c16="http://schemas.microsoft.com/office/drawing/2014/chart" uri="{C3380CC4-5D6E-409C-BE32-E72D297353CC}">
              <c16:uniqueId val="{00000000-D0D5-45D9-885E-88D6954C7148}"/>
            </c:ext>
          </c:extLst>
        </c:ser>
        <c:dLbls>
          <c:showLegendKey val="0"/>
          <c:showVal val="0"/>
          <c:showCatName val="0"/>
          <c:showSerName val="0"/>
          <c:showPercent val="0"/>
          <c:showBubbleSize val="0"/>
        </c:dLbls>
        <c:marker val="1"/>
        <c:smooth val="0"/>
        <c:axId val="1265740688"/>
        <c:axId val="1265724368"/>
      </c:lineChart>
      <c:lineChart>
        <c:grouping val="standard"/>
        <c:varyColors val="0"/>
        <c:ser>
          <c:idx val="1"/>
          <c:order val="1"/>
          <c:tx>
            <c:strRef>
              <c:f>Sheet1!$A$3</c:f>
              <c:strCache>
                <c:ptCount val="1"/>
                <c:pt idx="0">
                  <c:v>SEG emisiju intensitāte (kg. uz 1 euro PV faktiskajās cenās) (labā ass)</c:v>
                </c:pt>
              </c:strCache>
            </c:strRef>
          </c:tx>
          <c:spPr>
            <a:ln w="28575" cap="rnd">
              <a:solidFill>
                <a:schemeClr val="accent2"/>
              </a:solidFill>
              <a:round/>
            </a:ln>
            <a:effectLst/>
          </c:spPr>
          <c:marker>
            <c:symbol val="none"/>
          </c:marker>
          <c:cat>
            <c:strRef>
              <c:f>Sheet1!$B$1:$N$1</c:f>
              <c:strCach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strCache>
            </c:strRef>
          </c:cat>
          <c:val>
            <c:numRef>
              <c:f>Sheet1!$B$3:$N$3</c:f>
              <c:numCache>
                <c:formatCode>#\ ##0.##</c:formatCode>
                <c:ptCount val="13"/>
                <c:pt idx="0">
                  <c:v>4.3309899999999999</c:v>
                </c:pt>
                <c:pt idx="1">
                  <c:v>4.0153100000000004</c:v>
                </c:pt>
                <c:pt idx="2">
                  <c:v>3.4546299999999999</c:v>
                </c:pt>
                <c:pt idx="3">
                  <c:v>3.4155700000000002</c:v>
                </c:pt>
                <c:pt idx="4">
                  <c:v>3.3018200000000002</c:v>
                </c:pt>
                <c:pt idx="5">
                  <c:v>2.7600199999999999</c:v>
                </c:pt>
                <c:pt idx="6">
                  <c:v>2.92401</c:v>
                </c:pt>
                <c:pt idx="7">
                  <c:v>2.7534700000000001</c:v>
                </c:pt>
                <c:pt idx="8">
                  <c:v>2.4096099999999998</c:v>
                </c:pt>
                <c:pt idx="9">
                  <c:v>2.29236</c:v>
                </c:pt>
                <c:pt idx="10">
                  <c:v>2.24322</c:v>
                </c:pt>
                <c:pt idx="11">
                  <c:v>2.1766899999999998</c:v>
                </c:pt>
                <c:pt idx="12">
                  <c:v>2.0238200000000002</c:v>
                </c:pt>
              </c:numCache>
            </c:numRef>
          </c:val>
          <c:smooth val="0"/>
          <c:extLst>
            <c:ext xmlns:c16="http://schemas.microsoft.com/office/drawing/2014/chart" uri="{C3380CC4-5D6E-409C-BE32-E72D297353CC}">
              <c16:uniqueId val="{00000001-D0D5-45D9-885E-88D6954C7148}"/>
            </c:ext>
          </c:extLst>
        </c:ser>
        <c:dLbls>
          <c:showLegendKey val="0"/>
          <c:showVal val="0"/>
          <c:showCatName val="0"/>
          <c:showSerName val="0"/>
          <c:showPercent val="0"/>
          <c:showBubbleSize val="0"/>
        </c:dLbls>
        <c:marker val="1"/>
        <c:smooth val="0"/>
        <c:axId val="1260281040"/>
        <c:axId val="1260286800"/>
      </c:lineChart>
      <c:catAx>
        <c:axId val="12657406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1265724368"/>
        <c:crosses val="autoZero"/>
        <c:auto val="1"/>
        <c:lblAlgn val="ctr"/>
        <c:lblOffset val="100"/>
        <c:noMultiLvlLbl val="0"/>
      </c:catAx>
      <c:valAx>
        <c:axId val="126572436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1265740688"/>
        <c:crosses val="autoZero"/>
        <c:crossBetween val="between"/>
      </c:valAx>
      <c:valAx>
        <c:axId val="1260286800"/>
        <c:scaling>
          <c:orientation val="minMax"/>
        </c:scaling>
        <c:delete val="0"/>
        <c:axPos val="r"/>
        <c:numFmt formatCode="#,##0.0" sourceLinked="0"/>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1260281040"/>
        <c:crosses val="max"/>
        <c:crossBetween val="between"/>
      </c:valAx>
      <c:catAx>
        <c:axId val="1260281040"/>
        <c:scaling>
          <c:orientation val="minMax"/>
        </c:scaling>
        <c:delete val="1"/>
        <c:axPos val="b"/>
        <c:numFmt formatCode="General" sourceLinked="1"/>
        <c:majorTickMark val="out"/>
        <c:minorTickMark val="none"/>
        <c:tickLblPos val="nextTo"/>
        <c:crossAx val="1260286800"/>
        <c:crosses val="autoZero"/>
        <c:auto val="1"/>
        <c:lblAlgn val="ctr"/>
        <c:lblOffset val="100"/>
        <c:noMultiLvlLbl val="0"/>
      </c:cat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143631333178568"/>
          <c:y val="7.4626865671641784E-2"/>
          <c:w val="0.76291258662749317"/>
          <c:h val="0.82591039689577161"/>
        </c:manualLayout>
      </c:layout>
      <c:lineChart>
        <c:grouping val="standard"/>
        <c:varyColors val="0"/>
        <c:ser>
          <c:idx val="0"/>
          <c:order val="0"/>
          <c:tx>
            <c:strRef>
              <c:f>Sheet1!$A$2</c:f>
              <c:strCache>
                <c:ptCount val="1"/>
                <c:pt idx="0">
                  <c:v>SEG emisijas</c:v>
                </c:pt>
              </c:strCache>
            </c:strRef>
          </c:tx>
          <c:spPr>
            <a:ln w="28575" cap="rnd">
              <a:solidFill>
                <a:schemeClr val="accent1"/>
              </a:solidFill>
              <a:round/>
            </a:ln>
            <a:effectLst/>
          </c:spPr>
          <c:marker>
            <c:symbol val="none"/>
          </c:marker>
          <c:cat>
            <c:strRef>
              <c:f>Sheet1!$B$1:$N$1</c:f>
              <c:strCach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strCache>
            </c:strRef>
          </c:cat>
          <c:val>
            <c:numRef>
              <c:f>Sheet1!$B$2:$N$2</c:f>
              <c:numCache>
                <c:formatCode>0</c:formatCode>
                <c:ptCount val="13"/>
                <c:pt idx="0">
                  <c:v>2909.96641</c:v>
                </c:pt>
                <c:pt idx="1">
                  <c:v>2627.3252699999998</c:v>
                </c:pt>
                <c:pt idx="2">
                  <c:v>2569.44805</c:v>
                </c:pt>
                <c:pt idx="3">
                  <c:v>2456.1890899999999</c:v>
                </c:pt>
                <c:pt idx="4">
                  <c:v>2653.0240800000001</c:v>
                </c:pt>
                <c:pt idx="5">
                  <c:v>2915.8002999999999</c:v>
                </c:pt>
                <c:pt idx="6">
                  <c:v>2798.70345</c:v>
                </c:pt>
                <c:pt idx="7">
                  <c:v>3025.5185499999998</c:v>
                </c:pt>
                <c:pt idx="8">
                  <c:v>3078.7883299999999</c:v>
                </c:pt>
                <c:pt idx="9">
                  <c:v>3094.77918</c:v>
                </c:pt>
                <c:pt idx="10">
                  <c:v>2094.6233900000002</c:v>
                </c:pt>
                <c:pt idx="11">
                  <c:v>2261.8924999999999</c:v>
                </c:pt>
                <c:pt idx="12">
                  <c:v>2384.0652700000001</c:v>
                </c:pt>
              </c:numCache>
            </c:numRef>
          </c:val>
          <c:smooth val="0"/>
          <c:extLst>
            <c:ext xmlns:c16="http://schemas.microsoft.com/office/drawing/2014/chart" uri="{C3380CC4-5D6E-409C-BE32-E72D297353CC}">
              <c16:uniqueId val="{00000000-7DCB-4198-A8C1-01228B8DFAFE}"/>
            </c:ext>
          </c:extLst>
        </c:ser>
        <c:dLbls>
          <c:showLegendKey val="0"/>
          <c:showVal val="0"/>
          <c:showCatName val="0"/>
          <c:showSerName val="0"/>
          <c:showPercent val="0"/>
          <c:showBubbleSize val="0"/>
        </c:dLbls>
        <c:marker val="1"/>
        <c:smooth val="0"/>
        <c:axId val="1265740688"/>
        <c:axId val="1265724368"/>
      </c:lineChart>
      <c:lineChart>
        <c:grouping val="standard"/>
        <c:varyColors val="0"/>
        <c:ser>
          <c:idx val="1"/>
          <c:order val="1"/>
          <c:tx>
            <c:strRef>
              <c:f>Sheet1!$A$3</c:f>
              <c:strCache>
                <c:ptCount val="1"/>
                <c:pt idx="0">
                  <c:v>SEG emisiju intensitāte (kg. uz 1 euro PV faktiskajās cenās) (labā ass)</c:v>
                </c:pt>
              </c:strCache>
            </c:strRef>
          </c:tx>
          <c:spPr>
            <a:ln w="28575" cap="rnd">
              <a:solidFill>
                <a:schemeClr val="accent2"/>
              </a:solidFill>
              <a:round/>
            </a:ln>
            <a:effectLst/>
          </c:spPr>
          <c:marker>
            <c:symbol val="none"/>
          </c:marker>
          <c:cat>
            <c:strRef>
              <c:f>Sheet1!$B$1:$N$1</c:f>
              <c:strCach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strCache>
            </c:strRef>
          </c:cat>
          <c:val>
            <c:numRef>
              <c:f>Sheet1!$B$3:$N$3</c:f>
              <c:numCache>
                <c:formatCode>#\ ##0.##</c:formatCode>
                <c:ptCount val="13"/>
                <c:pt idx="0">
                  <c:v>1.7575400000000001</c:v>
                </c:pt>
                <c:pt idx="1">
                  <c:v>1.48891</c:v>
                </c:pt>
                <c:pt idx="2">
                  <c:v>1.27789</c:v>
                </c:pt>
                <c:pt idx="3">
                  <c:v>1.22065</c:v>
                </c:pt>
                <c:pt idx="4">
                  <c:v>1.31972</c:v>
                </c:pt>
                <c:pt idx="5">
                  <c:v>1.42987</c:v>
                </c:pt>
                <c:pt idx="6">
                  <c:v>1.3926700000000001</c:v>
                </c:pt>
                <c:pt idx="7">
                  <c:v>1.4440900000000001</c:v>
                </c:pt>
                <c:pt idx="8">
                  <c:v>1.37391</c:v>
                </c:pt>
                <c:pt idx="9">
                  <c:v>1.4018699999999999</c:v>
                </c:pt>
                <c:pt idx="10">
                  <c:v>1.1977500000000001</c:v>
                </c:pt>
                <c:pt idx="11">
                  <c:v>1.20963</c:v>
                </c:pt>
                <c:pt idx="12">
                  <c:v>1.02382</c:v>
                </c:pt>
              </c:numCache>
            </c:numRef>
          </c:val>
          <c:smooth val="0"/>
          <c:extLst>
            <c:ext xmlns:c16="http://schemas.microsoft.com/office/drawing/2014/chart" uri="{C3380CC4-5D6E-409C-BE32-E72D297353CC}">
              <c16:uniqueId val="{00000001-7DCB-4198-A8C1-01228B8DFAFE}"/>
            </c:ext>
          </c:extLst>
        </c:ser>
        <c:dLbls>
          <c:showLegendKey val="0"/>
          <c:showVal val="0"/>
          <c:showCatName val="0"/>
          <c:showSerName val="0"/>
          <c:showPercent val="0"/>
          <c:showBubbleSize val="0"/>
        </c:dLbls>
        <c:marker val="1"/>
        <c:smooth val="0"/>
        <c:axId val="1260281040"/>
        <c:axId val="1260286800"/>
      </c:lineChart>
      <c:catAx>
        <c:axId val="12657406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1265724368"/>
        <c:crosses val="autoZero"/>
        <c:auto val="1"/>
        <c:lblAlgn val="ctr"/>
        <c:lblOffset val="100"/>
        <c:noMultiLvlLbl val="0"/>
      </c:catAx>
      <c:valAx>
        <c:axId val="126572436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1265740688"/>
        <c:crosses val="autoZero"/>
        <c:crossBetween val="between"/>
      </c:valAx>
      <c:valAx>
        <c:axId val="1260286800"/>
        <c:scaling>
          <c:orientation val="minMax"/>
        </c:scaling>
        <c:delete val="0"/>
        <c:axPos val="r"/>
        <c:numFmt formatCode="#,##0.0" sourceLinked="0"/>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1260281040"/>
        <c:crosses val="max"/>
        <c:crossBetween val="between"/>
      </c:valAx>
      <c:catAx>
        <c:axId val="1260281040"/>
        <c:scaling>
          <c:orientation val="minMax"/>
        </c:scaling>
        <c:delete val="1"/>
        <c:axPos val="b"/>
        <c:numFmt formatCode="General" sourceLinked="1"/>
        <c:majorTickMark val="out"/>
        <c:minorTickMark val="none"/>
        <c:tickLblPos val="nextTo"/>
        <c:crossAx val="1260286800"/>
        <c:crosses val="autoZero"/>
        <c:auto val="1"/>
        <c:lblAlgn val="ctr"/>
        <c:lblOffset val="100"/>
        <c:noMultiLvlLbl val="0"/>
      </c:cat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7659871077317911"/>
          <c:y val="2.5187589569533743E-2"/>
          <c:w val="0.45209363145999021"/>
          <c:h val="0.66354129285735786"/>
        </c:manualLayout>
      </c:layout>
      <c:barChart>
        <c:barDir val="bar"/>
        <c:grouping val="percentStacked"/>
        <c:varyColors val="0"/>
        <c:ser>
          <c:idx val="0"/>
          <c:order val="0"/>
          <c:tx>
            <c:strRef>
              <c:f>Sheet1!$B$1</c:f>
              <c:strCache>
                <c:ptCount val="1"/>
                <c:pt idx="0">
                  <c:v>Būvniecība</c:v>
                </c:pt>
              </c:strCache>
            </c:strRef>
          </c:tx>
          <c:spPr>
            <a:solidFill>
              <a:schemeClr val="accent1"/>
            </a:solidFill>
            <a:ln>
              <a:noFill/>
            </a:ln>
            <a:effectLst/>
          </c:spPr>
          <c:invertIfNegative val="0"/>
          <c:cat>
            <c:strRef>
              <c:f>Sheet1!$A$2:$A$7</c:f>
              <c:strCache>
                <c:ptCount val="6"/>
                <c:pt idx="0">
                  <c:v>Enerģētika (D)</c:v>
                </c:pt>
                <c:pt idx="1">
                  <c:v>Transports (H)</c:v>
                </c:pt>
                <c:pt idx="2">
                  <c:v>Rūpniecība (C)</c:v>
                </c:pt>
                <c:pt idx="3">
                  <c:v>Lauksaimniecība (A)</c:v>
                </c:pt>
                <c:pt idx="4">
                  <c:v>Atkritumu apsaimniekošana (E)</c:v>
                </c:pt>
                <c:pt idx="5">
                  <c:v>Tautsaimniecības nozarēs kopā</c:v>
                </c:pt>
              </c:strCache>
            </c:strRef>
          </c:cat>
          <c:val>
            <c:numRef>
              <c:f>Sheet1!$B$2:$B$7</c:f>
              <c:numCache>
                <c:formatCode>0.0</c:formatCode>
                <c:ptCount val="6"/>
                <c:pt idx="0">
                  <c:v>80.3574588568395</c:v>
                </c:pt>
                <c:pt idx="1">
                  <c:v>65.488323404355427</c:v>
                </c:pt>
                <c:pt idx="2">
                  <c:v>51.729862423396845</c:v>
                </c:pt>
                <c:pt idx="3">
                  <c:v>81.68537394730231</c:v>
                </c:pt>
                <c:pt idx="4">
                  <c:v>92.619081905310495</c:v>
                </c:pt>
                <c:pt idx="5">
                  <c:v>86.599192314898261</c:v>
                </c:pt>
              </c:numCache>
            </c:numRef>
          </c:val>
          <c:extLst>
            <c:ext xmlns:c16="http://schemas.microsoft.com/office/drawing/2014/chart" uri="{C3380CC4-5D6E-409C-BE32-E72D297353CC}">
              <c16:uniqueId val="{00000000-6BAF-487F-BD4E-57415C8C05E2}"/>
            </c:ext>
          </c:extLst>
        </c:ser>
        <c:ser>
          <c:idx val="1"/>
          <c:order val="1"/>
          <c:tx>
            <c:strRef>
              <c:f>Sheet1!$C$1</c:f>
              <c:strCache>
                <c:ptCount val="1"/>
                <c:pt idx="0">
                  <c:v>Transportlīdzekļi</c:v>
                </c:pt>
              </c:strCache>
            </c:strRef>
          </c:tx>
          <c:spPr>
            <a:solidFill>
              <a:schemeClr val="accent2"/>
            </a:solidFill>
            <a:ln>
              <a:noFill/>
            </a:ln>
            <a:effectLst/>
          </c:spPr>
          <c:invertIfNegative val="0"/>
          <c:cat>
            <c:strRef>
              <c:f>Sheet1!$A$2:$A$7</c:f>
              <c:strCache>
                <c:ptCount val="6"/>
                <c:pt idx="0">
                  <c:v>Enerģētika (D)</c:v>
                </c:pt>
                <c:pt idx="1">
                  <c:v>Transports (H)</c:v>
                </c:pt>
                <c:pt idx="2">
                  <c:v>Rūpniecība (C)</c:v>
                </c:pt>
                <c:pt idx="3">
                  <c:v>Lauksaimniecība (A)</c:v>
                </c:pt>
                <c:pt idx="4">
                  <c:v>Atkritumu apsaimniekošana (E)</c:v>
                </c:pt>
                <c:pt idx="5">
                  <c:v>Tautsaimniecības nozarēs kopā</c:v>
                </c:pt>
              </c:strCache>
            </c:strRef>
          </c:cat>
          <c:val>
            <c:numRef>
              <c:f>Sheet1!$C$2:$C$7</c:f>
              <c:numCache>
                <c:formatCode>0.0</c:formatCode>
                <c:ptCount val="6"/>
                <c:pt idx="0">
                  <c:v>2.4388282041794693</c:v>
                </c:pt>
                <c:pt idx="1">
                  <c:v>23.247922559853212</c:v>
                </c:pt>
                <c:pt idx="2">
                  <c:v>3.6439844821597815</c:v>
                </c:pt>
                <c:pt idx="3">
                  <c:v>3.4563298474772712</c:v>
                </c:pt>
                <c:pt idx="4">
                  <c:v>1.8240291844669516</c:v>
                </c:pt>
                <c:pt idx="5">
                  <c:v>3.1087248690408678</c:v>
                </c:pt>
              </c:numCache>
            </c:numRef>
          </c:val>
          <c:extLst>
            <c:ext xmlns:c16="http://schemas.microsoft.com/office/drawing/2014/chart" uri="{C3380CC4-5D6E-409C-BE32-E72D297353CC}">
              <c16:uniqueId val="{00000001-6BAF-487F-BD4E-57415C8C05E2}"/>
            </c:ext>
          </c:extLst>
        </c:ser>
        <c:ser>
          <c:idx val="2"/>
          <c:order val="2"/>
          <c:tx>
            <c:strRef>
              <c:f>Sheet1!$D$1</c:f>
              <c:strCache>
                <c:ptCount val="1"/>
                <c:pt idx="0">
                  <c:v>IKT aprīkojums</c:v>
                </c:pt>
              </c:strCache>
            </c:strRef>
          </c:tx>
          <c:spPr>
            <a:solidFill>
              <a:schemeClr val="accent3"/>
            </a:solidFill>
            <a:ln>
              <a:noFill/>
            </a:ln>
            <a:effectLst/>
          </c:spPr>
          <c:invertIfNegative val="0"/>
          <c:cat>
            <c:strRef>
              <c:f>Sheet1!$A$2:$A$7</c:f>
              <c:strCache>
                <c:ptCount val="6"/>
                <c:pt idx="0">
                  <c:v>Enerģētika (D)</c:v>
                </c:pt>
                <c:pt idx="1">
                  <c:v>Transports (H)</c:v>
                </c:pt>
                <c:pt idx="2">
                  <c:v>Rūpniecība (C)</c:v>
                </c:pt>
                <c:pt idx="3">
                  <c:v>Lauksaimniecība (A)</c:v>
                </c:pt>
                <c:pt idx="4">
                  <c:v>Atkritumu apsaimniekošana (E)</c:v>
                </c:pt>
                <c:pt idx="5">
                  <c:v>Tautsaimniecības nozarēs kopā</c:v>
                </c:pt>
              </c:strCache>
            </c:strRef>
          </c:cat>
          <c:val>
            <c:numRef>
              <c:f>Sheet1!$D$2:$D$7</c:f>
              <c:numCache>
                <c:formatCode>0.0</c:formatCode>
                <c:ptCount val="6"/>
                <c:pt idx="0">
                  <c:v>1.5813773909686135</c:v>
                </c:pt>
                <c:pt idx="1">
                  <c:v>2.2747455025552665</c:v>
                </c:pt>
                <c:pt idx="2">
                  <c:v>0.35380204746010158</c:v>
                </c:pt>
                <c:pt idx="3">
                  <c:v>7.8442778637122818E-2</c:v>
                </c:pt>
                <c:pt idx="4">
                  <c:v>0.22560360965775453</c:v>
                </c:pt>
                <c:pt idx="5">
                  <c:v>0.7307214547717642</c:v>
                </c:pt>
              </c:numCache>
            </c:numRef>
          </c:val>
          <c:extLst>
            <c:ext xmlns:c16="http://schemas.microsoft.com/office/drawing/2014/chart" uri="{C3380CC4-5D6E-409C-BE32-E72D297353CC}">
              <c16:uniqueId val="{00000002-6BAF-487F-BD4E-57415C8C05E2}"/>
            </c:ext>
          </c:extLst>
        </c:ser>
        <c:ser>
          <c:idx val="3"/>
          <c:order val="3"/>
          <c:tx>
            <c:strRef>
              <c:f>Sheet1!$E$1</c:f>
              <c:strCache>
                <c:ptCount val="1"/>
                <c:pt idx="0">
                  <c:v>Citas mašīnas un iekārtas </c:v>
                </c:pt>
              </c:strCache>
            </c:strRef>
          </c:tx>
          <c:spPr>
            <a:solidFill>
              <a:schemeClr val="accent4"/>
            </a:solidFill>
            <a:ln>
              <a:noFill/>
            </a:ln>
            <a:effectLst/>
          </c:spPr>
          <c:invertIfNegative val="0"/>
          <c:cat>
            <c:strRef>
              <c:f>Sheet1!$A$2:$A$7</c:f>
              <c:strCache>
                <c:ptCount val="6"/>
                <c:pt idx="0">
                  <c:v>Enerģētika (D)</c:v>
                </c:pt>
                <c:pt idx="1">
                  <c:v>Transports (H)</c:v>
                </c:pt>
                <c:pt idx="2">
                  <c:v>Rūpniecība (C)</c:v>
                </c:pt>
                <c:pt idx="3">
                  <c:v>Lauksaimniecība (A)</c:v>
                </c:pt>
                <c:pt idx="4">
                  <c:v>Atkritumu apsaimniekošana (E)</c:v>
                </c:pt>
                <c:pt idx="5">
                  <c:v>Tautsaimniecības nozarēs kopā</c:v>
                </c:pt>
              </c:strCache>
            </c:strRef>
          </c:cat>
          <c:val>
            <c:numRef>
              <c:f>Sheet1!$E$2:$E$7</c:f>
              <c:numCache>
                <c:formatCode>0.0</c:formatCode>
                <c:ptCount val="6"/>
                <c:pt idx="0">
                  <c:v>15.131674200865493</c:v>
                </c:pt>
                <c:pt idx="1">
                  <c:v>8.6814356537540949</c:v>
                </c:pt>
                <c:pt idx="2">
                  <c:v>41.967633882580103</c:v>
                </c:pt>
                <c:pt idx="3">
                  <c:v>13.657857278211855</c:v>
                </c:pt>
                <c:pt idx="4">
                  <c:v>5.209683354933679</c:v>
                </c:pt>
                <c:pt idx="5">
                  <c:v>8.3095469216526663</c:v>
                </c:pt>
              </c:numCache>
            </c:numRef>
          </c:val>
          <c:extLst>
            <c:ext xmlns:c16="http://schemas.microsoft.com/office/drawing/2014/chart" uri="{C3380CC4-5D6E-409C-BE32-E72D297353CC}">
              <c16:uniqueId val="{00000003-6BAF-487F-BD4E-57415C8C05E2}"/>
            </c:ext>
          </c:extLst>
        </c:ser>
        <c:ser>
          <c:idx val="4"/>
          <c:order val="4"/>
          <c:tx>
            <c:strRef>
              <c:f>Sheet1!$F$1</c:f>
              <c:strCache>
                <c:ptCount val="1"/>
                <c:pt idx="0">
                  <c:v>Kultivētie bioloģiskie resursi</c:v>
                </c:pt>
              </c:strCache>
            </c:strRef>
          </c:tx>
          <c:spPr>
            <a:solidFill>
              <a:schemeClr val="accent5"/>
            </a:solidFill>
            <a:ln>
              <a:noFill/>
            </a:ln>
            <a:effectLst/>
          </c:spPr>
          <c:invertIfNegative val="0"/>
          <c:cat>
            <c:strRef>
              <c:f>Sheet1!$A$2:$A$7</c:f>
              <c:strCache>
                <c:ptCount val="6"/>
                <c:pt idx="0">
                  <c:v>Enerģētika (D)</c:v>
                </c:pt>
                <c:pt idx="1">
                  <c:v>Transports (H)</c:v>
                </c:pt>
                <c:pt idx="2">
                  <c:v>Rūpniecība (C)</c:v>
                </c:pt>
                <c:pt idx="3">
                  <c:v>Lauksaimniecība (A)</c:v>
                </c:pt>
                <c:pt idx="4">
                  <c:v>Atkritumu apsaimniekošana (E)</c:v>
                </c:pt>
                <c:pt idx="5">
                  <c:v>Tautsaimniecības nozarēs kopā</c:v>
                </c:pt>
              </c:strCache>
            </c:strRef>
          </c:cat>
          <c:val>
            <c:numRef>
              <c:f>Sheet1!$F$2:$F$7</c:f>
              <c:numCache>
                <c:formatCode>0.0</c:formatCode>
                <c:ptCount val="6"/>
                <c:pt idx="0">
                  <c:v>1.0456717234278727E-2</c:v>
                </c:pt>
                <c:pt idx="1">
                  <c:v>4.1166542186884345E-3</c:v>
                </c:pt>
                <c:pt idx="2">
                  <c:v>5.1804625917618877E-2</c:v>
                </c:pt>
                <c:pt idx="3">
                  <c:v>0.99375542599276379</c:v>
                </c:pt>
                <c:pt idx="4">
                  <c:v>0</c:v>
                </c:pt>
                <c:pt idx="5">
                  <c:v>9.5663069614918231E-2</c:v>
                </c:pt>
              </c:numCache>
            </c:numRef>
          </c:val>
          <c:extLst>
            <c:ext xmlns:c16="http://schemas.microsoft.com/office/drawing/2014/chart" uri="{C3380CC4-5D6E-409C-BE32-E72D297353CC}">
              <c16:uniqueId val="{00000004-6BAF-487F-BD4E-57415C8C05E2}"/>
            </c:ext>
          </c:extLst>
        </c:ser>
        <c:ser>
          <c:idx val="5"/>
          <c:order val="5"/>
          <c:tx>
            <c:strRef>
              <c:f>Sheet1!$G$1</c:f>
              <c:strCache>
                <c:ptCount val="1"/>
                <c:pt idx="0">
                  <c:v>Intelektuālā īpašuma produkti</c:v>
                </c:pt>
              </c:strCache>
            </c:strRef>
          </c:tx>
          <c:spPr>
            <a:solidFill>
              <a:schemeClr val="accent6"/>
            </a:solidFill>
            <a:ln>
              <a:noFill/>
            </a:ln>
            <a:effectLst/>
          </c:spPr>
          <c:invertIfNegative val="0"/>
          <c:cat>
            <c:strRef>
              <c:f>Sheet1!$A$2:$A$7</c:f>
              <c:strCache>
                <c:ptCount val="6"/>
                <c:pt idx="0">
                  <c:v>Enerģētika (D)</c:v>
                </c:pt>
                <c:pt idx="1">
                  <c:v>Transports (H)</c:v>
                </c:pt>
                <c:pt idx="2">
                  <c:v>Rūpniecība (C)</c:v>
                </c:pt>
                <c:pt idx="3">
                  <c:v>Lauksaimniecība (A)</c:v>
                </c:pt>
                <c:pt idx="4">
                  <c:v>Atkritumu apsaimniekošana (E)</c:v>
                </c:pt>
                <c:pt idx="5">
                  <c:v>Tautsaimniecības nozarēs kopā</c:v>
                </c:pt>
              </c:strCache>
            </c:strRef>
          </c:cat>
          <c:val>
            <c:numRef>
              <c:f>Sheet1!$G$2:$G$7</c:f>
              <c:numCache>
                <c:formatCode>0.0</c:formatCode>
                <c:ptCount val="6"/>
                <c:pt idx="0">
                  <c:v>0.47940026704847089</c:v>
                </c:pt>
                <c:pt idx="1">
                  <c:v>0.30345622526331889</c:v>
                </c:pt>
                <c:pt idx="2">
                  <c:v>2.2540899163473025</c:v>
                </c:pt>
                <c:pt idx="3">
                  <c:v>0.1282407223786671</c:v>
                </c:pt>
                <c:pt idx="4">
                  <c:v>0.12160194563113011</c:v>
                </c:pt>
                <c:pt idx="5">
                  <c:v>1.1561152707499514</c:v>
                </c:pt>
              </c:numCache>
            </c:numRef>
          </c:val>
          <c:extLst>
            <c:ext xmlns:c16="http://schemas.microsoft.com/office/drawing/2014/chart" uri="{C3380CC4-5D6E-409C-BE32-E72D297353CC}">
              <c16:uniqueId val="{00000005-6BAF-487F-BD4E-57415C8C05E2}"/>
            </c:ext>
          </c:extLst>
        </c:ser>
        <c:dLbls>
          <c:showLegendKey val="0"/>
          <c:showVal val="0"/>
          <c:showCatName val="0"/>
          <c:showSerName val="0"/>
          <c:showPercent val="0"/>
          <c:showBubbleSize val="0"/>
        </c:dLbls>
        <c:gapWidth val="30"/>
        <c:overlap val="100"/>
        <c:axId val="2016410432"/>
        <c:axId val="2016433472"/>
      </c:barChart>
      <c:catAx>
        <c:axId val="201641043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2016433472"/>
        <c:crosses val="autoZero"/>
        <c:auto val="1"/>
        <c:lblAlgn val="ctr"/>
        <c:lblOffset val="100"/>
        <c:noMultiLvlLbl val="0"/>
      </c:catAx>
      <c:valAx>
        <c:axId val="2016433472"/>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2016410432"/>
        <c:crosses val="autoZero"/>
        <c:crossBetween val="between"/>
      </c:valAx>
      <c:spPr>
        <a:noFill/>
        <a:ln>
          <a:noFill/>
        </a:ln>
        <a:effectLst/>
      </c:spPr>
    </c:plotArea>
    <c:legend>
      <c:legendPos val="b"/>
      <c:layout>
        <c:manualLayout>
          <c:xMode val="edge"/>
          <c:yMode val="edge"/>
          <c:x val="2.8294813086097742E-2"/>
          <c:y val="0.7954052420895199"/>
          <c:w val="0.94348228264742129"/>
          <c:h val="0.20459475791048023"/>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7659871077317911"/>
          <c:y val="3.1068212915608431E-2"/>
          <c:w val="0.45209363145999021"/>
          <c:h val="0.6694219162034325"/>
        </c:manualLayout>
      </c:layout>
      <c:barChart>
        <c:barDir val="bar"/>
        <c:grouping val="percentStacked"/>
        <c:varyColors val="0"/>
        <c:ser>
          <c:idx val="0"/>
          <c:order val="0"/>
          <c:tx>
            <c:strRef>
              <c:f>Sheet1!$B$1</c:f>
              <c:strCache>
                <c:ptCount val="1"/>
                <c:pt idx="0">
                  <c:v>Būvniecība</c:v>
                </c:pt>
              </c:strCache>
            </c:strRef>
          </c:tx>
          <c:spPr>
            <a:solidFill>
              <a:schemeClr val="accent1"/>
            </a:solidFill>
            <a:ln>
              <a:noFill/>
            </a:ln>
            <a:effectLst/>
          </c:spPr>
          <c:invertIfNegative val="0"/>
          <c:cat>
            <c:strRef>
              <c:f>Sheet1!$A$2:$A$7</c:f>
              <c:strCache>
                <c:ptCount val="6"/>
                <c:pt idx="0">
                  <c:v>Enerģētika (D)</c:v>
                </c:pt>
                <c:pt idx="1">
                  <c:v>Transports (H)</c:v>
                </c:pt>
                <c:pt idx="2">
                  <c:v>Rūpniecība (C)</c:v>
                </c:pt>
                <c:pt idx="3">
                  <c:v>Lauksaimniecība (A)</c:v>
                </c:pt>
                <c:pt idx="4">
                  <c:v>Atkritumu apsaimniekošana (E)</c:v>
                </c:pt>
                <c:pt idx="5">
                  <c:v>Tautsaimniecības nozarēs kopā</c:v>
                </c:pt>
              </c:strCache>
            </c:strRef>
          </c:cat>
          <c:val>
            <c:numRef>
              <c:f>Sheet1!$B$2:$B$7</c:f>
              <c:numCache>
                <c:formatCode>0.0</c:formatCode>
                <c:ptCount val="6"/>
                <c:pt idx="0">
                  <c:v>38.266007144820001</c:v>
                </c:pt>
                <c:pt idx="1">
                  <c:v>36.883120603950893</c:v>
                </c:pt>
                <c:pt idx="2">
                  <c:v>22.695285010555949</c:v>
                </c:pt>
                <c:pt idx="3">
                  <c:v>38.266007144820001</c:v>
                </c:pt>
                <c:pt idx="4">
                  <c:v>71.157233667764416</c:v>
                </c:pt>
                <c:pt idx="5">
                  <c:v>52.939372719566578</c:v>
                </c:pt>
              </c:numCache>
            </c:numRef>
          </c:val>
          <c:extLst>
            <c:ext xmlns:c16="http://schemas.microsoft.com/office/drawing/2014/chart" uri="{C3380CC4-5D6E-409C-BE32-E72D297353CC}">
              <c16:uniqueId val="{00000000-1DB4-401D-A527-8177D9A730F2}"/>
            </c:ext>
          </c:extLst>
        </c:ser>
        <c:ser>
          <c:idx val="1"/>
          <c:order val="1"/>
          <c:tx>
            <c:strRef>
              <c:f>Sheet1!$C$1</c:f>
              <c:strCache>
                <c:ptCount val="1"/>
                <c:pt idx="0">
                  <c:v>Transportlīdzekļi</c:v>
                </c:pt>
              </c:strCache>
            </c:strRef>
          </c:tx>
          <c:spPr>
            <a:solidFill>
              <a:schemeClr val="accent2"/>
            </a:solidFill>
            <a:ln>
              <a:noFill/>
            </a:ln>
            <a:effectLst/>
          </c:spPr>
          <c:invertIfNegative val="0"/>
          <c:cat>
            <c:strRef>
              <c:f>Sheet1!$A$2:$A$7</c:f>
              <c:strCache>
                <c:ptCount val="6"/>
                <c:pt idx="0">
                  <c:v>Enerģētika (D)</c:v>
                </c:pt>
                <c:pt idx="1">
                  <c:v>Transports (H)</c:v>
                </c:pt>
                <c:pt idx="2">
                  <c:v>Rūpniecība (C)</c:v>
                </c:pt>
                <c:pt idx="3">
                  <c:v>Lauksaimniecība (A)</c:v>
                </c:pt>
                <c:pt idx="4">
                  <c:v>Atkritumu apsaimniekošana (E)</c:v>
                </c:pt>
                <c:pt idx="5">
                  <c:v>Tautsaimniecības nozarēs kopā</c:v>
                </c:pt>
              </c:strCache>
            </c:strRef>
          </c:cat>
          <c:val>
            <c:numRef>
              <c:f>Sheet1!$C$2:$C$7</c:f>
              <c:numCache>
                <c:formatCode>0.0</c:formatCode>
                <c:ptCount val="6"/>
                <c:pt idx="0">
                  <c:v>11.508263651709653</c:v>
                </c:pt>
                <c:pt idx="1">
                  <c:v>35.854570458550008</c:v>
                </c:pt>
                <c:pt idx="2">
                  <c:v>7.3290523105794048</c:v>
                </c:pt>
                <c:pt idx="3">
                  <c:v>11.508263651709653</c:v>
                </c:pt>
                <c:pt idx="4">
                  <c:v>7.0536876771080657</c:v>
                </c:pt>
                <c:pt idx="5">
                  <c:v>9.4199683042789228</c:v>
                </c:pt>
              </c:numCache>
            </c:numRef>
          </c:val>
          <c:extLst>
            <c:ext xmlns:c16="http://schemas.microsoft.com/office/drawing/2014/chart" uri="{C3380CC4-5D6E-409C-BE32-E72D297353CC}">
              <c16:uniqueId val="{00000001-1DB4-401D-A527-8177D9A730F2}"/>
            </c:ext>
          </c:extLst>
        </c:ser>
        <c:ser>
          <c:idx val="2"/>
          <c:order val="2"/>
          <c:tx>
            <c:strRef>
              <c:f>Sheet1!$D$1</c:f>
              <c:strCache>
                <c:ptCount val="1"/>
                <c:pt idx="0">
                  <c:v>IKT aprīkojums</c:v>
                </c:pt>
              </c:strCache>
            </c:strRef>
          </c:tx>
          <c:spPr>
            <a:solidFill>
              <a:schemeClr val="accent3"/>
            </a:solidFill>
            <a:ln>
              <a:noFill/>
            </a:ln>
            <a:effectLst/>
          </c:spPr>
          <c:invertIfNegative val="0"/>
          <c:cat>
            <c:strRef>
              <c:f>Sheet1!$A$2:$A$7</c:f>
              <c:strCache>
                <c:ptCount val="6"/>
                <c:pt idx="0">
                  <c:v>Enerģētika (D)</c:v>
                </c:pt>
                <c:pt idx="1">
                  <c:v>Transports (H)</c:v>
                </c:pt>
                <c:pt idx="2">
                  <c:v>Rūpniecība (C)</c:v>
                </c:pt>
                <c:pt idx="3">
                  <c:v>Lauksaimniecība (A)</c:v>
                </c:pt>
                <c:pt idx="4">
                  <c:v>Atkritumu apsaimniekošana (E)</c:v>
                </c:pt>
                <c:pt idx="5">
                  <c:v>Tautsaimniecības nozarēs kopā</c:v>
                </c:pt>
              </c:strCache>
            </c:strRef>
          </c:cat>
          <c:val>
            <c:numRef>
              <c:f>Sheet1!$D$2:$D$7</c:f>
              <c:numCache>
                <c:formatCode>0.0</c:formatCode>
                <c:ptCount val="6"/>
                <c:pt idx="0">
                  <c:v>0.64578180818906283</c:v>
                </c:pt>
                <c:pt idx="1">
                  <c:v>7.8802985373959631</c:v>
                </c:pt>
                <c:pt idx="2">
                  <c:v>1.4001290171240912</c:v>
                </c:pt>
                <c:pt idx="3">
                  <c:v>0.64578180818906283</c:v>
                </c:pt>
                <c:pt idx="4">
                  <c:v>1.4857930611932297</c:v>
                </c:pt>
                <c:pt idx="5">
                  <c:v>4.9181439575424761</c:v>
                </c:pt>
              </c:numCache>
            </c:numRef>
          </c:val>
          <c:extLst>
            <c:ext xmlns:c16="http://schemas.microsoft.com/office/drawing/2014/chart" uri="{C3380CC4-5D6E-409C-BE32-E72D297353CC}">
              <c16:uniqueId val="{00000002-1DB4-401D-A527-8177D9A730F2}"/>
            </c:ext>
          </c:extLst>
        </c:ser>
        <c:ser>
          <c:idx val="3"/>
          <c:order val="3"/>
          <c:tx>
            <c:strRef>
              <c:f>Sheet1!$E$1</c:f>
              <c:strCache>
                <c:ptCount val="1"/>
                <c:pt idx="0">
                  <c:v>Citas mašīnas un iekārtas </c:v>
                </c:pt>
              </c:strCache>
            </c:strRef>
          </c:tx>
          <c:spPr>
            <a:solidFill>
              <a:schemeClr val="accent4"/>
            </a:solidFill>
            <a:ln>
              <a:noFill/>
            </a:ln>
            <a:effectLst/>
          </c:spPr>
          <c:invertIfNegative val="0"/>
          <c:cat>
            <c:strRef>
              <c:f>Sheet1!$A$2:$A$7</c:f>
              <c:strCache>
                <c:ptCount val="6"/>
                <c:pt idx="0">
                  <c:v>Enerģētika (D)</c:v>
                </c:pt>
                <c:pt idx="1">
                  <c:v>Transports (H)</c:v>
                </c:pt>
                <c:pt idx="2">
                  <c:v>Rūpniecība (C)</c:v>
                </c:pt>
                <c:pt idx="3">
                  <c:v>Lauksaimniecība (A)</c:v>
                </c:pt>
                <c:pt idx="4">
                  <c:v>Atkritumu apsaimniekošana (E)</c:v>
                </c:pt>
                <c:pt idx="5">
                  <c:v>Tautsaimniecības nozarēs kopā</c:v>
                </c:pt>
              </c:strCache>
            </c:strRef>
          </c:cat>
          <c:val>
            <c:numRef>
              <c:f>Sheet1!$E$2:$E$7</c:f>
              <c:numCache>
                <c:formatCode>0.0</c:formatCode>
                <c:ptCount val="6"/>
                <c:pt idx="0">
                  <c:v>44.93385152906999</c:v>
                </c:pt>
                <c:pt idx="1">
                  <c:v>17.824859971063074</c:v>
                </c:pt>
                <c:pt idx="2">
                  <c:v>60.799319727891152</c:v>
                </c:pt>
                <c:pt idx="3">
                  <c:v>44.93385152906999</c:v>
                </c:pt>
                <c:pt idx="4">
                  <c:v>18.572413264915376</c:v>
                </c:pt>
                <c:pt idx="5">
                  <c:v>24.733276821582571</c:v>
                </c:pt>
              </c:numCache>
            </c:numRef>
          </c:val>
          <c:extLst>
            <c:ext xmlns:c16="http://schemas.microsoft.com/office/drawing/2014/chart" uri="{C3380CC4-5D6E-409C-BE32-E72D297353CC}">
              <c16:uniqueId val="{00000003-1DB4-401D-A527-8177D9A730F2}"/>
            </c:ext>
          </c:extLst>
        </c:ser>
        <c:ser>
          <c:idx val="4"/>
          <c:order val="4"/>
          <c:tx>
            <c:strRef>
              <c:f>Sheet1!$F$1</c:f>
              <c:strCache>
                <c:ptCount val="1"/>
                <c:pt idx="0">
                  <c:v>Kultivētie bioloģiskie resursi</c:v>
                </c:pt>
              </c:strCache>
            </c:strRef>
          </c:tx>
          <c:spPr>
            <a:solidFill>
              <a:schemeClr val="accent5"/>
            </a:solidFill>
            <a:ln>
              <a:noFill/>
            </a:ln>
            <a:effectLst/>
          </c:spPr>
          <c:invertIfNegative val="0"/>
          <c:cat>
            <c:strRef>
              <c:f>Sheet1!$A$2:$A$7</c:f>
              <c:strCache>
                <c:ptCount val="6"/>
                <c:pt idx="0">
                  <c:v>Enerģētika (D)</c:v>
                </c:pt>
                <c:pt idx="1">
                  <c:v>Transports (H)</c:v>
                </c:pt>
                <c:pt idx="2">
                  <c:v>Rūpniecība (C)</c:v>
                </c:pt>
                <c:pt idx="3">
                  <c:v>Lauksaimniecība (A)</c:v>
                </c:pt>
                <c:pt idx="4">
                  <c:v>Atkritumu apsaimniekošana (E)</c:v>
                </c:pt>
                <c:pt idx="5">
                  <c:v>Tautsaimniecības nozarēs kopā</c:v>
                </c:pt>
              </c:strCache>
            </c:strRef>
          </c:cat>
          <c:val>
            <c:numRef>
              <c:f>Sheet1!$F$2:$F$7</c:f>
              <c:numCache>
                <c:formatCode>0.0</c:formatCode>
                <c:ptCount val="6"/>
                <c:pt idx="0">
                  <c:v>3.858987948023398</c:v>
                </c:pt>
                <c:pt idx="1">
                  <c:v>7.1626054693655359E-3</c:v>
                </c:pt>
                <c:pt idx="2">
                  <c:v>0.1260849167253108</c:v>
                </c:pt>
                <c:pt idx="3">
                  <c:v>3.858987948023398</c:v>
                </c:pt>
                <c:pt idx="4">
                  <c:v>0</c:v>
                </c:pt>
                <c:pt idx="5">
                  <c:v>0.33405815796262855</c:v>
                </c:pt>
              </c:numCache>
            </c:numRef>
          </c:val>
          <c:extLst>
            <c:ext xmlns:c16="http://schemas.microsoft.com/office/drawing/2014/chart" uri="{C3380CC4-5D6E-409C-BE32-E72D297353CC}">
              <c16:uniqueId val="{00000004-1DB4-401D-A527-8177D9A730F2}"/>
            </c:ext>
          </c:extLst>
        </c:ser>
        <c:ser>
          <c:idx val="5"/>
          <c:order val="5"/>
          <c:tx>
            <c:strRef>
              <c:f>Sheet1!$G$1</c:f>
              <c:strCache>
                <c:ptCount val="1"/>
                <c:pt idx="0">
                  <c:v>Intelektuālā īpašuma produkti</c:v>
                </c:pt>
              </c:strCache>
            </c:strRef>
          </c:tx>
          <c:spPr>
            <a:solidFill>
              <a:schemeClr val="accent6"/>
            </a:solidFill>
            <a:ln>
              <a:noFill/>
            </a:ln>
            <a:effectLst/>
          </c:spPr>
          <c:invertIfNegative val="0"/>
          <c:cat>
            <c:strRef>
              <c:f>Sheet1!$A$2:$A$7</c:f>
              <c:strCache>
                <c:ptCount val="6"/>
                <c:pt idx="0">
                  <c:v>Enerģētika (D)</c:v>
                </c:pt>
                <c:pt idx="1">
                  <c:v>Transports (H)</c:v>
                </c:pt>
                <c:pt idx="2">
                  <c:v>Rūpniecība (C)</c:v>
                </c:pt>
                <c:pt idx="3">
                  <c:v>Lauksaimniecība (A)</c:v>
                </c:pt>
                <c:pt idx="4">
                  <c:v>Atkritumu apsaimniekošana (E)</c:v>
                </c:pt>
                <c:pt idx="5">
                  <c:v>Tautsaimniecības nozarēs kopā</c:v>
                </c:pt>
              </c:strCache>
            </c:strRef>
          </c:cat>
          <c:val>
            <c:numRef>
              <c:f>Sheet1!$G$2:$G$7</c:f>
              <c:numCache>
                <c:formatCode>0.0</c:formatCode>
                <c:ptCount val="6"/>
                <c:pt idx="0">
                  <c:v>0.78121933027126744</c:v>
                </c:pt>
                <c:pt idx="1">
                  <c:v>0.39680834300285073</c:v>
                </c:pt>
                <c:pt idx="2">
                  <c:v>7.6515951208069453</c:v>
                </c:pt>
                <c:pt idx="3">
                  <c:v>0.78121933027126744</c:v>
                </c:pt>
                <c:pt idx="4">
                  <c:v>1.7308723290189172</c:v>
                </c:pt>
                <c:pt idx="5">
                  <c:v>7.6554748829838219</c:v>
                </c:pt>
              </c:numCache>
            </c:numRef>
          </c:val>
          <c:extLst>
            <c:ext xmlns:c16="http://schemas.microsoft.com/office/drawing/2014/chart" uri="{C3380CC4-5D6E-409C-BE32-E72D297353CC}">
              <c16:uniqueId val="{00000005-1DB4-401D-A527-8177D9A730F2}"/>
            </c:ext>
          </c:extLst>
        </c:ser>
        <c:dLbls>
          <c:showLegendKey val="0"/>
          <c:showVal val="0"/>
          <c:showCatName val="0"/>
          <c:showSerName val="0"/>
          <c:showPercent val="0"/>
          <c:showBubbleSize val="0"/>
        </c:dLbls>
        <c:gapWidth val="30"/>
        <c:overlap val="100"/>
        <c:axId val="2016410432"/>
        <c:axId val="2016433472"/>
      </c:barChart>
      <c:catAx>
        <c:axId val="201641043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2016433472"/>
        <c:crosses val="autoZero"/>
        <c:auto val="1"/>
        <c:lblAlgn val="ctr"/>
        <c:lblOffset val="100"/>
        <c:noMultiLvlLbl val="0"/>
      </c:catAx>
      <c:valAx>
        <c:axId val="2016433472"/>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2016410432"/>
        <c:crosses val="autoZero"/>
        <c:crossBetween val="between"/>
      </c:valAx>
      <c:spPr>
        <a:noFill/>
        <a:ln>
          <a:noFill/>
        </a:ln>
        <a:effectLst/>
      </c:spPr>
    </c:plotArea>
    <c:legend>
      <c:legendPos val="b"/>
      <c:layout>
        <c:manualLayout>
          <c:xMode val="edge"/>
          <c:yMode val="edge"/>
          <c:x val="7.5393128785427414E-3"/>
          <c:y val="0.79591875478958252"/>
          <c:w val="0.98850668261735031"/>
          <c:h val="0.20408124521041748"/>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4161169897105028E-2"/>
          <c:y val="4.540763673890609E-2"/>
          <c:w val="0.89935195314647798"/>
          <c:h val="0.83866301481500349"/>
        </c:manualLayout>
      </c:layout>
      <c:lineChart>
        <c:grouping val="standard"/>
        <c:varyColors val="0"/>
        <c:ser>
          <c:idx val="0"/>
          <c:order val="0"/>
          <c:tx>
            <c:strRef>
              <c:f>Sheet1!$A$2</c:f>
              <c:strCache>
                <c:ptCount val="1"/>
                <c:pt idx="0">
                  <c:v>Min</c:v>
                </c:pt>
              </c:strCache>
            </c:strRef>
          </c:tx>
          <c:spPr>
            <a:ln w="38100" cap="rnd">
              <a:solidFill>
                <a:schemeClr val="bg2">
                  <a:lumMod val="90000"/>
                </a:schemeClr>
              </a:solidFill>
              <a:round/>
            </a:ln>
            <a:effectLst/>
          </c:spPr>
          <c:marker>
            <c:symbol val="none"/>
          </c:marker>
          <c:cat>
            <c:strRef>
              <c:f>Sheet1!$B$1:$AD$1</c:f>
              <c:strCache>
                <c:ptCount val="29"/>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pt idx="17">
                  <c:v>2012</c:v>
                </c:pt>
                <c:pt idx="18">
                  <c:v>2013</c:v>
                </c:pt>
                <c:pt idx="19">
                  <c:v>2014</c:v>
                </c:pt>
                <c:pt idx="20">
                  <c:v>2015</c:v>
                </c:pt>
                <c:pt idx="21">
                  <c:v>2016</c:v>
                </c:pt>
                <c:pt idx="22">
                  <c:v>2017</c:v>
                </c:pt>
                <c:pt idx="23">
                  <c:v>2018</c:v>
                </c:pt>
                <c:pt idx="24">
                  <c:v>2019</c:v>
                </c:pt>
                <c:pt idx="25">
                  <c:v>2020</c:v>
                </c:pt>
                <c:pt idx="26">
                  <c:v>2021</c:v>
                </c:pt>
                <c:pt idx="27">
                  <c:v>2022</c:v>
                </c:pt>
                <c:pt idx="28">
                  <c:v>2023</c:v>
                </c:pt>
              </c:strCache>
            </c:strRef>
          </c:cat>
          <c:val>
            <c:numRef>
              <c:f>Sheet1!$B$2:$AD$2</c:f>
              <c:numCache>
                <c:formatCode>0.0</c:formatCode>
                <c:ptCount val="29"/>
                <c:pt idx="0">
                  <c:v>14.2</c:v>
                </c:pt>
                <c:pt idx="1">
                  <c:v>4.5</c:v>
                </c:pt>
                <c:pt idx="2">
                  <c:v>9.6999999999999993</c:v>
                </c:pt>
                <c:pt idx="3">
                  <c:v>14.6</c:v>
                </c:pt>
                <c:pt idx="4">
                  <c:v>16.3</c:v>
                </c:pt>
                <c:pt idx="5">
                  <c:v>16.7</c:v>
                </c:pt>
                <c:pt idx="6">
                  <c:v>19</c:v>
                </c:pt>
                <c:pt idx="7">
                  <c:v>17.399999999999999</c:v>
                </c:pt>
                <c:pt idx="8">
                  <c:v>18.100000000000001</c:v>
                </c:pt>
                <c:pt idx="9">
                  <c:v>18.3</c:v>
                </c:pt>
                <c:pt idx="10">
                  <c:v>18.8</c:v>
                </c:pt>
                <c:pt idx="11">
                  <c:v>18.2</c:v>
                </c:pt>
                <c:pt idx="12">
                  <c:v>18.899999999999999</c:v>
                </c:pt>
                <c:pt idx="13">
                  <c:v>20</c:v>
                </c:pt>
                <c:pt idx="14">
                  <c:v>17.899999999999999</c:v>
                </c:pt>
                <c:pt idx="15">
                  <c:v>16.600000000000001</c:v>
                </c:pt>
                <c:pt idx="16">
                  <c:v>13.7</c:v>
                </c:pt>
                <c:pt idx="17">
                  <c:v>11.5</c:v>
                </c:pt>
                <c:pt idx="18">
                  <c:v>11.2</c:v>
                </c:pt>
                <c:pt idx="19">
                  <c:v>10.8</c:v>
                </c:pt>
                <c:pt idx="20">
                  <c:v>10.8</c:v>
                </c:pt>
                <c:pt idx="21">
                  <c:v>11</c:v>
                </c:pt>
                <c:pt idx="22">
                  <c:v>11.8</c:v>
                </c:pt>
                <c:pt idx="23">
                  <c:v>11.1</c:v>
                </c:pt>
                <c:pt idx="24">
                  <c:v>10.7</c:v>
                </c:pt>
                <c:pt idx="25">
                  <c:v>12.1</c:v>
                </c:pt>
                <c:pt idx="26">
                  <c:v>13.3</c:v>
                </c:pt>
                <c:pt idx="27">
                  <c:v>13.7</c:v>
                </c:pt>
                <c:pt idx="28">
                  <c:v>13.9</c:v>
                </c:pt>
              </c:numCache>
            </c:numRef>
          </c:val>
          <c:smooth val="0"/>
          <c:extLst>
            <c:ext xmlns:c16="http://schemas.microsoft.com/office/drawing/2014/chart" uri="{C3380CC4-5D6E-409C-BE32-E72D297353CC}">
              <c16:uniqueId val="{00000000-E77D-4B48-BA46-A966AF4DAC27}"/>
            </c:ext>
          </c:extLst>
        </c:ser>
        <c:ser>
          <c:idx val="1"/>
          <c:order val="1"/>
          <c:tx>
            <c:strRef>
              <c:f>Sheet1!$A$3</c:f>
              <c:strCache>
                <c:ptCount val="1"/>
                <c:pt idx="0">
                  <c:v>Max</c:v>
                </c:pt>
              </c:strCache>
            </c:strRef>
          </c:tx>
          <c:spPr>
            <a:ln w="38100" cap="rnd">
              <a:solidFill>
                <a:schemeClr val="bg2">
                  <a:lumMod val="90000"/>
                </a:schemeClr>
              </a:solidFill>
              <a:round/>
            </a:ln>
            <a:effectLst/>
          </c:spPr>
          <c:marker>
            <c:symbol val="none"/>
          </c:marker>
          <c:cat>
            <c:strRef>
              <c:f>Sheet1!$B$1:$AD$1</c:f>
              <c:strCache>
                <c:ptCount val="29"/>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pt idx="17">
                  <c:v>2012</c:v>
                </c:pt>
                <c:pt idx="18">
                  <c:v>2013</c:v>
                </c:pt>
                <c:pt idx="19">
                  <c:v>2014</c:v>
                </c:pt>
                <c:pt idx="20">
                  <c:v>2015</c:v>
                </c:pt>
                <c:pt idx="21">
                  <c:v>2016</c:v>
                </c:pt>
                <c:pt idx="22">
                  <c:v>2017</c:v>
                </c:pt>
                <c:pt idx="23">
                  <c:v>2018</c:v>
                </c:pt>
                <c:pt idx="24">
                  <c:v>2019</c:v>
                </c:pt>
                <c:pt idx="25">
                  <c:v>2020</c:v>
                </c:pt>
                <c:pt idx="26">
                  <c:v>2021</c:v>
                </c:pt>
                <c:pt idx="27">
                  <c:v>2022</c:v>
                </c:pt>
                <c:pt idx="28">
                  <c:v>2023</c:v>
                </c:pt>
              </c:strCache>
            </c:strRef>
          </c:cat>
          <c:val>
            <c:numRef>
              <c:f>Sheet1!$B$3:$AD$3</c:f>
              <c:numCache>
                <c:formatCode>0.0</c:formatCode>
                <c:ptCount val="29"/>
                <c:pt idx="0">
                  <c:v>33.5</c:v>
                </c:pt>
                <c:pt idx="1">
                  <c:v>34.200000000000003</c:v>
                </c:pt>
                <c:pt idx="2">
                  <c:v>35.1</c:v>
                </c:pt>
                <c:pt idx="3">
                  <c:v>36.9</c:v>
                </c:pt>
                <c:pt idx="4">
                  <c:v>30.7</c:v>
                </c:pt>
                <c:pt idx="5">
                  <c:v>31.1</c:v>
                </c:pt>
                <c:pt idx="6">
                  <c:v>31</c:v>
                </c:pt>
                <c:pt idx="7">
                  <c:v>30.6</c:v>
                </c:pt>
                <c:pt idx="8">
                  <c:v>32.799999999999997</c:v>
                </c:pt>
                <c:pt idx="9">
                  <c:v>31.7</c:v>
                </c:pt>
                <c:pt idx="10">
                  <c:v>32.9</c:v>
                </c:pt>
                <c:pt idx="11">
                  <c:v>36.799999999999997</c:v>
                </c:pt>
                <c:pt idx="12">
                  <c:v>36.4</c:v>
                </c:pt>
                <c:pt idx="13">
                  <c:v>37.299999999999997</c:v>
                </c:pt>
                <c:pt idx="14">
                  <c:v>27.8</c:v>
                </c:pt>
                <c:pt idx="15">
                  <c:v>26.5</c:v>
                </c:pt>
                <c:pt idx="16">
                  <c:v>26.8</c:v>
                </c:pt>
                <c:pt idx="17">
                  <c:v>28.4</c:v>
                </c:pt>
                <c:pt idx="18">
                  <c:v>27.5</c:v>
                </c:pt>
                <c:pt idx="19">
                  <c:v>25.3</c:v>
                </c:pt>
                <c:pt idx="20">
                  <c:v>25.7</c:v>
                </c:pt>
                <c:pt idx="21">
                  <c:v>34.1</c:v>
                </c:pt>
                <c:pt idx="22">
                  <c:v>32.5</c:v>
                </c:pt>
                <c:pt idx="23">
                  <c:v>27.9</c:v>
                </c:pt>
                <c:pt idx="24">
                  <c:v>53.2</c:v>
                </c:pt>
                <c:pt idx="25">
                  <c:v>41.3</c:v>
                </c:pt>
                <c:pt idx="26">
                  <c:v>28.7</c:v>
                </c:pt>
                <c:pt idx="27">
                  <c:v>27.9</c:v>
                </c:pt>
                <c:pt idx="28">
                  <c:v>27.9</c:v>
                </c:pt>
              </c:numCache>
            </c:numRef>
          </c:val>
          <c:smooth val="0"/>
          <c:extLst>
            <c:ext xmlns:c16="http://schemas.microsoft.com/office/drawing/2014/chart" uri="{C3380CC4-5D6E-409C-BE32-E72D297353CC}">
              <c16:uniqueId val="{00000001-E77D-4B48-BA46-A966AF4DAC27}"/>
            </c:ext>
          </c:extLst>
        </c:ser>
        <c:ser>
          <c:idx val="2"/>
          <c:order val="2"/>
          <c:tx>
            <c:strRef>
              <c:f>Sheet1!$A$4</c:f>
              <c:strCache>
                <c:ptCount val="1"/>
                <c:pt idx="0">
                  <c:v>Vidēji ES</c:v>
                </c:pt>
              </c:strCache>
            </c:strRef>
          </c:tx>
          <c:spPr>
            <a:ln w="28575" cap="rnd">
              <a:solidFill>
                <a:schemeClr val="accent1"/>
              </a:solidFill>
              <a:round/>
            </a:ln>
            <a:effectLst/>
          </c:spPr>
          <c:marker>
            <c:symbol val="none"/>
          </c:marker>
          <c:cat>
            <c:strRef>
              <c:f>Sheet1!$B$1:$AD$1</c:f>
              <c:strCache>
                <c:ptCount val="29"/>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pt idx="17">
                  <c:v>2012</c:v>
                </c:pt>
                <c:pt idx="18">
                  <c:v>2013</c:v>
                </c:pt>
                <c:pt idx="19">
                  <c:v>2014</c:v>
                </c:pt>
                <c:pt idx="20">
                  <c:v>2015</c:v>
                </c:pt>
                <c:pt idx="21">
                  <c:v>2016</c:v>
                </c:pt>
                <c:pt idx="22">
                  <c:v>2017</c:v>
                </c:pt>
                <c:pt idx="23">
                  <c:v>2018</c:v>
                </c:pt>
                <c:pt idx="24">
                  <c:v>2019</c:v>
                </c:pt>
                <c:pt idx="25">
                  <c:v>2020</c:v>
                </c:pt>
                <c:pt idx="26">
                  <c:v>2021</c:v>
                </c:pt>
                <c:pt idx="27">
                  <c:v>2022</c:v>
                </c:pt>
                <c:pt idx="28">
                  <c:v>2023</c:v>
                </c:pt>
              </c:strCache>
            </c:strRef>
          </c:cat>
          <c:val>
            <c:numRef>
              <c:f>Sheet1!$B$4:$AD$4</c:f>
              <c:numCache>
                <c:formatCode>0.0</c:formatCode>
                <c:ptCount val="29"/>
                <c:pt idx="0">
                  <c:v>21.444444444444439</c:v>
                </c:pt>
                <c:pt idx="1">
                  <c:v>21.87777777777778</c:v>
                </c:pt>
                <c:pt idx="2">
                  <c:v>22.581481481481482</c:v>
                </c:pt>
                <c:pt idx="3">
                  <c:v>23.429629629629634</c:v>
                </c:pt>
                <c:pt idx="4">
                  <c:v>23.31851851851852</c:v>
                </c:pt>
                <c:pt idx="5">
                  <c:v>23.277777777777782</c:v>
                </c:pt>
                <c:pt idx="6">
                  <c:v>23.351851851851848</c:v>
                </c:pt>
                <c:pt idx="7">
                  <c:v>22.703703703703699</c:v>
                </c:pt>
                <c:pt idx="8">
                  <c:v>23.022222222222222</c:v>
                </c:pt>
                <c:pt idx="9">
                  <c:v>23.277777777777775</c:v>
                </c:pt>
                <c:pt idx="10">
                  <c:v>23.866666666666667</c:v>
                </c:pt>
                <c:pt idx="11">
                  <c:v>24.851851851851851</c:v>
                </c:pt>
                <c:pt idx="12">
                  <c:v>25.903703703703702</c:v>
                </c:pt>
                <c:pt idx="13">
                  <c:v>25.5037037037037</c:v>
                </c:pt>
                <c:pt idx="14">
                  <c:v>22.11481481481481</c:v>
                </c:pt>
                <c:pt idx="15">
                  <c:v>20.63703703703704</c:v>
                </c:pt>
                <c:pt idx="16">
                  <c:v>20.722222222222221</c:v>
                </c:pt>
                <c:pt idx="17">
                  <c:v>20.407407407407408</c:v>
                </c:pt>
                <c:pt idx="18">
                  <c:v>19.844444444444441</c:v>
                </c:pt>
                <c:pt idx="19">
                  <c:v>19.818518518518516</c:v>
                </c:pt>
                <c:pt idx="20">
                  <c:v>20.477777777777778</c:v>
                </c:pt>
                <c:pt idx="21">
                  <c:v>20.440740740740743</c:v>
                </c:pt>
                <c:pt idx="22">
                  <c:v>20.800000000000004</c:v>
                </c:pt>
                <c:pt idx="23">
                  <c:v>21.000000000000004</c:v>
                </c:pt>
                <c:pt idx="24">
                  <c:v>22.433333333333326</c:v>
                </c:pt>
                <c:pt idx="25">
                  <c:v>22.333333333333332</c:v>
                </c:pt>
                <c:pt idx="26">
                  <c:v>21.737037037037037</c:v>
                </c:pt>
                <c:pt idx="27">
                  <c:v>21.896296296296295</c:v>
                </c:pt>
                <c:pt idx="28">
                  <c:v>21.981481481481485</c:v>
                </c:pt>
              </c:numCache>
            </c:numRef>
          </c:val>
          <c:smooth val="0"/>
          <c:extLst>
            <c:ext xmlns:c16="http://schemas.microsoft.com/office/drawing/2014/chart" uri="{C3380CC4-5D6E-409C-BE32-E72D297353CC}">
              <c16:uniqueId val="{00000002-E77D-4B48-BA46-A966AF4DAC27}"/>
            </c:ext>
          </c:extLst>
        </c:ser>
        <c:ser>
          <c:idx val="3"/>
          <c:order val="3"/>
          <c:tx>
            <c:strRef>
              <c:f>Sheet1!$A$5</c:f>
              <c:strCache>
                <c:ptCount val="1"/>
                <c:pt idx="0">
                  <c:v>Latvija</c:v>
                </c:pt>
              </c:strCache>
            </c:strRef>
          </c:tx>
          <c:spPr>
            <a:ln w="28575" cap="rnd">
              <a:solidFill>
                <a:srgbClr val="C00000"/>
              </a:solidFill>
              <a:round/>
            </a:ln>
            <a:effectLst/>
          </c:spPr>
          <c:marker>
            <c:symbol val="none"/>
          </c:marker>
          <c:cat>
            <c:strRef>
              <c:f>Sheet1!$B$1:$AD$1</c:f>
              <c:strCache>
                <c:ptCount val="29"/>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pt idx="17">
                  <c:v>2012</c:v>
                </c:pt>
                <c:pt idx="18">
                  <c:v>2013</c:v>
                </c:pt>
                <c:pt idx="19">
                  <c:v>2014</c:v>
                </c:pt>
                <c:pt idx="20">
                  <c:v>2015</c:v>
                </c:pt>
                <c:pt idx="21">
                  <c:v>2016</c:v>
                </c:pt>
                <c:pt idx="22">
                  <c:v>2017</c:v>
                </c:pt>
                <c:pt idx="23">
                  <c:v>2018</c:v>
                </c:pt>
                <c:pt idx="24">
                  <c:v>2019</c:v>
                </c:pt>
                <c:pt idx="25">
                  <c:v>2020</c:v>
                </c:pt>
                <c:pt idx="26">
                  <c:v>2021</c:v>
                </c:pt>
                <c:pt idx="27">
                  <c:v>2022</c:v>
                </c:pt>
                <c:pt idx="28">
                  <c:v>2023</c:v>
                </c:pt>
              </c:strCache>
            </c:strRef>
          </c:cat>
          <c:val>
            <c:numRef>
              <c:f>Sheet1!$B$5:$AD$5</c:f>
              <c:numCache>
                <c:formatCode>0.0</c:formatCode>
                <c:ptCount val="29"/>
                <c:pt idx="0">
                  <c:v>14.2</c:v>
                </c:pt>
                <c:pt idx="1">
                  <c:v>17.8</c:v>
                </c:pt>
                <c:pt idx="2">
                  <c:v>17.600000000000001</c:v>
                </c:pt>
                <c:pt idx="3">
                  <c:v>23.8</c:v>
                </c:pt>
                <c:pt idx="4">
                  <c:v>22.8</c:v>
                </c:pt>
                <c:pt idx="5">
                  <c:v>25</c:v>
                </c:pt>
                <c:pt idx="6">
                  <c:v>27.1</c:v>
                </c:pt>
                <c:pt idx="7">
                  <c:v>24.3</c:v>
                </c:pt>
                <c:pt idx="8">
                  <c:v>24.7</c:v>
                </c:pt>
                <c:pt idx="9">
                  <c:v>28.6</c:v>
                </c:pt>
                <c:pt idx="10">
                  <c:v>31</c:v>
                </c:pt>
                <c:pt idx="11">
                  <c:v>33.9</c:v>
                </c:pt>
                <c:pt idx="12">
                  <c:v>36.200000000000003</c:v>
                </c:pt>
                <c:pt idx="13">
                  <c:v>31.9</c:v>
                </c:pt>
                <c:pt idx="14">
                  <c:v>22.2</c:v>
                </c:pt>
                <c:pt idx="15">
                  <c:v>19.100000000000001</c:v>
                </c:pt>
                <c:pt idx="16">
                  <c:v>23</c:v>
                </c:pt>
                <c:pt idx="17">
                  <c:v>26</c:v>
                </c:pt>
                <c:pt idx="18">
                  <c:v>24.3</c:v>
                </c:pt>
                <c:pt idx="19">
                  <c:v>22.8</c:v>
                </c:pt>
                <c:pt idx="20">
                  <c:v>21.9</c:v>
                </c:pt>
                <c:pt idx="21">
                  <c:v>19.3</c:v>
                </c:pt>
                <c:pt idx="22">
                  <c:v>20.6</c:v>
                </c:pt>
                <c:pt idx="23">
                  <c:v>22.1</c:v>
                </c:pt>
                <c:pt idx="24">
                  <c:v>22</c:v>
                </c:pt>
                <c:pt idx="25">
                  <c:v>22.4</c:v>
                </c:pt>
                <c:pt idx="26">
                  <c:v>22.4</c:v>
                </c:pt>
                <c:pt idx="27">
                  <c:v>22</c:v>
                </c:pt>
                <c:pt idx="28">
                  <c:v>24.1</c:v>
                </c:pt>
              </c:numCache>
            </c:numRef>
          </c:val>
          <c:smooth val="0"/>
          <c:extLst>
            <c:ext xmlns:c16="http://schemas.microsoft.com/office/drawing/2014/chart" uri="{C3380CC4-5D6E-409C-BE32-E72D297353CC}">
              <c16:uniqueId val="{00000003-E77D-4B48-BA46-A966AF4DAC27}"/>
            </c:ext>
          </c:extLst>
        </c:ser>
        <c:dLbls>
          <c:showLegendKey val="0"/>
          <c:showVal val="0"/>
          <c:showCatName val="0"/>
          <c:showSerName val="0"/>
          <c:showPercent val="0"/>
          <c:showBubbleSize val="0"/>
        </c:dLbls>
        <c:smooth val="0"/>
        <c:axId val="1820065391"/>
        <c:axId val="1820064911"/>
      </c:lineChart>
      <c:catAx>
        <c:axId val="182006539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1820064911"/>
        <c:crosses val="autoZero"/>
        <c:auto val="1"/>
        <c:lblAlgn val="ctr"/>
        <c:lblOffset val="100"/>
        <c:noMultiLvlLbl val="0"/>
      </c:catAx>
      <c:valAx>
        <c:axId val="1820064911"/>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1820065391"/>
        <c:crosses val="autoZero"/>
        <c:crossBetween val="between"/>
      </c:valAx>
      <c:spPr>
        <a:noFill/>
        <a:ln>
          <a:noFill/>
        </a:ln>
        <a:effectLst/>
      </c:spPr>
    </c:plotArea>
    <c:legend>
      <c:legendPos val="b"/>
      <c:layout>
        <c:manualLayout>
          <c:xMode val="edge"/>
          <c:yMode val="edge"/>
          <c:x val="0.12985983000619986"/>
          <c:y val="8.9740164425933092E-2"/>
          <c:w val="0.58189695466148927"/>
          <c:h val="0.17572923202300389"/>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4161169897105028E-2"/>
          <c:y val="4.540763673890609E-2"/>
          <c:w val="0.89935195314647798"/>
          <c:h val="0.85042426150715278"/>
        </c:manualLayout>
      </c:layout>
      <c:lineChart>
        <c:grouping val="standard"/>
        <c:varyColors val="0"/>
        <c:ser>
          <c:idx val="0"/>
          <c:order val="0"/>
          <c:tx>
            <c:strRef>
              <c:f>Sheet1!$A$2</c:f>
              <c:strCache>
                <c:ptCount val="1"/>
                <c:pt idx="0">
                  <c:v>Min</c:v>
                </c:pt>
              </c:strCache>
            </c:strRef>
          </c:tx>
          <c:spPr>
            <a:ln w="38100" cap="rnd">
              <a:solidFill>
                <a:schemeClr val="bg2">
                  <a:lumMod val="90000"/>
                </a:schemeClr>
              </a:solidFill>
              <a:round/>
            </a:ln>
            <a:effectLst/>
          </c:spPr>
          <c:marker>
            <c:symbol val="none"/>
          </c:marker>
          <c:cat>
            <c:strRef>
              <c:f>Sheet1!$B$1:$AD$1</c:f>
              <c:strCache>
                <c:ptCount val="29"/>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pt idx="17">
                  <c:v>2012</c:v>
                </c:pt>
                <c:pt idx="18">
                  <c:v>2013</c:v>
                </c:pt>
                <c:pt idx="19">
                  <c:v>2014</c:v>
                </c:pt>
                <c:pt idx="20">
                  <c:v>2015</c:v>
                </c:pt>
                <c:pt idx="21">
                  <c:v>2016</c:v>
                </c:pt>
                <c:pt idx="22">
                  <c:v>2017</c:v>
                </c:pt>
                <c:pt idx="23">
                  <c:v>2018</c:v>
                </c:pt>
                <c:pt idx="24">
                  <c:v>2019</c:v>
                </c:pt>
                <c:pt idx="25">
                  <c:v>2020</c:v>
                </c:pt>
                <c:pt idx="26">
                  <c:v>2021</c:v>
                </c:pt>
                <c:pt idx="27">
                  <c:v>2022</c:v>
                </c:pt>
                <c:pt idx="28">
                  <c:v>2023</c:v>
                </c:pt>
              </c:strCache>
            </c:strRef>
          </c:cat>
          <c:val>
            <c:numRef>
              <c:f>Sheet1!$B$2:$AD$2</c:f>
              <c:numCache>
                <c:formatCode>0.0</c:formatCode>
                <c:ptCount val="29"/>
                <c:pt idx="0">
                  <c:v>14.2</c:v>
                </c:pt>
                <c:pt idx="1">
                  <c:v>4.5</c:v>
                </c:pt>
                <c:pt idx="2">
                  <c:v>9.6999999999999993</c:v>
                </c:pt>
                <c:pt idx="3">
                  <c:v>14.6</c:v>
                </c:pt>
                <c:pt idx="4">
                  <c:v>16.3</c:v>
                </c:pt>
                <c:pt idx="5">
                  <c:v>16.7</c:v>
                </c:pt>
                <c:pt idx="6">
                  <c:v>19</c:v>
                </c:pt>
                <c:pt idx="7">
                  <c:v>17.399999999999999</c:v>
                </c:pt>
                <c:pt idx="8">
                  <c:v>18.100000000000001</c:v>
                </c:pt>
                <c:pt idx="9">
                  <c:v>18.3</c:v>
                </c:pt>
                <c:pt idx="10">
                  <c:v>18.8</c:v>
                </c:pt>
                <c:pt idx="11">
                  <c:v>18.2</c:v>
                </c:pt>
                <c:pt idx="12">
                  <c:v>18.899999999999999</c:v>
                </c:pt>
                <c:pt idx="13">
                  <c:v>20</c:v>
                </c:pt>
                <c:pt idx="14">
                  <c:v>17.899999999999999</c:v>
                </c:pt>
                <c:pt idx="15">
                  <c:v>16.8</c:v>
                </c:pt>
                <c:pt idx="16">
                  <c:v>18</c:v>
                </c:pt>
                <c:pt idx="17">
                  <c:v>15.5</c:v>
                </c:pt>
                <c:pt idx="18">
                  <c:v>14.1</c:v>
                </c:pt>
                <c:pt idx="19">
                  <c:v>13.3</c:v>
                </c:pt>
                <c:pt idx="20">
                  <c:v>12.8</c:v>
                </c:pt>
                <c:pt idx="21">
                  <c:v>15.5</c:v>
                </c:pt>
                <c:pt idx="22">
                  <c:v>16.8</c:v>
                </c:pt>
                <c:pt idx="23">
                  <c:v>16.2</c:v>
                </c:pt>
                <c:pt idx="24">
                  <c:v>18</c:v>
                </c:pt>
                <c:pt idx="25">
                  <c:v>16.7</c:v>
                </c:pt>
                <c:pt idx="26">
                  <c:v>16.3</c:v>
                </c:pt>
                <c:pt idx="27">
                  <c:v>16.399999999999999</c:v>
                </c:pt>
                <c:pt idx="28">
                  <c:v>17.3</c:v>
                </c:pt>
              </c:numCache>
            </c:numRef>
          </c:val>
          <c:smooth val="0"/>
          <c:extLst>
            <c:ext xmlns:c16="http://schemas.microsoft.com/office/drawing/2014/chart" uri="{C3380CC4-5D6E-409C-BE32-E72D297353CC}">
              <c16:uniqueId val="{00000000-50F5-4BAE-BEC0-6D784BDA4B77}"/>
            </c:ext>
          </c:extLst>
        </c:ser>
        <c:ser>
          <c:idx val="1"/>
          <c:order val="1"/>
          <c:tx>
            <c:strRef>
              <c:f>Sheet1!$A$3</c:f>
              <c:strCache>
                <c:ptCount val="1"/>
                <c:pt idx="0">
                  <c:v>Max</c:v>
                </c:pt>
              </c:strCache>
            </c:strRef>
          </c:tx>
          <c:spPr>
            <a:ln w="38100" cap="rnd">
              <a:solidFill>
                <a:schemeClr val="bg2">
                  <a:lumMod val="90000"/>
                </a:schemeClr>
              </a:solidFill>
              <a:round/>
            </a:ln>
            <a:effectLst/>
          </c:spPr>
          <c:marker>
            <c:symbol val="none"/>
          </c:marker>
          <c:cat>
            <c:strRef>
              <c:f>Sheet1!$B$1:$AD$1</c:f>
              <c:strCache>
                <c:ptCount val="29"/>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pt idx="17">
                  <c:v>2012</c:v>
                </c:pt>
                <c:pt idx="18">
                  <c:v>2013</c:v>
                </c:pt>
                <c:pt idx="19">
                  <c:v>2014</c:v>
                </c:pt>
                <c:pt idx="20">
                  <c:v>2015</c:v>
                </c:pt>
                <c:pt idx="21">
                  <c:v>2016</c:v>
                </c:pt>
                <c:pt idx="22">
                  <c:v>2017</c:v>
                </c:pt>
                <c:pt idx="23">
                  <c:v>2018</c:v>
                </c:pt>
                <c:pt idx="24">
                  <c:v>2019</c:v>
                </c:pt>
                <c:pt idx="25">
                  <c:v>2020</c:v>
                </c:pt>
                <c:pt idx="26">
                  <c:v>2021</c:v>
                </c:pt>
                <c:pt idx="27">
                  <c:v>2022</c:v>
                </c:pt>
                <c:pt idx="28">
                  <c:v>2023</c:v>
                </c:pt>
              </c:strCache>
            </c:strRef>
          </c:cat>
          <c:val>
            <c:numRef>
              <c:f>Sheet1!$B$3:$AD$3</c:f>
              <c:numCache>
                <c:formatCode>0.0</c:formatCode>
                <c:ptCount val="29"/>
                <c:pt idx="0">
                  <c:v>33.5</c:v>
                </c:pt>
                <c:pt idx="1">
                  <c:v>34.200000000000003</c:v>
                </c:pt>
                <c:pt idx="2">
                  <c:v>35.1</c:v>
                </c:pt>
                <c:pt idx="3">
                  <c:v>36.9</c:v>
                </c:pt>
                <c:pt idx="4">
                  <c:v>30.7</c:v>
                </c:pt>
                <c:pt idx="5">
                  <c:v>31.1</c:v>
                </c:pt>
                <c:pt idx="6">
                  <c:v>31</c:v>
                </c:pt>
                <c:pt idx="7">
                  <c:v>30.6</c:v>
                </c:pt>
                <c:pt idx="8">
                  <c:v>32.799999999999997</c:v>
                </c:pt>
                <c:pt idx="9">
                  <c:v>31.7</c:v>
                </c:pt>
                <c:pt idx="10">
                  <c:v>32.9</c:v>
                </c:pt>
                <c:pt idx="11">
                  <c:v>36.799999999999997</c:v>
                </c:pt>
                <c:pt idx="12">
                  <c:v>36.4</c:v>
                </c:pt>
                <c:pt idx="13">
                  <c:v>37.299999999999997</c:v>
                </c:pt>
                <c:pt idx="14">
                  <c:v>27.8</c:v>
                </c:pt>
                <c:pt idx="15">
                  <c:v>26.5</c:v>
                </c:pt>
                <c:pt idx="16">
                  <c:v>26.8</c:v>
                </c:pt>
                <c:pt idx="17">
                  <c:v>28.4</c:v>
                </c:pt>
                <c:pt idx="18">
                  <c:v>27.5</c:v>
                </c:pt>
                <c:pt idx="19">
                  <c:v>25.3</c:v>
                </c:pt>
                <c:pt idx="20">
                  <c:v>25.7</c:v>
                </c:pt>
                <c:pt idx="21">
                  <c:v>24.3</c:v>
                </c:pt>
                <c:pt idx="22">
                  <c:v>25.4</c:v>
                </c:pt>
                <c:pt idx="23">
                  <c:v>26.6</c:v>
                </c:pt>
                <c:pt idx="24">
                  <c:v>27</c:v>
                </c:pt>
                <c:pt idx="25">
                  <c:v>31.2</c:v>
                </c:pt>
                <c:pt idx="26">
                  <c:v>28.7</c:v>
                </c:pt>
                <c:pt idx="27">
                  <c:v>27.9</c:v>
                </c:pt>
                <c:pt idx="28">
                  <c:v>27.9</c:v>
                </c:pt>
              </c:numCache>
            </c:numRef>
          </c:val>
          <c:smooth val="0"/>
          <c:extLst>
            <c:ext xmlns:c16="http://schemas.microsoft.com/office/drawing/2014/chart" uri="{C3380CC4-5D6E-409C-BE32-E72D297353CC}">
              <c16:uniqueId val="{00000001-50F5-4BAE-BEC0-6D784BDA4B77}"/>
            </c:ext>
          </c:extLst>
        </c:ser>
        <c:ser>
          <c:idx val="2"/>
          <c:order val="2"/>
          <c:tx>
            <c:strRef>
              <c:f>Sheet1!$A$4</c:f>
              <c:strCache>
                <c:ptCount val="1"/>
                <c:pt idx="0">
                  <c:v>Vidēji ES, izņemot Īriju un Grieķiju</c:v>
                </c:pt>
              </c:strCache>
            </c:strRef>
          </c:tx>
          <c:spPr>
            <a:ln w="28575" cap="rnd">
              <a:solidFill>
                <a:schemeClr val="accent1"/>
              </a:solidFill>
              <a:round/>
            </a:ln>
            <a:effectLst/>
          </c:spPr>
          <c:marker>
            <c:symbol val="none"/>
          </c:marker>
          <c:cat>
            <c:strRef>
              <c:f>Sheet1!$B$1:$AD$1</c:f>
              <c:strCache>
                <c:ptCount val="29"/>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pt idx="17">
                  <c:v>2012</c:v>
                </c:pt>
                <c:pt idx="18">
                  <c:v>2013</c:v>
                </c:pt>
                <c:pt idx="19">
                  <c:v>2014</c:v>
                </c:pt>
                <c:pt idx="20">
                  <c:v>2015</c:v>
                </c:pt>
                <c:pt idx="21">
                  <c:v>2016</c:v>
                </c:pt>
                <c:pt idx="22">
                  <c:v>2017</c:v>
                </c:pt>
                <c:pt idx="23">
                  <c:v>2018</c:v>
                </c:pt>
                <c:pt idx="24">
                  <c:v>2019</c:v>
                </c:pt>
                <c:pt idx="25">
                  <c:v>2020</c:v>
                </c:pt>
                <c:pt idx="26">
                  <c:v>2021</c:v>
                </c:pt>
                <c:pt idx="27">
                  <c:v>2022</c:v>
                </c:pt>
                <c:pt idx="28">
                  <c:v>2023</c:v>
                </c:pt>
              </c:strCache>
            </c:strRef>
          </c:cat>
          <c:val>
            <c:numRef>
              <c:f>Sheet1!$B$4:$AD$4</c:f>
              <c:numCache>
                <c:formatCode>0.0</c:formatCode>
                <c:ptCount val="29"/>
                <c:pt idx="0">
                  <c:v>21.635999999999999</c:v>
                </c:pt>
                <c:pt idx="1">
                  <c:v>22.003999999999998</c:v>
                </c:pt>
                <c:pt idx="2">
                  <c:v>22.74</c:v>
                </c:pt>
                <c:pt idx="3">
                  <c:v>23.456000000000003</c:v>
                </c:pt>
                <c:pt idx="4">
                  <c:v>23.236000000000004</c:v>
                </c:pt>
                <c:pt idx="5">
                  <c:v>23.208000000000006</c:v>
                </c:pt>
                <c:pt idx="6">
                  <c:v>23.276</c:v>
                </c:pt>
                <c:pt idx="7">
                  <c:v>22.631999999999998</c:v>
                </c:pt>
                <c:pt idx="8">
                  <c:v>22.855999999999998</c:v>
                </c:pt>
                <c:pt idx="9">
                  <c:v>23.083999999999996</c:v>
                </c:pt>
                <c:pt idx="10">
                  <c:v>23.752000000000002</c:v>
                </c:pt>
                <c:pt idx="11">
                  <c:v>24.651999999999997</c:v>
                </c:pt>
                <c:pt idx="12">
                  <c:v>25.787999999999997</c:v>
                </c:pt>
                <c:pt idx="13">
                  <c:v>25.6</c:v>
                </c:pt>
                <c:pt idx="14">
                  <c:v>22.204000000000001</c:v>
                </c:pt>
                <c:pt idx="15">
                  <c:v>20.92</c:v>
                </c:pt>
                <c:pt idx="16">
                  <c:v>21.171999999999997</c:v>
                </c:pt>
                <c:pt idx="17">
                  <c:v>20.800000000000004</c:v>
                </c:pt>
                <c:pt idx="18">
                  <c:v>20.256</c:v>
                </c:pt>
                <c:pt idx="19">
                  <c:v>20.163999999999998</c:v>
                </c:pt>
                <c:pt idx="20">
                  <c:v>20.712</c:v>
                </c:pt>
                <c:pt idx="21">
                  <c:v>20.272000000000002</c:v>
                </c:pt>
                <c:pt idx="22">
                  <c:v>20.692000000000007</c:v>
                </c:pt>
                <c:pt idx="23">
                  <c:v>21.12</c:v>
                </c:pt>
                <c:pt idx="24">
                  <c:v>21.671999999999997</c:v>
                </c:pt>
                <c:pt idx="25">
                  <c:v>21.983999999999995</c:v>
                </c:pt>
                <c:pt idx="26">
                  <c:v>22.064</c:v>
                </c:pt>
                <c:pt idx="27">
                  <c:v>22.251999999999995</c:v>
                </c:pt>
                <c:pt idx="28">
                  <c:v>22.256000000000004</c:v>
                </c:pt>
              </c:numCache>
            </c:numRef>
          </c:val>
          <c:smooth val="0"/>
          <c:extLst>
            <c:ext xmlns:c16="http://schemas.microsoft.com/office/drawing/2014/chart" uri="{C3380CC4-5D6E-409C-BE32-E72D297353CC}">
              <c16:uniqueId val="{00000002-50F5-4BAE-BEC0-6D784BDA4B77}"/>
            </c:ext>
          </c:extLst>
        </c:ser>
        <c:ser>
          <c:idx val="3"/>
          <c:order val="3"/>
          <c:tx>
            <c:strRef>
              <c:f>Sheet1!$A$5</c:f>
              <c:strCache>
                <c:ptCount val="1"/>
                <c:pt idx="0">
                  <c:v>Latvija</c:v>
                </c:pt>
              </c:strCache>
            </c:strRef>
          </c:tx>
          <c:spPr>
            <a:ln w="28575" cap="rnd">
              <a:solidFill>
                <a:srgbClr val="C00000"/>
              </a:solidFill>
              <a:round/>
            </a:ln>
            <a:effectLst/>
          </c:spPr>
          <c:marker>
            <c:symbol val="none"/>
          </c:marker>
          <c:cat>
            <c:strRef>
              <c:f>Sheet1!$B$1:$AD$1</c:f>
              <c:strCache>
                <c:ptCount val="29"/>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pt idx="17">
                  <c:v>2012</c:v>
                </c:pt>
                <c:pt idx="18">
                  <c:v>2013</c:v>
                </c:pt>
                <c:pt idx="19">
                  <c:v>2014</c:v>
                </c:pt>
                <c:pt idx="20">
                  <c:v>2015</c:v>
                </c:pt>
                <c:pt idx="21">
                  <c:v>2016</c:v>
                </c:pt>
                <c:pt idx="22">
                  <c:v>2017</c:v>
                </c:pt>
                <c:pt idx="23">
                  <c:v>2018</c:v>
                </c:pt>
                <c:pt idx="24">
                  <c:v>2019</c:v>
                </c:pt>
                <c:pt idx="25">
                  <c:v>2020</c:v>
                </c:pt>
                <c:pt idx="26">
                  <c:v>2021</c:v>
                </c:pt>
                <c:pt idx="27">
                  <c:v>2022</c:v>
                </c:pt>
                <c:pt idx="28">
                  <c:v>2023</c:v>
                </c:pt>
              </c:strCache>
            </c:strRef>
          </c:cat>
          <c:val>
            <c:numRef>
              <c:f>Sheet1!$B$5:$AD$5</c:f>
              <c:numCache>
                <c:formatCode>0.0</c:formatCode>
                <c:ptCount val="29"/>
                <c:pt idx="0">
                  <c:v>14.2</c:v>
                </c:pt>
                <c:pt idx="1">
                  <c:v>17.8</c:v>
                </c:pt>
                <c:pt idx="2">
                  <c:v>17.600000000000001</c:v>
                </c:pt>
                <c:pt idx="3">
                  <c:v>23.8</c:v>
                </c:pt>
                <c:pt idx="4">
                  <c:v>22.8</c:v>
                </c:pt>
                <c:pt idx="5">
                  <c:v>25</c:v>
                </c:pt>
                <c:pt idx="6">
                  <c:v>27.1</c:v>
                </c:pt>
                <c:pt idx="7">
                  <c:v>24.3</c:v>
                </c:pt>
                <c:pt idx="8">
                  <c:v>24.7</c:v>
                </c:pt>
                <c:pt idx="9">
                  <c:v>28.6</c:v>
                </c:pt>
                <c:pt idx="10">
                  <c:v>31</c:v>
                </c:pt>
                <c:pt idx="11">
                  <c:v>33.9</c:v>
                </c:pt>
                <c:pt idx="12">
                  <c:v>36.200000000000003</c:v>
                </c:pt>
                <c:pt idx="13">
                  <c:v>31.9</c:v>
                </c:pt>
                <c:pt idx="14">
                  <c:v>22.2</c:v>
                </c:pt>
                <c:pt idx="15">
                  <c:v>19.100000000000001</c:v>
                </c:pt>
                <c:pt idx="16">
                  <c:v>23</c:v>
                </c:pt>
                <c:pt idx="17">
                  <c:v>26</c:v>
                </c:pt>
                <c:pt idx="18">
                  <c:v>24.3</c:v>
                </c:pt>
                <c:pt idx="19">
                  <c:v>22.8</c:v>
                </c:pt>
                <c:pt idx="20">
                  <c:v>21.9</c:v>
                </c:pt>
                <c:pt idx="21">
                  <c:v>19.3</c:v>
                </c:pt>
                <c:pt idx="22">
                  <c:v>20.6</c:v>
                </c:pt>
                <c:pt idx="23">
                  <c:v>22.1</c:v>
                </c:pt>
                <c:pt idx="24">
                  <c:v>22</c:v>
                </c:pt>
                <c:pt idx="25">
                  <c:v>22.4</c:v>
                </c:pt>
                <c:pt idx="26">
                  <c:v>22.4</c:v>
                </c:pt>
                <c:pt idx="27">
                  <c:v>22</c:v>
                </c:pt>
                <c:pt idx="28">
                  <c:v>24.1</c:v>
                </c:pt>
              </c:numCache>
            </c:numRef>
          </c:val>
          <c:smooth val="0"/>
          <c:extLst>
            <c:ext xmlns:c16="http://schemas.microsoft.com/office/drawing/2014/chart" uri="{C3380CC4-5D6E-409C-BE32-E72D297353CC}">
              <c16:uniqueId val="{00000003-50F5-4BAE-BEC0-6D784BDA4B77}"/>
            </c:ext>
          </c:extLst>
        </c:ser>
        <c:dLbls>
          <c:showLegendKey val="0"/>
          <c:showVal val="0"/>
          <c:showCatName val="0"/>
          <c:showSerName val="0"/>
          <c:showPercent val="0"/>
          <c:showBubbleSize val="0"/>
        </c:dLbls>
        <c:smooth val="0"/>
        <c:axId val="1820065391"/>
        <c:axId val="1820064911"/>
      </c:lineChart>
      <c:catAx>
        <c:axId val="182006539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1820064911"/>
        <c:crosses val="autoZero"/>
        <c:auto val="1"/>
        <c:lblAlgn val="ctr"/>
        <c:lblOffset val="100"/>
        <c:noMultiLvlLbl val="0"/>
      </c:catAx>
      <c:valAx>
        <c:axId val="1820064911"/>
        <c:scaling>
          <c:orientation val="minMax"/>
          <c:max val="6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1820065391"/>
        <c:crosses val="autoZero"/>
        <c:crossBetween val="between"/>
      </c:valAx>
      <c:spPr>
        <a:noFill/>
        <a:ln>
          <a:noFill/>
        </a:ln>
        <a:effectLst/>
      </c:spPr>
    </c:plotArea>
    <c:legend>
      <c:legendPos val="b"/>
      <c:layout>
        <c:manualLayout>
          <c:xMode val="edge"/>
          <c:yMode val="edge"/>
          <c:x val="0.10910431028001946"/>
          <c:y val="6.6217582893881383E-2"/>
          <c:w val="0.89089568971998057"/>
          <c:h val="0.25966319165998397"/>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5483173039605385E-2"/>
          <c:y val="4.540763673890609E-2"/>
          <c:w val="0.91803000084157271"/>
          <c:h val="0.84454363816107814"/>
        </c:manualLayout>
      </c:layout>
      <c:barChart>
        <c:barDir val="col"/>
        <c:grouping val="stacked"/>
        <c:varyColors val="0"/>
        <c:ser>
          <c:idx val="0"/>
          <c:order val="0"/>
          <c:tx>
            <c:strRef>
              <c:f>Sheet1!$A$12</c:f>
              <c:strCache>
                <c:ptCount val="1"/>
                <c:pt idx="0">
                  <c:v>Nefinanšu aktīvu bruto vērtība (2021.gada cenās)</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Sheet1!$B$11:$N$11</c:f>
              <c:numCache>
                <c:formatCode>General</c:formatCode>
                <c:ptCount val="13"/>
                <c:pt idx="0">
                  <c:v>2021</c:v>
                </c:pt>
                <c:pt idx="3">
                  <c:v>2023</c:v>
                </c:pt>
                <c:pt idx="6">
                  <c:v>2030</c:v>
                </c:pt>
                <c:pt idx="9">
                  <c:v>2035</c:v>
                </c:pt>
                <c:pt idx="12">
                  <c:v>2050</c:v>
                </c:pt>
              </c:numCache>
            </c:numRef>
          </c:cat>
          <c:val>
            <c:numRef>
              <c:f>Sheet1!$B$12:$N$12</c:f>
              <c:numCache>
                <c:formatCode>General</c:formatCode>
                <c:ptCount val="13"/>
                <c:pt idx="0" formatCode="0">
                  <c:v>277</c:v>
                </c:pt>
                <c:pt idx="3" formatCode="0">
                  <c:v>275.36974372147262</c:v>
                </c:pt>
                <c:pt idx="6" formatCode="0">
                  <c:v>283.94623922752658</c:v>
                </c:pt>
                <c:pt idx="9" formatCode="0">
                  <c:v>298.05748182617845</c:v>
                </c:pt>
                <c:pt idx="12" formatCode="0">
                  <c:v>381.22298082299585</c:v>
                </c:pt>
              </c:numCache>
            </c:numRef>
          </c:val>
          <c:extLst>
            <c:ext xmlns:c16="http://schemas.microsoft.com/office/drawing/2014/chart" uri="{C3380CC4-5D6E-409C-BE32-E72D297353CC}">
              <c16:uniqueId val="{00000000-C56D-48C1-B2A0-DD0639926A3A}"/>
            </c:ext>
          </c:extLst>
        </c:ser>
        <c:ser>
          <c:idx val="1"/>
          <c:order val="1"/>
          <c:tx>
            <c:strRef>
              <c:f>Sheet1!$A$13</c:f>
              <c:strCache>
                <c:ptCount val="1"/>
              </c:strCache>
            </c:strRef>
          </c:tx>
          <c:spPr>
            <a:noFill/>
            <a:ln>
              <a:noFill/>
            </a:ln>
            <a:effectLst/>
          </c:spPr>
          <c:invertIfNegative val="0"/>
          <c:cat>
            <c:numRef>
              <c:f>Sheet1!$B$11:$N$11</c:f>
              <c:numCache>
                <c:formatCode>General</c:formatCode>
                <c:ptCount val="13"/>
                <c:pt idx="0">
                  <c:v>2021</c:v>
                </c:pt>
                <c:pt idx="3">
                  <c:v>2023</c:v>
                </c:pt>
                <c:pt idx="6">
                  <c:v>2030</c:v>
                </c:pt>
                <c:pt idx="9">
                  <c:v>2035</c:v>
                </c:pt>
                <c:pt idx="12">
                  <c:v>2050</c:v>
                </c:pt>
              </c:numCache>
            </c:numRef>
          </c:cat>
          <c:val>
            <c:numRef>
              <c:f>Sheet1!$B$13:$N$13</c:f>
              <c:numCache>
                <c:formatCode>0</c:formatCode>
                <c:ptCount val="13"/>
                <c:pt idx="1">
                  <c:v>260.40545773000002</c:v>
                </c:pt>
                <c:pt idx="4">
                  <c:v>217.04253939025006</c:v>
                </c:pt>
                <c:pt idx="7">
                  <c:v>240.58375562727556</c:v>
                </c:pt>
                <c:pt idx="10">
                  <c:v>148.88676483945929</c:v>
                </c:pt>
              </c:numCache>
            </c:numRef>
          </c:val>
          <c:extLst>
            <c:ext xmlns:c16="http://schemas.microsoft.com/office/drawing/2014/chart" uri="{C3380CC4-5D6E-409C-BE32-E72D297353CC}">
              <c16:uniqueId val="{00000001-C56D-48C1-B2A0-DD0639926A3A}"/>
            </c:ext>
          </c:extLst>
        </c:ser>
        <c:ser>
          <c:idx val="2"/>
          <c:order val="2"/>
          <c:tx>
            <c:strRef>
              <c:f>Sheet1!$A$14</c:f>
              <c:strCache>
                <c:ptCount val="1"/>
                <c:pt idx="0">
                  <c:v>Aktīvu amortizācija (3%) (mīnus)</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Sheet1!$B$11:$N$11</c:f>
              <c:numCache>
                <c:formatCode>General</c:formatCode>
                <c:ptCount val="13"/>
                <c:pt idx="0">
                  <c:v>2021</c:v>
                </c:pt>
                <c:pt idx="3">
                  <c:v>2023</c:v>
                </c:pt>
                <c:pt idx="6">
                  <c:v>2030</c:v>
                </c:pt>
                <c:pt idx="9">
                  <c:v>2035</c:v>
                </c:pt>
                <c:pt idx="12">
                  <c:v>2050</c:v>
                </c:pt>
              </c:numCache>
            </c:numRef>
          </c:cat>
          <c:val>
            <c:numRef>
              <c:f>Sheet1!$B$14:$N$14</c:f>
              <c:numCache>
                <c:formatCode>0</c:formatCode>
                <c:ptCount val="13"/>
                <c:pt idx="1">
                  <c:v>16.594542269999998</c:v>
                </c:pt>
                <c:pt idx="4">
                  <c:v>58.327204331222553</c:v>
                </c:pt>
                <c:pt idx="7">
                  <c:v>43.362483600251011</c:v>
                </c:pt>
                <c:pt idx="10">
                  <c:v>149.17071698671916</c:v>
                </c:pt>
              </c:numCache>
            </c:numRef>
          </c:val>
          <c:extLst>
            <c:ext xmlns:c16="http://schemas.microsoft.com/office/drawing/2014/chart" uri="{C3380CC4-5D6E-409C-BE32-E72D297353CC}">
              <c16:uniqueId val="{00000002-C56D-48C1-B2A0-DD0639926A3A}"/>
            </c:ext>
          </c:extLst>
        </c:ser>
        <c:ser>
          <c:idx val="3"/>
          <c:order val="3"/>
          <c:tx>
            <c:strRef>
              <c:f>Sheet1!$A$15</c:f>
              <c:strCache>
                <c:ptCount val="1"/>
              </c:strCache>
            </c:strRef>
          </c:tx>
          <c:spPr>
            <a:noFill/>
            <a:ln>
              <a:noFill/>
            </a:ln>
            <a:effectLst/>
          </c:spPr>
          <c:invertIfNegative val="0"/>
          <c:cat>
            <c:numRef>
              <c:f>Sheet1!$B$11:$N$11</c:f>
              <c:numCache>
                <c:formatCode>General</c:formatCode>
                <c:ptCount val="13"/>
                <c:pt idx="0">
                  <c:v>2021</c:v>
                </c:pt>
                <c:pt idx="3">
                  <c:v>2023</c:v>
                </c:pt>
                <c:pt idx="6">
                  <c:v>2030</c:v>
                </c:pt>
                <c:pt idx="9">
                  <c:v>2035</c:v>
                </c:pt>
                <c:pt idx="12">
                  <c:v>2050</c:v>
                </c:pt>
              </c:numCache>
            </c:numRef>
          </c:cat>
          <c:val>
            <c:numRef>
              <c:f>Sheet1!$B$15:$N$15</c:f>
              <c:numCache>
                <c:formatCode>General</c:formatCode>
                <c:ptCount val="13"/>
                <c:pt idx="2" formatCode="0">
                  <c:v>260.40545773000002</c:v>
                </c:pt>
                <c:pt idx="5" formatCode="0">
                  <c:v>217.04253939025006</c:v>
                </c:pt>
                <c:pt idx="8" formatCode="0">
                  <c:v>240.58375562727556</c:v>
                </c:pt>
                <c:pt idx="11" formatCode="0">
                  <c:v>148.88676483945929</c:v>
                </c:pt>
              </c:numCache>
            </c:numRef>
          </c:val>
          <c:extLst>
            <c:ext xmlns:c16="http://schemas.microsoft.com/office/drawing/2014/chart" uri="{C3380CC4-5D6E-409C-BE32-E72D297353CC}">
              <c16:uniqueId val="{00000003-C56D-48C1-B2A0-DD0639926A3A}"/>
            </c:ext>
          </c:extLst>
        </c:ser>
        <c:ser>
          <c:idx val="4"/>
          <c:order val="4"/>
          <c:tx>
            <c:strRef>
              <c:f>Sheet1!$A$16</c:f>
              <c:strCache>
                <c:ptCount val="1"/>
                <c:pt idx="0">
                  <c:v>Ikgadējās investīcijas jeb bruto pamatkapitāla veidošana (plūsmas)</c:v>
                </c:pt>
              </c:strCache>
            </c:strRef>
          </c:tx>
          <c:spPr>
            <a:solidFill>
              <a:schemeClr val="accent6">
                <a:lumMod val="40000"/>
                <a:lumOff val="60000"/>
              </a:schemeClr>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Sheet1!$B$11:$N$11</c:f>
              <c:numCache>
                <c:formatCode>General</c:formatCode>
                <c:ptCount val="13"/>
                <c:pt idx="0">
                  <c:v>2021</c:v>
                </c:pt>
                <c:pt idx="3">
                  <c:v>2023</c:v>
                </c:pt>
                <c:pt idx="6">
                  <c:v>2030</c:v>
                </c:pt>
                <c:pt idx="9">
                  <c:v>2035</c:v>
                </c:pt>
                <c:pt idx="12">
                  <c:v>2050</c:v>
                </c:pt>
              </c:numCache>
            </c:numRef>
          </c:cat>
          <c:val>
            <c:numRef>
              <c:f>Sheet1!$B$16:$N$16</c:f>
              <c:numCache>
                <c:formatCode>General</c:formatCode>
                <c:ptCount val="13"/>
                <c:pt idx="2" formatCode="0">
                  <c:v>14.9642859914726</c:v>
                </c:pt>
                <c:pt idx="5" formatCode="0">
                  <c:v>66.903699837276491</c:v>
                </c:pt>
                <c:pt idx="8" formatCode="0">
                  <c:v>57.473726198902902</c:v>
                </c:pt>
                <c:pt idx="11" formatCode="0">
                  <c:v>232.33621598353659</c:v>
                </c:pt>
              </c:numCache>
            </c:numRef>
          </c:val>
          <c:extLst>
            <c:ext xmlns:c16="http://schemas.microsoft.com/office/drawing/2014/chart" uri="{C3380CC4-5D6E-409C-BE32-E72D297353CC}">
              <c16:uniqueId val="{00000004-C56D-48C1-B2A0-DD0639926A3A}"/>
            </c:ext>
          </c:extLst>
        </c:ser>
        <c:dLbls>
          <c:showLegendKey val="0"/>
          <c:showVal val="0"/>
          <c:showCatName val="0"/>
          <c:showSerName val="0"/>
          <c:showPercent val="0"/>
          <c:showBubbleSize val="0"/>
        </c:dLbls>
        <c:gapWidth val="2"/>
        <c:overlap val="100"/>
        <c:axId val="1820065391"/>
        <c:axId val="1820064911"/>
      </c:barChart>
      <c:catAx>
        <c:axId val="182006539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1820064911"/>
        <c:crosses val="autoZero"/>
        <c:auto val="1"/>
        <c:lblAlgn val="ctr"/>
        <c:lblOffset val="100"/>
        <c:noMultiLvlLbl val="0"/>
      </c:catAx>
      <c:valAx>
        <c:axId val="1820064911"/>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1820065391"/>
        <c:crosses val="autoZero"/>
        <c:crossBetween val="between"/>
      </c:valAx>
      <c:spPr>
        <a:noFill/>
        <a:ln>
          <a:noFill/>
        </a:ln>
        <a:effectLst/>
      </c:spPr>
    </c:plotArea>
    <c:legend>
      <c:legendPos val="b"/>
      <c:legendEntry>
        <c:idx val="1"/>
        <c:delete val="1"/>
      </c:legendEntry>
      <c:legendEntry>
        <c:idx val="3"/>
        <c:delete val="1"/>
      </c:legendEntry>
      <c:layout>
        <c:manualLayout>
          <c:xMode val="edge"/>
          <c:yMode val="edge"/>
          <c:x val="7.7693665898901795E-2"/>
          <c:y val="5.4456424349484979E-2"/>
          <c:w val="0.7050857954782217"/>
          <c:h val="0.23884499000988593"/>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340783839189344E-2"/>
          <c:y val="4.540763673890609E-2"/>
          <c:w val="0.92010533548928464"/>
          <c:h val="0.85042426150715278"/>
        </c:manualLayout>
      </c:layout>
      <c:barChart>
        <c:barDir val="col"/>
        <c:grouping val="stacked"/>
        <c:varyColors val="0"/>
        <c:ser>
          <c:idx val="0"/>
          <c:order val="0"/>
          <c:tx>
            <c:strRef>
              <c:f>Sheet1!$A$12</c:f>
              <c:strCache>
                <c:ptCount val="1"/>
                <c:pt idx="0">
                  <c:v>Nefinanšu aktīvu vērtība (2021.gada cenās)</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Sheet1!$B$11:$N$11</c:f>
              <c:numCache>
                <c:formatCode>General</c:formatCode>
                <c:ptCount val="13"/>
                <c:pt idx="0">
                  <c:v>2021</c:v>
                </c:pt>
                <c:pt idx="3">
                  <c:v>2023</c:v>
                </c:pt>
                <c:pt idx="6">
                  <c:v>2030</c:v>
                </c:pt>
                <c:pt idx="9">
                  <c:v>2035</c:v>
                </c:pt>
                <c:pt idx="12">
                  <c:v>2050</c:v>
                </c:pt>
              </c:numCache>
            </c:numRef>
          </c:cat>
          <c:val>
            <c:numRef>
              <c:f>Sheet1!$B$12:$N$12</c:f>
              <c:numCache>
                <c:formatCode>General</c:formatCode>
                <c:ptCount val="13"/>
                <c:pt idx="0" formatCode="0">
                  <c:v>277</c:v>
                </c:pt>
                <c:pt idx="3" formatCode="0">
                  <c:v>275.36974372147262</c:v>
                </c:pt>
                <c:pt idx="6" formatCode="0">
                  <c:v>294.8841098397707</c:v>
                </c:pt>
                <c:pt idx="9" formatCode="0">
                  <c:v>318.29484043600644</c:v>
                </c:pt>
                <c:pt idx="12" formatCode="0">
                  <c:v>432.53385743274725</c:v>
                </c:pt>
              </c:numCache>
            </c:numRef>
          </c:val>
          <c:extLst>
            <c:ext xmlns:c16="http://schemas.microsoft.com/office/drawing/2014/chart" uri="{C3380CC4-5D6E-409C-BE32-E72D297353CC}">
              <c16:uniqueId val="{00000000-4EDA-482A-B712-7D0006C92EF6}"/>
            </c:ext>
          </c:extLst>
        </c:ser>
        <c:ser>
          <c:idx val="1"/>
          <c:order val="1"/>
          <c:tx>
            <c:strRef>
              <c:f>Sheet1!$A$13</c:f>
              <c:strCache>
                <c:ptCount val="1"/>
              </c:strCache>
            </c:strRef>
          </c:tx>
          <c:spPr>
            <a:noFill/>
            <a:ln>
              <a:noFill/>
            </a:ln>
            <a:effectLst/>
          </c:spPr>
          <c:invertIfNegative val="0"/>
          <c:cat>
            <c:numRef>
              <c:f>Sheet1!$B$11:$N$11</c:f>
              <c:numCache>
                <c:formatCode>General</c:formatCode>
                <c:ptCount val="13"/>
                <c:pt idx="0">
                  <c:v>2021</c:v>
                </c:pt>
                <c:pt idx="3">
                  <c:v>2023</c:v>
                </c:pt>
                <c:pt idx="6">
                  <c:v>2030</c:v>
                </c:pt>
                <c:pt idx="9">
                  <c:v>2035</c:v>
                </c:pt>
                <c:pt idx="12">
                  <c:v>2050</c:v>
                </c:pt>
              </c:numCache>
            </c:numRef>
          </c:cat>
          <c:val>
            <c:numRef>
              <c:f>Sheet1!$B$13:$N$13</c:f>
              <c:numCache>
                <c:formatCode>0</c:formatCode>
                <c:ptCount val="13"/>
                <c:pt idx="1">
                  <c:v>260.40545773000002</c:v>
                </c:pt>
                <c:pt idx="4">
                  <c:v>216.22345984491523</c:v>
                </c:pt>
                <c:pt idx="7">
                  <c:v>249.32636899732296</c:v>
                </c:pt>
                <c:pt idx="10">
                  <c:v>153.73039825250336</c:v>
                </c:pt>
              </c:numCache>
            </c:numRef>
          </c:val>
          <c:extLst>
            <c:ext xmlns:c16="http://schemas.microsoft.com/office/drawing/2014/chart" uri="{C3380CC4-5D6E-409C-BE32-E72D297353CC}">
              <c16:uniqueId val="{00000001-4EDA-482A-B712-7D0006C92EF6}"/>
            </c:ext>
          </c:extLst>
        </c:ser>
        <c:ser>
          <c:idx val="2"/>
          <c:order val="2"/>
          <c:tx>
            <c:strRef>
              <c:f>Sheet1!$A$14</c:f>
              <c:strCache>
                <c:ptCount val="1"/>
                <c:pt idx="0">
                  <c:v>Aktīvu amortizācija (3%) (mīnus)</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Sheet1!$B$11:$N$11</c:f>
              <c:numCache>
                <c:formatCode>General</c:formatCode>
                <c:ptCount val="13"/>
                <c:pt idx="0">
                  <c:v>2021</c:v>
                </c:pt>
                <c:pt idx="3">
                  <c:v>2023</c:v>
                </c:pt>
                <c:pt idx="6">
                  <c:v>2030</c:v>
                </c:pt>
                <c:pt idx="9">
                  <c:v>2035</c:v>
                </c:pt>
                <c:pt idx="12">
                  <c:v>2050</c:v>
                </c:pt>
              </c:numCache>
            </c:numRef>
          </c:cat>
          <c:val>
            <c:numRef>
              <c:f>Sheet1!$B$14:$N$14</c:f>
              <c:numCache>
                <c:formatCode>0</c:formatCode>
                <c:ptCount val="13"/>
                <c:pt idx="1">
                  <c:v>16.594542269999998</c:v>
                </c:pt>
                <c:pt idx="4">
                  <c:v>59.146283876557405</c:v>
                </c:pt>
                <c:pt idx="7">
                  <c:v>45.55774084244775</c:v>
                </c:pt>
                <c:pt idx="10">
                  <c:v>164.56444218350308</c:v>
                </c:pt>
              </c:numCache>
            </c:numRef>
          </c:val>
          <c:extLst>
            <c:ext xmlns:c16="http://schemas.microsoft.com/office/drawing/2014/chart" uri="{C3380CC4-5D6E-409C-BE32-E72D297353CC}">
              <c16:uniqueId val="{00000002-4EDA-482A-B712-7D0006C92EF6}"/>
            </c:ext>
          </c:extLst>
        </c:ser>
        <c:ser>
          <c:idx val="3"/>
          <c:order val="3"/>
          <c:tx>
            <c:strRef>
              <c:f>Sheet1!$A$15</c:f>
              <c:strCache>
                <c:ptCount val="1"/>
              </c:strCache>
            </c:strRef>
          </c:tx>
          <c:spPr>
            <a:noFill/>
            <a:ln>
              <a:noFill/>
            </a:ln>
            <a:effectLst/>
          </c:spPr>
          <c:invertIfNegative val="0"/>
          <c:cat>
            <c:numRef>
              <c:f>Sheet1!$B$11:$N$11</c:f>
              <c:numCache>
                <c:formatCode>General</c:formatCode>
                <c:ptCount val="13"/>
                <c:pt idx="0">
                  <c:v>2021</c:v>
                </c:pt>
                <c:pt idx="3">
                  <c:v>2023</c:v>
                </c:pt>
                <c:pt idx="6">
                  <c:v>2030</c:v>
                </c:pt>
                <c:pt idx="9">
                  <c:v>2035</c:v>
                </c:pt>
                <c:pt idx="12">
                  <c:v>2050</c:v>
                </c:pt>
              </c:numCache>
            </c:numRef>
          </c:cat>
          <c:val>
            <c:numRef>
              <c:f>Sheet1!$B$15:$N$15</c:f>
              <c:numCache>
                <c:formatCode>General</c:formatCode>
                <c:ptCount val="13"/>
                <c:pt idx="2" formatCode="0">
                  <c:v>260.40545773000002</c:v>
                </c:pt>
                <c:pt idx="5" formatCode="0">
                  <c:v>216.22345984491523</c:v>
                </c:pt>
                <c:pt idx="8" formatCode="0">
                  <c:v>249.32636899732296</c:v>
                </c:pt>
                <c:pt idx="11" formatCode="0">
                  <c:v>153.73039825250336</c:v>
                </c:pt>
              </c:numCache>
            </c:numRef>
          </c:val>
          <c:extLst>
            <c:ext xmlns:c16="http://schemas.microsoft.com/office/drawing/2014/chart" uri="{C3380CC4-5D6E-409C-BE32-E72D297353CC}">
              <c16:uniqueId val="{00000003-4EDA-482A-B712-7D0006C92EF6}"/>
            </c:ext>
          </c:extLst>
        </c:ser>
        <c:ser>
          <c:idx val="4"/>
          <c:order val="4"/>
          <c:tx>
            <c:strRef>
              <c:f>Sheet1!$A$16</c:f>
              <c:strCache>
                <c:ptCount val="1"/>
                <c:pt idx="0">
                  <c:v>Ikgadējās investīcijas jeb bruto pamatkapitāla veidošana (plūsmas)</c:v>
                </c:pt>
              </c:strCache>
            </c:strRef>
          </c:tx>
          <c:spPr>
            <a:solidFill>
              <a:schemeClr val="accent6">
                <a:lumMod val="40000"/>
                <a:lumOff val="60000"/>
              </a:schemeClr>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Sheet1!$B$11:$N$11</c:f>
              <c:numCache>
                <c:formatCode>General</c:formatCode>
                <c:ptCount val="13"/>
                <c:pt idx="0">
                  <c:v>2021</c:v>
                </c:pt>
                <c:pt idx="3">
                  <c:v>2023</c:v>
                </c:pt>
                <c:pt idx="6">
                  <c:v>2030</c:v>
                </c:pt>
                <c:pt idx="9">
                  <c:v>2035</c:v>
                </c:pt>
                <c:pt idx="12">
                  <c:v>2050</c:v>
                </c:pt>
              </c:numCache>
            </c:numRef>
          </c:cat>
          <c:val>
            <c:numRef>
              <c:f>Sheet1!$B$16:$N$16</c:f>
              <c:numCache>
                <c:formatCode>General</c:formatCode>
                <c:ptCount val="13"/>
                <c:pt idx="2" formatCode="0">
                  <c:v>14.9642859914726</c:v>
                </c:pt>
                <c:pt idx="5" formatCode="0">
                  <c:v>78.66064999485549</c:v>
                </c:pt>
                <c:pt idx="8" formatCode="0">
                  <c:v>68.96847143868348</c:v>
                </c:pt>
                <c:pt idx="11" formatCode="0">
                  <c:v>278.80345918024392</c:v>
                </c:pt>
              </c:numCache>
            </c:numRef>
          </c:val>
          <c:extLst>
            <c:ext xmlns:c16="http://schemas.microsoft.com/office/drawing/2014/chart" uri="{C3380CC4-5D6E-409C-BE32-E72D297353CC}">
              <c16:uniqueId val="{00000004-4EDA-482A-B712-7D0006C92EF6}"/>
            </c:ext>
          </c:extLst>
        </c:ser>
        <c:dLbls>
          <c:showLegendKey val="0"/>
          <c:showVal val="0"/>
          <c:showCatName val="0"/>
          <c:showSerName val="0"/>
          <c:showPercent val="0"/>
          <c:showBubbleSize val="0"/>
        </c:dLbls>
        <c:gapWidth val="2"/>
        <c:overlap val="100"/>
        <c:axId val="1820065391"/>
        <c:axId val="1820064911"/>
      </c:barChart>
      <c:catAx>
        <c:axId val="182006539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1820064911"/>
        <c:crosses val="autoZero"/>
        <c:auto val="1"/>
        <c:lblAlgn val="ctr"/>
        <c:lblOffset val="100"/>
        <c:noMultiLvlLbl val="0"/>
      </c:catAx>
      <c:valAx>
        <c:axId val="1820064911"/>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1820065391"/>
        <c:crosses val="autoZero"/>
        <c:crossBetween val="between"/>
      </c:valAx>
      <c:spPr>
        <a:noFill/>
        <a:ln>
          <a:noFill/>
        </a:ln>
        <a:effectLst/>
      </c:spPr>
    </c:plotArea>
    <c:legend>
      <c:legendPos val="b"/>
      <c:legendEntry>
        <c:idx val="1"/>
        <c:delete val="1"/>
      </c:legendEntry>
      <c:legendEntry>
        <c:idx val="3"/>
        <c:delete val="1"/>
      </c:legendEntry>
      <c:layout>
        <c:manualLayout>
          <c:xMode val="edge"/>
          <c:yMode val="edge"/>
          <c:x val="8.599500448974956E-2"/>
          <c:y val="4.8575801003410302E-2"/>
          <c:w val="0.7050857954782217"/>
          <c:h val="0.26236748339418459"/>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1393636239591662E-2"/>
          <c:y val="4.8846675712347354E-2"/>
          <c:w val="0.90577768263557701"/>
          <c:h val="0.73162277374758278"/>
        </c:manualLayout>
      </c:layout>
      <c:barChart>
        <c:barDir val="col"/>
        <c:grouping val="clustered"/>
        <c:varyColors val="0"/>
        <c:ser>
          <c:idx val="0"/>
          <c:order val="0"/>
          <c:tx>
            <c:strRef>
              <c:f>Sheet1!$A$2</c:f>
              <c:strCache>
                <c:ptCount val="1"/>
                <c:pt idx="0">
                  <c:v>Investīcijas (izdevumi kopējā pamatkapitāla veidošanai)</c:v>
                </c:pt>
              </c:strCache>
            </c:strRef>
          </c:tx>
          <c:spPr>
            <a:solidFill>
              <a:schemeClr val="accent1"/>
            </a:solidFill>
            <a:ln>
              <a:noFill/>
            </a:ln>
            <a:effectLst/>
          </c:spPr>
          <c:invertIfNegative val="0"/>
          <c:cat>
            <c:strRef>
              <c:f>Sheet1!$B$1:$M$1</c:f>
              <c:strCache>
                <c:ptCount val="12"/>
                <c:pt idx="0">
                  <c:v>2010</c:v>
                </c:pt>
                <c:pt idx="1">
                  <c:v>2011</c:v>
                </c:pt>
                <c:pt idx="2">
                  <c:v>2012</c:v>
                </c:pt>
                <c:pt idx="3">
                  <c:v>2013</c:v>
                </c:pt>
                <c:pt idx="4">
                  <c:v>2014</c:v>
                </c:pt>
                <c:pt idx="5">
                  <c:v>2015</c:v>
                </c:pt>
                <c:pt idx="6">
                  <c:v>2016</c:v>
                </c:pt>
                <c:pt idx="7">
                  <c:v>2017</c:v>
                </c:pt>
                <c:pt idx="8">
                  <c:v>2018</c:v>
                </c:pt>
                <c:pt idx="9">
                  <c:v>2019</c:v>
                </c:pt>
                <c:pt idx="10">
                  <c:v>2020</c:v>
                </c:pt>
                <c:pt idx="11">
                  <c:v>2021</c:v>
                </c:pt>
              </c:strCache>
            </c:strRef>
          </c:cat>
          <c:val>
            <c:numRef>
              <c:f>Sheet1!$B$2:$M$2</c:f>
              <c:numCache>
                <c:formatCode>#\ ##0.#</c:formatCode>
                <c:ptCount val="12"/>
                <c:pt idx="0">
                  <c:v>4029.3679999999999</c:v>
                </c:pt>
                <c:pt idx="1">
                  <c:v>5072.2489999999998</c:v>
                </c:pt>
                <c:pt idx="2">
                  <c:v>5967.9870000000001</c:v>
                </c:pt>
                <c:pt idx="3">
                  <c:v>5703.576</c:v>
                </c:pt>
                <c:pt idx="4">
                  <c:v>5481.8190000000004</c:v>
                </c:pt>
                <c:pt idx="5">
                  <c:v>5372.2070000000003</c:v>
                </c:pt>
                <c:pt idx="6">
                  <c:v>4929.4489999999996</c:v>
                </c:pt>
                <c:pt idx="7">
                  <c:v>5491.9549999999999</c:v>
                </c:pt>
                <c:pt idx="8">
                  <c:v>6136.982</c:v>
                </c:pt>
                <c:pt idx="9">
                  <c:v>6228.6369999999997</c:v>
                </c:pt>
                <c:pt idx="10">
                  <c:v>6094.3850000000002</c:v>
                </c:pt>
                <c:pt idx="11">
                  <c:v>6534.5839999999998</c:v>
                </c:pt>
              </c:numCache>
            </c:numRef>
          </c:val>
          <c:extLst>
            <c:ext xmlns:c16="http://schemas.microsoft.com/office/drawing/2014/chart" uri="{C3380CC4-5D6E-409C-BE32-E72D297353CC}">
              <c16:uniqueId val="{00000000-5C21-467F-86A9-BAD689DC9289}"/>
            </c:ext>
          </c:extLst>
        </c:ser>
        <c:ser>
          <c:idx val="1"/>
          <c:order val="1"/>
          <c:tx>
            <c:strRef>
              <c:f>Sheet1!$A$3</c:f>
              <c:strCache>
                <c:ptCount val="1"/>
                <c:pt idx="0">
                  <c:v>Nefinanšu aktīvu neto vērtības izmaiņas pret ieriekšējo gadu</c:v>
                </c:pt>
              </c:strCache>
            </c:strRef>
          </c:tx>
          <c:spPr>
            <a:solidFill>
              <a:schemeClr val="accent2"/>
            </a:solidFill>
            <a:ln>
              <a:noFill/>
            </a:ln>
            <a:effectLst/>
          </c:spPr>
          <c:invertIfNegative val="0"/>
          <c:cat>
            <c:strRef>
              <c:f>Sheet1!$B$1:$M$1</c:f>
              <c:strCache>
                <c:ptCount val="12"/>
                <c:pt idx="0">
                  <c:v>2010</c:v>
                </c:pt>
                <c:pt idx="1">
                  <c:v>2011</c:v>
                </c:pt>
                <c:pt idx="2">
                  <c:v>2012</c:v>
                </c:pt>
                <c:pt idx="3">
                  <c:v>2013</c:v>
                </c:pt>
                <c:pt idx="4">
                  <c:v>2014</c:v>
                </c:pt>
                <c:pt idx="5">
                  <c:v>2015</c:v>
                </c:pt>
                <c:pt idx="6">
                  <c:v>2016</c:v>
                </c:pt>
                <c:pt idx="7">
                  <c:v>2017</c:v>
                </c:pt>
                <c:pt idx="8">
                  <c:v>2018</c:v>
                </c:pt>
                <c:pt idx="9">
                  <c:v>2019</c:v>
                </c:pt>
                <c:pt idx="10">
                  <c:v>2020</c:v>
                </c:pt>
                <c:pt idx="11">
                  <c:v>2021</c:v>
                </c:pt>
              </c:strCache>
            </c:strRef>
          </c:cat>
          <c:val>
            <c:numRef>
              <c:f>Sheet1!$B$3:$M$3</c:f>
              <c:numCache>
                <c:formatCode>#\ ##0.##########</c:formatCode>
                <c:ptCount val="12"/>
                <c:pt idx="0" formatCode="#\ ##0.##">
                  <c:v>-1303.0036685700034</c:v>
                </c:pt>
                <c:pt idx="1">
                  <c:v>-333.69999999999709</c:v>
                </c:pt>
                <c:pt idx="2">
                  <c:v>366</c:v>
                </c:pt>
                <c:pt idx="3">
                  <c:v>-56.600000000005821</c:v>
                </c:pt>
                <c:pt idx="4">
                  <c:v>-299.59999999999127</c:v>
                </c:pt>
                <c:pt idx="5">
                  <c:v>-484.90000000000873</c:v>
                </c:pt>
                <c:pt idx="6">
                  <c:v>-884</c:v>
                </c:pt>
                <c:pt idx="7">
                  <c:v>-384.59999999999127</c:v>
                </c:pt>
                <c:pt idx="8">
                  <c:v>230.59999999999127</c:v>
                </c:pt>
                <c:pt idx="9">
                  <c:v>195</c:v>
                </c:pt>
                <c:pt idx="10">
                  <c:v>55.200000000011642</c:v>
                </c:pt>
                <c:pt idx="11">
                  <c:v>315.59999999999127</c:v>
                </c:pt>
              </c:numCache>
            </c:numRef>
          </c:val>
          <c:extLst>
            <c:ext xmlns:c16="http://schemas.microsoft.com/office/drawing/2014/chart" uri="{C3380CC4-5D6E-409C-BE32-E72D297353CC}">
              <c16:uniqueId val="{00000001-5C21-467F-86A9-BAD689DC9289}"/>
            </c:ext>
          </c:extLst>
        </c:ser>
        <c:dLbls>
          <c:showLegendKey val="0"/>
          <c:showVal val="0"/>
          <c:showCatName val="0"/>
          <c:showSerName val="0"/>
          <c:showPercent val="0"/>
          <c:showBubbleSize val="0"/>
        </c:dLbls>
        <c:gapWidth val="74"/>
        <c:overlap val="27"/>
        <c:axId val="1234465999"/>
        <c:axId val="2020463024"/>
      </c:barChart>
      <c:catAx>
        <c:axId val="1234465999"/>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2020463024"/>
        <c:crosses val="autoZero"/>
        <c:auto val="1"/>
        <c:lblAlgn val="ctr"/>
        <c:lblOffset val="100"/>
        <c:noMultiLvlLbl val="0"/>
      </c:catAx>
      <c:valAx>
        <c:axId val="2020463024"/>
        <c:scaling>
          <c:orientation val="minMax"/>
          <c:max val="6400"/>
          <c:min val="-10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1234465999"/>
        <c:crosses val="autoZero"/>
        <c:crossBetween val="between"/>
        <c:minorUnit val="500"/>
      </c:valAx>
      <c:spPr>
        <a:noFill/>
        <a:ln>
          <a:noFill/>
        </a:ln>
        <a:effectLst/>
      </c:spPr>
    </c:plotArea>
    <c:legend>
      <c:legendPos val="b"/>
      <c:layout>
        <c:manualLayout>
          <c:xMode val="edge"/>
          <c:yMode val="edge"/>
          <c:x val="0"/>
          <c:y val="0.87381147234479006"/>
          <c:w val="1"/>
          <c:h val="9.3624077180311752E-2"/>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838652951693616"/>
          <c:y val="4.2507625735972186E-2"/>
          <c:w val="0.84997891764152145"/>
          <c:h val="0.7844434986167268"/>
        </c:manualLayout>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Sheet1!$A$2:$A$7</c:f>
              <c:strCache>
                <c:ptCount val="6"/>
                <c:pt idx="0">
                  <c:v>2025-2029</c:v>
                </c:pt>
                <c:pt idx="1">
                  <c:v>2030-2034</c:v>
                </c:pt>
                <c:pt idx="2">
                  <c:v>2035-2039</c:v>
                </c:pt>
                <c:pt idx="3">
                  <c:v>2040-2044</c:v>
                </c:pt>
                <c:pt idx="4">
                  <c:v>2045-2049</c:v>
                </c:pt>
                <c:pt idx="5">
                  <c:v>2050-</c:v>
                </c:pt>
              </c:strCache>
            </c:strRef>
          </c:cat>
          <c:val>
            <c:numRef>
              <c:f>Sheet1!$B$2:$B$7</c:f>
              <c:numCache>
                <c:formatCode>General</c:formatCode>
                <c:ptCount val="6"/>
                <c:pt idx="0">
                  <c:v>0.48314911026188234</c:v>
                </c:pt>
                <c:pt idx="1">
                  <c:v>1.5698431822986247</c:v>
                </c:pt>
                <c:pt idx="2">
                  <c:v>1.7310636656537426</c:v>
                </c:pt>
                <c:pt idx="3">
                  <c:v>1.6711419945383943</c:v>
                </c:pt>
                <c:pt idx="4">
                  <c:v>1.6492079733385845</c:v>
                </c:pt>
                <c:pt idx="5">
                  <c:v>1.626450107429056</c:v>
                </c:pt>
              </c:numCache>
            </c:numRef>
          </c:val>
          <c:extLst>
            <c:ext xmlns:c16="http://schemas.microsoft.com/office/drawing/2014/chart" uri="{C3380CC4-5D6E-409C-BE32-E72D297353CC}">
              <c16:uniqueId val="{00000000-5F51-4C16-AF8C-CFDB63AE6F62}"/>
            </c:ext>
          </c:extLst>
        </c:ser>
        <c:dLbls>
          <c:showLegendKey val="0"/>
          <c:showVal val="0"/>
          <c:showCatName val="0"/>
          <c:showSerName val="0"/>
          <c:showPercent val="0"/>
          <c:showBubbleSize val="0"/>
        </c:dLbls>
        <c:gapWidth val="100"/>
        <c:axId val="486749784"/>
        <c:axId val="486753744"/>
      </c:barChart>
      <c:catAx>
        <c:axId val="48674978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53744"/>
        <c:crosses val="autoZero"/>
        <c:auto val="1"/>
        <c:lblAlgn val="ctr"/>
        <c:lblOffset val="100"/>
        <c:tickLblSkip val="1"/>
        <c:noMultiLvlLbl val="0"/>
      </c:catAx>
      <c:valAx>
        <c:axId val="48675374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49784"/>
        <c:crosses val="autoZero"/>
        <c:crossBetween val="between"/>
        <c:majorUnit val="0.5"/>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140444100929101"/>
          <c:y val="3.3794875986522449E-2"/>
          <c:w val="0.86283065799838532"/>
          <c:h val="0.78896475310828362"/>
        </c:manualLayout>
      </c:layout>
      <c:lineChart>
        <c:grouping val="standard"/>
        <c:varyColors val="0"/>
        <c:ser>
          <c:idx val="0"/>
          <c:order val="0"/>
          <c:tx>
            <c:strRef>
              <c:f>Sheet1!$B$1</c:f>
              <c:strCache>
                <c:ptCount val="1"/>
                <c:pt idx="0">
                  <c:v>Investīcijas</c:v>
                </c:pt>
              </c:strCache>
            </c:strRef>
          </c:tx>
          <c:spPr>
            <a:ln w="47625" cap="rnd">
              <a:solidFill>
                <a:schemeClr val="accent1"/>
              </a:solidFill>
              <a:round/>
            </a:ln>
            <a:effectLst/>
          </c:spPr>
          <c:marker>
            <c:symbol val="none"/>
          </c:marker>
          <c:cat>
            <c:strRef>
              <c:f>Sheet1!$A$2:$A$7</c:f>
              <c:strCache>
                <c:ptCount val="6"/>
                <c:pt idx="0">
                  <c:v>2025-2029</c:v>
                </c:pt>
                <c:pt idx="1">
                  <c:v>2030-2034</c:v>
                </c:pt>
                <c:pt idx="2">
                  <c:v>2035-2039</c:v>
                </c:pt>
                <c:pt idx="3">
                  <c:v>2040-2044</c:v>
                </c:pt>
                <c:pt idx="4">
                  <c:v>2045-2049</c:v>
                </c:pt>
                <c:pt idx="5">
                  <c:v>2050-</c:v>
                </c:pt>
              </c:strCache>
            </c:strRef>
          </c:cat>
          <c:val>
            <c:numRef>
              <c:f>Sheet1!$B$2:$B$7</c:f>
              <c:numCache>
                <c:formatCode>0.00</c:formatCode>
                <c:ptCount val="6"/>
                <c:pt idx="0">
                  <c:v>2.231271792479208</c:v>
                </c:pt>
                <c:pt idx="1">
                  <c:v>2.3199999999999998</c:v>
                </c:pt>
                <c:pt idx="2">
                  <c:v>2.3868012676372619</c:v>
                </c:pt>
                <c:pt idx="3">
                  <c:v>2.3195251493091096</c:v>
                </c:pt>
                <c:pt idx="4">
                  <c:v>2.2632119440713971</c:v>
                </c:pt>
                <c:pt idx="5">
                  <c:v>2.1920012941100575</c:v>
                </c:pt>
              </c:numCache>
            </c:numRef>
          </c:val>
          <c:smooth val="0"/>
          <c:extLst>
            <c:ext xmlns:c16="http://schemas.microsoft.com/office/drawing/2014/chart" uri="{C3380CC4-5D6E-409C-BE32-E72D297353CC}">
              <c16:uniqueId val="{00000000-33E4-46B3-AC43-43A89259BC8D}"/>
            </c:ext>
          </c:extLst>
        </c:ser>
        <c:ser>
          <c:idx val="1"/>
          <c:order val="1"/>
          <c:tx>
            <c:strRef>
              <c:f>Sheet1!$C$1</c:f>
              <c:strCache>
                <c:ptCount val="1"/>
                <c:pt idx="0">
                  <c:v>Publiskais patēriņš</c:v>
                </c:pt>
              </c:strCache>
            </c:strRef>
          </c:tx>
          <c:spPr>
            <a:ln w="47625" cap="rnd">
              <a:solidFill>
                <a:schemeClr val="accent2"/>
              </a:solidFill>
              <a:round/>
            </a:ln>
            <a:effectLst/>
          </c:spPr>
          <c:marker>
            <c:symbol val="none"/>
          </c:marker>
          <c:cat>
            <c:strRef>
              <c:f>Sheet1!$A$2:$A$7</c:f>
              <c:strCache>
                <c:ptCount val="6"/>
                <c:pt idx="0">
                  <c:v>2025-2029</c:v>
                </c:pt>
                <c:pt idx="1">
                  <c:v>2030-2034</c:v>
                </c:pt>
                <c:pt idx="2">
                  <c:v>2035-2039</c:v>
                </c:pt>
                <c:pt idx="3">
                  <c:v>2040-2044</c:v>
                </c:pt>
                <c:pt idx="4">
                  <c:v>2045-2049</c:v>
                </c:pt>
                <c:pt idx="5">
                  <c:v>2050-</c:v>
                </c:pt>
              </c:strCache>
            </c:strRef>
          </c:cat>
          <c:val>
            <c:numRef>
              <c:f>Sheet1!$C$2:$C$7</c:f>
              <c:numCache>
                <c:formatCode>General</c:formatCode>
                <c:ptCount val="6"/>
                <c:pt idx="0">
                  <c:v>0</c:v>
                </c:pt>
                <c:pt idx="1">
                  <c:v>0</c:v>
                </c:pt>
                <c:pt idx="2">
                  <c:v>0</c:v>
                </c:pt>
                <c:pt idx="3">
                  <c:v>0</c:v>
                </c:pt>
                <c:pt idx="4">
                  <c:v>0</c:v>
                </c:pt>
                <c:pt idx="5">
                  <c:v>0</c:v>
                </c:pt>
              </c:numCache>
            </c:numRef>
          </c:val>
          <c:smooth val="0"/>
          <c:extLst>
            <c:ext xmlns:c16="http://schemas.microsoft.com/office/drawing/2014/chart" uri="{C3380CC4-5D6E-409C-BE32-E72D297353CC}">
              <c16:uniqueId val="{00000001-33E4-46B3-AC43-43A89259BC8D}"/>
            </c:ext>
          </c:extLst>
        </c:ser>
        <c:ser>
          <c:idx val="2"/>
          <c:order val="2"/>
          <c:tx>
            <c:strRef>
              <c:f>Sheet1!$D$1</c:f>
              <c:strCache>
                <c:ptCount val="1"/>
                <c:pt idx="0">
                  <c:v>Privātais patēriņš</c:v>
                </c:pt>
              </c:strCache>
            </c:strRef>
          </c:tx>
          <c:spPr>
            <a:ln w="47625" cap="rnd">
              <a:solidFill>
                <a:schemeClr val="accent3"/>
              </a:solidFill>
              <a:round/>
            </a:ln>
            <a:effectLst/>
          </c:spPr>
          <c:marker>
            <c:symbol val="none"/>
          </c:marker>
          <c:cat>
            <c:strRef>
              <c:f>Sheet1!$A$2:$A$7</c:f>
              <c:strCache>
                <c:ptCount val="6"/>
                <c:pt idx="0">
                  <c:v>2025-2029</c:v>
                </c:pt>
                <c:pt idx="1">
                  <c:v>2030-2034</c:v>
                </c:pt>
                <c:pt idx="2">
                  <c:v>2035-2039</c:v>
                </c:pt>
                <c:pt idx="3">
                  <c:v>2040-2044</c:v>
                </c:pt>
                <c:pt idx="4">
                  <c:v>2045-2049</c:v>
                </c:pt>
                <c:pt idx="5">
                  <c:v>2050-</c:v>
                </c:pt>
              </c:strCache>
            </c:strRef>
          </c:cat>
          <c:val>
            <c:numRef>
              <c:f>Sheet1!$D$2:$D$7</c:f>
              <c:numCache>
                <c:formatCode>0.00</c:formatCode>
                <c:ptCount val="6"/>
                <c:pt idx="0">
                  <c:v>0.9355140275167706</c:v>
                </c:pt>
                <c:pt idx="1">
                  <c:v>2.1458195641079758</c:v>
                </c:pt>
                <c:pt idx="2">
                  <c:v>2.1312928653977714</c:v>
                </c:pt>
                <c:pt idx="3">
                  <c:v>1.8251408612293796</c:v>
                </c:pt>
                <c:pt idx="4">
                  <c:v>1.6660674418123689</c:v>
                </c:pt>
                <c:pt idx="5">
                  <c:v>1.4968527579356294</c:v>
                </c:pt>
              </c:numCache>
            </c:numRef>
          </c:val>
          <c:smooth val="0"/>
          <c:extLst>
            <c:ext xmlns:c16="http://schemas.microsoft.com/office/drawing/2014/chart" uri="{C3380CC4-5D6E-409C-BE32-E72D297353CC}">
              <c16:uniqueId val="{00000002-33E4-46B3-AC43-43A89259BC8D}"/>
            </c:ext>
          </c:extLst>
        </c:ser>
        <c:dLbls>
          <c:showLegendKey val="0"/>
          <c:showVal val="0"/>
          <c:showCatName val="0"/>
          <c:showSerName val="0"/>
          <c:showPercent val="0"/>
          <c:showBubbleSize val="0"/>
        </c:dLbls>
        <c:smooth val="0"/>
        <c:axId val="486734304"/>
        <c:axId val="486735744"/>
      </c:lineChart>
      <c:catAx>
        <c:axId val="48673430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35744"/>
        <c:crosses val="autoZero"/>
        <c:auto val="1"/>
        <c:lblAlgn val="ctr"/>
        <c:lblOffset val="100"/>
        <c:tickLblSkip val="1"/>
        <c:noMultiLvlLbl val="0"/>
      </c:catAx>
      <c:valAx>
        <c:axId val="4867357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34304"/>
        <c:crosses val="autoZero"/>
        <c:crossBetween val="between"/>
        <c:majorUnit val="1"/>
      </c:valAx>
      <c:spPr>
        <a:noFill/>
        <a:ln>
          <a:noFill/>
        </a:ln>
        <a:effectLst/>
      </c:spPr>
    </c:plotArea>
    <c:legend>
      <c:legendPos val="b"/>
      <c:layout>
        <c:manualLayout>
          <c:xMode val="edge"/>
          <c:yMode val="edge"/>
          <c:x val="0.34243568246372691"/>
          <c:y val="0.47754643724518264"/>
          <c:w val="0.57535706809654941"/>
          <c:h val="0.25067850947697284"/>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52557829399594"/>
          <c:y val="3.4592882593586421E-2"/>
          <c:w val="0.83841222549883976"/>
          <c:h val="0.8060024031838714"/>
        </c:manualLayout>
      </c:layout>
      <c:lineChart>
        <c:grouping val="standard"/>
        <c:varyColors val="0"/>
        <c:ser>
          <c:idx val="0"/>
          <c:order val="0"/>
          <c:tx>
            <c:strRef>
              <c:f>Sheet1!$B$1</c:f>
              <c:strCache>
                <c:ptCount val="1"/>
                <c:pt idx="0">
                  <c:v>Eksports</c:v>
                </c:pt>
              </c:strCache>
            </c:strRef>
          </c:tx>
          <c:spPr>
            <a:ln w="28575" cap="rnd">
              <a:solidFill>
                <a:schemeClr val="accent1"/>
              </a:solidFill>
              <a:round/>
            </a:ln>
            <a:effectLst/>
          </c:spPr>
          <c:marker>
            <c:symbol val="none"/>
          </c:marker>
          <c:cat>
            <c:strRef>
              <c:f>Sheet1!$A$2:$A$7</c:f>
              <c:strCache>
                <c:ptCount val="6"/>
                <c:pt idx="0">
                  <c:v>2025-2029</c:v>
                </c:pt>
                <c:pt idx="1">
                  <c:v>2030-2034</c:v>
                </c:pt>
                <c:pt idx="2">
                  <c:v>2035-2039</c:v>
                </c:pt>
                <c:pt idx="3">
                  <c:v>2040-2044</c:v>
                </c:pt>
                <c:pt idx="4">
                  <c:v>2045-2049</c:v>
                </c:pt>
                <c:pt idx="5">
                  <c:v>2050-</c:v>
                </c:pt>
              </c:strCache>
            </c:strRef>
          </c:cat>
          <c:val>
            <c:numRef>
              <c:f>Sheet1!$B$2:$B$7</c:f>
              <c:numCache>
                <c:formatCode>General</c:formatCode>
                <c:ptCount val="6"/>
                <c:pt idx="0">
                  <c:v>-0.42526690786161003</c:v>
                </c:pt>
                <c:pt idx="1">
                  <c:v>1.0562260206830709</c:v>
                </c:pt>
                <c:pt idx="2">
                  <c:v>1.7422701226617043</c:v>
                </c:pt>
                <c:pt idx="3">
                  <c:v>1.8911600180276489</c:v>
                </c:pt>
                <c:pt idx="4">
                  <c:v>1.9926890683773069</c:v>
                </c:pt>
                <c:pt idx="5">
                  <c:v>2.1159199706100695</c:v>
                </c:pt>
              </c:numCache>
            </c:numRef>
          </c:val>
          <c:smooth val="0"/>
          <c:extLst>
            <c:ext xmlns:c16="http://schemas.microsoft.com/office/drawing/2014/chart" uri="{C3380CC4-5D6E-409C-BE32-E72D297353CC}">
              <c16:uniqueId val="{00000000-4D18-481C-BA8F-843DC5B7EA20}"/>
            </c:ext>
          </c:extLst>
        </c:ser>
        <c:ser>
          <c:idx val="1"/>
          <c:order val="1"/>
          <c:tx>
            <c:strRef>
              <c:f>Sheet1!$C$1</c:f>
              <c:strCache>
                <c:ptCount val="1"/>
                <c:pt idx="0">
                  <c:v>Imports</c:v>
                </c:pt>
              </c:strCache>
            </c:strRef>
          </c:tx>
          <c:spPr>
            <a:ln w="28575" cap="rnd">
              <a:solidFill>
                <a:schemeClr val="accent2"/>
              </a:solidFill>
              <a:round/>
            </a:ln>
            <a:effectLst/>
          </c:spPr>
          <c:marker>
            <c:symbol val="none"/>
          </c:marker>
          <c:cat>
            <c:strRef>
              <c:f>Sheet1!$A$2:$A$7</c:f>
              <c:strCache>
                <c:ptCount val="6"/>
                <c:pt idx="0">
                  <c:v>2025-2029</c:v>
                </c:pt>
                <c:pt idx="1">
                  <c:v>2030-2034</c:v>
                </c:pt>
                <c:pt idx="2">
                  <c:v>2035-2039</c:v>
                </c:pt>
                <c:pt idx="3">
                  <c:v>2040-2044</c:v>
                </c:pt>
                <c:pt idx="4">
                  <c:v>2045-2049</c:v>
                </c:pt>
                <c:pt idx="5">
                  <c:v>2050-</c:v>
                </c:pt>
              </c:strCache>
            </c:strRef>
          </c:cat>
          <c:val>
            <c:numRef>
              <c:f>Sheet1!$C$2:$C$7</c:f>
              <c:numCache>
                <c:formatCode>General</c:formatCode>
                <c:ptCount val="6"/>
                <c:pt idx="0">
                  <c:v>0.41862066170287537</c:v>
                </c:pt>
                <c:pt idx="1">
                  <c:v>1.8323151297150009</c:v>
                </c:pt>
                <c:pt idx="2">
                  <c:v>1.6435255232011503</c:v>
                </c:pt>
                <c:pt idx="3">
                  <c:v>1.5172341753971086</c:v>
                </c:pt>
                <c:pt idx="4">
                  <c:v>1.4577687043957122</c:v>
                </c:pt>
                <c:pt idx="5">
                  <c:v>1.3836768568666225</c:v>
                </c:pt>
              </c:numCache>
            </c:numRef>
          </c:val>
          <c:smooth val="0"/>
          <c:extLst>
            <c:ext xmlns:c16="http://schemas.microsoft.com/office/drawing/2014/chart" uri="{C3380CC4-5D6E-409C-BE32-E72D297353CC}">
              <c16:uniqueId val="{00000001-4D18-481C-BA8F-843DC5B7EA20}"/>
            </c:ext>
          </c:extLst>
        </c:ser>
        <c:dLbls>
          <c:showLegendKey val="0"/>
          <c:showVal val="0"/>
          <c:showCatName val="0"/>
          <c:showSerName val="0"/>
          <c:showPercent val="0"/>
          <c:showBubbleSize val="0"/>
        </c:dLbls>
        <c:smooth val="0"/>
        <c:axId val="491415192"/>
        <c:axId val="491416272"/>
      </c:lineChart>
      <c:catAx>
        <c:axId val="491415192"/>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491416272"/>
        <c:crosses val="autoZero"/>
        <c:auto val="1"/>
        <c:lblAlgn val="ctr"/>
        <c:lblOffset val="100"/>
        <c:tickLblSkip val="1"/>
        <c:noMultiLvlLbl val="0"/>
      </c:catAx>
      <c:valAx>
        <c:axId val="491416272"/>
        <c:scaling>
          <c:orientation val="minMax"/>
          <c:max val="3"/>
          <c:min val="-1"/>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491415192"/>
        <c:crosses val="autoZero"/>
        <c:crossBetween val="between"/>
        <c:majorUnit val="1"/>
      </c:valAx>
      <c:spPr>
        <a:noFill/>
        <a:ln>
          <a:noFill/>
        </a:ln>
        <a:effectLst/>
      </c:spPr>
    </c:plotArea>
    <c:legend>
      <c:legendPos val="b"/>
      <c:layout>
        <c:manualLayout>
          <c:xMode val="edge"/>
          <c:yMode val="edge"/>
          <c:x val="0.18225769182915338"/>
          <c:y val="0.7026232035680855"/>
          <c:w val="0.78882072173410756"/>
          <c:h val="8.6787484897721118E-2"/>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9533383255047"/>
          <c:y val="5.6021139249485707E-2"/>
          <c:w val="0.86695096019339457"/>
          <c:h val="0.78269105659058125"/>
        </c:manualLayout>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Sheet1!$A$2:$A$7</c:f>
              <c:strCache>
                <c:ptCount val="6"/>
                <c:pt idx="0">
                  <c:v>2025-2029</c:v>
                </c:pt>
                <c:pt idx="1">
                  <c:v>2030-2034</c:v>
                </c:pt>
                <c:pt idx="2">
                  <c:v>2035-2039</c:v>
                </c:pt>
                <c:pt idx="3">
                  <c:v>2040-2044</c:v>
                </c:pt>
                <c:pt idx="4">
                  <c:v>2045-2049</c:v>
                </c:pt>
                <c:pt idx="5">
                  <c:v>2050-</c:v>
                </c:pt>
              </c:strCache>
            </c:strRef>
          </c:cat>
          <c:val>
            <c:numRef>
              <c:f>Sheet1!$B$2:$B$7</c:f>
              <c:numCache>
                <c:formatCode>General</c:formatCode>
                <c:ptCount val="6"/>
                <c:pt idx="0">
                  <c:v>-0.42520000000000008</c:v>
                </c:pt>
                <c:pt idx="1">
                  <c:v>-0.41799999999999959</c:v>
                </c:pt>
                <c:pt idx="2">
                  <c:v>5.1000000000000004E-2</c:v>
                </c:pt>
                <c:pt idx="3">
                  <c:v>0.19500000000000003</c:v>
                </c:pt>
                <c:pt idx="4">
                  <c:v>0.27899999999999991</c:v>
                </c:pt>
                <c:pt idx="5">
                  <c:v>0.38300000000000001</c:v>
                </c:pt>
              </c:numCache>
            </c:numRef>
          </c:val>
          <c:extLst>
            <c:ext xmlns:c16="http://schemas.microsoft.com/office/drawing/2014/chart" uri="{C3380CC4-5D6E-409C-BE32-E72D297353CC}">
              <c16:uniqueId val="{00000000-7B8C-47E2-8332-1769075C857F}"/>
            </c:ext>
          </c:extLst>
        </c:ser>
        <c:dLbls>
          <c:showLegendKey val="0"/>
          <c:showVal val="0"/>
          <c:showCatName val="0"/>
          <c:showSerName val="0"/>
          <c:showPercent val="0"/>
          <c:showBubbleSize val="0"/>
        </c:dLbls>
        <c:gapWidth val="100"/>
        <c:axId val="486749784"/>
        <c:axId val="486753744"/>
      </c:barChart>
      <c:catAx>
        <c:axId val="48674978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53744"/>
        <c:crosses val="autoZero"/>
        <c:auto val="1"/>
        <c:lblAlgn val="ctr"/>
        <c:lblOffset val="100"/>
        <c:tickLblSkip val="1"/>
        <c:noMultiLvlLbl val="0"/>
      </c:catAx>
      <c:valAx>
        <c:axId val="486753744"/>
        <c:scaling>
          <c:orientation val="minMax"/>
          <c:min val="-0.60000000000000009"/>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49784"/>
        <c:crosses val="autoZero"/>
        <c:crossBetween val="between"/>
        <c:majorUnit val="0.2"/>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083989501312337"/>
          <c:y val="4.2507625735972186E-2"/>
          <c:w val="0.86243230996776865"/>
          <c:h val="0.7844434986167268"/>
        </c:manualLayout>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Sheet1!$A$2:$A$7</c:f>
              <c:strCache>
                <c:ptCount val="6"/>
                <c:pt idx="0">
                  <c:v>2025-2029</c:v>
                </c:pt>
                <c:pt idx="1">
                  <c:v>2030-2034</c:v>
                </c:pt>
                <c:pt idx="2">
                  <c:v>2035-2039</c:v>
                </c:pt>
                <c:pt idx="3">
                  <c:v>2040-2044</c:v>
                </c:pt>
                <c:pt idx="4">
                  <c:v>2045-2049</c:v>
                </c:pt>
                <c:pt idx="5">
                  <c:v>2050-</c:v>
                </c:pt>
              </c:strCache>
            </c:strRef>
          </c:cat>
          <c:val>
            <c:numRef>
              <c:f>Sheet1!$B$2:$B$7</c:f>
              <c:numCache>
                <c:formatCode>General</c:formatCode>
                <c:ptCount val="6"/>
                <c:pt idx="0">
                  <c:v>0.67243408206281163</c:v>
                </c:pt>
                <c:pt idx="1">
                  <c:v>0.9160885411536368</c:v>
                </c:pt>
                <c:pt idx="2">
                  <c:v>0.99090416239986379</c:v>
                </c:pt>
                <c:pt idx="3">
                  <c:v>0.96841710661959013</c:v>
                </c:pt>
                <c:pt idx="4">
                  <c:v>0.98455728639825768</c:v>
                </c:pt>
                <c:pt idx="5">
                  <c:v>0.98694683221904889</c:v>
                </c:pt>
              </c:numCache>
            </c:numRef>
          </c:val>
          <c:extLst>
            <c:ext xmlns:c16="http://schemas.microsoft.com/office/drawing/2014/chart" uri="{C3380CC4-5D6E-409C-BE32-E72D297353CC}">
              <c16:uniqueId val="{00000000-63F7-4B02-9669-B61E0F1B451D}"/>
            </c:ext>
          </c:extLst>
        </c:ser>
        <c:dLbls>
          <c:showLegendKey val="0"/>
          <c:showVal val="0"/>
          <c:showCatName val="0"/>
          <c:showSerName val="0"/>
          <c:showPercent val="0"/>
          <c:showBubbleSize val="0"/>
        </c:dLbls>
        <c:gapWidth val="100"/>
        <c:axId val="486749784"/>
        <c:axId val="486753744"/>
      </c:barChart>
      <c:catAx>
        <c:axId val="48674978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53744"/>
        <c:crosses val="autoZero"/>
        <c:auto val="1"/>
        <c:lblAlgn val="ctr"/>
        <c:lblOffset val="100"/>
        <c:tickLblSkip val="1"/>
        <c:noMultiLvlLbl val="0"/>
      </c:catAx>
      <c:valAx>
        <c:axId val="48675374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49784"/>
        <c:crosses val="autoZero"/>
        <c:crossBetween val="between"/>
        <c:majorUnit val="0.5"/>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9533383255047"/>
          <c:y val="5.6021139249485707E-2"/>
          <c:w val="0.86714616775020181"/>
          <c:h val="0.77092998510321342"/>
        </c:manualLayout>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Sheet1!$A$2:$A$7</c:f>
              <c:strCache>
                <c:ptCount val="6"/>
                <c:pt idx="0">
                  <c:v>2025-2029</c:v>
                </c:pt>
                <c:pt idx="1">
                  <c:v>2030-2034</c:v>
                </c:pt>
                <c:pt idx="2">
                  <c:v>2035-2039</c:v>
                </c:pt>
                <c:pt idx="3">
                  <c:v>2040-2044</c:v>
                </c:pt>
                <c:pt idx="4">
                  <c:v>2045-2049</c:v>
                </c:pt>
                <c:pt idx="5">
                  <c:v>2050-</c:v>
                </c:pt>
              </c:strCache>
            </c:strRef>
          </c:cat>
          <c:val>
            <c:numRef>
              <c:f>Sheet1!$B$2:$B$7</c:f>
              <c:numCache>
                <c:formatCode>General</c:formatCode>
                <c:ptCount val="6"/>
                <c:pt idx="0">
                  <c:v>-0.57699999999999974</c:v>
                </c:pt>
                <c:pt idx="1">
                  <c:v>-0.73799999999999977</c:v>
                </c:pt>
                <c:pt idx="2">
                  <c:v>-0.75999999999999956</c:v>
                </c:pt>
                <c:pt idx="3">
                  <c:v>-0.72300000000000142</c:v>
                </c:pt>
                <c:pt idx="4">
                  <c:v>-0.68400000000000127</c:v>
                </c:pt>
                <c:pt idx="5">
                  <c:v>-0.61700000000000088</c:v>
                </c:pt>
              </c:numCache>
            </c:numRef>
          </c:val>
          <c:extLst>
            <c:ext xmlns:c16="http://schemas.microsoft.com/office/drawing/2014/chart" uri="{C3380CC4-5D6E-409C-BE32-E72D297353CC}">
              <c16:uniqueId val="{00000000-8A5C-425C-A2A6-3A06666E4726}"/>
            </c:ext>
          </c:extLst>
        </c:ser>
        <c:dLbls>
          <c:showLegendKey val="0"/>
          <c:showVal val="0"/>
          <c:showCatName val="0"/>
          <c:showSerName val="0"/>
          <c:showPercent val="0"/>
          <c:showBubbleSize val="0"/>
        </c:dLbls>
        <c:gapWidth val="100"/>
        <c:axId val="486749784"/>
        <c:axId val="486753744"/>
      </c:barChart>
      <c:catAx>
        <c:axId val="48674978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53744"/>
        <c:crosses val="autoZero"/>
        <c:auto val="1"/>
        <c:lblAlgn val="ctr"/>
        <c:lblOffset val="100"/>
        <c:tickLblSkip val="1"/>
        <c:noMultiLvlLbl val="0"/>
      </c:catAx>
      <c:valAx>
        <c:axId val="486753744"/>
        <c:scaling>
          <c:orientation val="minMax"/>
          <c:max val="0"/>
          <c:min val="-1"/>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49784"/>
        <c:crosses val="autoZero"/>
        <c:crossBetween val="between"/>
        <c:majorUnit val="0.5"/>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9533383255047"/>
          <c:y val="5.6021139249485707E-2"/>
          <c:w val="0.85469286762566887"/>
          <c:h val="0.77092998510321342"/>
        </c:manualLayout>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Sheet1!$A$2:$A$7</c:f>
              <c:strCache>
                <c:ptCount val="6"/>
                <c:pt idx="0">
                  <c:v>2025-2029</c:v>
                </c:pt>
                <c:pt idx="1">
                  <c:v>2030-2034</c:v>
                </c:pt>
                <c:pt idx="2">
                  <c:v>2035-2039</c:v>
                </c:pt>
                <c:pt idx="3">
                  <c:v>2040-2044</c:v>
                </c:pt>
                <c:pt idx="4">
                  <c:v>2045-2049</c:v>
                </c:pt>
                <c:pt idx="5">
                  <c:v>2050-</c:v>
                </c:pt>
              </c:strCache>
            </c:strRef>
          </c:cat>
          <c:val>
            <c:numRef>
              <c:f>Sheet1!$B$2:$B$7</c:f>
              <c:numCache>
                <c:formatCode>General</c:formatCode>
                <c:ptCount val="6"/>
                <c:pt idx="0">
                  <c:v>0.23438538704683154</c:v>
                </c:pt>
                <c:pt idx="1">
                  <c:v>0.2497993339908966</c:v>
                </c:pt>
                <c:pt idx="2">
                  <c:v>0.18972040799096757</c:v>
                </c:pt>
                <c:pt idx="3">
                  <c:v>0.14082470592196028</c:v>
                </c:pt>
                <c:pt idx="4">
                  <c:v>8.631313693983067E-2</c:v>
                </c:pt>
                <c:pt idx="5">
                  <c:v>3.2891222962239119E-2</c:v>
                </c:pt>
              </c:numCache>
            </c:numRef>
          </c:val>
          <c:extLst>
            <c:ext xmlns:c16="http://schemas.microsoft.com/office/drawing/2014/chart" uri="{C3380CC4-5D6E-409C-BE32-E72D297353CC}">
              <c16:uniqueId val="{00000000-67C3-4EAE-A75B-3D457C9C2475}"/>
            </c:ext>
          </c:extLst>
        </c:ser>
        <c:dLbls>
          <c:showLegendKey val="0"/>
          <c:showVal val="0"/>
          <c:showCatName val="0"/>
          <c:showSerName val="0"/>
          <c:showPercent val="0"/>
          <c:showBubbleSize val="0"/>
        </c:dLbls>
        <c:gapWidth val="100"/>
        <c:axId val="486749784"/>
        <c:axId val="486753744"/>
      </c:barChart>
      <c:catAx>
        <c:axId val="48674978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53744"/>
        <c:crosses val="autoZero"/>
        <c:auto val="1"/>
        <c:lblAlgn val="ctr"/>
        <c:lblOffset val="100"/>
        <c:tickLblSkip val="1"/>
        <c:noMultiLvlLbl val="0"/>
      </c:catAx>
      <c:valAx>
        <c:axId val="486753744"/>
        <c:scaling>
          <c:orientation val="minMax"/>
          <c:max val="0.30000000000000004"/>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49784"/>
        <c:crosses val="autoZero"/>
        <c:crossBetween val="between"/>
        <c:majorUnit val="0.1"/>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9533383255047"/>
          <c:y val="5.6021139249485707E-2"/>
          <c:w val="0.85469286762566887"/>
          <c:h val="0.77092998510321342"/>
        </c:manualLayout>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Sheet1!$A$2:$A$7</c:f>
              <c:strCache>
                <c:ptCount val="6"/>
                <c:pt idx="0">
                  <c:v>2025-2029</c:v>
                </c:pt>
                <c:pt idx="1">
                  <c:v>2030-2034</c:v>
                </c:pt>
                <c:pt idx="2">
                  <c:v>2035-2039</c:v>
                </c:pt>
                <c:pt idx="3">
                  <c:v>2040-2044</c:v>
                </c:pt>
                <c:pt idx="4">
                  <c:v>2045-2049</c:v>
                </c:pt>
                <c:pt idx="5">
                  <c:v>2050-</c:v>
                </c:pt>
              </c:strCache>
            </c:strRef>
          </c:cat>
          <c:val>
            <c:numRef>
              <c:f>Sheet1!$B$2:$B$7</c:f>
              <c:numCache>
                <c:formatCode>General</c:formatCode>
                <c:ptCount val="6"/>
                <c:pt idx="0">
                  <c:v>0.30941744227648282</c:v>
                </c:pt>
                <c:pt idx="1">
                  <c:v>-0.14179654280960241</c:v>
                </c:pt>
                <c:pt idx="2">
                  <c:v>-0.22582576615035599</c:v>
                </c:pt>
                <c:pt idx="3">
                  <c:v>-0.23317211183853104</c:v>
                </c:pt>
                <c:pt idx="4">
                  <c:v>-0.23459421393995372</c:v>
                </c:pt>
                <c:pt idx="5">
                  <c:v>-0.23791089808555821</c:v>
                </c:pt>
              </c:numCache>
            </c:numRef>
          </c:val>
          <c:extLst>
            <c:ext xmlns:c16="http://schemas.microsoft.com/office/drawing/2014/chart" uri="{C3380CC4-5D6E-409C-BE32-E72D297353CC}">
              <c16:uniqueId val="{00000000-3CAC-4467-8746-B358E579A1ED}"/>
            </c:ext>
          </c:extLst>
        </c:ser>
        <c:dLbls>
          <c:showLegendKey val="0"/>
          <c:showVal val="0"/>
          <c:showCatName val="0"/>
          <c:showSerName val="0"/>
          <c:showPercent val="0"/>
          <c:showBubbleSize val="0"/>
        </c:dLbls>
        <c:gapWidth val="100"/>
        <c:axId val="486749784"/>
        <c:axId val="486753744"/>
      </c:barChart>
      <c:catAx>
        <c:axId val="48674978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53744"/>
        <c:crosses val="autoZero"/>
        <c:auto val="1"/>
        <c:lblAlgn val="ctr"/>
        <c:lblOffset val="100"/>
        <c:tickLblSkip val="1"/>
        <c:noMultiLvlLbl val="0"/>
      </c:catAx>
      <c:valAx>
        <c:axId val="48675374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49784"/>
        <c:crosses val="autoZero"/>
        <c:crossBetween val="between"/>
        <c:majorUnit val="0.2"/>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5966081162931552E-2"/>
          <c:y val="3.130358705161855E-2"/>
          <c:w val="0.84795759753331801"/>
          <c:h val="0.80452183861632676"/>
        </c:manualLayout>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Sheet1!$A$2:$A$7</c:f>
              <c:strCache>
                <c:ptCount val="6"/>
                <c:pt idx="0">
                  <c:v>2025-2029</c:v>
                </c:pt>
                <c:pt idx="1">
                  <c:v>2030-2034</c:v>
                </c:pt>
                <c:pt idx="2">
                  <c:v>2035-2039</c:v>
                </c:pt>
                <c:pt idx="3">
                  <c:v>2040-2044</c:v>
                </c:pt>
                <c:pt idx="4">
                  <c:v>2045-2049</c:v>
                </c:pt>
                <c:pt idx="5">
                  <c:v>2050-</c:v>
                </c:pt>
              </c:strCache>
            </c:strRef>
          </c:cat>
          <c:val>
            <c:numRef>
              <c:f>Sheet1!$B$2:$B$7</c:f>
              <c:numCache>
                <c:formatCode>General</c:formatCode>
                <c:ptCount val="6"/>
                <c:pt idx="0">
                  <c:v>1.1182814710042344</c:v>
                </c:pt>
                <c:pt idx="1">
                  <c:v>1.3590345881886012</c:v>
                </c:pt>
                <c:pt idx="2">
                  <c:v>1.3137059527113637</c:v>
                </c:pt>
                <c:pt idx="3">
                  <c:v>1.1844031951178779</c:v>
                </c:pt>
                <c:pt idx="4">
                  <c:v>1.1195783491709577</c:v>
                </c:pt>
                <c:pt idx="5">
                  <c:v>1.0462446336642506</c:v>
                </c:pt>
              </c:numCache>
            </c:numRef>
          </c:val>
          <c:extLst>
            <c:ext xmlns:c16="http://schemas.microsoft.com/office/drawing/2014/chart" uri="{C3380CC4-5D6E-409C-BE32-E72D297353CC}">
              <c16:uniqueId val="{00000000-A99C-467E-8874-580D19610C69}"/>
            </c:ext>
          </c:extLst>
        </c:ser>
        <c:dLbls>
          <c:showLegendKey val="0"/>
          <c:showVal val="0"/>
          <c:showCatName val="0"/>
          <c:showSerName val="0"/>
          <c:showPercent val="0"/>
          <c:showBubbleSize val="0"/>
        </c:dLbls>
        <c:gapWidth val="100"/>
        <c:overlap val="-27"/>
        <c:axId val="486749784"/>
        <c:axId val="486753744"/>
      </c:barChart>
      <c:catAx>
        <c:axId val="48674978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53744"/>
        <c:crosses val="autoZero"/>
        <c:auto val="1"/>
        <c:lblAlgn val="ctr"/>
        <c:lblOffset val="100"/>
        <c:tickLblSkip val="1"/>
        <c:noMultiLvlLbl val="0"/>
      </c:catAx>
      <c:valAx>
        <c:axId val="48675374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49784"/>
        <c:crosses val="autoZero"/>
        <c:crossBetween val="between"/>
        <c:majorUnit val="0.5"/>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461288108217243"/>
          <c:y val="5.1677313920665574E-2"/>
          <c:w val="0.8325162123965274"/>
          <c:h val="0.74078246488781374"/>
        </c:manualLayout>
      </c:layout>
      <c:lineChart>
        <c:grouping val="standard"/>
        <c:varyColors val="0"/>
        <c:ser>
          <c:idx val="0"/>
          <c:order val="0"/>
          <c:tx>
            <c:strRef>
              <c:f>Sheet1!$B$1</c:f>
              <c:strCache>
                <c:ptCount val="1"/>
                <c:pt idx="0">
                  <c:v>PVN</c:v>
                </c:pt>
              </c:strCache>
            </c:strRef>
          </c:tx>
          <c:spPr>
            <a:ln w="47625" cap="rnd">
              <a:solidFill>
                <a:schemeClr val="accent1"/>
              </a:solidFill>
              <a:round/>
            </a:ln>
            <a:effectLst/>
          </c:spPr>
          <c:marker>
            <c:symbol val="none"/>
          </c:marker>
          <c:cat>
            <c:strRef>
              <c:f>Sheet1!$A$2:$A$7</c:f>
              <c:strCache>
                <c:ptCount val="6"/>
                <c:pt idx="0">
                  <c:v>2025-2029</c:v>
                </c:pt>
                <c:pt idx="1">
                  <c:v>2030-2034</c:v>
                </c:pt>
                <c:pt idx="2">
                  <c:v>2035-2039</c:v>
                </c:pt>
                <c:pt idx="3">
                  <c:v>2040-2044</c:v>
                </c:pt>
                <c:pt idx="4">
                  <c:v>2045-2049</c:v>
                </c:pt>
                <c:pt idx="5">
                  <c:v>2050-</c:v>
                </c:pt>
              </c:strCache>
            </c:strRef>
          </c:cat>
          <c:val>
            <c:numRef>
              <c:f>Sheet1!$B$2:$B$7</c:f>
              <c:numCache>
                <c:formatCode>General</c:formatCode>
                <c:ptCount val="6"/>
                <c:pt idx="0">
                  <c:v>1.101209036592965</c:v>
                </c:pt>
                <c:pt idx="1">
                  <c:v>1.8216159186654757</c:v>
                </c:pt>
                <c:pt idx="2">
                  <c:v>1.7276921566702796</c:v>
                </c:pt>
                <c:pt idx="3">
                  <c:v>1.4421457747431532</c:v>
                </c:pt>
                <c:pt idx="4">
                  <c:v>1.2973782370950593</c:v>
                </c:pt>
                <c:pt idx="5">
                  <c:v>1.1420029287341427</c:v>
                </c:pt>
              </c:numCache>
            </c:numRef>
          </c:val>
          <c:smooth val="0"/>
          <c:extLst>
            <c:ext xmlns:c16="http://schemas.microsoft.com/office/drawing/2014/chart" uri="{C3380CC4-5D6E-409C-BE32-E72D297353CC}">
              <c16:uniqueId val="{00000000-447D-4139-B6DA-0B79430CCDF9}"/>
            </c:ext>
          </c:extLst>
        </c:ser>
        <c:ser>
          <c:idx val="1"/>
          <c:order val="1"/>
          <c:tx>
            <c:strRef>
              <c:f>Sheet1!$C$1</c:f>
              <c:strCache>
                <c:ptCount val="1"/>
                <c:pt idx="0">
                  <c:v>Tiešie nodokļi</c:v>
                </c:pt>
              </c:strCache>
            </c:strRef>
          </c:tx>
          <c:spPr>
            <a:ln w="47625" cap="rnd">
              <a:solidFill>
                <a:schemeClr val="accent2"/>
              </a:solidFill>
              <a:round/>
            </a:ln>
            <a:effectLst/>
          </c:spPr>
          <c:marker>
            <c:symbol val="none"/>
          </c:marker>
          <c:cat>
            <c:strRef>
              <c:f>Sheet1!$A$2:$A$7</c:f>
              <c:strCache>
                <c:ptCount val="6"/>
                <c:pt idx="0">
                  <c:v>2025-2029</c:v>
                </c:pt>
                <c:pt idx="1">
                  <c:v>2030-2034</c:v>
                </c:pt>
                <c:pt idx="2">
                  <c:v>2035-2039</c:v>
                </c:pt>
                <c:pt idx="3">
                  <c:v>2040-2044</c:v>
                </c:pt>
                <c:pt idx="4">
                  <c:v>2045-2049</c:v>
                </c:pt>
                <c:pt idx="5">
                  <c:v>2050-</c:v>
                </c:pt>
              </c:strCache>
            </c:strRef>
          </c:cat>
          <c:val>
            <c:numRef>
              <c:f>Sheet1!$C$2:$C$7</c:f>
              <c:numCache>
                <c:formatCode>General</c:formatCode>
                <c:ptCount val="6"/>
                <c:pt idx="0">
                  <c:v>1.0147166792684459</c:v>
                </c:pt>
                <c:pt idx="1">
                  <c:v>1.2039657733946774</c:v>
                </c:pt>
                <c:pt idx="2">
                  <c:v>1.1927551582189277</c:v>
                </c:pt>
                <c:pt idx="3">
                  <c:v>1.1224196561137934</c:v>
                </c:pt>
                <c:pt idx="4">
                  <c:v>1.0865932222273278</c:v>
                </c:pt>
                <c:pt idx="5">
                  <c:v>1.0395399344390377</c:v>
                </c:pt>
              </c:numCache>
            </c:numRef>
          </c:val>
          <c:smooth val="0"/>
          <c:extLst>
            <c:ext xmlns:c16="http://schemas.microsoft.com/office/drawing/2014/chart" uri="{C3380CC4-5D6E-409C-BE32-E72D297353CC}">
              <c16:uniqueId val="{00000001-447D-4139-B6DA-0B79430CCDF9}"/>
            </c:ext>
          </c:extLst>
        </c:ser>
        <c:ser>
          <c:idx val="2"/>
          <c:order val="2"/>
          <c:tx>
            <c:strRef>
              <c:f>Sheet1!$D$1</c:f>
              <c:strCache>
                <c:ptCount val="1"/>
                <c:pt idx="0">
                  <c:v>VSAOI</c:v>
                </c:pt>
              </c:strCache>
            </c:strRef>
          </c:tx>
          <c:spPr>
            <a:ln w="47625" cap="rnd">
              <a:solidFill>
                <a:schemeClr val="accent3"/>
              </a:solidFill>
              <a:round/>
            </a:ln>
            <a:effectLst/>
          </c:spPr>
          <c:marker>
            <c:symbol val="none"/>
          </c:marker>
          <c:cat>
            <c:strRef>
              <c:f>Sheet1!$A$2:$A$7</c:f>
              <c:strCache>
                <c:ptCount val="6"/>
                <c:pt idx="0">
                  <c:v>2025-2029</c:v>
                </c:pt>
                <c:pt idx="1">
                  <c:v>2030-2034</c:v>
                </c:pt>
                <c:pt idx="2">
                  <c:v>2035-2039</c:v>
                </c:pt>
                <c:pt idx="3">
                  <c:v>2040-2044</c:v>
                </c:pt>
                <c:pt idx="4">
                  <c:v>2045-2049</c:v>
                </c:pt>
                <c:pt idx="5">
                  <c:v>2050-</c:v>
                </c:pt>
              </c:strCache>
            </c:strRef>
          </c:cat>
          <c:val>
            <c:numRef>
              <c:f>Sheet1!$D$2:$D$7</c:f>
              <c:numCache>
                <c:formatCode>General</c:formatCode>
                <c:ptCount val="6"/>
                <c:pt idx="0">
                  <c:v>1.2199102071488666</c:v>
                </c:pt>
                <c:pt idx="1">
                  <c:v>1.0251835349609717</c:v>
                </c:pt>
                <c:pt idx="2">
                  <c:v>0.9536183361233963</c:v>
                </c:pt>
                <c:pt idx="3">
                  <c:v>0.87545961185768739</c:v>
                </c:pt>
                <c:pt idx="4">
                  <c:v>0.83517447527454713</c:v>
                </c:pt>
                <c:pt idx="5">
                  <c:v>0.77944968204053389</c:v>
                </c:pt>
              </c:numCache>
            </c:numRef>
          </c:val>
          <c:smooth val="0"/>
          <c:extLst>
            <c:ext xmlns:c16="http://schemas.microsoft.com/office/drawing/2014/chart" uri="{C3380CC4-5D6E-409C-BE32-E72D297353CC}">
              <c16:uniqueId val="{00000002-447D-4139-B6DA-0B79430CCDF9}"/>
            </c:ext>
          </c:extLst>
        </c:ser>
        <c:dLbls>
          <c:showLegendKey val="0"/>
          <c:showVal val="0"/>
          <c:showCatName val="0"/>
          <c:showSerName val="0"/>
          <c:showPercent val="0"/>
          <c:showBubbleSize val="0"/>
        </c:dLbls>
        <c:smooth val="0"/>
        <c:axId val="317965248"/>
        <c:axId val="317960208"/>
      </c:lineChart>
      <c:catAx>
        <c:axId val="317965248"/>
        <c:scaling>
          <c:orientation val="minMax"/>
        </c:scaling>
        <c:delete val="0"/>
        <c:axPos val="b"/>
        <c:numFmt formatCode="0" sourceLinked="0"/>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317960208"/>
        <c:crosses val="autoZero"/>
        <c:auto val="1"/>
        <c:lblAlgn val="ctr"/>
        <c:lblOffset val="100"/>
        <c:tickLblSkip val="1"/>
        <c:noMultiLvlLbl val="0"/>
      </c:catAx>
      <c:valAx>
        <c:axId val="31796020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317965248"/>
        <c:crosses val="autoZero"/>
        <c:crossBetween val="between"/>
      </c:valAx>
      <c:spPr>
        <a:noFill/>
        <a:ln>
          <a:noFill/>
        </a:ln>
        <a:effectLst/>
      </c:spPr>
    </c:plotArea>
    <c:legend>
      <c:legendPos val="b"/>
      <c:layout>
        <c:manualLayout>
          <c:xMode val="edge"/>
          <c:yMode val="edge"/>
          <c:x val="0.14129069794046603"/>
          <c:y val="0.65201527109905144"/>
          <c:w val="0.82101273766682026"/>
          <c:h val="0.14162578398664585"/>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977894417758328E-2"/>
          <c:y val="5.9701492537313432E-2"/>
          <c:w val="0.8960839088846384"/>
          <c:h val="0.72767230419128415"/>
        </c:manualLayout>
      </c:layout>
      <c:barChart>
        <c:barDir val="col"/>
        <c:grouping val="clustered"/>
        <c:varyColors val="0"/>
        <c:ser>
          <c:idx val="0"/>
          <c:order val="0"/>
          <c:tx>
            <c:strRef>
              <c:f>Sheet1!$A$2</c:f>
              <c:strCache>
                <c:ptCount val="1"/>
                <c:pt idx="0">
                  <c:v>Kapitāla produktivitāte (pievienotās vērtības un uzkrātā kapitāla attiecība) (kreisā ass)</c:v>
                </c:pt>
              </c:strCache>
            </c:strRef>
          </c:tx>
          <c:spPr>
            <a:solidFill>
              <a:schemeClr val="accent1"/>
            </a:solidFill>
            <a:ln>
              <a:noFill/>
            </a:ln>
            <a:effectLst/>
          </c:spPr>
          <c:invertIfNegative val="0"/>
          <c:cat>
            <c:strRef>
              <c:f>Sheet1!$B$1:$M$1</c:f>
              <c:strCache>
                <c:ptCount val="12"/>
                <c:pt idx="0">
                  <c:v>2010</c:v>
                </c:pt>
                <c:pt idx="1">
                  <c:v>2011</c:v>
                </c:pt>
                <c:pt idx="2">
                  <c:v>2012</c:v>
                </c:pt>
                <c:pt idx="3">
                  <c:v>2013</c:v>
                </c:pt>
                <c:pt idx="4">
                  <c:v>2014</c:v>
                </c:pt>
                <c:pt idx="5">
                  <c:v>2015</c:v>
                </c:pt>
                <c:pt idx="6">
                  <c:v>2016</c:v>
                </c:pt>
                <c:pt idx="7">
                  <c:v>2017</c:v>
                </c:pt>
                <c:pt idx="8">
                  <c:v>2018</c:v>
                </c:pt>
                <c:pt idx="9">
                  <c:v>2019</c:v>
                </c:pt>
                <c:pt idx="10">
                  <c:v>2020</c:v>
                </c:pt>
                <c:pt idx="11">
                  <c:v>2021</c:v>
                </c:pt>
              </c:strCache>
            </c:strRef>
          </c:cat>
          <c:val>
            <c:numRef>
              <c:f>Sheet1!$B$2:$M$2</c:f>
              <c:numCache>
                <c:formatCode>#\ ##0.##</c:formatCode>
                <c:ptCount val="12"/>
                <c:pt idx="0">
                  <c:v>0.17057718174995093</c:v>
                </c:pt>
                <c:pt idx="1">
                  <c:v>0.17473183347215257</c:v>
                </c:pt>
                <c:pt idx="2">
                  <c:v>0.18567792295944341</c:v>
                </c:pt>
                <c:pt idx="3">
                  <c:v>0.18829263636855875</c:v>
                </c:pt>
                <c:pt idx="4">
                  <c:v>0.19187902558614006</c:v>
                </c:pt>
                <c:pt idx="5">
                  <c:v>0.19979219703566486</c:v>
                </c:pt>
                <c:pt idx="6">
                  <c:v>0.2050572531534437</c:v>
                </c:pt>
                <c:pt idx="7">
                  <c:v>0.21260433931838504</c:v>
                </c:pt>
                <c:pt idx="8">
                  <c:v>0.21925418185687326</c:v>
                </c:pt>
                <c:pt idx="9">
                  <c:v>0.22001203692316865</c:v>
                </c:pt>
                <c:pt idx="10">
                  <c:v>0.21218419317711998</c:v>
                </c:pt>
                <c:pt idx="11">
                  <c:v>0.22638597976736932</c:v>
                </c:pt>
              </c:numCache>
            </c:numRef>
          </c:val>
          <c:extLst>
            <c:ext xmlns:c16="http://schemas.microsoft.com/office/drawing/2014/chart" uri="{C3380CC4-5D6E-409C-BE32-E72D297353CC}">
              <c16:uniqueId val="{00000000-E7F3-4A49-9369-24541DF84CFC}"/>
            </c:ext>
          </c:extLst>
        </c:ser>
        <c:dLbls>
          <c:showLegendKey val="0"/>
          <c:showVal val="0"/>
          <c:showCatName val="0"/>
          <c:showSerName val="0"/>
          <c:showPercent val="0"/>
          <c:showBubbleSize val="0"/>
        </c:dLbls>
        <c:gapWidth val="74"/>
        <c:overlap val="27"/>
        <c:axId val="1234465999"/>
        <c:axId val="2020463024"/>
      </c:barChart>
      <c:lineChart>
        <c:grouping val="standard"/>
        <c:varyColors val="0"/>
        <c:ser>
          <c:idx val="1"/>
          <c:order val="1"/>
          <c:tx>
            <c:strRef>
              <c:f>Sheet1!$A$3</c:f>
              <c:strCache>
                <c:ptCount val="1"/>
                <c:pt idx="0">
                  <c:v>Dinamika, 2010.gads =100 (labā ass)</c:v>
                </c:pt>
              </c:strCache>
            </c:strRef>
          </c:tx>
          <c:spPr>
            <a:ln w="28575" cap="rnd">
              <a:solidFill>
                <a:schemeClr val="accent2"/>
              </a:solidFill>
              <a:round/>
            </a:ln>
            <a:effectLst/>
          </c:spPr>
          <c:marker>
            <c:symbol val="none"/>
          </c:marker>
          <c:cat>
            <c:strRef>
              <c:f>Sheet1!$B$1:$M$1</c:f>
              <c:strCache>
                <c:ptCount val="12"/>
                <c:pt idx="0">
                  <c:v>2010</c:v>
                </c:pt>
                <c:pt idx="1">
                  <c:v>2011</c:v>
                </c:pt>
                <c:pt idx="2">
                  <c:v>2012</c:v>
                </c:pt>
                <c:pt idx="3">
                  <c:v>2013</c:v>
                </c:pt>
                <c:pt idx="4">
                  <c:v>2014</c:v>
                </c:pt>
                <c:pt idx="5">
                  <c:v>2015</c:v>
                </c:pt>
                <c:pt idx="6">
                  <c:v>2016</c:v>
                </c:pt>
                <c:pt idx="7">
                  <c:v>2017</c:v>
                </c:pt>
                <c:pt idx="8">
                  <c:v>2018</c:v>
                </c:pt>
                <c:pt idx="9">
                  <c:v>2019</c:v>
                </c:pt>
                <c:pt idx="10">
                  <c:v>2020</c:v>
                </c:pt>
                <c:pt idx="11">
                  <c:v>2021</c:v>
                </c:pt>
              </c:strCache>
            </c:strRef>
          </c:cat>
          <c:val>
            <c:numRef>
              <c:f>Sheet1!$B$3:$M$3</c:f>
              <c:numCache>
                <c:formatCode>#\ ##0.#</c:formatCode>
                <c:ptCount val="12"/>
                <c:pt idx="0" formatCode="#\ ##0.##">
                  <c:v>100</c:v>
                </c:pt>
                <c:pt idx="1">
                  <c:v>102.43564331382373</c:v>
                </c:pt>
                <c:pt idx="2">
                  <c:v>108.85273226733729</c:v>
                </c:pt>
                <c:pt idx="3">
                  <c:v>110.38559462459459</c:v>
                </c:pt>
                <c:pt idx="4">
                  <c:v>112.4880969527422</c:v>
                </c:pt>
                <c:pt idx="5">
                  <c:v>117.1271532253008</c:v>
                </c:pt>
                <c:pt idx="6">
                  <c:v>120.21376543436924</c:v>
                </c:pt>
                <c:pt idx="7">
                  <c:v>124.63820608200793</c:v>
                </c:pt>
                <c:pt idx="8">
                  <c:v>128.53664224461039</c:v>
                </c:pt>
                <c:pt idx="9">
                  <c:v>128.98093089947065</c:v>
                </c:pt>
                <c:pt idx="10">
                  <c:v>124.39189755647433</c:v>
                </c:pt>
                <c:pt idx="11">
                  <c:v>132.71762227800698</c:v>
                </c:pt>
              </c:numCache>
            </c:numRef>
          </c:val>
          <c:smooth val="0"/>
          <c:extLst>
            <c:ext xmlns:c16="http://schemas.microsoft.com/office/drawing/2014/chart" uri="{C3380CC4-5D6E-409C-BE32-E72D297353CC}">
              <c16:uniqueId val="{00000001-E7F3-4A49-9369-24541DF84CFC}"/>
            </c:ext>
          </c:extLst>
        </c:ser>
        <c:dLbls>
          <c:showLegendKey val="0"/>
          <c:showVal val="0"/>
          <c:showCatName val="0"/>
          <c:showSerName val="0"/>
          <c:showPercent val="0"/>
          <c:showBubbleSize val="0"/>
        </c:dLbls>
        <c:marker val="1"/>
        <c:smooth val="0"/>
        <c:axId val="1224721167"/>
        <c:axId val="1250521584"/>
      </c:lineChart>
      <c:catAx>
        <c:axId val="1234465999"/>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2020463024"/>
        <c:crosses val="autoZero"/>
        <c:auto val="1"/>
        <c:lblAlgn val="ctr"/>
        <c:lblOffset val="100"/>
        <c:noMultiLvlLbl val="0"/>
      </c:catAx>
      <c:valAx>
        <c:axId val="2020463024"/>
        <c:scaling>
          <c:orientation val="minMax"/>
          <c:max val="0.4"/>
          <c:min val="0"/>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1234465999"/>
        <c:crosses val="autoZero"/>
        <c:crossBetween val="between"/>
        <c:majorUnit val="0.1"/>
        <c:minorUnit val="1.0000000000000002E-2"/>
      </c:valAx>
      <c:valAx>
        <c:axId val="1250521584"/>
        <c:scaling>
          <c:orientation val="minMax"/>
          <c:min val="100"/>
        </c:scaling>
        <c:delete val="0"/>
        <c:axPos val="r"/>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1224721167"/>
        <c:crosses val="max"/>
        <c:crossBetween val="between"/>
      </c:valAx>
      <c:catAx>
        <c:axId val="1224721167"/>
        <c:scaling>
          <c:orientation val="minMax"/>
        </c:scaling>
        <c:delete val="1"/>
        <c:axPos val="b"/>
        <c:numFmt formatCode="General" sourceLinked="1"/>
        <c:majorTickMark val="out"/>
        <c:minorTickMark val="none"/>
        <c:tickLblPos val="nextTo"/>
        <c:crossAx val="1250521584"/>
        <c:crosses val="autoZero"/>
        <c:auto val="1"/>
        <c:lblAlgn val="ctr"/>
        <c:lblOffset val="100"/>
        <c:noMultiLvlLbl val="0"/>
      </c:catAx>
      <c:spPr>
        <a:noFill/>
        <a:ln>
          <a:noFill/>
        </a:ln>
        <a:effectLst/>
      </c:spPr>
    </c:plotArea>
    <c:legend>
      <c:legendPos val="b"/>
      <c:layout>
        <c:manualLayout>
          <c:xMode val="edge"/>
          <c:yMode val="edge"/>
          <c:x val="8.6673818672945921E-3"/>
          <c:y val="0.87606705199841883"/>
          <c:w val="0.98889107679636967"/>
          <c:h val="9.1368497526682982E-2"/>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2035</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dPt>
            <c:idx val="1"/>
            <c:invertIfNegative val="0"/>
            <c:bubble3D val="0"/>
            <c:spPr>
              <a:pattFill prst="narHorz">
                <a:fgClr>
                  <a:schemeClr val="accent2"/>
                </a:fgClr>
                <a:bgClr>
                  <a:schemeClr val="accent2">
                    <a:lumMod val="20000"/>
                    <a:lumOff val="80000"/>
                  </a:schemeClr>
                </a:bgClr>
              </a:pattFill>
              <a:ln>
                <a:noFill/>
              </a:ln>
              <a:effectLst>
                <a:innerShdw blurRad="114300">
                  <a:schemeClr val="accent2"/>
                </a:innerShdw>
              </a:effectLst>
            </c:spPr>
            <c:extLst>
              <c:ext xmlns:c16="http://schemas.microsoft.com/office/drawing/2014/chart" uri="{C3380CC4-5D6E-409C-BE32-E72D297353CC}">
                <c16:uniqueId val="{00000001-A971-4810-8804-3C48349BB959}"/>
              </c:ext>
            </c:extLst>
          </c:dPt>
          <c:cat>
            <c:strRef>
              <c:f>Sheet1!$A$2:$A$25</c:f>
              <c:strCache>
                <c:ptCount val="24"/>
                <c:pt idx="0">
                  <c:v>Kokrūpniecība</c:v>
                </c:pt>
                <c:pt idx="1">
                  <c:v>Lauksaimniecība</c:v>
                </c:pt>
                <c:pt idx="2">
                  <c:v>Elektronika un optika</c:v>
                </c:pt>
                <c:pt idx="3">
                  <c:v>Cita rūpniecība</c:v>
                </c:pt>
                <c:pt idx="4">
                  <c:v>Privātie pakalpojumi</c:v>
                </c:pt>
                <c:pt idx="5">
                  <c:v>Ūdens transports</c:v>
                </c:pt>
                <c:pt idx="6">
                  <c:v>Elektriskās iekārtas</c:v>
                </c:pt>
                <c:pt idx="7">
                  <c:v>Uzglabāšana</c:v>
                </c:pt>
                <c:pt idx="8">
                  <c:v>Farmācija</c:v>
                </c:pt>
                <c:pt idx="9">
                  <c:v>Metālizstrādājumi</c:v>
                </c:pt>
                <c:pt idx="10">
                  <c:v>Gaisa transports</c:v>
                </c:pt>
                <c:pt idx="11">
                  <c:v>Sauszemes transports</c:v>
                </c:pt>
                <c:pt idx="12">
                  <c:v>Tekstils</c:v>
                </c:pt>
                <c:pt idx="13">
                  <c:v>Pārtika un dzērieni</c:v>
                </c:pt>
                <c:pt idx="14">
                  <c:v>Transportlīdzekļi</c:v>
                </c:pt>
                <c:pt idx="15">
                  <c:v>Mašīnbūve</c:v>
                </c:pt>
                <c:pt idx="16">
                  <c:v>Papīrs un poligrāfija</c:v>
                </c:pt>
                <c:pt idx="17">
                  <c:v>Metāli</c:v>
                </c:pt>
                <c:pt idx="18">
                  <c:v>Elektrības ražošana</c:v>
                </c:pt>
                <c:pt idx="19">
                  <c:v>Ķīmijas produkti</c:v>
                </c:pt>
                <c:pt idx="20">
                  <c:v>Gumija un plastmasa</c:v>
                </c:pt>
                <c:pt idx="21">
                  <c:v>Nemetāliskie minerāli</c:v>
                </c:pt>
                <c:pt idx="22">
                  <c:v>Būvniecība</c:v>
                </c:pt>
                <c:pt idx="23">
                  <c:v>Publiskie pakalpojumi</c:v>
                </c:pt>
              </c:strCache>
            </c:strRef>
          </c:cat>
          <c:val>
            <c:numRef>
              <c:f>Sheet1!$B$2:$B$25</c:f>
              <c:numCache>
                <c:formatCode>0.00</c:formatCode>
                <c:ptCount val="24"/>
                <c:pt idx="0">
                  <c:v>2.5470237816032748</c:v>
                </c:pt>
                <c:pt idx="1">
                  <c:v>2.4688075271016574</c:v>
                </c:pt>
                <c:pt idx="2">
                  <c:v>2.161146347192866</c:v>
                </c:pt>
                <c:pt idx="3">
                  <c:v>2.0171135196805468</c:v>
                </c:pt>
                <c:pt idx="4">
                  <c:v>1.7965970881469673</c:v>
                </c:pt>
                <c:pt idx="5">
                  <c:v>1.6102530397633874</c:v>
                </c:pt>
                <c:pt idx="6">
                  <c:v>1.5895773594314822</c:v>
                </c:pt>
                <c:pt idx="7">
                  <c:v>1.4312591129297836</c:v>
                </c:pt>
                <c:pt idx="8">
                  <c:v>1.4206629760554979</c:v>
                </c:pt>
                <c:pt idx="9">
                  <c:v>1.3239002521714838</c:v>
                </c:pt>
                <c:pt idx="10">
                  <c:v>1.1878247958426069</c:v>
                </c:pt>
                <c:pt idx="11">
                  <c:v>1.1635882980267853</c:v>
                </c:pt>
                <c:pt idx="12">
                  <c:v>1.1371955683537438</c:v>
                </c:pt>
                <c:pt idx="13">
                  <c:v>1.1210984932374934</c:v>
                </c:pt>
                <c:pt idx="14">
                  <c:v>1.0976604152292513</c:v>
                </c:pt>
                <c:pt idx="15">
                  <c:v>1.0928961748633892</c:v>
                </c:pt>
                <c:pt idx="16">
                  <c:v>1.0341193518640379</c:v>
                </c:pt>
                <c:pt idx="17">
                  <c:v>1.0124610591900396</c:v>
                </c:pt>
                <c:pt idx="18">
                  <c:v>1.0089891762979253</c:v>
                </c:pt>
                <c:pt idx="19">
                  <c:v>0.95041005595155603</c:v>
                </c:pt>
                <c:pt idx="20">
                  <c:v>0.82007776599504201</c:v>
                </c:pt>
                <c:pt idx="21">
                  <c:v>0.47511877969492744</c:v>
                </c:pt>
                <c:pt idx="22">
                  <c:v>0.20677369808808077</c:v>
                </c:pt>
                <c:pt idx="23">
                  <c:v>8.698002703106944E-2</c:v>
                </c:pt>
              </c:numCache>
            </c:numRef>
          </c:val>
          <c:extLst>
            <c:ext xmlns:c16="http://schemas.microsoft.com/office/drawing/2014/chart" uri="{C3380CC4-5D6E-409C-BE32-E72D297353CC}">
              <c16:uniqueId val="{00000002-A971-4810-8804-3C48349BB959}"/>
            </c:ext>
          </c:extLst>
        </c:ser>
        <c:dLbls>
          <c:showLegendKey val="0"/>
          <c:showVal val="0"/>
          <c:showCatName val="0"/>
          <c:showSerName val="0"/>
          <c:showPercent val="0"/>
          <c:showBubbleSize val="0"/>
        </c:dLbls>
        <c:gapWidth val="80"/>
        <c:axId val="314997208"/>
        <c:axId val="315001528"/>
      </c:barChart>
      <c:catAx>
        <c:axId val="314997208"/>
        <c:scaling>
          <c:orientation val="minMax"/>
        </c:scaling>
        <c:delete val="0"/>
        <c:axPos val="b"/>
        <c:numFmt formatCode="General" sourceLinked="1"/>
        <c:majorTickMark val="none"/>
        <c:minorTickMark val="none"/>
        <c:tickLblPos val="nextTo"/>
        <c:spPr>
          <a:noFill/>
          <a:ln w="6350" cap="flat" cmpd="sng" algn="ctr">
            <a:solidFill>
              <a:schemeClr val="tx1">
                <a:lumMod val="25000"/>
                <a:lumOff val="75000"/>
              </a:schemeClr>
            </a:solidFill>
            <a:round/>
          </a:ln>
          <a:effectLst/>
        </c:spPr>
        <c:txPr>
          <a:bodyPr rot="-540000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315001528"/>
        <c:crosses val="autoZero"/>
        <c:auto val="1"/>
        <c:lblAlgn val="ctr"/>
        <c:lblOffset val="100"/>
        <c:noMultiLvlLbl val="0"/>
      </c:catAx>
      <c:valAx>
        <c:axId val="315001528"/>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314997208"/>
        <c:crosses val="autoZero"/>
        <c:crossBetween val="between"/>
        <c:majorUnit val="1"/>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083989501312337"/>
          <c:y val="4.2507625735972186E-2"/>
          <c:w val="0.86243230996776865"/>
          <c:h val="0.7844434986167268"/>
        </c:manualLayout>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Sheet1!$A$2:$A$7</c:f>
              <c:strCache>
                <c:ptCount val="6"/>
                <c:pt idx="0">
                  <c:v>2025-2029</c:v>
                </c:pt>
                <c:pt idx="1">
                  <c:v>2030-2034</c:v>
                </c:pt>
                <c:pt idx="2">
                  <c:v>2035-2039</c:v>
                </c:pt>
                <c:pt idx="3">
                  <c:v>2040-2044</c:v>
                </c:pt>
                <c:pt idx="4">
                  <c:v>2045-2049</c:v>
                </c:pt>
                <c:pt idx="5">
                  <c:v>2050-</c:v>
                </c:pt>
              </c:strCache>
            </c:strRef>
          </c:cat>
          <c:val>
            <c:numRef>
              <c:f>Sheet1!$B$2:$B$7</c:f>
              <c:numCache>
                <c:formatCode>General</c:formatCode>
                <c:ptCount val="6"/>
                <c:pt idx="0">
                  <c:v>0.64989516629467836</c:v>
                </c:pt>
                <c:pt idx="1">
                  <c:v>1.5663806757771459</c:v>
                </c:pt>
                <c:pt idx="2">
                  <c:v>1.6789645668317199</c:v>
                </c:pt>
                <c:pt idx="3">
                  <c:v>1.6193438411914229</c:v>
                </c:pt>
                <c:pt idx="4">
                  <c:v>1.5962889379333101</c:v>
                </c:pt>
                <c:pt idx="5">
                  <c:v>1.5695367422183359</c:v>
                </c:pt>
              </c:numCache>
            </c:numRef>
          </c:val>
          <c:extLst>
            <c:ext xmlns:c16="http://schemas.microsoft.com/office/drawing/2014/chart" uri="{C3380CC4-5D6E-409C-BE32-E72D297353CC}">
              <c16:uniqueId val="{00000000-A1B9-43BB-A96C-1037531B2069}"/>
            </c:ext>
          </c:extLst>
        </c:ser>
        <c:dLbls>
          <c:showLegendKey val="0"/>
          <c:showVal val="0"/>
          <c:showCatName val="0"/>
          <c:showSerName val="0"/>
          <c:showPercent val="0"/>
          <c:showBubbleSize val="0"/>
        </c:dLbls>
        <c:gapWidth val="100"/>
        <c:axId val="486749784"/>
        <c:axId val="486753744"/>
      </c:barChart>
      <c:catAx>
        <c:axId val="48674978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53744"/>
        <c:crosses val="autoZero"/>
        <c:auto val="1"/>
        <c:lblAlgn val="ctr"/>
        <c:lblOffset val="100"/>
        <c:tickLblSkip val="1"/>
        <c:noMultiLvlLbl val="0"/>
      </c:catAx>
      <c:valAx>
        <c:axId val="48675374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49784"/>
        <c:crosses val="autoZero"/>
        <c:crossBetween val="between"/>
        <c:majorUnit val="0.5"/>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140444100929101"/>
          <c:y val="3.3794875986522449E-2"/>
          <c:w val="0.84622625783234129"/>
          <c:h val="0.80660667196077107"/>
        </c:manualLayout>
      </c:layout>
      <c:lineChart>
        <c:grouping val="standard"/>
        <c:varyColors val="0"/>
        <c:ser>
          <c:idx val="0"/>
          <c:order val="0"/>
          <c:tx>
            <c:strRef>
              <c:f>Sheet1!$B$1</c:f>
              <c:strCache>
                <c:ptCount val="1"/>
                <c:pt idx="0">
                  <c:v>Investīcijas</c:v>
                </c:pt>
              </c:strCache>
            </c:strRef>
          </c:tx>
          <c:spPr>
            <a:ln w="47625" cap="rnd">
              <a:solidFill>
                <a:schemeClr val="accent1"/>
              </a:solidFill>
              <a:round/>
            </a:ln>
            <a:effectLst/>
          </c:spPr>
          <c:marker>
            <c:symbol val="none"/>
          </c:marker>
          <c:cat>
            <c:strRef>
              <c:f>Sheet1!$A$2:$A$7</c:f>
              <c:strCache>
                <c:ptCount val="6"/>
                <c:pt idx="0">
                  <c:v>2025-2029</c:v>
                </c:pt>
                <c:pt idx="1">
                  <c:v>2030-2034</c:v>
                </c:pt>
                <c:pt idx="2">
                  <c:v>2035-2039</c:v>
                </c:pt>
                <c:pt idx="3">
                  <c:v>2040-2044</c:v>
                </c:pt>
                <c:pt idx="4">
                  <c:v>2045-2049</c:v>
                </c:pt>
                <c:pt idx="5">
                  <c:v>2050-</c:v>
                </c:pt>
              </c:strCache>
            </c:strRef>
          </c:cat>
          <c:val>
            <c:numRef>
              <c:f>Sheet1!$B$2:$B$7</c:f>
              <c:numCache>
                <c:formatCode>0.00</c:formatCode>
                <c:ptCount val="6"/>
                <c:pt idx="0">
                  <c:v>2.0894208086216715</c:v>
                </c:pt>
                <c:pt idx="1">
                  <c:v>2.16</c:v>
                </c:pt>
                <c:pt idx="2">
                  <c:v>2.2509433805323997</c:v>
                </c:pt>
                <c:pt idx="3">
                  <c:v>2.199294286462905</c:v>
                </c:pt>
                <c:pt idx="4">
                  <c:v>2.1529478368486288</c:v>
                </c:pt>
                <c:pt idx="5">
                  <c:v>2.0919739580827157</c:v>
                </c:pt>
              </c:numCache>
            </c:numRef>
          </c:val>
          <c:smooth val="0"/>
          <c:extLst>
            <c:ext xmlns:c16="http://schemas.microsoft.com/office/drawing/2014/chart" uri="{C3380CC4-5D6E-409C-BE32-E72D297353CC}">
              <c16:uniqueId val="{00000000-DEA7-464D-8BF3-1C164EACB1BA}"/>
            </c:ext>
          </c:extLst>
        </c:ser>
        <c:ser>
          <c:idx val="1"/>
          <c:order val="1"/>
          <c:tx>
            <c:strRef>
              <c:f>Sheet1!$C$1</c:f>
              <c:strCache>
                <c:ptCount val="1"/>
                <c:pt idx="0">
                  <c:v>Publiskais patēriņš</c:v>
                </c:pt>
              </c:strCache>
            </c:strRef>
          </c:tx>
          <c:spPr>
            <a:ln w="47625" cap="rnd">
              <a:solidFill>
                <a:schemeClr val="accent2"/>
              </a:solidFill>
              <a:round/>
            </a:ln>
            <a:effectLst/>
          </c:spPr>
          <c:marker>
            <c:symbol val="none"/>
          </c:marker>
          <c:cat>
            <c:strRef>
              <c:f>Sheet1!$A$2:$A$7</c:f>
              <c:strCache>
                <c:ptCount val="6"/>
                <c:pt idx="0">
                  <c:v>2025-2029</c:v>
                </c:pt>
                <c:pt idx="1">
                  <c:v>2030-2034</c:v>
                </c:pt>
                <c:pt idx="2">
                  <c:v>2035-2039</c:v>
                </c:pt>
                <c:pt idx="3">
                  <c:v>2040-2044</c:v>
                </c:pt>
                <c:pt idx="4">
                  <c:v>2045-2049</c:v>
                </c:pt>
                <c:pt idx="5">
                  <c:v>2050-</c:v>
                </c:pt>
              </c:strCache>
            </c:strRef>
          </c:cat>
          <c:val>
            <c:numRef>
              <c:f>Sheet1!$C$2:$C$7</c:f>
              <c:numCache>
                <c:formatCode>General</c:formatCode>
                <c:ptCount val="6"/>
                <c:pt idx="0">
                  <c:v>0</c:v>
                </c:pt>
                <c:pt idx="1">
                  <c:v>0</c:v>
                </c:pt>
                <c:pt idx="2">
                  <c:v>0</c:v>
                </c:pt>
                <c:pt idx="3">
                  <c:v>0</c:v>
                </c:pt>
                <c:pt idx="4">
                  <c:v>0</c:v>
                </c:pt>
                <c:pt idx="5">
                  <c:v>0</c:v>
                </c:pt>
              </c:numCache>
            </c:numRef>
          </c:val>
          <c:smooth val="0"/>
          <c:extLst>
            <c:ext xmlns:c16="http://schemas.microsoft.com/office/drawing/2014/chart" uri="{C3380CC4-5D6E-409C-BE32-E72D297353CC}">
              <c16:uniqueId val="{00000001-DEA7-464D-8BF3-1C164EACB1BA}"/>
            </c:ext>
          </c:extLst>
        </c:ser>
        <c:ser>
          <c:idx val="2"/>
          <c:order val="2"/>
          <c:tx>
            <c:strRef>
              <c:f>Sheet1!$D$1</c:f>
              <c:strCache>
                <c:ptCount val="1"/>
                <c:pt idx="0">
                  <c:v>Privātais patēriņš</c:v>
                </c:pt>
              </c:strCache>
            </c:strRef>
          </c:tx>
          <c:spPr>
            <a:ln w="47625" cap="rnd">
              <a:solidFill>
                <a:schemeClr val="accent3"/>
              </a:solidFill>
              <a:round/>
            </a:ln>
            <a:effectLst/>
          </c:spPr>
          <c:marker>
            <c:symbol val="none"/>
          </c:marker>
          <c:cat>
            <c:strRef>
              <c:f>Sheet1!$A$2:$A$7</c:f>
              <c:strCache>
                <c:ptCount val="6"/>
                <c:pt idx="0">
                  <c:v>2025-2029</c:v>
                </c:pt>
                <c:pt idx="1">
                  <c:v>2030-2034</c:v>
                </c:pt>
                <c:pt idx="2">
                  <c:v>2035-2039</c:v>
                </c:pt>
                <c:pt idx="3">
                  <c:v>2040-2044</c:v>
                </c:pt>
                <c:pt idx="4">
                  <c:v>2045-2049</c:v>
                </c:pt>
                <c:pt idx="5">
                  <c:v>2050-</c:v>
                </c:pt>
              </c:strCache>
            </c:strRef>
          </c:cat>
          <c:val>
            <c:numRef>
              <c:f>Sheet1!$D$2:$D$7</c:f>
              <c:numCache>
                <c:formatCode>0.00</c:formatCode>
                <c:ptCount val="6"/>
                <c:pt idx="0">
                  <c:v>1.6524235356329964</c:v>
                </c:pt>
                <c:pt idx="1">
                  <c:v>2.2563843338835765</c:v>
                </c:pt>
                <c:pt idx="2">
                  <c:v>2.0750615875857914</c:v>
                </c:pt>
                <c:pt idx="3">
                  <c:v>1.7808782828669267</c:v>
                </c:pt>
                <c:pt idx="4">
                  <c:v>1.6283129407888008</c:v>
                </c:pt>
                <c:pt idx="5">
                  <c:v>1.4617476676975327</c:v>
                </c:pt>
              </c:numCache>
            </c:numRef>
          </c:val>
          <c:smooth val="0"/>
          <c:extLst>
            <c:ext xmlns:c16="http://schemas.microsoft.com/office/drawing/2014/chart" uri="{C3380CC4-5D6E-409C-BE32-E72D297353CC}">
              <c16:uniqueId val="{00000002-DEA7-464D-8BF3-1C164EACB1BA}"/>
            </c:ext>
          </c:extLst>
        </c:ser>
        <c:dLbls>
          <c:showLegendKey val="0"/>
          <c:showVal val="0"/>
          <c:showCatName val="0"/>
          <c:showSerName val="0"/>
          <c:showPercent val="0"/>
          <c:showBubbleSize val="0"/>
        </c:dLbls>
        <c:smooth val="0"/>
        <c:axId val="486734304"/>
        <c:axId val="486735744"/>
      </c:lineChart>
      <c:catAx>
        <c:axId val="48673430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35744"/>
        <c:crosses val="autoZero"/>
        <c:auto val="1"/>
        <c:lblAlgn val="ctr"/>
        <c:lblOffset val="100"/>
        <c:tickLblSkip val="1"/>
        <c:noMultiLvlLbl val="0"/>
      </c:catAx>
      <c:valAx>
        <c:axId val="4867357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34304"/>
        <c:crosses val="autoZero"/>
        <c:crossBetween val="between"/>
        <c:majorUnit val="1"/>
      </c:valAx>
      <c:spPr>
        <a:noFill/>
        <a:ln>
          <a:noFill/>
        </a:ln>
        <a:effectLst/>
      </c:spPr>
    </c:plotArea>
    <c:legend>
      <c:legendPos val="b"/>
      <c:layout>
        <c:manualLayout>
          <c:xMode val="edge"/>
          <c:yMode val="edge"/>
          <c:x val="0.28035263996908366"/>
          <c:y val="0.53508577863753193"/>
          <c:w val="0.57535706809654941"/>
          <c:h val="0.25067850947697284"/>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5255728169114"/>
          <c:y val="5.2169478815148107E-2"/>
          <c:w val="0.83841222549883976"/>
          <c:h val="0.91682506353372495"/>
        </c:manualLayout>
      </c:layout>
      <c:lineChart>
        <c:grouping val="standard"/>
        <c:varyColors val="0"/>
        <c:ser>
          <c:idx val="0"/>
          <c:order val="0"/>
          <c:tx>
            <c:strRef>
              <c:f>Sheet1!$B$1</c:f>
              <c:strCache>
                <c:ptCount val="1"/>
                <c:pt idx="0">
                  <c:v>Eksports</c:v>
                </c:pt>
              </c:strCache>
            </c:strRef>
          </c:tx>
          <c:spPr>
            <a:ln w="28575" cap="rnd">
              <a:solidFill>
                <a:schemeClr val="accent1"/>
              </a:solidFill>
              <a:round/>
            </a:ln>
            <a:effectLst/>
          </c:spPr>
          <c:marker>
            <c:symbol val="none"/>
          </c:marker>
          <c:cat>
            <c:strRef>
              <c:f>Sheet1!$A$2:$A$7</c:f>
              <c:strCache>
                <c:ptCount val="6"/>
                <c:pt idx="0">
                  <c:v>2025-2029</c:v>
                </c:pt>
                <c:pt idx="1">
                  <c:v>2030-2034</c:v>
                </c:pt>
                <c:pt idx="2">
                  <c:v>2035-2039</c:v>
                </c:pt>
                <c:pt idx="3">
                  <c:v>2040-2044</c:v>
                </c:pt>
                <c:pt idx="4">
                  <c:v>2045-2049</c:v>
                </c:pt>
                <c:pt idx="5">
                  <c:v>2050-</c:v>
                </c:pt>
              </c:strCache>
            </c:strRef>
          </c:cat>
          <c:val>
            <c:numRef>
              <c:f>Sheet1!$B$2:$B$7</c:f>
              <c:numCache>
                <c:formatCode>General</c:formatCode>
                <c:ptCount val="6"/>
                <c:pt idx="0">
                  <c:v>-0.33478553096530694</c:v>
                </c:pt>
                <c:pt idx="1">
                  <c:v>0.94067086906561848</c:v>
                </c:pt>
                <c:pt idx="2">
                  <c:v>1.5903759583747457</c:v>
                </c:pt>
                <c:pt idx="3">
                  <c:v>1.7186097508322673</c:v>
                </c:pt>
                <c:pt idx="4">
                  <c:v>1.7997268876038364</c:v>
                </c:pt>
                <c:pt idx="5">
                  <c:v>1.8997331723284994</c:v>
                </c:pt>
              </c:numCache>
            </c:numRef>
          </c:val>
          <c:smooth val="0"/>
          <c:extLst>
            <c:ext xmlns:c16="http://schemas.microsoft.com/office/drawing/2014/chart" uri="{C3380CC4-5D6E-409C-BE32-E72D297353CC}">
              <c16:uniqueId val="{00000000-8A99-4F0F-AA7D-FB40A8AA6CCD}"/>
            </c:ext>
          </c:extLst>
        </c:ser>
        <c:ser>
          <c:idx val="1"/>
          <c:order val="1"/>
          <c:tx>
            <c:strRef>
              <c:f>Sheet1!$C$1</c:f>
              <c:strCache>
                <c:ptCount val="1"/>
                <c:pt idx="0">
                  <c:v>Imports</c:v>
                </c:pt>
              </c:strCache>
            </c:strRef>
          </c:tx>
          <c:spPr>
            <a:ln w="28575" cap="rnd">
              <a:solidFill>
                <a:schemeClr val="accent2"/>
              </a:solidFill>
              <a:round/>
            </a:ln>
            <a:effectLst/>
          </c:spPr>
          <c:marker>
            <c:symbol val="none"/>
          </c:marker>
          <c:cat>
            <c:strRef>
              <c:f>Sheet1!$A$2:$A$7</c:f>
              <c:strCache>
                <c:ptCount val="6"/>
                <c:pt idx="0">
                  <c:v>2025-2029</c:v>
                </c:pt>
                <c:pt idx="1">
                  <c:v>2030-2034</c:v>
                </c:pt>
                <c:pt idx="2">
                  <c:v>2035-2039</c:v>
                </c:pt>
                <c:pt idx="3">
                  <c:v>2040-2044</c:v>
                </c:pt>
                <c:pt idx="4">
                  <c:v>2045-2049</c:v>
                </c:pt>
                <c:pt idx="5">
                  <c:v>2050-</c:v>
                </c:pt>
              </c:strCache>
            </c:strRef>
          </c:cat>
          <c:val>
            <c:numRef>
              <c:f>Sheet1!$C$2:$C$7</c:f>
              <c:numCache>
                <c:formatCode>General</c:formatCode>
                <c:ptCount val="6"/>
                <c:pt idx="0">
                  <c:v>0.56565052264788473</c:v>
                </c:pt>
                <c:pt idx="1">
                  <c:v>1.7868758811377283</c:v>
                </c:pt>
                <c:pt idx="2">
                  <c:v>1.4778126074709519</c:v>
                </c:pt>
                <c:pt idx="3">
                  <c:v>1.3493516164285069</c:v>
                </c:pt>
                <c:pt idx="4">
                  <c:v>1.2841891980137854</c:v>
                </c:pt>
                <c:pt idx="5">
                  <c:v>1.206875604267732</c:v>
                </c:pt>
              </c:numCache>
            </c:numRef>
          </c:val>
          <c:smooth val="0"/>
          <c:extLst>
            <c:ext xmlns:c16="http://schemas.microsoft.com/office/drawing/2014/chart" uri="{C3380CC4-5D6E-409C-BE32-E72D297353CC}">
              <c16:uniqueId val="{00000001-8A99-4F0F-AA7D-FB40A8AA6CCD}"/>
            </c:ext>
          </c:extLst>
        </c:ser>
        <c:dLbls>
          <c:showLegendKey val="0"/>
          <c:showVal val="0"/>
          <c:showCatName val="0"/>
          <c:showSerName val="0"/>
          <c:showPercent val="0"/>
          <c:showBubbleSize val="0"/>
        </c:dLbls>
        <c:smooth val="0"/>
        <c:axId val="491415192"/>
        <c:axId val="491416272"/>
      </c:lineChart>
      <c:catAx>
        <c:axId val="491415192"/>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491416272"/>
        <c:crosses val="autoZero"/>
        <c:auto val="1"/>
        <c:lblAlgn val="ctr"/>
        <c:lblOffset val="100"/>
        <c:tickLblSkip val="1"/>
        <c:noMultiLvlLbl val="0"/>
      </c:catAx>
      <c:valAx>
        <c:axId val="491416272"/>
        <c:scaling>
          <c:orientation val="minMax"/>
          <c:max val="3"/>
          <c:min val="-1"/>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491415192"/>
        <c:crosses val="autoZero"/>
        <c:crossBetween val="between"/>
        <c:majorUnit val="1"/>
      </c:valAx>
      <c:spPr>
        <a:noFill/>
        <a:ln>
          <a:noFill/>
        </a:ln>
        <a:effectLst/>
      </c:spPr>
    </c:plotArea>
    <c:legend>
      <c:legendPos val="b"/>
      <c:layout>
        <c:manualLayout>
          <c:xMode val="edge"/>
          <c:yMode val="edge"/>
          <c:x val="0.15516965571177194"/>
          <c:y val="0.7026232035680855"/>
          <c:w val="0.78882072173410756"/>
          <c:h val="8.6787484897721118E-2"/>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9533383255047"/>
          <c:y val="5.6021139249485707E-2"/>
          <c:w val="0.86714616775020181"/>
          <c:h val="0.77092998510321342"/>
        </c:manualLayout>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Sheet1!$A$2:$A$7</c:f>
              <c:strCache>
                <c:ptCount val="6"/>
                <c:pt idx="0">
                  <c:v>2025-2029</c:v>
                </c:pt>
                <c:pt idx="1">
                  <c:v>2030-2034</c:v>
                </c:pt>
                <c:pt idx="2">
                  <c:v>2035-2039</c:v>
                </c:pt>
                <c:pt idx="3">
                  <c:v>2040-2044</c:v>
                </c:pt>
                <c:pt idx="4">
                  <c:v>2045-2049</c:v>
                </c:pt>
                <c:pt idx="5">
                  <c:v>2050-</c:v>
                </c:pt>
              </c:strCache>
            </c:strRef>
          </c:cat>
          <c:val>
            <c:numRef>
              <c:f>Sheet1!$B$2:$B$7</c:f>
              <c:numCache>
                <c:formatCode>General</c:formatCode>
                <c:ptCount val="6"/>
                <c:pt idx="0">
                  <c:v>-0.4516</c:v>
                </c:pt>
                <c:pt idx="1">
                  <c:v>-0.45899999999999969</c:v>
                </c:pt>
                <c:pt idx="2">
                  <c:v>5.4999999999999841E-2</c:v>
                </c:pt>
                <c:pt idx="3">
                  <c:v>0.19000000000000022</c:v>
                </c:pt>
                <c:pt idx="4">
                  <c:v>0.26800000000000002</c:v>
                </c:pt>
                <c:pt idx="5">
                  <c:v>0.3640000000000001</c:v>
                </c:pt>
              </c:numCache>
            </c:numRef>
          </c:val>
          <c:extLst>
            <c:ext xmlns:c16="http://schemas.microsoft.com/office/drawing/2014/chart" uri="{C3380CC4-5D6E-409C-BE32-E72D297353CC}">
              <c16:uniqueId val="{00000000-AD5B-4112-B2DE-C3C659DF554D}"/>
            </c:ext>
          </c:extLst>
        </c:ser>
        <c:dLbls>
          <c:showLegendKey val="0"/>
          <c:showVal val="0"/>
          <c:showCatName val="0"/>
          <c:showSerName val="0"/>
          <c:showPercent val="0"/>
          <c:showBubbleSize val="0"/>
        </c:dLbls>
        <c:gapWidth val="100"/>
        <c:axId val="486749784"/>
        <c:axId val="486753744"/>
      </c:barChart>
      <c:catAx>
        <c:axId val="48674978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53744"/>
        <c:crosses val="autoZero"/>
        <c:auto val="1"/>
        <c:lblAlgn val="ctr"/>
        <c:lblOffset val="100"/>
        <c:tickLblSkip val="1"/>
        <c:noMultiLvlLbl val="0"/>
      </c:catAx>
      <c:valAx>
        <c:axId val="48675374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49784"/>
        <c:crosses val="autoZero"/>
        <c:crossBetween val="between"/>
        <c:majorUnit val="0.2"/>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838652951693616"/>
          <c:y val="4.2507625735972186E-2"/>
          <c:w val="0.85828111772454341"/>
          <c:h val="0.7844434986167268"/>
        </c:manualLayout>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Sheet1!$A$2:$A$7</c:f>
              <c:strCache>
                <c:ptCount val="6"/>
                <c:pt idx="0">
                  <c:v>2025-2029</c:v>
                </c:pt>
                <c:pt idx="1">
                  <c:v>2030-2034</c:v>
                </c:pt>
                <c:pt idx="2">
                  <c:v>2035-2039</c:v>
                </c:pt>
                <c:pt idx="3">
                  <c:v>2040-2044</c:v>
                </c:pt>
                <c:pt idx="4">
                  <c:v>2045-2049</c:v>
                </c:pt>
                <c:pt idx="5">
                  <c:v>2050-</c:v>
                </c:pt>
              </c:strCache>
            </c:strRef>
          </c:cat>
          <c:val>
            <c:numRef>
              <c:f>Sheet1!$B$2:$B$7</c:f>
              <c:numCache>
                <c:formatCode>General</c:formatCode>
                <c:ptCount val="6"/>
                <c:pt idx="0">
                  <c:v>0.91813115050884964</c:v>
                </c:pt>
                <c:pt idx="1">
                  <c:v>0.95971180501808195</c:v>
                </c:pt>
                <c:pt idx="2">
                  <c:v>0.96831516173725429</c:v>
                </c:pt>
                <c:pt idx="3">
                  <c:v>0.94654962356688355</c:v>
                </c:pt>
                <c:pt idx="4">
                  <c:v>0.96095488569694076</c:v>
                </c:pt>
                <c:pt idx="5">
                  <c:v>0.95885536640636371</c:v>
                </c:pt>
              </c:numCache>
            </c:numRef>
          </c:val>
          <c:extLst>
            <c:ext xmlns:c16="http://schemas.microsoft.com/office/drawing/2014/chart" uri="{C3380CC4-5D6E-409C-BE32-E72D297353CC}">
              <c16:uniqueId val="{00000000-A5C8-431F-B1F2-00B10A85DAC1}"/>
            </c:ext>
          </c:extLst>
        </c:ser>
        <c:dLbls>
          <c:showLegendKey val="0"/>
          <c:showVal val="0"/>
          <c:showCatName val="0"/>
          <c:showSerName val="0"/>
          <c:showPercent val="0"/>
          <c:showBubbleSize val="0"/>
        </c:dLbls>
        <c:gapWidth val="100"/>
        <c:axId val="486749784"/>
        <c:axId val="486753744"/>
      </c:barChart>
      <c:catAx>
        <c:axId val="48674978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53744"/>
        <c:crosses val="autoZero"/>
        <c:auto val="1"/>
        <c:lblAlgn val="ctr"/>
        <c:lblOffset val="100"/>
        <c:tickLblSkip val="1"/>
        <c:noMultiLvlLbl val="0"/>
      </c:catAx>
      <c:valAx>
        <c:axId val="486753744"/>
        <c:scaling>
          <c:orientation val="minMax"/>
          <c:max val="1"/>
          <c:min val="0"/>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49784"/>
        <c:crosses val="autoZero"/>
        <c:crossBetween val="between"/>
        <c:majorUnit val="0.5"/>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9533383255047"/>
          <c:y val="5.6021139249485707E-2"/>
          <c:w val="0.86299506770869083"/>
          <c:h val="0.77092998510321342"/>
        </c:manualLayout>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Sheet1!$A$2:$A$7</c:f>
              <c:strCache>
                <c:ptCount val="6"/>
                <c:pt idx="0">
                  <c:v>2025-2029</c:v>
                </c:pt>
                <c:pt idx="1">
                  <c:v>2030-2034</c:v>
                </c:pt>
                <c:pt idx="2">
                  <c:v>2035-2039</c:v>
                </c:pt>
                <c:pt idx="3">
                  <c:v>2040-2044</c:v>
                </c:pt>
                <c:pt idx="4">
                  <c:v>2045-2049</c:v>
                </c:pt>
                <c:pt idx="5">
                  <c:v>2050-</c:v>
                </c:pt>
              </c:strCache>
            </c:strRef>
          </c:cat>
          <c:val>
            <c:numRef>
              <c:f>Sheet1!$B$2:$B$7</c:f>
              <c:numCache>
                <c:formatCode>General</c:formatCode>
                <c:ptCount val="6"/>
                <c:pt idx="0">
                  <c:v>-0.78900000000000081</c:v>
                </c:pt>
                <c:pt idx="1">
                  <c:v>-0.77200000000000046</c:v>
                </c:pt>
                <c:pt idx="2">
                  <c:v>-0.74299999999999922</c:v>
                </c:pt>
                <c:pt idx="3">
                  <c:v>-0.70700000000000207</c:v>
                </c:pt>
                <c:pt idx="4">
                  <c:v>-0.66700000000000093</c:v>
                </c:pt>
                <c:pt idx="5">
                  <c:v>-0.59900000000000508</c:v>
                </c:pt>
              </c:numCache>
            </c:numRef>
          </c:val>
          <c:extLst>
            <c:ext xmlns:c16="http://schemas.microsoft.com/office/drawing/2014/chart" uri="{C3380CC4-5D6E-409C-BE32-E72D297353CC}">
              <c16:uniqueId val="{00000000-1DB3-4DFA-9FB7-D38C169A9BC8}"/>
            </c:ext>
          </c:extLst>
        </c:ser>
        <c:dLbls>
          <c:showLegendKey val="0"/>
          <c:showVal val="0"/>
          <c:showCatName val="0"/>
          <c:showSerName val="0"/>
          <c:showPercent val="0"/>
          <c:showBubbleSize val="0"/>
        </c:dLbls>
        <c:gapWidth val="100"/>
        <c:axId val="486749784"/>
        <c:axId val="486753744"/>
      </c:barChart>
      <c:catAx>
        <c:axId val="48674978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53744"/>
        <c:crosses val="autoZero"/>
        <c:auto val="1"/>
        <c:lblAlgn val="ctr"/>
        <c:lblOffset val="100"/>
        <c:tickLblSkip val="1"/>
        <c:noMultiLvlLbl val="0"/>
      </c:catAx>
      <c:valAx>
        <c:axId val="486753744"/>
        <c:scaling>
          <c:orientation val="minMax"/>
          <c:max val="0"/>
          <c:min val="-1"/>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49784"/>
        <c:crosses val="autoZero"/>
        <c:crossBetween val="between"/>
        <c:majorUnit val="0.5"/>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9533383255047"/>
          <c:y val="5.6021139249485707E-2"/>
          <c:w val="0.86714616775020181"/>
          <c:h val="0.77092998510321342"/>
        </c:manualLayout>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Sheet1!$A$2:$A$7</c:f>
              <c:strCache>
                <c:ptCount val="6"/>
                <c:pt idx="0">
                  <c:v>2025-2029</c:v>
                </c:pt>
                <c:pt idx="1">
                  <c:v>2030-2034</c:v>
                </c:pt>
                <c:pt idx="2">
                  <c:v>2035-2039</c:v>
                </c:pt>
                <c:pt idx="3">
                  <c:v>2040-2044</c:v>
                </c:pt>
                <c:pt idx="4">
                  <c:v>2045-2049</c:v>
                </c:pt>
                <c:pt idx="5">
                  <c:v>2050-</c:v>
                </c:pt>
              </c:strCache>
            </c:strRef>
          </c:cat>
          <c:val>
            <c:numRef>
              <c:f>Sheet1!$B$2:$B$7</c:f>
              <c:numCache>
                <c:formatCode>General</c:formatCode>
                <c:ptCount val="6"/>
                <c:pt idx="0">
                  <c:v>0.62992413032942896</c:v>
                </c:pt>
                <c:pt idx="1">
                  <c:v>0.32483097217859136</c:v>
                </c:pt>
                <c:pt idx="2">
                  <c:v>0.20207679378649868</c:v>
                </c:pt>
                <c:pt idx="3">
                  <c:v>0.15567963270699536</c:v>
                </c:pt>
                <c:pt idx="4">
                  <c:v>0.10405815311709254</c:v>
                </c:pt>
                <c:pt idx="5">
                  <c:v>5.2864442948385992E-2</c:v>
                </c:pt>
              </c:numCache>
            </c:numRef>
          </c:val>
          <c:extLst>
            <c:ext xmlns:c16="http://schemas.microsoft.com/office/drawing/2014/chart" uri="{C3380CC4-5D6E-409C-BE32-E72D297353CC}">
              <c16:uniqueId val="{00000000-001B-4B3A-BBC2-E04043050A77}"/>
            </c:ext>
          </c:extLst>
        </c:ser>
        <c:dLbls>
          <c:showLegendKey val="0"/>
          <c:showVal val="0"/>
          <c:showCatName val="0"/>
          <c:showSerName val="0"/>
          <c:showPercent val="0"/>
          <c:showBubbleSize val="0"/>
        </c:dLbls>
        <c:gapWidth val="100"/>
        <c:axId val="486749784"/>
        <c:axId val="486753744"/>
      </c:barChart>
      <c:catAx>
        <c:axId val="48674978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53744"/>
        <c:crosses val="autoZero"/>
        <c:auto val="1"/>
        <c:lblAlgn val="ctr"/>
        <c:lblOffset val="100"/>
        <c:tickLblSkip val="1"/>
        <c:noMultiLvlLbl val="0"/>
      </c:catAx>
      <c:valAx>
        <c:axId val="486753744"/>
        <c:scaling>
          <c:orientation val="minMax"/>
          <c:max val="0.8"/>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49784"/>
        <c:crosses val="autoZero"/>
        <c:crossBetween val="between"/>
        <c:majorUnit val="0.2"/>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9533383255047"/>
          <c:y val="5.6021139249485707E-2"/>
          <c:w val="0.86714616775020181"/>
          <c:h val="0.77092998510321342"/>
        </c:manualLayout>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Sheet1!$A$2:$A$7</c:f>
              <c:strCache>
                <c:ptCount val="6"/>
                <c:pt idx="0">
                  <c:v>2025-2029</c:v>
                </c:pt>
                <c:pt idx="1">
                  <c:v>2030-2034</c:v>
                </c:pt>
                <c:pt idx="2">
                  <c:v>2035-2039</c:v>
                </c:pt>
                <c:pt idx="3">
                  <c:v>2040-2044</c:v>
                </c:pt>
                <c:pt idx="4">
                  <c:v>2045-2049</c:v>
                </c:pt>
                <c:pt idx="5">
                  <c:v>2050-</c:v>
                </c:pt>
              </c:strCache>
            </c:strRef>
          </c:cat>
          <c:val>
            <c:numRef>
              <c:f>Sheet1!$B$2:$B$7</c:f>
              <c:numCache>
                <c:formatCode>General</c:formatCode>
                <c:ptCount val="6"/>
                <c:pt idx="0">
                  <c:v>0.61871550345395931</c:v>
                </c:pt>
                <c:pt idx="1">
                  <c:v>-7.3186740301367514E-2</c:v>
                </c:pt>
                <c:pt idx="2">
                  <c:v>-0.20542692745398883</c:v>
                </c:pt>
                <c:pt idx="3">
                  <c:v>-0.21072850679130228</c:v>
                </c:pt>
                <c:pt idx="4">
                  <c:v>-0.2103752728428443</c:v>
                </c:pt>
                <c:pt idx="5">
                  <c:v>-0.2117716836061545</c:v>
                </c:pt>
              </c:numCache>
            </c:numRef>
          </c:val>
          <c:extLst>
            <c:ext xmlns:c16="http://schemas.microsoft.com/office/drawing/2014/chart" uri="{C3380CC4-5D6E-409C-BE32-E72D297353CC}">
              <c16:uniqueId val="{00000000-1CDB-472B-A99D-48F92C64A5B1}"/>
            </c:ext>
          </c:extLst>
        </c:ser>
        <c:dLbls>
          <c:showLegendKey val="0"/>
          <c:showVal val="0"/>
          <c:showCatName val="0"/>
          <c:showSerName val="0"/>
          <c:showPercent val="0"/>
          <c:showBubbleSize val="0"/>
        </c:dLbls>
        <c:gapWidth val="100"/>
        <c:axId val="486749784"/>
        <c:axId val="486753744"/>
      </c:barChart>
      <c:catAx>
        <c:axId val="48674978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53744"/>
        <c:crosses val="autoZero"/>
        <c:auto val="1"/>
        <c:lblAlgn val="ctr"/>
        <c:lblOffset val="100"/>
        <c:tickLblSkip val="1"/>
        <c:noMultiLvlLbl val="0"/>
      </c:catAx>
      <c:valAx>
        <c:axId val="48675374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49784"/>
        <c:crosses val="autoZero"/>
        <c:crossBetween val="between"/>
        <c:majorUnit val="0.2"/>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5966081162931552E-2"/>
          <c:y val="3.130358705161855E-2"/>
          <c:w val="0.84795759753331801"/>
          <c:h val="0.80452183861632676"/>
        </c:manualLayout>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Sheet1!$A$2:$A$7</c:f>
              <c:strCache>
                <c:ptCount val="6"/>
                <c:pt idx="0">
                  <c:v>2025-2029</c:v>
                </c:pt>
                <c:pt idx="1">
                  <c:v>2030-2034</c:v>
                </c:pt>
                <c:pt idx="2">
                  <c:v>2035-2039</c:v>
                </c:pt>
                <c:pt idx="3">
                  <c:v>2040-2044</c:v>
                </c:pt>
                <c:pt idx="4">
                  <c:v>2045-2049</c:v>
                </c:pt>
                <c:pt idx="5">
                  <c:v>2050-</c:v>
                </c:pt>
              </c:strCache>
            </c:strRef>
          </c:cat>
          <c:val>
            <c:numRef>
              <c:f>Sheet1!$B$2:$B$7</c:f>
              <c:numCache>
                <c:formatCode>General</c:formatCode>
                <c:ptCount val="6"/>
                <c:pt idx="0">
                  <c:v>2.24540311173973</c:v>
                </c:pt>
                <c:pt idx="1">
                  <c:v>1.5851756498065805</c:v>
                </c:pt>
                <c:pt idx="2">
                  <c:v>1.3223588266969122</c:v>
                </c:pt>
                <c:pt idx="3">
                  <c:v>1.1946327163470771</c:v>
                </c:pt>
                <c:pt idx="4">
                  <c:v>1.1316110240885635</c:v>
                </c:pt>
                <c:pt idx="5">
                  <c:v>1.0565243854031792</c:v>
                </c:pt>
              </c:numCache>
            </c:numRef>
          </c:val>
          <c:extLst>
            <c:ext xmlns:c16="http://schemas.microsoft.com/office/drawing/2014/chart" uri="{C3380CC4-5D6E-409C-BE32-E72D297353CC}">
              <c16:uniqueId val="{00000000-DDDB-4A5E-B9CC-F0AD0C359ADC}"/>
            </c:ext>
          </c:extLst>
        </c:ser>
        <c:dLbls>
          <c:showLegendKey val="0"/>
          <c:showVal val="0"/>
          <c:showCatName val="0"/>
          <c:showSerName val="0"/>
          <c:showPercent val="0"/>
          <c:showBubbleSize val="0"/>
        </c:dLbls>
        <c:gapWidth val="100"/>
        <c:overlap val="-27"/>
        <c:axId val="486749784"/>
        <c:axId val="486753744"/>
      </c:barChart>
      <c:catAx>
        <c:axId val="48674978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53744"/>
        <c:crosses val="autoZero"/>
        <c:auto val="1"/>
        <c:lblAlgn val="ctr"/>
        <c:lblOffset val="100"/>
        <c:tickLblSkip val="1"/>
        <c:noMultiLvlLbl val="0"/>
      </c:catAx>
      <c:valAx>
        <c:axId val="486753744"/>
        <c:scaling>
          <c:orientation val="minMax"/>
          <c:max val="2.5"/>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49784"/>
        <c:crosses val="autoZero"/>
        <c:crossBetween val="between"/>
        <c:majorUnit val="0.5"/>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944259505632858"/>
          <c:y val="6.4976003636217805E-2"/>
          <c:w val="0.73599378757858303"/>
          <c:h val="0.77857786452415012"/>
        </c:manualLayout>
      </c:layout>
      <c:barChart>
        <c:barDir val="bar"/>
        <c:grouping val="clustered"/>
        <c:varyColors val="0"/>
        <c:ser>
          <c:idx val="0"/>
          <c:order val="0"/>
          <c:tx>
            <c:strRef>
              <c:f>Sheet1!$B$1</c:f>
              <c:strCache>
                <c:ptCount val="1"/>
                <c:pt idx="0">
                  <c:v>2010</c:v>
                </c:pt>
              </c:strCache>
            </c:strRef>
          </c:tx>
          <c:spPr>
            <a:solidFill>
              <a:schemeClr val="accent1"/>
            </a:solidFill>
            <a:ln>
              <a:noFill/>
            </a:ln>
            <a:effectLst/>
          </c:spPr>
          <c:invertIfNegative val="0"/>
          <c:cat>
            <c:strRef>
              <c:f>Sheet1!$A$2:$A$20</c:f>
              <c:strCache>
                <c:ptCount val="19"/>
                <c:pt idx="0">
                  <c:v>A</c:v>
                </c:pt>
                <c:pt idx="1">
                  <c:v>B</c:v>
                </c:pt>
                <c:pt idx="2">
                  <c:v>C</c:v>
                </c:pt>
                <c:pt idx="3">
                  <c:v>D</c:v>
                </c:pt>
                <c:pt idx="4">
                  <c:v>E</c:v>
                </c:pt>
                <c:pt idx="5">
                  <c:v>F</c:v>
                </c:pt>
                <c:pt idx="6">
                  <c:v>G</c:v>
                </c:pt>
                <c:pt idx="7">
                  <c:v>H</c:v>
                </c:pt>
                <c:pt idx="8">
                  <c:v>I</c:v>
                </c:pt>
                <c:pt idx="9">
                  <c:v>J</c:v>
                </c:pt>
                <c:pt idx="10">
                  <c:v>K</c:v>
                </c:pt>
                <c:pt idx="11">
                  <c:v>L</c:v>
                </c:pt>
                <c:pt idx="12">
                  <c:v>M</c:v>
                </c:pt>
                <c:pt idx="13">
                  <c:v>N</c:v>
                </c:pt>
                <c:pt idx="14">
                  <c:v>O</c:v>
                </c:pt>
                <c:pt idx="15">
                  <c:v>P</c:v>
                </c:pt>
                <c:pt idx="16">
                  <c:v>Q</c:v>
                </c:pt>
                <c:pt idx="17">
                  <c:v>R</c:v>
                </c:pt>
                <c:pt idx="18">
                  <c:v>S-U</c:v>
                </c:pt>
              </c:strCache>
            </c:strRef>
          </c:cat>
          <c:val>
            <c:numRef>
              <c:f>Sheet1!$B$2:$B$20</c:f>
              <c:numCache>
                <c:formatCode>#\ ##0.#</c:formatCode>
                <c:ptCount val="19"/>
                <c:pt idx="0">
                  <c:v>2426.0131799999999</c:v>
                </c:pt>
                <c:pt idx="1">
                  <c:v>34.046239999999997</c:v>
                </c:pt>
                <c:pt idx="2">
                  <c:v>1764.45778</c:v>
                </c:pt>
                <c:pt idx="3">
                  <c:v>2387.5526300000001</c:v>
                </c:pt>
                <c:pt idx="4">
                  <c:v>678.23348999999996</c:v>
                </c:pt>
                <c:pt idx="5">
                  <c:v>254.10631000000001</c:v>
                </c:pt>
                <c:pt idx="6">
                  <c:v>373.82181000000003</c:v>
                </c:pt>
                <c:pt idx="7">
                  <c:v>2909.96641</c:v>
                </c:pt>
                <c:pt idx="8">
                  <c:v>22.995049999999999</c:v>
                </c:pt>
                <c:pt idx="9">
                  <c:v>27.980689999999999</c:v>
                </c:pt>
                <c:pt idx="10">
                  <c:v>11.14894</c:v>
                </c:pt>
                <c:pt idx="11">
                  <c:v>133.65897000000001</c:v>
                </c:pt>
                <c:pt idx="12">
                  <c:v>41.565049999999999</c:v>
                </c:pt>
                <c:pt idx="13">
                  <c:v>56.851750000000003</c:v>
                </c:pt>
                <c:pt idx="14">
                  <c:v>148.25827000000001</c:v>
                </c:pt>
                <c:pt idx="15">
                  <c:v>43.906759999999998</c:v>
                </c:pt>
                <c:pt idx="16">
                  <c:v>78.339039999999997</c:v>
                </c:pt>
                <c:pt idx="17">
                  <c:v>17.601369999999999</c:v>
                </c:pt>
                <c:pt idx="18">
                  <c:v>9.6670599999999993</c:v>
                </c:pt>
              </c:numCache>
            </c:numRef>
          </c:val>
          <c:extLst>
            <c:ext xmlns:c16="http://schemas.microsoft.com/office/drawing/2014/chart" uri="{C3380CC4-5D6E-409C-BE32-E72D297353CC}">
              <c16:uniqueId val="{00000000-4A2E-4354-B0C7-80616136B991}"/>
            </c:ext>
          </c:extLst>
        </c:ser>
        <c:ser>
          <c:idx val="1"/>
          <c:order val="1"/>
          <c:tx>
            <c:strRef>
              <c:f>Sheet1!$C$1</c:f>
              <c:strCache>
                <c:ptCount val="1"/>
                <c:pt idx="0">
                  <c:v>2022</c:v>
                </c:pt>
              </c:strCache>
            </c:strRef>
          </c:tx>
          <c:spPr>
            <a:solidFill>
              <a:schemeClr val="accent2"/>
            </a:solidFill>
            <a:ln>
              <a:noFill/>
            </a:ln>
            <a:effectLst/>
          </c:spPr>
          <c:invertIfNegative val="0"/>
          <c:cat>
            <c:strRef>
              <c:f>Sheet1!$A$2:$A$20</c:f>
              <c:strCache>
                <c:ptCount val="19"/>
                <c:pt idx="0">
                  <c:v>A</c:v>
                </c:pt>
                <c:pt idx="1">
                  <c:v>B</c:v>
                </c:pt>
                <c:pt idx="2">
                  <c:v>C</c:v>
                </c:pt>
                <c:pt idx="3">
                  <c:v>D</c:v>
                </c:pt>
                <c:pt idx="4">
                  <c:v>E</c:v>
                </c:pt>
                <c:pt idx="5">
                  <c:v>F</c:v>
                </c:pt>
                <c:pt idx="6">
                  <c:v>G</c:v>
                </c:pt>
                <c:pt idx="7">
                  <c:v>H</c:v>
                </c:pt>
                <c:pt idx="8">
                  <c:v>I</c:v>
                </c:pt>
                <c:pt idx="9">
                  <c:v>J</c:v>
                </c:pt>
                <c:pt idx="10">
                  <c:v>K</c:v>
                </c:pt>
                <c:pt idx="11">
                  <c:v>L</c:v>
                </c:pt>
                <c:pt idx="12">
                  <c:v>M</c:v>
                </c:pt>
                <c:pt idx="13">
                  <c:v>N</c:v>
                </c:pt>
                <c:pt idx="14">
                  <c:v>O</c:v>
                </c:pt>
                <c:pt idx="15">
                  <c:v>P</c:v>
                </c:pt>
                <c:pt idx="16">
                  <c:v>Q</c:v>
                </c:pt>
                <c:pt idx="17">
                  <c:v>R</c:v>
                </c:pt>
                <c:pt idx="18">
                  <c:v>S-U</c:v>
                </c:pt>
              </c:strCache>
            </c:strRef>
          </c:cat>
          <c:val>
            <c:numRef>
              <c:f>Sheet1!$C$2:$C$20</c:f>
              <c:numCache>
                <c:formatCode>#\ ##0.#</c:formatCode>
                <c:ptCount val="19"/>
                <c:pt idx="0">
                  <c:v>2900.6045199999999</c:v>
                </c:pt>
                <c:pt idx="1">
                  <c:v>44.558590000000002</c:v>
                </c:pt>
                <c:pt idx="2">
                  <c:v>1250.4144699999999</c:v>
                </c:pt>
                <c:pt idx="3">
                  <c:v>1087.2507499999999</c:v>
                </c:pt>
                <c:pt idx="4">
                  <c:v>557.36009000000001</c:v>
                </c:pt>
                <c:pt idx="5">
                  <c:v>225.93177</c:v>
                </c:pt>
                <c:pt idx="6">
                  <c:v>309.84723000000002</c:v>
                </c:pt>
                <c:pt idx="7">
                  <c:v>2384.0652700000001</c:v>
                </c:pt>
                <c:pt idx="8">
                  <c:v>17.453790000000001</c:v>
                </c:pt>
                <c:pt idx="9">
                  <c:v>9.9034600000000008</c:v>
                </c:pt>
                <c:pt idx="10">
                  <c:v>4.6255100000000002</c:v>
                </c:pt>
                <c:pt idx="11">
                  <c:v>209.47712999999999</c:v>
                </c:pt>
                <c:pt idx="12">
                  <c:v>23.167380000000001</c:v>
                </c:pt>
                <c:pt idx="13">
                  <c:v>52.454650000000001</c:v>
                </c:pt>
                <c:pt idx="14">
                  <c:v>108.2186</c:v>
                </c:pt>
                <c:pt idx="15">
                  <c:v>16.03426</c:v>
                </c:pt>
                <c:pt idx="16">
                  <c:v>71.089029999999994</c:v>
                </c:pt>
                <c:pt idx="17">
                  <c:v>8.9764900000000001</c:v>
                </c:pt>
                <c:pt idx="18">
                  <c:v>9.0304599999999997</c:v>
                </c:pt>
              </c:numCache>
            </c:numRef>
          </c:val>
          <c:extLst>
            <c:ext xmlns:c16="http://schemas.microsoft.com/office/drawing/2014/chart" uri="{C3380CC4-5D6E-409C-BE32-E72D297353CC}">
              <c16:uniqueId val="{00000001-4A2E-4354-B0C7-80616136B991}"/>
            </c:ext>
          </c:extLst>
        </c:ser>
        <c:dLbls>
          <c:showLegendKey val="0"/>
          <c:showVal val="0"/>
          <c:showCatName val="0"/>
          <c:showSerName val="0"/>
          <c:showPercent val="0"/>
          <c:showBubbleSize val="0"/>
        </c:dLbls>
        <c:gapWidth val="17"/>
        <c:overlap val="38"/>
        <c:axId val="1893528576"/>
        <c:axId val="1893529056"/>
      </c:barChart>
      <c:catAx>
        <c:axId val="18935285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1893529056"/>
        <c:crosses val="autoZero"/>
        <c:auto val="1"/>
        <c:lblAlgn val="ctr"/>
        <c:lblOffset val="100"/>
        <c:noMultiLvlLbl val="0"/>
      </c:catAx>
      <c:valAx>
        <c:axId val="1893529056"/>
        <c:scaling>
          <c:orientation val="minMax"/>
          <c:max val="3000"/>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189352857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461288108217243"/>
          <c:y val="5.1677313920665574E-2"/>
          <c:w val="0.8325162123965274"/>
          <c:h val="0.78194694936875897"/>
        </c:manualLayout>
      </c:layout>
      <c:lineChart>
        <c:grouping val="standard"/>
        <c:varyColors val="0"/>
        <c:ser>
          <c:idx val="0"/>
          <c:order val="0"/>
          <c:tx>
            <c:strRef>
              <c:f>Sheet1!$B$1</c:f>
              <c:strCache>
                <c:ptCount val="1"/>
                <c:pt idx="0">
                  <c:v>PVN</c:v>
                </c:pt>
              </c:strCache>
            </c:strRef>
          </c:tx>
          <c:spPr>
            <a:ln w="47625" cap="rnd">
              <a:solidFill>
                <a:schemeClr val="accent1"/>
              </a:solidFill>
              <a:round/>
            </a:ln>
            <a:effectLst/>
          </c:spPr>
          <c:marker>
            <c:symbol val="none"/>
          </c:marker>
          <c:cat>
            <c:strRef>
              <c:f>Sheet1!$A$2:$A$7</c:f>
              <c:strCache>
                <c:ptCount val="6"/>
                <c:pt idx="0">
                  <c:v>2025-2029</c:v>
                </c:pt>
                <c:pt idx="1">
                  <c:v>2030-2034</c:v>
                </c:pt>
                <c:pt idx="2">
                  <c:v>2035-2039</c:v>
                </c:pt>
                <c:pt idx="3">
                  <c:v>2040-2044</c:v>
                </c:pt>
                <c:pt idx="4">
                  <c:v>2045-2049</c:v>
                </c:pt>
                <c:pt idx="5">
                  <c:v>2050-</c:v>
                </c:pt>
              </c:strCache>
            </c:strRef>
          </c:cat>
          <c:val>
            <c:numRef>
              <c:f>Sheet1!$B$2:$B$7</c:f>
              <c:numCache>
                <c:formatCode>General</c:formatCode>
                <c:ptCount val="6"/>
                <c:pt idx="0">
                  <c:v>2.0016496006759255</c:v>
                </c:pt>
                <c:pt idx="1">
                  <c:v>1.97544618154184</c:v>
                </c:pt>
                <c:pt idx="2">
                  <c:v>1.6936618566146588</c:v>
                </c:pt>
                <c:pt idx="3">
                  <c:v>1.4202689126911583</c:v>
                </c:pt>
                <c:pt idx="4">
                  <c:v>1.2829391553137226</c:v>
                </c:pt>
                <c:pt idx="5">
                  <c:v>1.1310710218028097</c:v>
                </c:pt>
              </c:numCache>
            </c:numRef>
          </c:val>
          <c:smooth val="0"/>
          <c:extLst>
            <c:ext xmlns:c16="http://schemas.microsoft.com/office/drawing/2014/chart" uri="{C3380CC4-5D6E-409C-BE32-E72D297353CC}">
              <c16:uniqueId val="{00000000-0A0F-438B-935B-D2A89D96A00D}"/>
            </c:ext>
          </c:extLst>
        </c:ser>
        <c:ser>
          <c:idx val="1"/>
          <c:order val="1"/>
          <c:tx>
            <c:strRef>
              <c:f>Sheet1!$C$1</c:f>
              <c:strCache>
                <c:ptCount val="1"/>
                <c:pt idx="0">
                  <c:v>Tiešie nodokļi</c:v>
                </c:pt>
              </c:strCache>
            </c:strRef>
          </c:tx>
          <c:spPr>
            <a:ln w="47625" cap="rnd">
              <a:solidFill>
                <a:schemeClr val="accent2"/>
              </a:solidFill>
              <a:round/>
            </a:ln>
            <a:effectLst/>
          </c:spPr>
          <c:marker>
            <c:symbol val="none"/>
          </c:marker>
          <c:cat>
            <c:strRef>
              <c:f>Sheet1!$A$2:$A$7</c:f>
              <c:strCache>
                <c:ptCount val="6"/>
                <c:pt idx="0">
                  <c:v>2025-2029</c:v>
                </c:pt>
                <c:pt idx="1">
                  <c:v>2030-2034</c:v>
                </c:pt>
                <c:pt idx="2">
                  <c:v>2035-2039</c:v>
                </c:pt>
                <c:pt idx="3">
                  <c:v>2040-2044</c:v>
                </c:pt>
                <c:pt idx="4">
                  <c:v>2045-2049</c:v>
                </c:pt>
                <c:pt idx="5">
                  <c:v>2050-</c:v>
                </c:pt>
              </c:strCache>
            </c:strRef>
          </c:cat>
          <c:val>
            <c:numRef>
              <c:f>Sheet1!$C$2:$C$7</c:f>
              <c:numCache>
                <c:formatCode>General</c:formatCode>
                <c:ptCount val="6"/>
                <c:pt idx="0">
                  <c:v>1.8993976717767813</c:v>
                </c:pt>
                <c:pt idx="1">
                  <c:v>1.3397439891902119</c:v>
                </c:pt>
                <c:pt idx="2">
                  <c:v>1.171795308906276</c:v>
                </c:pt>
                <c:pt idx="3">
                  <c:v>1.1082906269457515</c:v>
                </c:pt>
                <c:pt idx="4">
                  <c:v>1.0778550378909513</c:v>
                </c:pt>
                <c:pt idx="5">
                  <c:v>1.0338460537339556</c:v>
                </c:pt>
              </c:numCache>
            </c:numRef>
          </c:val>
          <c:smooth val="0"/>
          <c:extLst>
            <c:ext xmlns:c16="http://schemas.microsoft.com/office/drawing/2014/chart" uri="{C3380CC4-5D6E-409C-BE32-E72D297353CC}">
              <c16:uniqueId val="{00000001-0A0F-438B-935B-D2A89D96A00D}"/>
            </c:ext>
          </c:extLst>
        </c:ser>
        <c:ser>
          <c:idx val="2"/>
          <c:order val="2"/>
          <c:tx>
            <c:strRef>
              <c:f>Sheet1!$D$1</c:f>
              <c:strCache>
                <c:ptCount val="1"/>
                <c:pt idx="0">
                  <c:v>VSAOI</c:v>
                </c:pt>
              </c:strCache>
            </c:strRef>
          </c:tx>
          <c:spPr>
            <a:ln w="47625" cap="rnd">
              <a:solidFill>
                <a:schemeClr val="accent3"/>
              </a:solidFill>
              <a:round/>
            </a:ln>
            <a:effectLst/>
          </c:spPr>
          <c:marker>
            <c:symbol val="none"/>
          </c:marker>
          <c:cat>
            <c:strRef>
              <c:f>Sheet1!$A$2:$A$7</c:f>
              <c:strCache>
                <c:ptCount val="6"/>
                <c:pt idx="0">
                  <c:v>2025-2029</c:v>
                </c:pt>
                <c:pt idx="1">
                  <c:v>2030-2034</c:v>
                </c:pt>
                <c:pt idx="2">
                  <c:v>2035-2039</c:v>
                </c:pt>
                <c:pt idx="3">
                  <c:v>2040-2044</c:v>
                </c:pt>
                <c:pt idx="4">
                  <c:v>2045-2049</c:v>
                </c:pt>
                <c:pt idx="5">
                  <c:v>2050-</c:v>
                </c:pt>
              </c:strCache>
            </c:strRef>
          </c:cat>
          <c:val>
            <c:numRef>
              <c:f>Sheet1!$D$2:$D$7</c:f>
              <c:numCache>
                <c:formatCode>General</c:formatCode>
                <c:ptCount val="6"/>
                <c:pt idx="0">
                  <c:v>2.1814671285211418</c:v>
                </c:pt>
                <c:pt idx="1">
                  <c:v>1.2129695574706556</c:v>
                </c:pt>
                <c:pt idx="2">
                  <c:v>0.96465365748028553</c:v>
                </c:pt>
                <c:pt idx="3">
                  <c:v>0.89143839203760233</c:v>
                </c:pt>
                <c:pt idx="4">
                  <c:v>0.85418155825589537</c:v>
                </c:pt>
                <c:pt idx="5">
                  <c:v>0.79801887969899177</c:v>
                </c:pt>
              </c:numCache>
            </c:numRef>
          </c:val>
          <c:smooth val="0"/>
          <c:extLst>
            <c:ext xmlns:c16="http://schemas.microsoft.com/office/drawing/2014/chart" uri="{C3380CC4-5D6E-409C-BE32-E72D297353CC}">
              <c16:uniqueId val="{00000002-0A0F-438B-935B-D2A89D96A00D}"/>
            </c:ext>
          </c:extLst>
        </c:ser>
        <c:dLbls>
          <c:showLegendKey val="0"/>
          <c:showVal val="0"/>
          <c:showCatName val="0"/>
          <c:showSerName val="0"/>
          <c:showPercent val="0"/>
          <c:showBubbleSize val="0"/>
        </c:dLbls>
        <c:smooth val="0"/>
        <c:axId val="317965248"/>
        <c:axId val="317960208"/>
      </c:lineChart>
      <c:catAx>
        <c:axId val="317965248"/>
        <c:scaling>
          <c:orientation val="minMax"/>
        </c:scaling>
        <c:delete val="0"/>
        <c:axPos val="b"/>
        <c:numFmt formatCode="0" sourceLinked="0"/>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317960208"/>
        <c:crosses val="autoZero"/>
        <c:auto val="1"/>
        <c:lblAlgn val="ctr"/>
        <c:lblOffset val="100"/>
        <c:tickLblSkip val="1"/>
        <c:noMultiLvlLbl val="0"/>
      </c:catAx>
      <c:valAx>
        <c:axId val="31796020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317965248"/>
        <c:crosses val="autoZero"/>
        <c:crossBetween val="between"/>
      </c:valAx>
      <c:spPr>
        <a:noFill/>
        <a:ln>
          <a:noFill/>
        </a:ln>
        <a:effectLst/>
      </c:spPr>
    </c:plotArea>
    <c:legend>
      <c:legendPos val="b"/>
      <c:layout>
        <c:manualLayout>
          <c:xMode val="edge"/>
          <c:yMode val="edge"/>
          <c:x val="0.12883739781593304"/>
          <c:y val="0.71082150455979842"/>
          <c:w val="0.83761713783286429"/>
          <c:h val="8.2819550525899024E-2"/>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2035</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dPt>
            <c:idx val="1"/>
            <c:invertIfNegative val="0"/>
            <c:bubble3D val="0"/>
            <c:spPr>
              <a:pattFill prst="narHorz">
                <a:fgClr>
                  <a:schemeClr val="accent2"/>
                </a:fgClr>
                <a:bgClr>
                  <a:schemeClr val="accent2">
                    <a:lumMod val="20000"/>
                    <a:lumOff val="80000"/>
                  </a:schemeClr>
                </a:bgClr>
              </a:pattFill>
              <a:ln>
                <a:noFill/>
              </a:ln>
              <a:effectLst>
                <a:innerShdw blurRad="114300">
                  <a:schemeClr val="accent2"/>
                </a:innerShdw>
              </a:effectLst>
            </c:spPr>
            <c:extLst>
              <c:ext xmlns:c16="http://schemas.microsoft.com/office/drawing/2014/chart" uri="{C3380CC4-5D6E-409C-BE32-E72D297353CC}">
                <c16:uniqueId val="{00000001-BB63-4334-BF32-CAC8BABC3DB6}"/>
              </c:ext>
            </c:extLst>
          </c:dPt>
          <c:cat>
            <c:strRef>
              <c:f>Sheet1!$A$2:$A$25</c:f>
              <c:strCache>
                <c:ptCount val="24"/>
                <c:pt idx="0">
                  <c:v>Sauszemes transports</c:v>
                </c:pt>
                <c:pt idx="1">
                  <c:v>Elektronika un optika</c:v>
                </c:pt>
                <c:pt idx="2">
                  <c:v>Cita rūpniecība</c:v>
                </c:pt>
                <c:pt idx="3">
                  <c:v>Privātie pakalpojumi</c:v>
                </c:pt>
                <c:pt idx="4">
                  <c:v>Elektriskās iekārtas</c:v>
                </c:pt>
                <c:pt idx="5">
                  <c:v>Lauksaimniecība</c:v>
                </c:pt>
                <c:pt idx="6">
                  <c:v>Kokrūpniecība</c:v>
                </c:pt>
                <c:pt idx="7">
                  <c:v>Ūdens transports</c:v>
                </c:pt>
                <c:pt idx="8">
                  <c:v>Uzglabāšana</c:v>
                </c:pt>
                <c:pt idx="9">
                  <c:v>Farmācija</c:v>
                </c:pt>
                <c:pt idx="10">
                  <c:v>Metālizstrādājumi</c:v>
                </c:pt>
                <c:pt idx="11">
                  <c:v>Gaisa transports</c:v>
                </c:pt>
                <c:pt idx="12">
                  <c:v>Pārtika un dzērieni</c:v>
                </c:pt>
                <c:pt idx="13">
                  <c:v>Tekstils</c:v>
                </c:pt>
                <c:pt idx="14">
                  <c:v>Transportlīdzekļi</c:v>
                </c:pt>
                <c:pt idx="15">
                  <c:v>Mašīnbūve</c:v>
                </c:pt>
                <c:pt idx="16">
                  <c:v>Metāli</c:v>
                </c:pt>
                <c:pt idx="17">
                  <c:v>Papīrs un poligrāfija</c:v>
                </c:pt>
                <c:pt idx="18">
                  <c:v>Elektrības ražošana</c:v>
                </c:pt>
                <c:pt idx="19">
                  <c:v>Būvniecība</c:v>
                </c:pt>
                <c:pt idx="20">
                  <c:v>Ķīmijas produkti</c:v>
                </c:pt>
                <c:pt idx="21">
                  <c:v>Gumija un plastmasa</c:v>
                </c:pt>
                <c:pt idx="22">
                  <c:v>Nemetāliskie minerāli</c:v>
                </c:pt>
                <c:pt idx="23">
                  <c:v>Publiskie pakalpojumi</c:v>
                </c:pt>
              </c:strCache>
            </c:strRef>
          </c:cat>
          <c:val>
            <c:numRef>
              <c:f>Sheet1!$B$2:$B$25</c:f>
              <c:numCache>
                <c:formatCode>0.00</c:formatCode>
                <c:ptCount val="24"/>
                <c:pt idx="0">
                  <c:v>2.3817510902381711</c:v>
                </c:pt>
                <c:pt idx="1">
                  <c:v>2.1040974529346723</c:v>
                </c:pt>
                <c:pt idx="2">
                  <c:v>1.8687963491158088</c:v>
                </c:pt>
                <c:pt idx="3">
                  <c:v>1.7177573716616878</c:v>
                </c:pt>
                <c:pt idx="4">
                  <c:v>1.4649046253584208</c:v>
                </c:pt>
                <c:pt idx="5">
                  <c:v>1.457694143314936</c:v>
                </c:pt>
                <c:pt idx="6">
                  <c:v>1.4561867087782954</c:v>
                </c:pt>
                <c:pt idx="7">
                  <c:v>1.4048636214262222</c:v>
                </c:pt>
                <c:pt idx="8">
                  <c:v>1.377639809980713</c:v>
                </c:pt>
                <c:pt idx="9">
                  <c:v>1.3072767291402609</c:v>
                </c:pt>
                <c:pt idx="10">
                  <c:v>1.2912113570561212</c:v>
                </c:pt>
                <c:pt idx="11">
                  <c:v>1.12286562731998</c:v>
                </c:pt>
                <c:pt idx="12">
                  <c:v>1.0516026057139305</c:v>
                </c:pt>
                <c:pt idx="13">
                  <c:v>1.0493435501976789</c:v>
                </c:pt>
                <c:pt idx="14">
                  <c:v>1.0098475820109032</c:v>
                </c:pt>
                <c:pt idx="15">
                  <c:v>0.99170208459826714</c:v>
                </c:pt>
                <c:pt idx="16">
                  <c:v>0.93457943925234765</c:v>
                </c:pt>
                <c:pt idx="17">
                  <c:v>0.92873139243840885</c:v>
                </c:pt>
                <c:pt idx="18">
                  <c:v>0.90197517275119043</c:v>
                </c:pt>
                <c:pt idx="19">
                  <c:v>0.86354051611607918</c:v>
                </c:pt>
                <c:pt idx="20">
                  <c:v>0.84310569479573161</c:v>
                </c:pt>
                <c:pt idx="21">
                  <c:v>0.76352067868503681</c:v>
                </c:pt>
                <c:pt idx="22">
                  <c:v>0.63265816454114443</c:v>
                </c:pt>
                <c:pt idx="23">
                  <c:v>0.11437152725635169</c:v>
                </c:pt>
              </c:numCache>
            </c:numRef>
          </c:val>
          <c:extLst>
            <c:ext xmlns:c16="http://schemas.microsoft.com/office/drawing/2014/chart" uri="{C3380CC4-5D6E-409C-BE32-E72D297353CC}">
              <c16:uniqueId val="{00000002-BB63-4334-BF32-CAC8BABC3DB6}"/>
            </c:ext>
          </c:extLst>
        </c:ser>
        <c:dLbls>
          <c:showLegendKey val="0"/>
          <c:showVal val="0"/>
          <c:showCatName val="0"/>
          <c:showSerName val="0"/>
          <c:showPercent val="0"/>
          <c:showBubbleSize val="0"/>
        </c:dLbls>
        <c:gapWidth val="80"/>
        <c:axId val="314997208"/>
        <c:axId val="315001528"/>
      </c:barChart>
      <c:catAx>
        <c:axId val="314997208"/>
        <c:scaling>
          <c:orientation val="minMax"/>
        </c:scaling>
        <c:delete val="0"/>
        <c:axPos val="b"/>
        <c:numFmt formatCode="General" sourceLinked="1"/>
        <c:majorTickMark val="none"/>
        <c:minorTickMark val="none"/>
        <c:tickLblPos val="nextTo"/>
        <c:spPr>
          <a:noFill/>
          <a:ln w="6350" cap="flat" cmpd="sng" algn="ctr">
            <a:solidFill>
              <a:schemeClr val="tx1">
                <a:lumMod val="25000"/>
                <a:lumOff val="75000"/>
              </a:schemeClr>
            </a:solidFill>
            <a:round/>
          </a:ln>
          <a:effectLst/>
        </c:spPr>
        <c:txPr>
          <a:bodyPr rot="-540000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315001528"/>
        <c:crosses val="autoZero"/>
        <c:auto val="1"/>
        <c:lblAlgn val="ctr"/>
        <c:lblOffset val="100"/>
        <c:noMultiLvlLbl val="0"/>
      </c:catAx>
      <c:valAx>
        <c:axId val="315001528"/>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314997208"/>
        <c:crosses val="autoZero"/>
        <c:crossBetween val="between"/>
        <c:majorUnit val="1"/>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083989501312337"/>
          <c:y val="4.2507625735972186E-2"/>
          <c:w val="0.86243230996776865"/>
          <c:h val="0.7844434986167268"/>
        </c:manualLayout>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Sheet1!$A$2:$A$7</c:f>
              <c:strCache>
                <c:ptCount val="6"/>
                <c:pt idx="0">
                  <c:v>2025-2029</c:v>
                </c:pt>
                <c:pt idx="1">
                  <c:v>2030-2034</c:v>
                </c:pt>
                <c:pt idx="2">
                  <c:v>2035-2039</c:v>
                </c:pt>
                <c:pt idx="3">
                  <c:v>2040-2044</c:v>
                </c:pt>
                <c:pt idx="4">
                  <c:v>2045-2049</c:v>
                </c:pt>
                <c:pt idx="5">
                  <c:v>2050-</c:v>
                </c:pt>
              </c:strCache>
            </c:strRef>
          </c:cat>
          <c:val>
            <c:numRef>
              <c:f>Sheet1!$B$2:$B$7</c:f>
              <c:numCache>
                <c:formatCode>General</c:formatCode>
                <c:ptCount val="6"/>
                <c:pt idx="0">
                  <c:v>6.2565254936375325E-2</c:v>
                </c:pt>
                <c:pt idx="1">
                  <c:v>0.20152829310404741</c:v>
                </c:pt>
                <c:pt idx="2">
                  <c:v>0.19796732579464571</c:v>
                </c:pt>
                <c:pt idx="3">
                  <c:v>0.19102605137628625</c:v>
                </c:pt>
                <c:pt idx="4">
                  <c:v>0.18831376399639499</c:v>
                </c:pt>
                <c:pt idx="5">
                  <c:v>0.18510711472536912</c:v>
                </c:pt>
              </c:numCache>
            </c:numRef>
          </c:val>
          <c:extLst>
            <c:ext xmlns:c16="http://schemas.microsoft.com/office/drawing/2014/chart" uri="{C3380CC4-5D6E-409C-BE32-E72D297353CC}">
              <c16:uniqueId val="{00000000-321B-4BD8-8D4D-403F2F9B132A}"/>
            </c:ext>
          </c:extLst>
        </c:ser>
        <c:dLbls>
          <c:showLegendKey val="0"/>
          <c:showVal val="0"/>
          <c:showCatName val="0"/>
          <c:showSerName val="0"/>
          <c:showPercent val="0"/>
          <c:showBubbleSize val="0"/>
        </c:dLbls>
        <c:gapWidth val="100"/>
        <c:axId val="486749784"/>
        <c:axId val="486753744"/>
      </c:barChart>
      <c:catAx>
        <c:axId val="48674978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53744"/>
        <c:crosses val="autoZero"/>
        <c:auto val="1"/>
        <c:lblAlgn val="ctr"/>
        <c:lblOffset val="100"/>
        <c:tickLblSkip val="1"/>
        <c:noMultiLvlLbl val="0"/>
      </c:catAx>
      <c:valAx>
        <c:axId val="486753744"/>
        <c:scaling>
          <c:orientation val="minMax"/>
          <c:max val="0.30000000000000004"/>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49784"/>
        <c:crosses val="autoZero"/>
        <c:crossBetween val="between"/>
        <c:majorUnit val="0.1"/>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140444100929101"/>
          <c:y val="3.3794875986522449E-2"/>
          <c:w val="0.86283065799838532"/>
          <c:h val="0.78896475310828362"/>
        </c:manualLayout>
      </c:layout>
      <c:lineChart>
        <c:grouping val="standard"/>
        <c:varyColors val="0"/>
        <c:ser>
          <c:idx val="0"/>
          <c:order val="0"/>
          <c:tx>
            <c:strRef>
              <c:f>Sheet1!$B$1</c:f>
              <c:strCache>
                <c:ptCount val="1"/>
                <c:pt idx="0">
                  <c:v>Investīcijas</c:v>
                </c:pt>
              </c:strCache>
            </c:strRef>
          </c:tx>
          <c:spPr>
            <a:ln w="47625" cap="rnd">
              <a:solidFill>
                <a:schemeClr val="accent1"/>
              </a:solidFill>
              <a:round/>
            </a:ln>
            <a:effectLst/>
          </c:spPr>
          <c:marker>
            <c:symbol val="none"/>
          </c:marker>
          <c:cat>
            <c:strRef>
              <c:f>Sheet1!$A$2:$A$7</c:f>
              <c:strCache>
                <c:ptCount val="6"/>
                <c:pt idx="0">
                  <c:v>2025-2029</c:v>
                </c:pt>
                <c:pt idx="1">
                  <c:v>2030-2034</c:v>
                </c:pt>
                <c:pt idx="2">
                  <c:v>2035-2039</c:v>
                </c:pt>
                <c:pt idx="3">
                  <c:v>2040-2044</c:v>
                </c:pt>
                <c:pt idx="4">
                  <c:v>2045-2049</c:v>
                </c:pt>
                <c:pt idx="5">
                  <c:v>2050-</c:v>
                </c:pt>
              </c:strCache>
            </c:strRef>
          </c:cat>
          <c:val>
            <c:numRef>
              <c:f>Sheet1!$B$2:$B$7</c:f>
              <c:numCache>
                <c:formatCode>General</c:formatCode>
                <c:ptCount val="6"/>
                <c:pt idx="0">
                  <c:v>0.28873828014565284</c:v>
                </c:pt>
                <c:pt idx="1">
                  <c:v>0.26831614585107744</c:v>
                </c:pt>
                <c:pt idx="2">
                  <c:v>0.26422972736925843</c:v>
                </c:pt>
                <c:pt idx="3">
                  <c:v>0.25882692877485791</c:v>
                </c:pt>
                <c:pt idx="4">
                  <c:v>0.25410116649549064</c:v>
                </c:pt>
                <c:pt idx="5">
                  <c:v>0.24786712438302771</c:v>
                </c:pt>
              </c:numCache>
            </c:numRef>
          </c:val>
          <c:smooth val="0"/>
          <c:extLst>
            <c:ext xmlns:c16="http://schemas.microsoft.com/office/drawing/2014/chart" uri="{C3380CC4-5D6E-409C-BE32-E72D297353CC}">
              <c16:uniqueId val="{00000000-781C-4D70-8FE3-69C5D29FFBAA}"/>
            </c:ext>
          </c:extLst>
        </c:ser>
        <c:ser>
          <c:idx val="1"/>
          <c:order val="1"/>
          <c:tx>
            <c:strRef>
              <c:f>Sheet1!$C$1</c:f>
              <c:strCache>
                <c:ptCount val="1"/>
                <c:pt idx="0">
                  <c:v>Publiskais patēriņš</c:v>
                </c:pt>
              </c:strCache>
            </c:strRef>
          </c:tx>
          <c:spPr>
            <a:ln w="47625" cap="rnd">
              <a:solidFill>
                <a:schemeClr val="accent2"/>
              </a:solidFill>
              <a:round/>
            </a:ln>
            <a:effectLst/>
          </c:spPr>
          <c:marker>
            <c:symbol val="none"/>
          </c:marker>
          <c:cat>
            <c:strRef>
              <c:f>Sheet1!$A$2:$A$7</c:f>
              <c:strCache>
                <c:ptCount val="6"/>
                <c:pt idx="0">
                  <c:v>2025-2029</c:v>
                </c:pt>
                <c:pt idx="1">
                  <c:v>2030-2034</c:v>
                </c:pt>
                <c:pt idx="2">
                  <c:v>2035-2039</c:v>
                </c:pt>
                <c:pt idx="3">
                  <c:v>2040-2044</c:v>
                </c:pt>
                <c:pt idx="4">
                  <c:v>2045-2049</c:v>
                </c:pt>
                <c:pt idx="5">
                  <c:v>2050-</c:v>
                </c:pt>
              </c:strCache>
            </c:strRef>
          </c:cat>
          <c:val>
            <c:numRef>
              <c:f>Sheet1!$C$2:$C$7</c:f>
              <c:numCache>
                <c:formatCode>General</c:formatCode>
                <c:ptCount val="6"/>
                <c:pt idx="0">
                  <c:v>0</c:v>
                </c:pt>
                <c:pt idx="1">
                  <c:v>0</c:v>
                </c:pt>
                <c:pt idx="2">
                  <c:v>0</c:v>
                </c:pt>
                <c:pt idx="3">
                  <c:v>0</c:v>
                </c:pt>
                <c:pt idx="4">
                  <c:v>0</c:v>
                </c:pt>
                <c:pt idx="5">
                  <c:v>0</c:v>
                </c:pt>
              </c:numCache>
            </c:numRef>
          </c:val>
          <c:smooth val="0"/>
          <c:extLst>
            <c:ext xmlns:c16="http://schemas.microsoft.com/office/drawing/2014/chart" uri="{C3380CC4-5D6E-409C-BE32-E72D297353CC}">
              <c16:uniqueId val="{00000001-781C-4D70-8FE3-69C5D29FFBAA}"/>
            </c:ext>
          </c:extLst>
        </c:ser>
        <c:ser>
          <c:idx val="2"/>
          <c:order val="2"/>
          <c:tx>
            <c:strRef>
              <c:f>Sheet1!$D$1</c:f>
              <c:strCache>
                <c:ptCount val="1"/>
                <c:pt idx="0">
                  <c:v>Privātais patēriņš</c:v>
                </c:pt>
              </c:strCache>
            </c:strRef>
          </c:tx>
          <c:spPr>
            <a:ln w="47625" cap="rnd">
              <a:solidFill>
                <a:schemeClr val="accent3"/>
              </a:solidFill>
              <a:round/>
            </a:ln>
            <a:effectLst/>
          </c:spPr>
          <c:marker>
            <c:symbol val="none"/>
          </c:marker>
          <c:cat>
            <c:strRef>
              <c:f>Sheet1!$A$2:$A$7</c:f>
              <c:strCache>
                <c:ptCount val="6"/>
                <c:pt idx="0">
                  <c:v>2025-2029</c:v>
                </c:pt>
                <c:pt idx="1">
                  <c:v>2030-2034</c:v>
                </c:pt>
                <c:pt idx="2">
                  <c:v>2035-2039</c:v>
                </c:pt>
                <c:pt idx="3">
                  <c:v>2040-2044</c:v>
                </c:pt>
                <c:pt idx="4">
                  <c:v>2045-2049</c:v>
                </c:pt>
                <c:pt idx="5">
                  <c:v>2050-</c:v>
                </c:pt>
              </c:strCache>
            </c:strRef>
          </c:cat>
          <c:val>
            <c:numRef>
              <c:f>Sheet1!$D$2:$D$7</c:f>
              <c:numCache>
                <c:formatCode>General</c:formatCode>
                <c:ptCount val="6"/>
                <c:pt idx="0">
                  <c:v>0.12035052266783364</c:v>
                </c:pt>
                <c:pt idx="1">
                  <c:v>0.26727524991556617</c:v>
                </c:pt>
                <c:pt idx="2">
                  <c:v>0.24519545147900779</c:v>
                </c:pt>
                <c:pt idx="3">
                  <c:v>0.21012331200231937</c:v>
                </c:pt>
                <c:pt idx="4">
                  <c:v>0.19200765229037131</c:v>
                </c:pt>
                <c:pt idx="5">
                  <c:v>0.17237499437416925</c:v>
                </c:pt>
              </c:numCache>
            </c:numRef>
          </c:val>
          <c:smooth val="0"/>
          <c:extLst>
            <c:ext xmlns:c16="http://schemas.microsoft.com/office/drawing/2014/chart" uri="{C3380CC4-5D6E-409C-BE32-E72D297353CC}">
              <c16:uniqueId val="{00000002-781C-4D70-8FE3-69C5D29FFBAA}"/>
            </c:ext>
          </c:extLst>
        </c:ser>
        <c:dLbls>
          <c:showLegendKey val="0"/>
          <c:showVal val="0"/>
          <c:showCatName val="0"/>
          <c:showSerName val="0"/>
          <c:showPercent val="0"/>
          <c:showBubbleSize val="0"/>
        </c:dLbls>
        <c:smooth val="0"/>
        <c:axId val="486734304"/>
        <c:axId val="486735744"/>
      </c:lineChart>
      <c:catAx>
        <c:axId val="48673430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35744"/>
        <c:crosses val="autoZero"/>
        <c:auto val="1"/>
        <c:lblAlgn val="ctr"/>
        <c:lblOffset val="100"/>
        <c:tickLblSkip val="1"/>
        <c:noMultiLvlLbl val="0"/>
      </c:catAx>
      <c:valAx>
        <c:axId val="486735744"/>
        <c:scaling>
          <c:orientation val="minMax"/>
          <c:max val="0.5"/>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34304"/>
        <c:crosses val="autoZero"/>
        <c:crossBetween val="between"/>
        <c:majorUnit val="0.1"/>
      </c:valAx>
      <c:spPr>
        <a:noFill/>
        <a:ln>
          <a:noFill/>
        </a:ln>
        <a:effectLst/>
      </c:spPr>
    </c:plotArea>
    <c:legend>
      <c:legendPos val="b"/>
      <c:layout>
        <c:manualLayout>
          <c:xMode val="edge"/>
          <c:yMode val="edge"/>
          <c:x val="0.4030520264721511"/>
          <c:y val="3.889546150159634E-2"/>
          <c:w val="0.57535706809654941"/>
          <c:h val="0.23891722443838889"/>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5255728169114"/>
          <c:y val="5.2169478815148107E-2"/>
          <c:w val="0.83841222549883976"/>
          <c:h val="0.91682506353372495"/>
        </c:manualLayout>
      </c:layout>
      <c:lineChart>
        <c:grouping val="standard"/>
        <c:varyColors val="0"/>
        <c:ser>
          <c:idx val="0"/>
          <c:order val="0"/>
          <c:tx>
            <c:strRef>
              <c:f>Sheet1!$B$1</c:f>
              <c:strCache>
                <c:ptCount val="1"/>
                <c:pt idx="0">
                  <c:v>Eksports</c:v>
                </c:pt>
              </c:strCache>
            </c:strRef>
          </c:tx>
          <c:spPr>
            <a:ln w="28575" cap="rnd">
              <a:solidFill>
                <a:schemeClr val="accent1"/>
              </a:solidFill>
              <a:round/>
            </a:ln>
            <a:effectLst/>
          </c:spPr>
          <c:marker>
            <c:symbol val="none"/>
          </c:marker>
          <c:cat>
            <c:strRef>
              <c:f>Sheet1!$A$2:$A$7</c:f>
              <c:strCache>
                <c:ptCount val="6"/>
                <c:pt idx="0">
                  <c:v>2025-2029</c:v>
                </c:pt>
                <c:pt idx="1">
                  <c:v>2030-2034</c:v>
                </c:pt>
                <c:pt idx="2">
                  <c:v>2035-2039</c:v>
                </c:pt>
                <c:pt idx="3">
                  <c:v>2040-2044</c:v>
                </c:pt>
                <c:pt idx="4">
                  <c:v>2045-2049</c:v>
                </c:pt>
                <c:pt idx="5">
                  <c:v>2050-</c:v>
                </c:pt>
              </c:strCache>
            </c:strRef>
          </c:cat>
          <c:val>
            <c:numRef>
              <c:f>Sheet1!$B$2:$B$7</c:f>
              <c:numCache>
                <c:formatCode>General</c:formatCode>
                <c:ptCount val="6"/>
                <c:pt idx="0">
                  <c:v>-5.5045240688449404E-2</c:v>
                </c:pt>
                <c:pt idx="1">
                  <c:v>0.17180250270569797</c:v>
                </c:pt>
                <c:pt idx="2">
                  <c:v>0.19073389990298395</c:v>
                </c:pt>
                <c:pt idx="3">
                  <c:v>0.20682550683801537</c:v>
                </c:pt>
                <c:pt idx="4">
                  <c:v>0.21735105328772875</c:v>
                </c:pt>
                <c:pt idx="5">
                  <c:v>0.22984512508050781</c:v>
                </c:pt>
              </c:numCache>
            </c:numRef>
          </c:val>
          <c:smooth val="0"/>
          <c:extLst>
            <c:ext xmlns:c16="http://schemas.microsoft.com/office/drawing/2014/chart" uri="{C3380CC4-5D6E-409C-BE32-E72D297353CC}">
              <c16:uniqueId val="{00000000-4F61-4B69-853E-DF32A2388DE6}"/>
            </c:ext>
          </c:extLst>
        </c:ser>
        <c:ser>
          <c:idx val="1"/>
          <c:order val="1"/>
          <c:tx>
            <c:strRef>
              <c:f>Sheet1!$C$1</c:f>
              <c:strCache>
                <c:ptCount val="1"/>
                <c:pt idx="0">
                  <c:v>Imports</c:v>
                </c:pt>
              </c:strCache>
            </c:strRef>
          </c:tx>
          <c:spPr>
            <a:ln w="28575" cap="rnd">
              <a:solidFill>
                <a:schemeClr val="accent2"/>
              </a:solidFill>
              <a:round/>
            </a:ln>
            <a:effectLst/>
          </c:spPr>
          <c:marker>
            <c:symbol val="none"/>
          </c:marker>
          <c:cat>
            <c:strRef>
              <c:f>Sheet1!$A$2:$A$7</c:f>
              <c:strCache>
                <c:ptCount val="6"/>
                <c:pt idx="0">
                  <c:v>2025-2029</c:v>
                </c:pt>
                <c:pt idx="1">
                  <c:v>2030-2034</c:v>
                </c:pt>
                <c:pt idx="2">
                  <c:v>2035-2039</c:v>
                </c:pt>
                <c:pt idx="3">
                  <c:v>2040-2044</c:v>
                </c:pt>
                <c:pt idx="4">
                  <c:v>2045-2049</c:v>
                </c:pt>
                <c:pt idx="5">
                  <c:v>2050-</c:v>
                </c:pt>
              </c:strCache>
            </c:strRef>
          </c:cat>
          <c:val>
            <c:numRef>
              <c:f>Sheet1!$C$2:$C$7</c:f>
              <c:numCache>
                <c:formatCode>General</c:formatCode>
                <c:ptCount val="6"/>
                <c:pt idx="0">
                  <c:v>5.398021296381561E-2</c:v>
                </c:pt>
                <c:pt idx="1">
                  <c:v>0.18496683085313936</c:v>
                </c:pt>
                <c:pt idx="2">
                  <c:v>0.17779006943690057</c:v>
                </c:pt>
                <c:pt idx="3">
                  <c:v>0.16329279303874955</c:v>
                </c:pt>
                <c:pt idx="4">
                  <c:v>0.15657907553408013</c:v>
                </c:pt>
                <c:pt idx="5">
                  <c:v>0.148395321577377</c:v>
                </c:pt>
              </c:numCache>
            </c:numRef>
          </c:val>
          <c:smooth val="0"/>
          <c:extLst>
            <c:ext xmlns:c16="http://schemas.microsoft.com/office/drawing/2014/chart" uri="{C3380CC4-5D6E-409C-BE32-E72D297353CC}">
              <c16:uniqueId val="{00000001-4F61-4B69-853E-DF32A2388DE6}"/>
            </c:ext>
          </c:extLst>
        </c:ser>
        <c:dLbls>
          <c:showLegendKey val="0"/>
          <c:showVal val="0"/>
          <c:showCatName val="0"/>
          <c:showSerName val="0"/>
          <c:showPercent val="0"/>
          <c:showBubbleSize val="0"/>
        </c:dLbls>
        <c:smooth val="0"/>
        <c:axId val="491415192"/>
        <c:axId val="491416272"/>
      </c:lineChart>
      <c:catAx>
        <c:axId val="491415192"/>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491416272"/>
        <c:crosses val="autoZero"/>
        <c:auto val="1"/>
        <c:lblAlgn val="ctr"/>
        <c:lblOffset val="100"/>
        <c:tickLblSkip val="1"/>
        <c:noMultiLvlLbl val="0"/>
      </c:catAx>
      <c:valAx>
        <c:axId val="491416272"/>
        <c:scaling>
          <c:orientation val="minMax"/>
          <c:max val="0.4"/>
          <c:min val="-0.2"/>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491415192"/>
        <c:crosses val="autoZero"/>
        <c:crossBetween val="between"/>
        <c:majorUnit val="0.2"/>
      </c:valAx>
      <c:spPr>
        <a:noFill/>
        <a:ln>
          <a:noFill/>
        </a:ln>
        <a:effectLst/>
      </c:spPr>
    </c:plotArea>
    <c:legend>
      <c:legendPos val="b"/>
      <c:layout>
        <c:manualLayout>
          <c:xMode val="edge"/>
          <c:yMode val="edge"/>
          <c:x val="0.16871367377046267"/>
          <c:y val="0.64667914762402956"/>
          <c:w val="0.78882072173410756"/>
          <c:h val="8.6787484897721118E-2"/>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9533383255047"/>
          <c:y val="5.6021139249485707E-2"/>
          <c:w val="0.86299506770869083"/>
          <c:h val="0.77092998510321342"/>
        </c:manualLayout>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Sheet1!$A$2:$A$7</c:f>
              <c:strCache>
                <c:ptCount val="6"/>
                <c:pt idx="0">
                  <c:v>2025-2029</c:v>
                </c:pt>
                <c:pt idx="1">
                  <c:v>2030-2034</c:v>
                </c:pt>
                <c:pt idx="2">
                  <c:v>2035-2039</c:v>
                </c:pt>
                <c:pt idx="3">
                  <c:v>2040-2044</c:v>
                </c:pt>
                <c:pt idx="4">
                  <c:v>2045-2049</c:v>
                </c:pt>
                <c:pt idx="5">
                  <c:v>2050-</c:v>
                </c:pt>
              </c:strCache>
            </c:strRef>
          </c:cat>
          <c:val>
            <c:numRef>
              <c:f>Sheet1!$B$2:$B$7</c:f>
              <c:numCache>
                <c:formatCode>General</c:formatCode>
                <c:ptCount val="6"/>
                <c:pt idx="0">
                  <c:v>-5.5199999999999971E-2</c:v>
                </c:pt>
                <c:pt idx="1">
                  <c:v>-7.999999999999674E-3</c:v>
                </c:pt>
                <c:pt idx="2">
                  <c:v>7.0000000000000617E-3</c:v>
                </c:pt>
                <c:pt idx="3">
                  <c:v>2.3000000000000104E-2</c:v>
                </c:pt>
                <c:pt idx="4">
                  <c:v>3.199999999999991E-2</c:v>
                </c:pt>
                <c:pt idx="5">
                  <c:v>4.2999999999999983E-2</c:v>
                </c:pt>
              </c:numCache>
            </c:numRef>
          </c:val>
          <c:extLst>
            <c:ext xmlns:c16="http://schemas.microsoft.com/office/drawing/2014/chart" uri="{C3380CC4-5D6E-409C-BE32-E72D297353CC}">
              <c16:uniqueId val="{00000000-7F6A-4FDF-BDD9-643A54539EAA}"/>
            </c:ext>
          </c:extLst>
        </c:ser>
        <c:dLbls>
          <c:showLegendKey val="0"/>
          <c:showVal val="0"/>
          <c:showCatName val="0"/>
          <c:showSerName val="0"/>
          <c:showPercent val="0"/>
          <c:showBubbleSize val="0"/>
        </c:dLbls>
        <c:gapWidth val="100"/>
        <c:axId val="486749784"/>
        <c:axId val="486753744"/>
      </c:barChart>
      <c:catAx>
        <c:axId val="48674978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53744"/>
        <c:crosses val="autoZero"/>
        <c:auto val="1"/>
        <c:lblAlgn val="ctr"/>
        <c:lblOffset val="100"/>
        <c:tickLblSkip val="1"/>
        <c:noMultiLvlLbl val="0"/>
      </c:catAx>
      <c:valAx>
        <c:axId val="486753744"/>
        <c:scaling>
          <c:orientation val="minMax"/>
          <c:max val="6.0000000000000012E-2"/>
          <c:min val="-6.0000000000000012E-2"/>
        </c:scaling>
        <c:delete val="0"/>
        <c:axPos val="l"/>
        <c:majorGridlines>
          <c:spPr>
            <a:ln w="9525" cap="flat" cmpd="sng" algn="ctr">
              <a:solidFill>
                <a:schemeClr val="tx1">
                  <a:lumMod val="15000"/>
                  <a:lumOff val="85000"/>
                </a:schemeClr>
              </a:solidFill>
              <a:round/>
            </a:ln>
            <a:effectLst/>
          </c:spPr>
        </c:majorGridlines>
        <c:numFmt formatCode="#,##0.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49784"/>
        <c:crosses val="autoZero"/>
        <c:crossBetween val="between"/>
        <c:majorUnit val="2.0000000000000004E-2"/>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083989501312337"/>
          <c:y val="4.2507625735972186E-2"/>
          <c:w val="0.86243230996776865"/>
          <c:h val="0.7844434986167268"/>
        </c:manualLayout>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Sheet1!$A$2:$A$7</c:f>
              <c:strCache>
                <c:ptCount val="6"/>
                <c:pt idx="0">
                  <c:v>2025-2029</c:v>
                </c:pt>
                <c:pt idx="1">
                  <c:v>2030-2034</c:v>
                </c:pt>
                <c:pt idx="2">
                  <c:v>2035-2039</c:v>
                </c:pt>
                <c:pt idx="3">
                  <c:v>2040-2044</c:v>
                </c:pt>
                <c:pt idx="4">
                  <c:v>2045-2049</c:v>
                </c:pt>
                <c:pt idx="5">
                  <c:v>2050-</c:v>
                </c:pt>
              </c:strCache>
            </c:strRef>
          </c:cat>
          <c:val>
            <c:numRef>
              <c:f>Sheet1!$B$2:$B$7</c:f>
              <c:numCache>
                <c:formatCode>General</c:formatCode>
                <c:ptCount val="6"/>
                <c:pt idx="0">
                  <c:v>8.793368765436238E-2</c:v>
                </c:pt>
                <c:pt idx="1">
                  <c:v>0.11539056893179467</c:v>
                </c:pt>
                <c:pt idx="2">
                  <c:v>0.11896873682308851</c:v>
                </c:pt>
                <c:pt idx="3">
                  <c:v>0.11714723063946941</c:v>
                </c:pt>
                <c:pt idx="4">
                  <c:v>0.1180120035066512</c:v>
                </c:pt>
                <c:pt idx="5">
                  <c:v>0.11798415641328663</c:v>
                </c:pt>
              </c:numCache>
            </c:numRef>
          </c:val>
          <c:extLst>
            <c:ext xmlns:c16="http://schemas.microsoft.com/office/drawing/2014/chart" uri="{C3380CC4-5D6E-409C-BE32-E72D297353CC}">
              <c16:uniqueId val="{00000000-C80F-43E0-B50C-9D2940905287}"/>
            </c:ext>
          </c:extLst>
        </c:ser>
        <c:dLbls>
          <c:showLegendKey val="0"/>
          <c:showVal val="0"/>
          <c:showCatName val="0"/>
          <c:showSerName val="0"/>
          <c:showPercent val="0"/>
          <c:showBubbleSize val="0"/>
        </c:dLbls>
        <c:gapWidth val="100"/>
        <c:axId val="486749784"/>
        <c:axId val="486753744"/>
      </c:barChart>
      <c:catAx>
        <c:axId val="48674978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53744"/>
        <c:crosses val="autoZero"/>
        <c:auto val="1"/>
        <c:lblAlgn val="ctr"/>
        <c:lblOffset val="100"/>
        <c:tickLblSkip val="1"/>
        <c:noMultiLvlLbl val="0"/>
      </c:catAx>
      <c:valAx>
        <c:axId val="486753744"/>
        <c:scaling>
          <c:orientation val="minMax"/>
          <c:max val="0.15000000000000002"/>
        </c:scaling>
        <c:delete val="0"/>
        <c:axPos val="l"/>
        <c:majorGridlines>
          <c:spPr>
            <a:ln w="9525" cap="flat" cmpd="sng" algn="ctr">
              <a:solidFill>
                <a:schemeClr val="tx1">
                  <a:lumMod val="15000"/>
                  <a:lumOff val="85000"/>
                </a:schemeClr>
              </a:solidFill>
              <a:round/>
            </a:ln>
            <a:effectLst/>
          </c:spPr>
        </c:majorGridlines>
        <c:numFmt formatCode="#,##0.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49784"/>
        <c:crosses val="autoZero"/>
        <c:crossBetween val="between"/>
        <c:majorUnit val="5.000000000000001E-2"/>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9533383255047"/>
          <c:y val="5.6021139249485707E-2"/>
          <c:w val="0.85469286762566887"/>
          <c:h val="0.77092998510321342"/>
        </c:manualLayout>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Sheet1!$A$2:$A$7</c:f>
              <c:strCache>
                <c:ptCount val="6"/>
                <c:pt idx="0">
                  <c:v>2025-2029</c:v>
                </c:pt>
                <c:pt idx="1">
                  <c:v>2030-2034</c:v>
                </c:pt>
                <c:pt idx="2">
                  <c:v>2035-2039</c:v>
                </c:pt>
                <c:pt idx="3">
                  <c:v>2040-2044</c:v>
                </c:pt>
                <c:pt idx="4">
                  <c:v>2045-2049</c:v>
                </c:pt>
                <c:pt idx="5">
                  <c:v>2050-</c:v>
                </c:pt>
              </c:strCache>
            </c:strRef>
          </c:cat>
          <c:val>
            <c:numRef>
              <c:f>Sheet1!$B$2:$B$7</c:f>
              <c:numCache>
                <c:formatCode>General</c:formatCode>
                <c:ptCount val="6"/>
                <c:pt idx="0">
                  <c:v>-7.5000000000000067E-2</c:v>
                </c:pt>
                <c:pt idx="1">
                  <c:v>-9.3000000000001415E-2</c:v>
                </c:pt>
                <c:pt idx="2">
                  <c:v>-9.0999999999999415E-2</c:v>
                </c:pt>
                <c:pt idx="3">
                  <c:v>-8.7000000000003741E-2</c:v>
                </c:pt>
                <c:pt idx="4">
                  <c:v>-8.1999999999998741E-2</c:v>
                </c:pt>
                <c:pt idx="5">
                  <c:v>-7.5000000000002842E-2</c:v>
                </c:pt>
              </c:numCache>
            </c:numRef>
          </c:val>
          <c:extLst>
            <c:ext xmlns:c16="http://schemas.microsoft.com/office/drawing/2014/chart" uri="{C3380CC4-5D6E-409C-BE32-E72D297353CC}">
              <c16:uniqueId val="{00000000-45A8-498A-AA0D-7E7B3F3E945D}"/>
            </c:ext>
          </c:extLst>
        </c:ser>
        <c:dLbls>
          <c:showLegendKey val="0"/>
          <c:showVal val="0"/>
          <c:showCatName val="0"/>
          <c:showSerName val="0"/>
          <c:showPercent val="0"/>
          <c:showBubbleSize val="0"/>
        </c:dLbls>
        <c:gapWidth val="100"/>
        <c:axId val="486749784"/>
        <c:axId val="486753744"/>
      </c:barChart>
      <c:catAx>
        <c:axId val="48674978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53744"/>
        <c:crosses val="autoZero"/>
        <c:auto val="1"/>
        <c:lblAlgn val="ctr"/>
        <c:lblOffset val="100"/>
        <c:tickLblSkip val="1"/>
        <c:noMultiLvlLbl val="0"/>
      </c:catAx>
      <c:valAx>
        <c:axId val="486753744"/>
        <c:scaling>
          <c:orientation val="minMax"/>
          <c:max val="0"/>
          <c:min val="-0.15000000000000002"/>
        </c:scaling>
        <c:delete val="0"/>
        <c:axPos val="l"/>
        <c:majorGridlines>
          <c:spPr>
            <a:ln w="9525" cap="flat" cmpd="sng" algn="ctr">
              <a:solidFill>
                <a:schemeClr val="tx1">
                  <a:lumMod val="15000"/>
                  <a:lumOff val="85000"/>
                </a:schemeClr>
              </a:solidFill>
              <a:round/>
            </a:ln>
            <a:effectLst/>
          </c:spPr>
        </c:majorGridlines>
        <c:numFmt formatCode="#,##0.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49784"/>
        <c:crosses val="autoZero"/>
        <c:crossBetween val="between"/>
        <c:majorUnit val="5.000000000000001E-2"/>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9533383255047"/>
          <c:y val="5.6021139249485707E-2"/>
          <c:w val="0.86299506770869083"/>
          <c:h val="0.77092998510321342"/>
        </c:manualLayout>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Sheet1!$A$2:$A$7</c:f>
              <c:strCache>
                <c:ptCount val="6"/>
                <c:pt idx="0">
                  <c:v>2025-2029</c:v>
                </c:pt>
                <c:pt idx="1">
                  <c:v>2030-2034</c:v>
                </c:pt>
                <c:pt idx="2">
                  <c:v>2035-2039</c:v>
                </c:pt>
                <c:pt idx="3">
                  <c:v>2040-2044</c:v>
                </c:pt>
                <c:pt idx="4">
                  <c:v>2045-2049</c:v>
                </c:pt>
                <c:pt idx="5">
                  <c:v>2050-</c:v>
                </c:pt>
              </c:strCache>
            </c:strRef>
          </c:cat>
          <c:val>
            <c:numRef>
              <c:f>Sheet1!$B$2:$B$7</c:f>
              <c:numCache>
                <c:formatCode>General</c:formatCode>
                <c:ptCount val="6"/>
                <c:pt idx="0">
                  <c:v>2.9485810355844855E-2</c:v>
                </c:pt>
                <c:pt idx="1">
                  <c:v>2.984734689228663E-2</c:v>
                </c:pt>
                <c:pt idx="2">
                  <c:v>2.0568393746600577E-2</c:v>
                </c:pt>
                <c:pt idx="3">
                  <c:v>1.4920948681829138E-2</c:v>
                </c:pt>
                <c:pt idx="4">
                  <c:v>8.5566582860963081E-3</c:v>
                </c:pt>
                <c:pt idx="5">
                  <c:v>2.2358082074180885E-3</c:v>
                </c:pt>
              </c:numCache>
            </c:numRef>
          </c:val>
          <c:extLst>
            <c:ext xmlns:c16="http://schemas.microsoft.com/office/drawing/2014/chart" uri="{C3380CC4-5D6E-409C-BE32-E72D297353CC}">
              <c16:uniqueId val="{00000000-D37C-4C50-86F6-6A01771A5F8D}"/>
            </c:ext>
          </c:extLst>
        </c:ser>
        <c:dLbls>
          <c:showLegendKey val="0"/>
          <c:showVal val="0"/>
          <c:showCatName val="0"/>
          <c:showSerName val="0"/>
          <c:showPercent val="0"/>
          <c:showBubbleSize val="0"/>
        </c:dLbls>
        <c:gapWidth val="100"/>
        <c:axId val="486749784"/>
        <c:axId val="486753744"/>
      </c:barChart>
      <c:catAx>
        <c:axId val="48674978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53744"/>
        <c:crosses val="autoZero"/>
        <c:auto val="1"/>
        <c:lblAlgn val="ctr"/>
        <c:lblOffset val="100"/>
        <c:tickLblSkip val="1"/>
        <c:noMultiLvlLbl val="0"/>
      </c:catAx>
      <c:valAx>
        <c:axId val="486753744"/>
        <c:scaling>
          <c:orientation val="minMax"/>
          <c:max val="4.0000000000000008E-2"/>
        </c:scaling>
        <c:delete val="0"/>
        <c:axPos val="l"/>
        <c:majorGridlines>
          <c:spPr>
            <a:ln w="9525" cap="flat" cmpd="sng" algn="ctr">
              <a:solidFill>
                <a:schemeClr val="tx1">
                  <a:lumMod val="15000"/>
                  <a:lumOff val="85000"/>
                </a:schemeClr>
              </a:solidFill>
              <a:round/>
            </a:ln>
            <a:effectLst/>
          </c:spPr>
        </c:majorGridlines>
        <c:numFmt formatCode="#,##0.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49784"/>
        <c:crosses val="autoZero"/>
        <c:crossBetween val="between"/>
        <c:majorUnit val="2.0000000000000004E-2"/>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9533383255047"/>
          <c:y val="5.6021139249485707E-2"/>
          <c:w val="0.86299506770869083"/>
          <c:h val="0.77092998510321342"/>
        </c:manualLayout>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Sheet1!$A$2:$A$7</c:f>
              <c:strCache>
                <c:ptCount val="6"/>
                <c:pt idx="0">
                  <c:v>2025-2029</c:v>
                </c:pt>
                <c:pt idx="1">
                  <c:v>2030-2034</c:v>
                </c:pt>
                <c:pt idx="2">
                  <c:v>2035-2039</c:v>
                </c:pt>
                <c:pt idx="3">
                  <c:v>2040-2044</c:v>
                </c:pt>
                <c:pt idx="4">
                  <c:v>2045-2049</c:v>
                </c:pt>
                <c:pt idx="5">
                  <c:v>2050-</c:v>
                </c:pt>
              </c:strCache>
            </c:strRef>
          </c:cat>
          <c:val>
            <c:numRef>
              <c:f>Sheet1!$B$2:$B$7</c:f>
              <c:numCache>
                <c:formatCode>General</c:formatCode>
                <c:ptCount val="6"/>
                <c:pt idx="0">
                  <c:v>3.9625341705429307E-2</c:v>
                </c:pt>
                <c:pt idx="1">
                  <c:v>-2.347783177443219E-2</c:v>
                </c:pt>
                <c:pt idx="2">
                  <c:v>-2.5007186429748529E-2</c:v>
                </c:pt>
                <c:pt idx="3">
                  <c:v>-2.5760590835899322E-2</c:v>
                </c:pt>
                <c:pt idx="4">
                  <c:v>-2.5815879960056076E-2</c:v>
                </c:pt>
                <c:pt idx="5">
                  <c:v>-2.6032895768546283E-2</c:v>
                </c:pt>
              </c:numCache>
            </c:numRef>
          </c:val>
          <c:extLst>
            <c:ext xmlns:c16="http://schemas.microsoft.com/office/drawing/2014/chart" uri="{C3380CC4-5D6E-409C-BE32-E72D297353CC}">
              <c16:uniqueId val="{00000000-56DC-4575-82C6-AB9F940362C6}"/>
            </c:ext>
          </c:extLst>
        </c:ser>
        <c:dLbls>
          <c:showLegendKey val="0"/>
          <c:showVal val="0"/>
          <c:showCatName val="0"/>
          <c:showSerName val="0"/>
          <c:showPercent val="0"/>
          <c:showBubbleSize val="0"/>
        </c:dLbls>
        <c:gapWidth val="100"/>
        <c:axId val="486749784"/>
        <c:axId val="486753744"/>
      </c:barChart>
      <c:catAx>
        <c:axId val="48674978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53744"/>
        <c:crosses val="autoZero"/>
        <c:auto val="1"/>
        <c:lblAlgn val="ctr"/>
        <c:lblOffset val="100"/>
        <c:tickLblSkip val="1"/>
        <c:noMultiLvlLbl val="0"/>
      </c:catAx>
      <c:valAx>
        <c:axId val="486753744"/>
        <c:scaling>
          <c:orientation val="minMax"/>
          <c:min val="-4.0000000000000008E-2"/>
        </c:scaling>
        <c:delete val="0"/>
        <c:axPos val="l"/>
        <c:majorGridlines>
          <c:spPr>
            <a:ln w="9525" cap="flat" cmpd="sng" algn="ctr">
              <a:solidFill>
                <a:schemeClr val="tx1">
                  <a:lumMod val="15000"/>
                  <a:lumOff val="85000"/>
                </a:schemeClr>
              </a:solidFill>
              <a:round/>
            </a:ln>
            <a:effectLst/>
          </c:spPr>
        </c:majorGridlines>
        <c:numFmt formatCode="#,##0.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49784"/>
        <c:crosses val="autoZero"/>
        <c:crossBetween val="between"/>
        <c:majorUnit val="2.0000000000000004E-2"/>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922265398643352"/>
          <c:y val="6.4976003636217805E-2"/>
          <c:w val="0.73621322902818964"/>
          <c:h val="0.77857786452415012"/>
        </c:manualLayout>
      </c:layout>
      <c:barChart>
        <c:barDir val="bar"/>
        <c:grouping val="clustered"/>
        <c:varyColors val="0"/>
        <c:ser>
          <c:idx val="0"/>
          <c:order val="0"/>
          <c:tx>
            <c:strRef>
              <c:f>Sheet1!$B$1</c:f>
              <c:strCache>
                <c:ptCount val="1"/>
                <c:pt idx="0">
                  <c:v>2010</c:v>
                </c:pt>
              </c:strCache>
            </c:strRef>
          </c:tx>
          <c:spPr>
            <a:solidFill>
              <a:schemeClr val="accent1"/>
            </a:solidFill>
            <a:ln>
              <a:noFill/>
            </a:ln>
            <a:effectLst/>
          </c:spPr>
          <c:invertIfNegative val="0"/>
          <c:cat>
            <c:strRef>
              <c:f>Sheet1!$A$2:$A$20</c:f>
              <c:strCache>
                <c:ptCount val="19"/>
                <c:pt idx="0">
                  <c:v>A</c:v>
                </c:pt>
                <c:pt idx="1">
                  <c:v>B</c:v>
                </c:pt>
                <c:pt idx="2">
                  <c:v>C</c:v>
                </c:pt>
                <c:pt idx="3">
                  <c:v>D</c:v>
                </c:pt>
                <c:pt idx="4">
                  <c:v>E</c:v>
                </c:pt>
                <c:pt idx="5">
                  <c:v>F</c:v>
                </c:pt>
                <c:pt idx="6">
                  <c:v>G</c:v>
                </c:pt>
                <c:pt idx="7">
                  <c:v>H</c:v>
                </c:pt>
                <c:pt idx="8">
                  <c:v>I</c:v>
                </c:pt>
                <c:pt idx="9">
                  <c:v>J</c:v>
                </c:pt>
                <c:pt idx="10">
                  <c:v>K</c:v>
                </c:pt>
                <c:pt idx="11">
                  <c:v>L</c:v>
                </c:pt>
                <c:pt idx="12">
                  <c:v>M</c:v>
                </c:pt>
                <c:pt idx="13">
                  <c:v>N</c:v>
                </c:pt>
                <c:pt idx="14">
                  <c:v>O</c:v>
                </c:pt>
                <c:pt idx="15">
                  <c:v>P</c:v>
                </c:pt>
                <c:pt idx="16">
                  <c:v>Q</c:v>
                </c:pt>
                <c:pt idx="17">
                  <c:v>R</c:v>
                </c:pt>
                <c:pt idx="18">
                  <c:v>S-U</c:v>
                </c:pt>
              </c:strCache>
            </c:strRef>
          </c:cat>
          <c:val>
            <c:numRef>
              <c:f>Sheet1!$B$2:$B$20</c:f>
              <c:numCache>
                <c:formatCode>#\ ##0.###</c:formatCode>
                <c:ptCount val="19"/>
                <c:pt idx="0">
                  <c:v>3.3333499999999998</c:v>
                </c:pt>
                <c:pt idx="1">
                  <c:v>0.42558000000000001</c:v>
                </c:pt>
                <c:pt idx="2">
                  <c:v>0.82818999999999998</c:v>
                </c:pt>
                <c:pt idx="3">
                  <c:v>4.5590099999999998</c:v>
                </c:pt>
                <c:pt idx="4">
                  <c:v>4.3309899999999999</c:v>
                </c:pt>
                <c:pt idx="5">
                  <c:v>0.32719999999999999</c:v>
                </c:pt>
                <c:pt idx="6">
                  <c:v>0.14665</c:v>
                </c:pt>
                <c:pt idx="7">
                  <c:v>1.7575400000000001</c:v>
                </c:pt>
                <c:pt idx="8">
                  <c:v>8.3500000000000005E-2</c:v>
                </c:pt>
                <c:pt idx="9">
                  <c:v>3.773E-2</c:v>
                </c:pt>
                <c:pt idx="10">
                  <c:v>2.095E-2</c:v>
                </c:pt>
                <c:pt idx="11">
                  <c:v>8.2890000000000005E-2</c:v>
                </c:pt>
                <c:pt idx="12">
                  <c:v>5.8259999999999999E-2</c:v>
                </c:pt>
                <c:pt idx="13">
                  <c:v>0.12486999999999999</c:v>
                </c:pt>
                <c:pt idx="14">
                  <c:v>0.12239</c:v>
                </c:pt>
                <c:pt idx="15">
                  <c:v>5.2679999999999998E-2</c:v>
                </c:pt>
                <c:pt idx="16">
                  <c:v>0.14993000000000001</c:v>
                </c:pt>
                <c:pt idx="17">
                  <c:v>5.9749999999999998E-2</c:v>
                </c:pt>
                <c:pt idx="18">
                  <c:v>6.8610000000000004E-2</c:v>
                </c:pt>
              </c:numCache>
            </c:numRef>
          </c:val>
          <c:extLst>
            <c:ext xmlns:c16="http://schemas.microsoft.com/office/drawing/2014/chart" uri="{C3380CC4-5D6E-409C-BE32-E72D297353CC}">
              <c16:uniqueId val="{00000000-5C40-43B0-A30C-20E9F24C22A2}"/>
            </c:ext>
          </c:extLst>
        </c:ser>
        <c:ser>
          <c:idx val="1"/>
          <c:order val="1"/>
          <c:tx>
            <c:strRef>
              <c:f>Sheet1!$C$1</c:f>
              <c:strCache>
                <c:ptCount val="1"/>
                <c:pt idx="0">
                  <c:v>2022</c:v>
                </c:pt>
              </c:strCache>
            </c:strRef>
          </c:tx>
          <c:spPr>
            <a:solidFill>
              <a:schemeClr val="accent2"/>
            </a:solidFill>
            <a:ln>
              <a:noFill/>
            </a:ln>
            <a:effectLst/>
          </c:spPr>
          <c:invertIfNegative val="0"/>
          <c:cat>
            <c:strRef>
              <c:f>Sheet1!$A$2:$A$20</c:f>
              <c:strCache>
                <c:ptCount val="19"/>
                <c:pt idx="0">
                  <c:v>A</c:v>
                </c:pt>
                <c:pt idx="1">
                  <c:v>B</c:v>
                </c:pt>
                <c:pt idx="2">
                  <c:v>C</c:v>
                </c:pt>
                <c:pt idx="3">
                  <c:v>D</c:v>
                </c:pt>
                <c:pt idx="4">
                  <c:v>E</c:v>
                </c:pt>
                <c:pt idx="5">
                  <c:v>F</c:v>
                </c:pt>
                <c:pt idx="6">
                  <c:v>G</c:v>
                </c:pt>
                <c:pt idx="7">
                  <c:v>H</c:v>
                </c:pt>
                <c:pt idx="8">
                  <c:v>I</c:v>
                </c:pt>
                <c:pt idx="9">
                  <c:v>J</c:v>
                </c:pt>
                <c:pt idx="10">
                  <c:v>K</c:v>
                </c:pt>
                <c:pt idx="11">
                  <c:v>L</c:v>
                </c:pt>
                <c:pt idx="12">
                  <c:v>M</c:v>
                </c:pt>
                <c:pt idx="13">
                  <c:v>N</c:v>
                </c:pt>
                <c:pt idx="14">
                  <c:v>O</c:v>
                </c:pt>
                <c:pt idx="15">
                  <c:v>P</c:v>
                </c:pt>
                <c:pt idx="16">
                  <c:v>Q</c:v>
                </c:pt>
                <c:pt idx="17">
                  <c:v>R</c:v>
                </c:pt>
                <c:pt idx="18">
                  <c:v>S-U</c:v>
                </c:pt>
              </c:strCache>
            </c:strRef>
          </c:cat>
          <c:val>
            <c:numRef>
              <c:f>Sheet1!$C$2:$C$20</c:f>
              <c:numCache>
                <c:formatCode>#,##0.00</c:formatCode>
                <c:ptCount val="19"/>
                <c:pt idx="0">
                  <c:v>1.48597</c:v>
                </c:pt>
                <c:pt idx="1">
                  <c:v>0.27302999999999999</c:v>
                </c:pt>
                <c:pt idx="2">
                  <c:v>0.24776999999999999</c:v>
                </c:pt>
                <c:pt idx="3">
                  <c:v>0.91388999999999998</c:v>
                </c:pt>
                <c:pt idx="4">
                  <c:v>2.0238200000000002</c:v>
                </c:pt>
                <c:pt idx="5">
                  <c:v>0.13197999999999999</c:v>
                </c:pt>
                <c:pt idx="6">
                  <c:v>6.633E-2</c:v>
                </c:pt>
                <c:pt idx="7">
                  <c:v>1.02382</c:v>
                </c:pt>
                <c:pt idx="8">
                  <c:v>2.8379999999999999E-2</c:v>
                </c:pt>
                <c:pt idx="9">
                  <c:v>4.5399999999999998E-3</c:v>
                </c:pt>
                <c:pt idx="10">
                  <c:v>4.5399999999999998E-3</c:v>
                </c:pt>
                <c:pt idx="11">
                  <c:v>5.5899999999999998E-2</c:v>
                </c:pt>
                <c:pt idx="12">
                  <c:v>1.337E-2</c:v>
                </c:pt>
                <c:pt idx="13">
                  <c:v>4.5359999999999998E-2</c:v>
                </c:pt>
                <c:pt idx="14">
                  <c:v>4.6190000000000002E-2</c:v>
                </c:pt>
                <c:pt idx="15">
                  <c:v>1.0489999999999999E-2</c:v>
                </c:pt>
                <c:pt idx="16">
                  <c:v>4.113E-2</c:v>
                </c:pt>
                <c:pt idx="17">
                  <c:v>1.465E-2</c:v>
                </c:pt>
                <c:pt idx="18">
                  <c:v>2.9659999999999999E-2</c:v>
                </c:pt>
              </c:numCache>
            </c:numRef>
          </c:val>
          <c:extLst>
            <c:ext xmlns:c16="http://schemas.microsoft.com/office/drawing/2014/chart" uri="{C3380CC4-5D6E-409C-BE32-E72D297353CC}">
              <c16:uniqueId val="{00000001-5C40-43B0-A30C-20E9F24C22A2}"/>
            </c:ext>
          </c:extLst>
        </c:ser>
        <c:dLbls>
          <c:showLegendKey val="0"/>
          <c:showVal val="0"/>
          <c:showCatName val="0"/>
          <c:showSerName val="0"/>
          <c:showPercent val="0"/>
          <c:showBubbleSize val="0"/>
        </c:dLbls>
        <c:gapWidth val="17"/>
        <c:overlap val="38"/>
        <c:axId val="1893528576"/>
        <c:axId val="1893529056"/>
      </c:barChart>
      <c:catAx>
        <c:axId val="18935285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1893529056"/>
        <c:crossesAt val="0"/>
        <c:auto val="1"/>
        <c:lblAlgn val="ctr"/>
        <c:lblOffset val="100"/>
        <c:noMultiLvlLbl val="0"/>
      </c:catAx>
      <c:valAx>
        <c:axId val="1893529056"/>
        <c:scaling>
          <c:orientation val="minMax"/>
          <c:max val="5"/>
          <c:min val="0"/>
        </c:scaling>
        <c:delete val="0"/>
        <c:axPos val="b"/>
        <c:majorGridlines>
          <c:spPr>
            <a:ln w="9525" cap="flat" cmpd="sng" algn="ctr">
              <a:solidFill>
                <a:schemeClr val="tx1">
                  <a:lumMod val="15000"/>
                  <a:lumOff val="85000"/>
                </a:schemeClr>
              </a:solidFill>
              <a:round/>
            </a:ln>
            <a:effectLst/>
          </c:spPr>
        </c:majorGridlines>
        <c:numFmt formatCode="#,##0.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189352857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5966081162931552E-2"/>
          <c:y val="4.3064684541600777E-2"/>
          <c:w val="0.84795759753331801"/>
          <c:h val="0.79276081374861951"/>
        </c:manualLayout>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Sheet1!$A$2:$A$7</c:f>
              <c:strCache>
                <c:ptCount val="6"/>
                <c:pt idx="0">
                  <c:v>2025-2029</c:v>
                </c:pt>
                <c:pt idx="1">
                  <c:v>2030-2034</c:v>
                </c:pt>
                <c:pt idx="2">
                  <c:v>2035-2039</c:v>
                </c:pt>
                <c:pt idx="3">
                  <c:v>2040-2044</c:v>
                </c:pt>
                <c:pt idx="4">
                  <c:v>2045-2049</c:v>
                </c:pt>
                <c:pt idx="5">
                  <c:v>2050-</c:v>
                </c:pt>
              </c:strCache>
            </c:strRef>
          </c:cat>
          <c:val>
            <c:numRef>
              <c:f>Sheet1!$B$2:$B$7</c:f>
              <c:numCache>
                <c:formatCode>General</c:formatCode>
                <c:ptCount val="6"/>
                <c:pt idx="0">
                  <c:v>0.14365275813295053</c:v>
                </c:pt>
                <c:pt idx="1">
                  <c:v>0.16592732549147726</c:v>
                </c:pt>
                <c:pt idx="2">
                  <c:v>0.15475332320280533</c:v>
                </c:pt>
                <c:pt idx="3">
                  <c:v>0.13993985041516055</c:v>
                </c:pt>
                <c:pt idx="4">
                  <c:v>0.13273713137791354</c:v>
                </c:pt>
                <c:pt idx="5">
                  <c:v>0.12412036876827681</c:v>
                </c:pt>
              </c:numCache>
            </c:numRef>
          </c:val>
          <c:extLst>
            <c:ext xmlns:c16="http://schemas.microsoft.com/office/drawing/2014/chart" uri="{C3380CC4-5D6E-409C-BE32-E72D297353CC}">
              <c16:uniqueId val="{00000000-6E5E-4241-A810-722529998CCC}"/>
            </c:ext>
          </c:extLst>
        </c:ser>
        <c:dLbls>
          <c:showLegendKey val="0"/>
          <c:showVal val="0"/>
          <c:showCatName val="0"/>
          <c:showSerName val="0"/>
          <c:showPercent val="0"/>
          <c:showBubbleSize val="0"/>
        </c:dLbls>
        <c:gapWidth val="100"/>
        <c:overlap val="-27"/>
        <c:axId val="486749784"/>
        <c:axId val="486753744"/>
      </c:barChart>
      <c:catAx>
        <c:axId val="48674978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53744"/>
        <c:crosses val="autoZero"/>
        <c:auto val="1"/>
        <c:lblAlgn val="ctr"/>
        <c:lblOffset val="100"/>
        <c:tickLblSkip val="1"/>
        <c:noMultiLvlLbl val="0"/>
      </c:catAx>
      <c:valAx>
        <c:axId val="486753744"/>
        <c:scaling>
          <c:orientation val="minMax"/>
          <c:max val="0.2"/>
          <c:min val="0"/>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49784"/>
        <c:crosses val="autoZero"/>
        <c:crossBetween val="between"/>
        <c:majorUnit val="0.1"/>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5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461288108217243"/>
          <c:y val="5.1677313920665574E-2"/>
          <c:w val="0.8325162123965274"/>
          <c:h val="0.77606632602268444"/>
        </c:manualLayout>
      </c:layout>
      <c:lineChart>
        <c:grouping val="standard"/>
        <c:varyColors val="0"/>
        <c:ser>
          <c:idx val="0"/>
          <c:order val="0"/>
          <c:tx>
            <c:strRef>
              <c:f>Sheet1!$B$1</c:f>
              <c:strCache>
                <c:ptCount val="1"/>
                <c:pt idx="0">
                  <c:v>PVN</c:v>
                </c:pt>
              </c:strCache>
            </c:strRef>
          </c:tx>
          <c:spPr>
            <a:ln w="47625" cap="rnd">
              <a:solidFill>
                <a:schemeClr val="accent1"/>
              </a:solidFill>
              <a:round/>
            </a:ln>
            <a:effectLst/>
          </c:spPr>
          <c:marker>
            <c:symbol val="none"/>
          </c:marker>
          <c:cat>
            <c:strRef>
              <c:f>Sheet1!$A$2:$A$7</c:f>
              <c:strCache>
                <c:ptCount val="6"/>
                <c:pt idx="0">
                  <c:v>2025-2029</c:v>
                </c:pt>
                <c:pt idx="1">
                  <c:v>2030-2034</c:v>
                </c:pt>
                <c:pt idx="2">
                  <c:v>2035-2039</c:v>
                </c:pt>
                <c:pt idx="3">
                  <c:v>2040-2044</c:v>
                </c:pt>
                <c:pt idx="4">
                  <c:v>2045-2049</c:v>
                </c:pt>
                <c:pt idx="5">
                  <c:v>2050-</c:v>
                </c:pt>
              </c:strCache>
            </c:strRef>
          </c:cat>
          <c:val>
            <c:numRef>
              <c:f>Sheet1!$B$2:$B$7</c:f>
              <c:numCache>
                <c:formatCode>General</c:formatCode>
                <c:ptCount val="6"/>
                <c:pt idx="0">
                  <c:v>0.14122191152508012</c:v>
                </c:pt>
                <c:pt idx="1">
                  <c:v>0.22281409778732719</c:v>
                </c:pt>
                <c:pt idx="2">
                  <c:v>0.19992801282679995</c:v>
                </c:pt>
                <c:pt idx="3">
                  <c:v>0.16724285331850552</c:v>
                </c:pt>
                <c:pt idx="4">
                  <c:v>0.15080818749415581</c:v>
                </c:pt>
                <c:pt idx="5">
                  <c:v>0.13270826553857251</c:v>
                </c:pt>
              </c:numCache>
            </c:numRef>
          </c:val>
          <c:smooth val="0"/>
          <c:extLst>
            <c:ext xmlns:c16="http://schemas.microsoft.com/office/drawing/2014/chart" uri="{C3380CC4-5D6E-409C-BE32-E72D297353CC}">
              <c16:uniqueId val="{00000000-DD3B-4627-96EC-87A4991749EC}"/>
            </c:ext>
          </c:extLst>
        </c:ser>
        <c:ser>
          <c:idx val="1"/>
          <c:order val="1"/>
          <c:tx>
            <c:strRef>
              <c:f>Sheet1!$C$1</c:f>
              <c:strCache>
                <c:ptCount val="1"/>
                <c:pt idx="0">
                  <c:v>Tiešie nodokļi</c:v>
                </c:pt>
              </c:strCache>
            </c:strRef>
          </c:tx>
          <c:spPr>
            <a:ln w="47625" cap="rnd">
              <a:solidFill>
                <a:schemeClr val="accent2"/>
              </a:solidFill>
              <a:round/>
            </a:ln>
            <a:effectLst/>
          </c:spPr>
          <c:marker>
            <c:symbol val="none"/>
          </c:marker>
          <c:cat>
            <c:strRef>
              <c:f>Sheet1!$A$2:$A$7</c:f>
              <c:strCache>
                <c:ptCount val="6"/>
                <c:pt idx="0">
                  <c:v>2025-2029</c:v>
                </c:pt>
                <c:pt idx="1">
                  <c:v>2030-2034</c:v>
                </c:pt>
                <c:pt idx="2">
                  <c:v>2035-2039</c:v>
                </c:pt>
                <c:pt idx="3">
                  <c:v>2040-2044</c:v>
                </c:pt>
                <c:pt idx="4">
                  <c:v>2045-2049</c:v>
                </c:pt>
                <c:pt idx="5">
                  <c:v>2050-</c:v>
                </c:pt>
              </c:strCache>
            </c:strRef>
          </c:cat>
          <c:val>
            <c:numRef>
              <c:f>Sheet1!$C$2:$C$7</c:f>
              <c:numCache>
                <c:formatCode>General</c:formatCode>
                <c:ptCount val="6"/>
                <c:pt idx="0">
                  <c:v>0.13003568676011046</c:v>
                </c:pt>
                <c:pt idx="1">
                  <c:v>0.14299348330157891</c:v>
                </c:pt>
                <c:pt idx="2">
                  <c:v>0.1374966114910281</c:v>
                </c:pt>
                <c:pt idx="3">
                  <c:v>0.12955601321902321</c:v>
                </c:pt>
                <c:pt idx="4">
                  <c:v>0.1258298544436931</c:v>
                </c:pt>
                <c:pt idx="5">
                  <c:v>0.12038490633565768</c:v>
                </c:pt>
              </c:numCache>
            </c:numRef>
          </c:val>
          <c:smooth val="0"/>
          <c:extLst>
            <c:ext xmlns:c16="http://schemas.microsoft.com/office/drawing/2014/chart" uri="{C3380CC4-5D6E-409C-BE32-E72D297353CC}">
              <c16:uniqueId val="{00000001-DD3B-4627-96EC-87A4991749EC}"/>
            </c:ext>
          </c:extLst>
        </c:ser>
        <c:ser>
          <c:idx val="2"/>
          <c:order val="2"/>
          <c:tx>
            <c:strRef>
              <c:f>Sheet1!$D$1</c:f>
              <c:strCache>
                <c:ptCount val="1"/>
                <c:pt idx="0">
                  <c:v>VSAOI</c:v>
                </c:pt>
              </c:strCache>
            </c:strRef>
          </c:tx>
          <c:spPr>
            <a:ln w="47625" cap="rnd">
              <a:solidFill>
                <a:schemeClr val="accent3"/>
              </a:solidFill>
              <a:round/>
            </a:ln>
            <a:effectLst/>
          </c:spPr>
          <c:marker>
            <c:symbol val="none"/>
          </c:marker>
          <c:cat>
            <c:strRef>
              <c:f>Sheet1!$A$2:$A$7</c:f>
              <c:strCache>
                <c:ptCount val="6"/>
                <c:pt idx="0">
                  <c:v>2025-2029</c:v>
                </c:pt>
                <c:pt idx="1">
                  <c:v>2030-2034</c:v>
                </c:pt>
                <c:pt idx="2">
                  <c:v>2035-2039</c:v>
                </c:pt>
                <c:pt idx="3">
                  <c:v>2040-2044</c:v>
                </c:pt>
                <c:pt idx="4">
                  <c:v>2045-2049</c:v>
                </c:pt>
                <c:pt idx="5">
                  <c:v>2050-</c:v>
                </c:pt>
              </c:strCache>
            </c:strRef>
          </c:cat>
          <c:val>
            <c:numRef>
              <c:f>Sheet1!$D$2:$D$7</c:f>
              <c:numCache>
                <c:formatCode>General</c:formatCode>
                <c:ptCount val="6"/>
                <c:pt idx="0">
                  <c:v>0.15632842132977665</c:v>
                </c:pt>
                <c:pt idx="1">
                  <c:v>0.12174054477662732</c:v>
                </c:pt>
                <c:pt idx="2">
                  <c:v>0.11472569938952848</c:v>
                </c:pt>
                <c:pt idx="3">
                  <c:v>0.10581503319146979</c:v>
                </c:pt>
                <c:pt idx="4">
                  <c:v>0.10153356293456373</c:v>
                </c:pt>
                <c:pt idx="5">
                  <c:v>9.4976879826846883E-2</c:v>
                </c:pt>
              </c:numCache>
            </c:numRef>
          </c:val>
          <c:smooth val="0"/>
          <c:extLst>
            <c:ext xmlns:c16="http://schemas.microsoft.com/office/drawing/2014/chart" uri="{C3380CC4-5D6E-409C-BE32-E72D297353CC}">
              <c16:uniqueId val="{00000002-DD3B-4627-96EC-87A4991749EC}"/>
            </c:ext>
          </c:extLst>
        </c:ser>
        <c:dLbls>
          <c:showLegendKey val="0"/>
          <c:showVal val="0"/>
          <c:showCatName val="0"/>
          <c:showSerName val="0"/>
          <c:showPercent val="0"/>
          <c:showBubbleSize val="0"/>
        </c:dLbls>
        <c:smooth val="0"/>
        <c:axId val="317965248"/>
        <c:axId val="317960208"/>
      </c:lineChart>
      <c:catAx>
        <c:axId val="317965248"/>
        <c:scaling>
          <c:orientation val="minMax"/>
        </c:scaling>
        <c:delete val="0"/>
        <c:axPos val="b"/>
        <c:numFmt formatCode="0" sourceLinked="0"/>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317960208"/>
        <c:crosses val="autoZero"/>
        <c:auto val="1"/>
        <c:lblAlgn val="ctr"/>
        <c:lblOffset val="100"/>
        <c:tickLblSkip val="1"/>
        <c:noMultiLvlLbl val="0"/>
      </c:catAx>
      <c:valAx>
        <c:axId val="31796020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317965248"/>
        <c:crosses val="autoZero"/>
        <c:crossBetween val="between"/>
        <c:majorUnit val="0.1"/>
      </c:valAx>
      <c:spPr>
        <a:noFill/>
        <a:ln>
          <a:noFill/>
        </a:ln>
        <a:effectLst/>
      </c:spPr>
    </c:plotArea>
    <c:legend>
      <c:legendPos val="b"/>
      <c:layout>
        <c:manualLayout>
          <c:xMode val="edge"/>
          <c:yMode val="edge"/>
          <c:x val="0.10402754761507862"/>
          <c:y val="0.65298653797307593"/>
          <c:w val="0.8959724523849214"/>
          <c:h val="8.8187283041232745E-2"/>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5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2035</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dPt>
            <c:idx val="1"/>
            <c:invertIfNegative val="0"/>
            <c:bubble3D val="0"/>
            <c:spPr>
              <a:pattFill prst="narHorz">
                <a:fgClr>
                  <a:schemeClr val="accent2"/>
                </a:fgClr>
                <a:bgClr>
                  <a:schemeClr val="accent2">
                    <a:lumMod val="20000"/>
                    <a:lumOff val="80000"/>
                  </a:schemeClr>
                </a:bgClr>
              </a:pattFill>
              <a:ln>
                <a:noFill/>
              </a:ln>
              <a:effectLst>
                <a:innerShdw blurRad="114300">
                  <a:schemeClr val="accent2"/>
                </a:innerShdw>
              </a:effectLst>
            </c:spPr>
            <c:extLst>
              <c:ext xmlns:c16="http://schemas.microsoft.com/office/drawing/2014/chart" uri="{C3380CC4-5D6E-409C-BE32-E72D297353CC}">
                <c16:uniqueId val="{00000001-F80B-4607-8491-9C07A766D5ED}"/>
              </c:ext>
            </c:extLst>
          </c:dPt>
          <c:cat>
            <c:strRef>
              <c:f>Sheet1!$A$2:$A$25</c:f>
              <c:strCache>
                <c:ptCount val="24"/>
                <c:pt idx="0">
                  <c:v>Elektronika un optika</c:v>
                </c:pt>
                <c:pt idx="1">
                  <c:v>Cita rūpniecība</c:v>
                </c:pt>
                <c:pt idx="2">
                  <c:v>Privātie pakalpojumi</c:v>
                </c:pt>
                <c:pt idx="3">
                  <c:v>Būvniecība</c:v>
                </c:pt>
                <c:pt idx="4">
                  <c:v>Elektriskās iekārtas</c:v>
                </c:pt>
                <c:pt idx="5">
                  <c:v>Kokrūpniecība</c:v>
                </c:pt>
                <c:pt idx="6">
                  <c:v>Lauksaimniecība</c:v>
                </c:pt>
                <c:pt idx="7">
                  <c:v>Metālizstrādājumi</c:v>
                </c:pt>
                <c:pt idx="8">
                  <c:v>Ūdens transports</c:v>
                </c:pt>
                <c:pt idx="9">
                  <c:v>Uzglabāšana</c:v>
                </c:pt>
                <c:pt idx="10">
                  <c:v>Farmācija</c:v>
                </c:pt>
                <c:pt idx="11">
                  <c:v>Gaisa transports</c:v>
                </c:pt>
                <c:pt idx="12">
                  <c:v>Sauszemes transports</c:v>
                </c:pt>
                <c:pt idx="13">
                  <c:v>Tekstils</c:v>
                </c:pt>
                <c:pt idx="14">
                  <c:v>Pārtika un dzērieni</c:v>
                </c:pt>
                <c:pt idx="15">
                  <c:v>Metāli</c:v>
                </c:pt>
                <c:pt idx="16">
                  <c:v>Transportlīdzekļi</c:v>
                </c:pt>
                <c:pt idx="17">
                  <c:v>Mašīnbūve</c:v>
                </c:pt>
                <c:pt idx="18">
                  <c:v>Papīrs un poligrāfija</c:v>
                </c:pt>
                <c:pt idx="19">
                  <c:v>Elektrības ražošana</c:v>
                </c:pt>
                <c:pt idx="20">
                  <c:v>Nemetāliskie minerāli</c:v>
                </c:pt>
                <c:pt idx="21">
                  <c:v>Ķīmijas produkti</c:v>
                </c:pt>
                <c:pt idx="22">
                  <c:v>Gumija un plastmasa</c:v>
                </c:pt>
                <c:pt idx="23">
                  <c:v>Publiskie pakalpojumi</c:v>
                </c:pt>
              </c:strCache>
            </c:strRef>
          </c:cat>
          <c:val>
            <c:numRef>
              <c:f>Sheet1!$B$2:$B$25</c:f>
              <c:numCache>
                <c:formatCode>General</c:formatCode>
                <c:ptCount val="24"/>
                <c:pt idx="0">
                  <c:v>0.26846538474445403</c:v>
                </c:pt>
                <c:pt idx="1">
                  <c:v>0.21905305191101121</c:v>
                </c:pt>
                <c:pt idx="2">
                  <c:v>0.20427192707384023</c:v>
                </c:pt>
                <c:pt idx="3">
                  <c:v>0.1907822070488896</c:v>
                </c:pt>
                <c:pt idx="4">
                  <c:v>0.17454182770229032</c:v>
                </c:pt>
                <c:pt idx="5">
                  <c:v>0.17407529016892909</c:v>
                </c:pt>
                <c:pt idx="6">
                  <c:v>0.17249607963456537</c:v>
                </c:pt>
                <c:pt idx="7">
                  <c:v>0.16577939665638475</c:v>
                </c:pt>
                <c:pt idx="8">
                  <c:v>0.15609595793626418</c:v>
                </c:pt>
                <c:pt idx="9">
                  <c:v>0.15521377169465111</c:v>
                </c:pt>
                <c:pt idx="10">
                  <c:v>0.15340492229705127</c:v>
                </c:pt>
                <c:pt idx="11">
                  <c:v>0.13919821826282597</c:v>
                </c:pt>
                <c:pt idx="12">
                  <c:v>0.12917632568454351</c:v>
                </c:pt>
                <c:pt idx="13">
                  <c:v>0.12689735955879744</c:v>
                </c:pt>
                <c:pt idx="14">
                  <c:v>0.12524533575677399</c:v>
                </c:pt>
                <c:pt idx="15">
                  <c:v>0.12461059190032042</c:v>
                </c:pt>
                <c:pt idx="16">
                  <c:v>0.11917455936776289</c:v>
                </c:pt>
                <c:pt idx="17">
                  <c:v>0.11468663563380943</c:v>
                </c:pt>
                <c:pt idx="18">
                  <c:v>0.10538795942562906</c:v>
                </c:pt>
                <c:pt idx="19">
                  <c:v>0.10395646058827257</c:v>
                </c:pt>
                <c:pt idx="20">
                  <c:v>0.10002500625156951</c:v>
                </c:pt>
                <c:pt idx="21">
                  <c:v>9.9639763930392533E-2</c:v>
                </c:pt>
                <c:pt idx="22">
                  <c:v>9.1905266878766767E-2</c:v>
                </c:pt>
                <c:pt idx="23">
                  <c:v>1.1533263252738735E-2</c:v>
                </c:pt>
              </c:numCache>
            </c:numRef>
          </c:val>
          <c:extLst>
            <c:ext xmlns:c16="http://schemas.microsoft.com/office/drawing/2014/chart" uri="{C3380CC4-5D6E-409C-BE32-E72D297353CC}">
              <c16:uniqueId val="{00000002-F80B-4607-8491-9C07A766D5ED}"/>
            </c:ext>
          </c:extLst>
        </c:ser>
        <c:dLbls>
          <c:showLegendKey val="0"/>
          <c:showVal val="0"/>
          <c:showCatName val="0"/>
          <c:showSerName val="0"/>
          <c:showPercent val="0"/>
          <c:showBubbleSize val="0"/>
        </c:dLbls>
        <c:gapWidth val="80"/>
        <c:axId val="314997208"/>
        <c:axId val="315001528"/>
      </c:barChart>
      <c:catAx>
        <c:axId val="314997208"/>
        <c:scaling>
          <c:orientation val="minMax"/>
        </c:scaling>
        <c:delete val="0"/>
        <c:axPos val="b"/>
        <c:numFmt formatCode="General" sourceLinked="1"/>
        <c:majorTickMark val="none"/>
        <c:minorTickMark val="none"/>
        <c:tickLblPos val="nextTo"/>
        <c:spPr>
          <a:noFill/>
          <a:ln w="6350" cap="flat" cmpd="sng" algn="ctr">
            <a:solidFill>
              <a:schemeClr val="tx1">
                <a:lumMod val="25000"/>
                <a:lumOff val="75000"/>
              </a:schemeClr>
            </a:solidFill>
            <a:round/>
          </a:ln>
          <a:effectLst/>
        </c:spPr>
        <c:txPr>
          <a:bodyPr rot="-540000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315001528"/>
        <c:crosses val="autoZero"/>
        <c:auto val="1"/>
        <c:lblAlgn val="ctr"/>
        <c:lblOffset val="100"/>
        <c:noMultiLvlLbl val="0"/>
      </c:catAx>
      <c:valAx>
        <c:axId val="315001528"/>
        <c:scaling>
          <c:orientation val="minMax"/>
          <c:max val="0.30000000000000004"/>
        </c:scaling>
        <c:delete val="0"/>
        <c:axPos val="l"/>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314997208"/>
        <c:crosses val="autoZero"/>
        <c:crossBetween val="between"/>
        <c:majorUnit val="0.1"/>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5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083989501312337"/>
          <c:y val="4.2507625735972186E-2"/>
          <c:w val="0.86243230996776865"/>
          <c:h val="0.7844434986167268"/>
        </c:manualLayout>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Sheet1!$A$2:$A$7</c:f>
              <c:strCache>
                <c:ptCount val="6"/>
                <c:pt idx="0">
                  <c:v>2025-2029</c:v>
                </c:pt>
                <c:pt idx="1">
                  <c:v>2030-2034</c:v>
                </c:pt>
                <c:pt idx="2">
                  <c:v>2035-2039</c:v>
                </c:pt>
                <c:pt idx="3">
                  <c:v>2040-2044</c:v>
                </c:pt>
                <c:pt idx="4">
                  <c:v>2045-2049</c:v>
                </c:pt>
                <c:pt idx="5">
                  <c:v>2050-</c:v>
                </c:pt>
              </c:strCache>
            </c:strRef>
          </c:cat>
          <c:val>
            <c:numRef>
              <c:f>Sheet1!$B$2:$B$7</c:f>
              <c:numCache>
                <c:formatCode>General</c:formatCode>
                <c:ptCount val="6"/>
                <c:pt idx="0">
                  <c:v>0.12101437467957332</c:v>
                </c:pt>
                <c:pt idx="1">
                  <c:v>1.5063465401489395</c:v>
                </c:pt>
                <c:pt idx="2">
                  <c:v>1.7518524316728401</c:v>
                </c:pt>
                <c:pt idx="3">
                  <c:v>1.6880008274673619</c:v>
                </c:pt>
                <c:pt idx="4">
                  <c:v>1.6624759684871648</c:v>
                </c:pt>
                <c:pt idx="5">
                  <c:v>1.6328662665350269</c:v>
                </c:pt>
              </c:numCache>
            </c:numRef>
          </c:val>
          <c:extLst>
            <c:ext xmlns:c16="http://schemas.microsoft.com/office/drawing/2014/chart" uri="{C3380CC4-5D6E-409C-BE32-E72D297353CC}">
              <c16:uniqueId val="{00000000-9440-4704-BC70-97859524CB7A}"/>
            </c:ext>
          </c:extLst>
        </c:ser>
        <c:dLbls>
          <c:showLegendKey val="0"/>
          <c:showVal val="0"/>
          <c:showCatName val="0"/>
          <c:showSerName val="0"/>
          <c:showPercent val="0"/>
          <c:showBubbleSize val="0"/>
        </c:dLbls>
        <c:gapWidth val="100"/>
        <c:axId val="486749784"/>
        <c:axId val="486753744"/>
      </c:barChart>
      <c:catAx>
        <c:axId val="48674978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53744"/>
        <c:crosses val="autoZero"/>
        <c:auto val="1"/>
        <c:lblAlgn val="ctr"/>
        <c:lblOffset val="100"/>
        <c:tickLblSkip val="1"/>
        <c:noMultiLvlLbl val="0"/>
      </c:catAx>
      <c:valAx>
        <c:axId val="48675374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49784"/>
        <c:crosses val="autoZero"/>
        <c:crossBetween val="between"/>
        <c:majorUnit val="0.5"/>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5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140444100929101"/>
          <c:y val="3.3794875986522449E-2"/>
          <c:w val="0.86283065799838532"/>
          <c:h val="0.78896475310828362"/>
        </c:manualLayout>
      </c:layout>
      <c:lineChart>
        <c:grouping val="standard"/>
        <c:varyColors val="0"/>
        <c:ser>
          <c:idx val="0"/>
          <c:order val="0"/>
          <c:tx>
            <c:strRef>
              <c:f>Sheet1!$B$1</c:f>
              <c:strCache>
                <c:ptCount val="1"/>
                <c:pt idx="0">
                  <c:v>Investīcijas</c:v>
                </c:pt>
              </c:strCache>
            </c:strRef>
          </c:tx>
          <c:spPr>
            <a:ln w="47625" cap="rnd">
              <a:solidFill>
                <a:schemeClr val="accent1"/>
              </a:solidFill>
              <a:round/>
            </a:ln>
            <a:effectLst/>
          </c:spPr>
          <c:marker>
            <c:symbol val="none"/>
          </c:marker>
          <c:cat>
            <c:strRef>
              <c:f>Sheet1!$A$2:$A$7</c:f>
              <c:strCache>
                <c:ptCount val="6"/>
                <c:pt idx="0">
                  <c:v>2025-2029</c:v>
                </c:pt>
                <c:pt idx="1">
                  <c:v>2030-2034</c:v>
                </c:pt>
                <c:pt idx="2">
                  <c:v>2035-2039</c:v>
                </c:pt>
                <c:pt idx="3">
                  <c:v>2040-2044</c:v>
                </c:pt>
                <c:pt idx="4">
                  <c:v>2045-2049</c:v>
                </c:pt>
                <c:pt idx="5">
                  <c:v>2050-</c:v>
                </c:pt>
              </c:strCache>
            </c:strRef>
          </c:cat>
          <c:val>
            <c:numRef>
              <c:f>Sheet1!$B$2:$B$7</c:f>
              <c:numCache>
                <c:formatCode>0.00</c:formatCode>
                <c:ptCount val="6"/>
                <c:pt idx="0">
                  <c:v>2.1840602256453323</c:v>
                </c:pt>
                <c:pt idx="1">
                  <c:v>2.2599999999999998</c:v>
                </c:pt>
                <c:pt idx="2">
                  <c:v>2.3507573384053737</c:v>
                </c:pt>
                <c:pt idx="3">
                  <c:v>2.2961401240508383</c:v>
                </c:pt>
                <c:pt idx="4">
                  <c:v>2.2502655115815617</c:v>
                </c:pt>
                <c:pt idx="5">
                  <c:v>2.1898512694871641</c:v>
                </c:pt>
              </c:numCache>
            </c:numRef>
          </c:val>
          <c:smooth val="0"/>
          <c:extLst>
            <c:ext xmlns:c16="http://schemas.microsoft.com/office/drawing/2014/chart" uri="{C3380CC4-5D6E-409C-BE32-E72D297353CC}">
              <c16:uniqueId val="{00000000-EFF1-402F-91D2-8CE8CB78C5D6}"/>
            </c:ext>
          </c:extLst>
        </c:ser>
        <c:ser>
          <c:idx val="1"/>
          <c:order val="1"/>
          <c:tx>
            <c:strRef>
              <c:f>Sheet1!$C$1</c:f>
              <c:strCache>
                <c:ptCount val="1"/>
                <c:pt idx="0">
                  <c:v>Publiskais patēriņš</c:v>
                </c:pt>
              </c:strCache>
            </c:strRef>
          </c:tx>
          <c:spPr>
            <a:ln w="47625" cap="rnd">
              <a:solidFill>
                <a:schemeClr val="accent2"/>
              </a:solidFill>
              <a:round/>
            </a:ln>
            <a:effectLst/>
          </c:spPr>
          <c:marker>
            <c:symbol val="none"/>
          </c:marker>
          <c:cat>
            <c:strRef>
              <c:f>Sheet1!$A$2:$A$7</c:f>
              <c:strCache>
                <c:ptCount val="6"/>
                <c:pt idx="0">
                  <c:v>2025-2029</c:v>
                </c:pt>
                <c:pt idx="1">
                  <c:v>2030-2034</c:v>
                </c:pt>
                <c:pt idx="2">
                  <c:v>2035-2039</c:v>
                </c:pt>
                <c:pt idx="3">
                  <c:v>2040-2044</c:v>
                </c:pt>
                <c:pt idx="4">
                  <c:v>2045-2049</c:v>
                </c:pt>
                <c:pt idx="5">
                  <c:v>2050-</c:v>
                </c:pt>
              </c:strCache>
            </c:strRef>
          </c:cat>
          <c:val>
            <c:numRef>
              <c:f>Sheet1!$C$2:$C$7</c:f>
              <c:numCache>
                <c:formatCode>General</c:formatCode>
                <c:ptCount val="6"/>
                <c:pt idx="0">
                  <c:v>0</c:v>
                </c:pt>
                <c:pt idx="1">
                  <c:v>0</c:v>
                </c:pt>
                <c:pt idx="2">
                  <c:v>0</c:v>
                </c:pt>
                <c:pt idx="3">
                  <c:v>0</c:v>
                </c:pt>
                <c:pt idx="4">
                  <c:v>0</c:v>
                </c:pt>
                <c:pt idx="5">
                  <c:v>0</c:v>
                </c:pt>
              </c:numCache>
            </c:numRef>
          </c:val>
          <c:smooth val="0"/>
          <c:extLst>
            <c:ext xmlns:c16="http://schemas.microsoft.com/office/drawing/2014/chart" uri="{C3380CC4-5D6E-409C-BE32-E72D297353CC}">
              <c16:uniqueId val="{00000001-EFF1-402F-91D2-8CE8CB78C5D6}"/>
            </c:ext>
          </c:extLst>
        </c:ser>
        <c:ser>
          <c:idx val="2"/>
          <c:order val="2"/>
          <c:tx>
            <c:strRef>
              <c:f>Sheet1!$D$1</c:f>
              <c:strCache>
                <c:ptCount val="1"/>
                <c:pt idx="0">
                  <c:v>Privātais patēriņš</c:v>
                </c:pt>
              </c:strCache>
            </c:strRef>
          </c:tx>
          <c:spPr>
            <a:ln w="47625" cap="rnd">
              <a:solidFill>
                <a:schemeClr val="accent3"/>
              </a:solidFill>
              <a:round/>
            </a:ln>
            <a:effectLst/>
          </c:spPr>
          <c:marker>
            <c:symbol val="none"/>
          </c:marker>
          <c:cat>
            <c:strRef>
              <c:f>Sheet1!$A$2:$A$7</c:f>
              <c:strCache>
                <c:ptCount val="6"/>
                <c:pt idx="0">
                  <c:v>2025-2029</c:v>
                </c:pt>
                <c:pt idx="1">
                  <c:v>2030-2034</c:v>
                </c:pt>
                <c:pt idx="2">
                  <c:v>2035-2039</c:v>
                </c:pt>
                <c:pt idx="3">
                  <c:v>2040-2044</c:v>
                </c:pt>
                <c:pt idx="4">
                  <c:v>2045-2049</c:v>
                </c:pt>
                <c:pt idx="5">
                  <c:v>2050-</c:v>
                </c:pt>
              </c:strCache>
            </c:strRef>
          </c:cat>
          <c:val>
            <c:numRef>
              <c:f>Sheet1!$D$2:$D$7</c:f>
              <c:numCache>
                <c:formatCode>0.00</c:formatCode>
                <c:ptCount val="6"/>
                <c:pt idx="0">
                  <c:v>0.25632914380682159</c:v>
                </c:pt>
                <c:pt idx="1">
                  <c:v>2.0163209627897194</c:v>
                </c:pt>
                <c:pt idx="2">
                  <c:v>2.1642670141430509</c:v>
                </c:pt>
                <c:pt idx="3">
                  <c:v>1.8532918610679294</c:v>
                </c:pt>
                <c:pt idx="4">
                  <c:v>1.6923488435849787</c:v>
                </c:pt>
                <c:pt idx="5">
                  <c:v>1.518552332945422</c:v>
                </c:pt>
              </c:numCache>
            </c:numRef>
          </c:val>
          <c:smooth val="0"/>
          <c:extLst>
            <c:ext xmlns:c16="http://schemas.microsoft.com/office/drawing/2014/chart" uri="{C3380CC4-5D6E-409C-BE32-E72D297353CC}">
              <c16:uniqueId val="{00000002-EFF1-402F-91D2-8CE8CB78C5D6}"/>
            </c:ext>
          </c:extLst>
        </c:ser>
        <c:dLbls>
          <c:showLegendKey val="0"/>
          <c:showVal val="0"/>
          <c:showCatName val="0"/>
          <c:showSerName val="0"/>
          <c:showPercent val="0"/>
          <c:showBubbleSize val="0"/>
        </c:dLbls>
        <c:smooth val="0"/>
        <c:axId val="486734304"/>
        <c:axId val="486735744"/>
      </c:lineChart>
      <c:catAx>
        <c:axId val="48673430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35744"/>
        <c:crosses val="autoZero"/>
        <c:auto val="1"/>
        <c:lblAlgn val="ctr"/>
        <c:lblOffset val="100"/>
        <c:tickLblSkip val="1"/>
        <c:noMultiLvlLbl val="0"/>
      </c:catAx>
      <c:valAx>
        <c:axId val="4867357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34304"/>
        <c:crosses val="autoZero"/>
        <c:crossBetween val="between"/>
        <c:majorUnit val="1"/>
      </c:valAx>
      <c:spPr>
        <a:noFill/>
        <a:ln>
          <a:noFill/>
        </a:ln>
        <a:effectLst/>
      </c:spPr>
    </c:plotArea>
    <c:legend>
      <c:legendPos val="b"/>
      <c:layout>
        <c:manualLayout>
          <c:xMode val="edge"/>
          <c:yMode val="edge"/>
          <c:x val="0.35806225142102638"/>
          <c:y val="0.5716364107823777"/>
          <c:w val="0.57535706809654941"/>
          <c:h val="0.20951410770801551"/>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5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5255728169114"/>
          <c:y val="5.2169478815148107E-2"/>
          <c:w val="0.83841222549883976"/>
          <c:h val="0.91682506353372495"/>
        </c:manualLayout>
      </c:layout>
      <c:lineChart>
        <c:grouping val="standard"/>
        <c:varyColors val="0"/>
        <c:ser>
          <c:idx val="0"/>
          <c:order val="0"/>
          <c:tx>
            <c:strRef>
              <c:f>Sheet1!$B$1</c:f>
              <c:strCache>
                <c:ptCount val="1"/>
                <c:pt idx="0">
                  <c:v>Eksports</c:v>
                </c:pt>
              </c:strCache>
            </c:strRef>
          </c:tx>
          <c:spPr>
            <a:ln w="28575" cap="rnd">
              <a:solidFill>
                <a:schemeClr val="accent1"/>
              </a:solidFill>
              <a:round/>
            </a:ln>
            <a:effectLst/>
          </c:spPr>
          <c:marker>
            <c:symbol val="none"/>
          </c:marker>
          <c:cat>
            <c:strRef>
              <c:f>Sheet1!$A$2:$A$7</c:f>
              <c:strCache>
                <c:ptCount val="6"/>
                <c:pt idx="0">
                  <c:v>2025-2029</c:v>
                </c:pt>
                <c:pt idx="1">
                  <c:v>2030-2034</c:v>
                </c:pt>
                <c:pt idx="2">
                  <c:v>2035-2039</c:v>
                </c:pt>
                <c:pt idx="3">
                  <c:v>2040-2044</c:v>
                </c:pt>
                <c:pt idx="4">
                  <c:v>2045-2049</c:v>
                </c:pt>
                <c:pt idx="5">
                  <c:v>2050-</c:v>
                </c:pt>
              </c:strCache>
            </c:strRef>
          </c:cat>
          <c:val>
            <c:numRef>
              <c:f>Sheet1!$B$2:$B$7</c:f>
              <c:numCache>
                <c:formatCode>General</c:formatCode>
                <c:ptCount val="6"/>
                <c:pt idx="0">
                  <c:v>-0.14737883503286309</c:v>
                </c:pt>
                <c:pt idx="1">
                  <c:v>1.1358904470389231</c:v>
                </c:pt>
                <c:pt idx="2">
                  <c:v>1.6787064143737762</c:v>
                </c:pt>
                <c:pt idx="3">
                  <c:v>1.8188600926378307</c:v>
                </c:pt>
                <c:pt idx="4">
                  <c:v>1.909709600513132</c:v>
                </c:pt>
                <c:pt idx="5">
                  <c:v>2.0192260211437718</c:v>
                </c:pt>
              </c:numCache>
            </c:numRef>
          </c:val>
          <c:smooth val="0"/>
          <c:extLst>
            <c:ext xmlns:c16="http://schemas.microsoft.com/office/drawing/2014/chart" uri="{C3380CC4-5D6E-409C-BE32-E72D297353CC}">
              <c16:uniqueId val="{00000000-EF5B-49FC-93CF-8CF18033A4D7}"/>
            </c:ext>
          </c:extLst>
        </c:ser>
        <c:ser>
          <c:idx val="1"/>
          <c:order val="1"/>
          <c:tx>
            <c:strRef>
              <c:f>Sheet1!$C$1</c:f>
              <c:strCache>
                <c:ptCount val="1"/>
                <c:pt idx="0">
                  <c:v>Imports</c:v>
                </c:pt>
              </c:strCache>
            </c:strRef>
          </c:tx>
          <c:spPr>
            <a:ln w="28575" cap="rnd">
              <a:solidFill>
                <a:schemeClr val="accent2"/>
              </a:solidFill>
              <a:round/>
            </a:ln>
            <a:effectLst/>
          </c:spPr>
          <c:marker>
            <c:symbol val="none"/>
          </c:marker>
          <c:cat>
            <c:strRef>
              <c:f>Sheet1!$A$2:$A$7</c:f>
              <c:strCache>
                <c:ptCount val="6"/>
                <c:pt idx="0">
                  <c:v>2025-2029</c:v>
                </c:pt>
                <c:pt idx="1">
                  <c:v>2030-2034</c:v>
                </c:pt>
                <c:pt idx="2">
                  <c:v>2035-2039</c:v>
                </c:pt>
                <c:pt idx="3">
                  <c:v>2040-2044</c:v>
                </c:pt>
                <c:pt idx="4">
                  <c:v>2045-2049</c:v>
                </c:pt>
                <c:pt idx="5">
                  <c:v>2050-</c:v>
                </c:pt>
              </c:strCache>
            </c:strRef>
          </c:cat>
          <c:val>
            <c:numRef>
              <c:f>Sheet1!$C$2:$C$7</c:f>
              <c:numCache>
                <c:formatCode>General</c:formatCode>
                <c:ptCount val="6"/>
                <c:pt idx="0">
                  <c:v>0.66864449497160638</c:v>
                </c:pt>
                <c:pt idx="1">
                  <c:v>1.9655734999907137</c:v>
                </c:pt>
                <c:pt idx="2">
                  <c:v>1.5619935115603889</c:v>
                </c:pt>
                <c:pt idx="3">
                  <c:v>1.4328378760146032</c:v>
                </c:pt>
                <c:pt idx="4">
                  <c:v>1.3724017340439598</c:v>
                </c:pt>
                <c:pt idx="5">
                  <c:v>1.2996569042668771</c:v>
                </c:pt>
              </c:numCache>
            </c:numRef>
          </c:val>
          <c:smooth val="0"/>
          <c:extLst>
            <c:ext xmlns:c16="http://schemas.microsoft.com/office/drawing/2014/chart" uri="{C3380CC4-5D6E-409C-BE32-E72D297353CC}">
              <c16:uniqueId val="{00000001-EF5B-49FC-93CF-8CF18033A4D7}"/>
            </c:ext>
          </c:extLst>
        </c:ser>
        <c:dLbls>
          <c:showLegendKey val="0"/>
          <c:showVal val="0"/>
          <c:showCatName val="0"/>
          <c:showSerName val="0"/>
          <c:showPercent val="0"/>
          <c:showBubbleSize val="0"/>
        </c:dLbls>
        <c:smooth val="0"/>
        <c:axId val="491415192"/>
        <c:axId val="491416272"/>
      </c:lineChart>
      <c:catAx>
        <c:axId val="491415192"/>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491416272"/>
        <c:crosses val="autoZero"/>
        <c:auto val="1"/>
        <c:lblAlgn val="ctr"/>
        <c:lblOffset val="100"/>
        <c:tickLblSkip val="1"/>
        <c:noMultiLvlLbl val="0"/>
      </c:catAx>
      <c:valAx>
        <c:axId val="491416272"/>
        <c:scaling>
          <c:orientation val="minMax"/>
          <c:max val="3"/>
          <c:min val="-1"/>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491415192"/>
        <c:crosses val="autoZero"/>
        <c:crossBetween val="between"/>
        <c:majorUnit val="1"/>
      </c:valAx>
      <c:spPr>
        <a:noFill/>
        <a:ln>
          <a:noFill/>
        </a:ln>
        <a:effectLst/>
      </c:spPr>
    </c:plotArea>
    <c:legend>
      <c:legendPos val="b"/>
      <c:layout>
        <c:manualLayout>
          <c:xMode val="edge"/>
          <c:yMode val="edge"/>
          <c:x val="0.15516965571177194"/>
          <c:y val="0.69796119890608077"/>
          <c:w val="0.78882072173410756"/>
          <c:h val="8.6787484897721118E-2"/>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5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9533383255047"/>
          <c:y val="5.6021139249485707E-2"/>
          <c:w val="0.86714616775020181"/>
          <c:h val="0.77092998510321342"/>
        </c:manualLayout>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Sheet1!$A$2:$A$7</c:f>
              <c:strCache>
                <c:ptCount val="6"/>
                <c:pt idx="0">
                  <c:v>2025-2029</c:v>
                </c:pt>
                <c:pt idx="1">
                  <c:v>2030-2034</c:v>
                </c:pt>
                <c:pt idx="2">
                  <c:v>2035-2039</c:v>
                </c:pt>
                <c:pt idx="3">
                  <c:v>2040-2044</c:v>
                </c:pt>
                <c:pt idx="4">
                  <c:v>2045-2049</c:v>
                </c:pt>
                <c:pt idx="5">
                  <c:v>2050-</c:v>
                </c:pt>
              </c:strCache>
            </c:strRef>
          </c:cat>
          <c:val>
            <c:numRef>
              <c:f>Sheet1!$B$2:$B$7</c:f>
              <c:numCache>
                <c:formatCode>General</c:formatCode>
                <c:ptCount val="6"/>
                <c:pt idx="0">
                  <c:v>-0.40779999999999994</c:v>
                </c:pt>
                <c:pt idx="1">
                  <c:v>-0.44000000000000011</c:v>
                </c:pt>
                <c:pt idx="2">
                  <c:v>5.8000000000000065E-2</c:v>
                </c:pt>
                <c:pt idx="3">
                  <c:v>0.19900000000000023</c:v>
                </c:pt>
                <c:pt idx="4">
                  <c:v>0.27899999999999991</c:v>
                </c:pt>
                <c:pt idx="5">
                  <c:v>0.37800000000000006</c:v>
                </c:pt>
              </c:numCache>
            </c:numRef>
          </c:val>
          <c:extLst>
            <c:ext xmlns:c16="http://schemas.microsoft.com/office/drawing/2014/chart" uri="{C3380CC4-5D6E-409C-BE32-E72D297353CC}">
              <c16:uniqueId val="{00000000-EDEB-488C-AD59-E51F04C26E17}"/>
            </c:ext>
          </c:extLst>
        </c:ser>
        <c:dLbls>
          <c:showLegendKey val="0"/>
          <c:showVal val="0"/>
          <c:showCatName val="0"/>
          <c:showSerName val="0"/>
          <c:showPercent val="0"/>
          <c:showBubbleSize val="0"/>
        </c:dLbls>
        <c:gapWidth val="100"/>
        <c:axId val="486749784"/>
        <c:axId val="486753744"/>
      </c:barChart>
      <c:catAx>
        <c:axId val="48674978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53744"/>
        <c:crosses val="autoZero"/>
        <c:auto val="1"/>
        <c:lblAlgn val="ctr"/>
        <c:lblOffset val="100"/>
        <c:tickLblSkip val="1"/>
        <c:noMultiLvlLbl val="0"/>
      </c:catAx>
      <c:valAx>
        <c:axId val="486753744"/>
        <c:scaling>
          <c:orientation val="minMax"/>
          <c:min val="-0.60000000000000009"/>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49784"/>
        <c:crosses val="autoZero"/>
        <c:crossBetween val="between"/>
        <c:majorUnit val="0.2"/>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5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083989501312337"/>
          <c:y val="4.2507625735972186E-2"/>
          <c:w val="0.86243230996776865"/>
          <c:h val="0.7844434986167268"/>
        </c:manualLayout>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Sheet1!$A$2:$A$7</c:f>
              <c:strCache>
                <c:ptCount val="6"/>
                <c:pt idx="0">
                  <c:v>2025-2029</c:v>
                </c:pt>
                <c:pt idx="1">
                  <c:v>2030-2034</c:v>
                </c:pt>
                <c:pt idx="2">
                  <c:v>2035-2039</c:v>
                </c:pt>
                <c:pt idx="3">
                  <c:v>2040-2044</c:v>
                </c:pt>
                <c:pt idx="4">
                  <c:v>2045-2049</c:v>
                </c:pt>
                <c:pt idx="5">
                  <c:v>2050-</c:v>
                </c:pt>
              </c:strCache>
            </c:strRef>
          </c:cat>
          <c:val>
            <c:numRef>
              <c:f>Sheet1!$B$2:$B$7</c:f>
              <c:numCache>
                <c:formatCode>General</c:formatCode>
                <c:ptCount val="6"/>
                <c:pt idx="0">
                  <c:v>0.1228485342229968</c:v>
                </c:pt>
                <c:pt idx="1">
                  <c:v>0.86120766080801658</c:v>
                </c:pt>
                <c:pt idx="2">
                  <c:v>1.0421058972351016</c:v>
                </c:pt>
                <c:pt idx="3">
                  <c:v>1.019961888100962</c:v>
                </c:pt>
                <c:pt idx="4">
                  <c:v>1.0385056308584328</c:v>
                </c:pt>
                <c:pt idx="5">
                  <c:v>1.0412569994568965</c:v>
                </c:pt>
              </c:numCache>
            </c:numRef>
          </c:val>
          <c:extLst>
            <c:ext xmlns:c16="http://schemas.microsoft.com/office/drawing/2014/chart" uri="{C3380CC4-5D6E-409C-BE32-E72D297353CC}">
              <c16:uniqueId val="{00000000-6E65-4A68-85D6-178CF5FE4BC7}"/>
            </c:ext>
          </c:extLst>
        </c:ser>
        <c:dLbls>
          <c:showLegendKey val="0"/>
          <c:showVal val="0"/>
          <c:showCatName val="0"/>
          <c:showSerName val="0"/>
          <c:showPercent val="0"/>
          <c:showBubbleSize val="0"/>
        </c:dLbls>
        <c:gapWidth val="100"/>
        <c:axId val="486749784"/>
        <c:axId val="486753744"/>
      </c:barChart>
      <c:catAx>
        <c:axId val="48674978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53744"/>
        <c:crosses val="autoZero"/>
        <c:auto val="1"/>
        <c:lblAlgn val="ctr"/>
        <c:lblOffset val="100"/>
        <c:tickLblSkip val="1"/>
        <c:noMultiLvlLbl val="0"/>
      </c:catAx>
      <c:valAx>
        <c:axId val="486753744"/>
        <c:scaling>
          <c:orientation val="minMax"/>
          <c:max val="1.2"/>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49784"/>
        <c:crosses val="autoZero"/>
        <c:crossBetween val="between"/>
        <c:majorUnit val="0.4"/>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5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9533383255047"/>
          <c:y val="5.6021139249485707E-2"/>
          <c:w val="0.86714616775020181"/>
          <c:h val="0.77092998510321342"/>
        </c:manualLayout>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Sheet1!$A$2:$A$7</c:f>
              <c:strCache>
                <c:ptCount val="6"/>
                <c:pt idx="0">
                  <c:v>2025-2029</c:v>
                </c:pt>
                <c:pt idx="1">
                  <c:v>2030-2034</c:v>
                </c:pt>
                <c:pt idx="2">
                  <c:v>2035-2039</c:v>
                </c:pt>
                <c:pt idx="3">
                  <c:v>2040-2044</c:v>
                </c:pt>
                <c:pt idx="4">
                  <c:v>2045-2049</c:v>
                </c:pt>
                <c:pt idx="5">
                  <c:v>2050-</c:v>
                </c:pt>
              </c:strCache>
            </c:strRef>
          </c:cat>
          <c:val>
            <c:numRef>
              <c:f>Sheet1!$B$2:$B$7</c:f>
              <c:numCache>
                <c:formatCode>General</c:formatCode>
                <c:ptCount val="6"/>
                <c:pt idx="0">
                  <c:v>-0.10600000000000054</c:v>
                </c:pt>
                <c:pt idx="1">
                  <c:v>-0.69299999999999917</c:v>
                </c:pt>
                <c:pt idx="2">
                  <c:v>-0.79899999999999971</c:v>
                </c:pt>
                <c:pt idx="3">
                  <c:v>-0.76100000000000056</c:v>
                </c:pt>
                <c:pt idx="4">
                  <c:v>-0.72099999999999942</c:v>
                </c:pt>
                <c:pt idx="5">
                  <c:v>-0.65100000000000158</c:v>
                </c:pt>
              </c:numCache>
            </c:numRef>
          </c:val>
          <c:extLst>
            <c:ext xmlns:c16="http://schemas.microsoft.com/office/drawing/2014/chart" uri="{C3380CC4-5D6E-409C-BE32-E72D297353CC}">
              <c16:uniqueId val="{00000000-7B68-46E0-8C93-71AD8F661927}"/>
            </c:ext>
          </c:extLst>
        </c:ser>
        <c:dLbls>
          <c:showLegendKey val="0"/>
          <c:showVal val="0"/>
          <c:showCatName val="0"/>
          <c:showSerName val="0"/>
          <c:showPercent val="0"/>
          <c:showBubbleSize val="0"/>
        </c:dLbls>
        <c:gapWidth val="100"/>
        <c:axId val="486749784"/>
        <c:axId val="486753744"/>
      </c:barChart>
      <c:catAx>
        <c:axId val="48674978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53744"/>
        <c:crosses val="autoZero"/>
        <c:auto val="1"/>
        <c:lblAlgn val="ctr"/>
        <c:lblOffset val="100"/>
        <c:tickLblSkip val="1"/>
        <c:noMultiLvlLbl val="0"/>
      </c:catAx>
      <c:valAx>
        <c:axId val="486753744"/>
        <c:scaling>
          <c:orientation val="minMax"/>
          <c:max val="0"/>
          <c:min val="-0.9"/>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49784"/>
        <c:crosses val="autoZero"/>
        <c:crossBetween val="between"/>
        <c:majorUnit val="0.30000000000000004"/>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5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9533383255047"/>
          <c:y val="5.6021139249485707E-2"/>
          <c:w val="0.88375048219837071"/>
          <c:h val="0.77092998510321342"/>
        </c:manualLayout>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Sheet1!$A$2:$A$7</c:f>
              <c:strCache>
                <c:ptCount val="6"/>
                <c:pt idx="0">
                  <c:v>2025-2029</c:v>
                </c:pt>
                <c:pt idx="1">
                  <c:v>2030-2034</c:v>
                </c:pt>
                <c:pt idx="2">
                  <c:v>2035-2039</c:v>
                </c:pt>
                <c:pt idx="3">
                  <c:v>2040-2044</c:v>
                </c:pt>
                <c:pt idx="4">
                  <c:v>2045-2049</c:v>
                </c:pt>
                <c:pt idx="5">
                  <c:v>2050-</c:v>
                </c:pt>
              </c:strCache>
            </c:strRef>
          </c:cat>
          <c:val>
            <c:numRef>
              <c:f>Sheet1!$B$2:$B$7</c:f>
              <c:numCache>
                <c:formatCode>General</c:formatCode>
                <c:ptCount val="6"/>
                <c:pt idx="0">
                  <c:v>0.10003731295273877</c:v>
                </c:pt>
                <c:pt idx="1">
                  <c:v>0.23675833934870827</c:v>
                </c:pt>
                <c:pt idx="2">
                  <c:v>0.18565277788438195</c:v>
                </c:pt>
                <c:pt idx="3">
                  <c:v>0.13494875710478027</c:v>
                </c:pt>
                <c:pt idx="4">
                  <c:v>7.7813905890522506E-2</c:v>
                </c:pt>
                <c:pt idx="5">
                  <c:v>2.1811551178885225E-2</c:v>
                </c:pt>
              </c:numCache>
            </c:numRef>
          </c:val>
          <c:extLst>
            <c:ext xmlns:c16="http://schemas.microsoft.com/office/drawing/2014/chart" uri="{C3380CC4-5D6E-409C-BE32-E72D297353CC}">
              <c16:uniqueId val="{00000000-EDA4-486F-92B8-7F967B3ED684}"/>
            </c:ext>
          </c:extLst>
        </c:ser>
        <c:dLbls>
          <c:showLegendKey val="0"/>
          <c:showVal val="0"/>
          <c:showCatName val="0"/>
          <c:showSerName val="0"/>
          <c:showPercent val="0"/>
          <c:showBubbleSize val="0"/>
        </c:dLbls>
        <c:gapWidth val="100"/>
        <c:axId val="486749784"/>
        <c:axId val="486753744"/>
      </c:barChart>
      <c:catAx>
        <c:axId val="48674978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53744"/>
        <c:crosses val="autoZero"/>
        <c:auto val="1"/>
        <c:lblAlgn val="ctr"/>
        <c:lblOffset val="100"/>
        <c:tickLblSkip val="1"/>
        <c:noMultiLvlLbl val="0"/>
      </c:catAx>
      <c:valAx>
        <c:axId val="486753744"/>
        <c:scaling>
          <c:orientation val="minMax"/>
          <c:max val="0.30000000000000004"/>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49784"/>
        <c:crosses val="autoZero"/>
        <c:crossBetween val="between"/>
        <c:majorUnit val="0.1"/>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808132248578487E-2"/>
          <c:y val="4.9535603715170282E-2"/>
          <c:w val="0.90543180055779804"/>
          <c:h val="0.7405852465959295"/>
        </c:manualLayout>
      </c:layout>
      <c:barChart>
        <c:barDir val="col"/>
        <c:grouping val="clustered"/>
        <c:varyColors val="0"/>
        <c:ser>
          <c:idx val="0"/>
          <c:order val="0"/>
          <c:tx>
            <c:strRef>
              <c:f>Sheet1!$B$1</c:f>
              <c:strCache>
                <c:ptCount val="1"/>
                <c:pt idx="0">
                  <c:v>2010</c:v>
                </c:pt>
              </c:strCache>
            </c:strRef>
          </c:tx>
          <c:spPr>
            <a:solidFill>
              <a:schemeClr val="tx2">
                <a:lumMod val="40000"/>
                <a:lumOff val="60000"/>
              </a:schemeClr>
            </a:solidFill>
            <a:ln>
              <a:noFill/>
            </a:ln>
            <a:effectLst/>
          </c:spPr>
          <c:invertIfNegative val="0"/>
          <c:dPt>
            <c:idx val="16"/>
            <c:invertIfNegative val="0"/>
            <c:bubble3D val="0"/>
            <c:spPr>
              <a:solidFill>
                <a:schemeClr val="tx2">
                  <a:lumMod val="60000"/>
                  <a:lumOff val="40000"/>
                </a:schemeClr>
              </a:solidFill>
              <a:ln>
                <a:noFill/>
              </a:ln>
              <a:effectLst/>
            </c:spPr>
            <c:extLst>
              <c:ext xmlns:c16="http://schemas.microsoft.com/office/drawing/2014/chart" uri="{C3380CC4-5D6E-409C-BE32-E72D297353CC}">
                <c16:uniqueId val="{00000001-74BA-4E0D-9BD0-22F03C61654F}"/>
              </c:ext>
            </c:extLst>
          </c:dPt>
          <c:cat>
            <c:strRef>
              <c:f>Sheet1!$A$2:$A$29</c:f>
              <c:strCache>
                <c:ptCount val="28"/>
                <c:pt idx="0">
                  <c:v>Zviedrija</c:v>
                </c:pt>
                <c:pt idx="1">
                  <c:v>Luksemburga</c:v>
                </c:pt>
                <c:pt idx="2">
                  <c:v>Malta</c:v>
                </c:pt>
                <c:pt idx="3">
                  <c:v>Īrija</c:v>
                </c:pt>
                <c:pt idx="4">
                  <c:v>Austrija</c:v>
                </c:pt>
                <c:pt idx="5">
                  <c:v>Francija</c:v>
                </c:pt>
                <c:pt idx="6">
                  <c:v>Beļģija</c:v>
                </c:pt>
                <c:pt idx="7">
                  <c:v>Nīderlande</c:v>
                </c:pt>
                <c:pt idx="8">
                  <c:v>Vācija</c:v>
                </c:pt>
                <c:pt idx="9">
                  <c:v>Itālija</c:v>
                </c:pt>
                <c:pt idx="10">
                  <c:v>Somija</c:v>
                </c:pt>
                <c:pt idx="11">
                  <c:v>Spānija</c:v>
                </c:pt>
                <c:pt idx="12">
                  <c:v>ES - 27</c:v>
                </c:pt>
                <c:pt idx="13">
                  <c:v>Dānija</c:v>
                </c:pt>
                <c:pt idx="14">
                  <c:v>Portugāle</c:v>
                </c:pt>
                <c:pt idx="15">
                  <c:v>Slovēnija</c:v>
                </c:pt>
                <c:pt idx="16">
                  <c:v>Latvija</c:v>
                </c:pt>
                <c:pt idx="17">
                  <c:v>Kipra</c:v>
                </c:pt>
                <c:pt idx="18">
                  <c:v>Horvātija</c:v>
                </c:pt>
                <c:pt idx="19">
                  <c:v>Slovākija</c:v>
                </c:pt>
                <c:pt idx="20">
                  <c:v>Lietuva</c:v>
                </c:pt>
                <c:pt idx="21">
                  <c:v>Ungārija</c:v>
                </c:pt>
                <c:pt idx="22">
                  <c:v>Rumānija</c:v>
                </c:pt>
                <c:pt idx="23">
                  <c:v>Čehija</c:v>
                </c:pt>
                <c:pt idx="24">
                  <c:v>Grieķija</c:v>
                </c:pt>
                <c:pt idx="25">
                  <c:v>Igaunija</c:v>
                </c:pt>
                <c:pt idx="26">
                  <c:v>Polija</c:v>
                </c:pt>
                <c:pt idx="27">
                  <c:v>Bulgārija</c:v>
                </c:pt>
              </c:strCache>
            </c:strRef>
          </c:cat>
          <c:val>
            <c:numRef>
              <c:f>Sheet1!$B$2:$B$29</c:f>
              <c:numCache>
                <c:formatCode>#\ ##0.##</c:formatCode>
                <c:ptCount val="28"/>
                <c:pt idx="0">
                  <c:v>0.17438999999999999</c:v>
                </c:pt>
                <c:pt idx="1">
                  <c:v>0.21964</c:v>
                </c:pt>
                <c:pt idx="2">
                  <c:v>0.48031000000000001</c:v>
                </c:pt>
                <c:pt idx="3">
                  <c:v>0.36054999999999998</c:v>
                </c:pt>
                <c:pt idx="4">
                  <c:v>0.24429000000000001</c:v>
                </c:pt>
                <c:pt idx="5">
                  <c:v>0.22477</c:v>
                </c:pt>
                <c:pt idx="6">
                  <c:v>0.3105</c:v>
                </c:pt>
                <c:pt idx="7">
                  <c:v>0.33272000000000002</c:v>
                </c:pt>
                <c:pt idx="8">
                  <c:v>0.34288000000000002</c:v>
                </c:pt>
                <c:pt idx="9">
                  <c:v>0.28336</c:v>
                </c:pt>
                <c:pt idx="10">
                  <c:v>0.43780000000000002</c:v>
                </c:pt>
                <c:pt idx="11">
                  <c:v>0.28822999999999999</c:v>
                </c:pt>
                <c:pt idx="12">
                  <c:v>0.35925000000000001</c:v>
                </c:pt>
                <c:pt idx="13">
                  <c:v>0.44329000000000002</c:v>
                </c:pt>
                <c:pt idx="14">
                  <c:v>0.38417000000000001</c:v>
                </c:pt>
                <c:pt idx="15">
                  <c:v>0.48074</c:v>
                </c:pt>
                <c:pt idx="16">
                  <c:v>0.71541999999999994</c:v>
                </c:pt>
                <c:pt idx="17">
                  <c:v>0.47417999999999999</c:v>
                </c:pt>
                <c:pt idx="18">
                  <c:v>0.57121</c:v>
                </c:pt>
                <c:pt idx="19">
                  <c:v>0.63192999999999999</c:v>
                </c:pt>
                <c:pt idx="20">
                  <c:v>0.73641000000000001</c:v>
                </c:pt>
                <c:pt idx="21">
                  <c:v>0.65264999999999995</c:v>
                </c:pt>
                <c:pt idx="22">
                  <c:v>0.98458000000000001</c:v>
                </c:pt>
                <c:pt idx="23">
                  <c:v>0.82291000000000003</c:v>
                </c:pt>
                <c:pt idx="24">
                  <c:v>0.56184999999999996</c:v>
                </c:pt>
                <c:pt idx="25">
                  <c:v>1.6834899999999999</c:v>
                </c:pt>
                <c:pt idx="26">
                  <c:v>1.11985</c:v>
                </c:pt>
                <c:pt idx="27">
                  <c:v>1.69797</c:v>
                </c:pt>
              </c:numCache>
            </c:numRef>
          </c:val>
          <c:extLst>
            <c:ext xmlns:c16="http://schemas.microsoft.com/office/drawing/2014/chart" uri="{C3380CC4-5D6E-409C-BE32-E72D297353CC}">
              <c16:uniqueId val="{00000002-74BA-4E0D-9BD0-22F03C61654F}"/>
            </c:ext>
          </c:extLst>
        </c:ser>
        <c:ser>
          <c:idx val="1"/>
          <c:order val="1"/>
          <c:tx>
            <c:strRef>
              <c:f>Sheet1!$C$1</c:f>
              <c:strCache>
                <c:ptCount val="1"/>
                <c:pt idx="0">
                  <c:v>2022</c:v>
                </c:pt>
              </c:strCache>
            </c:strRef>
          </c:tx>
          <c:spPr>
            <a:solidFill>
              <a:schemeClr val="accent2"/>
            </a:solidFill>
            <a:ln>
              <a:noFill/>
            </a:ln>
            <a:effectLst/>
          </c:spPr>
          <c:invertIfNegative val="0"/>
          <c:dPt>
            <c:idx val="16"/>
            <c:invertIfNegative val="0"/>
            <c:bubble3D val="0"/>
            <c:spPr>
              <a:solidFill>
                <a:srgbClr val="C00000"/>
              </a:solidFill>
              <a:ln>
                <a:noFill/>
              </a:ln>
              <a:effectLst/>
            </c:spPr>
            <c:extLst>
              <c:ext xmlns:c16="http://schemas.microsoft.com/office/drawing/2014/chart" uri="{C3380CC4-5D6E-409C-BE32-E72D297353CC}">
                <c16:uniqueId val="{00000004-74BA-4E0D-9BD0-22F03C61654F}"/>
              </c:ext>
            </c:extLst>
          </c:dPt>
          <c:cat>
            <c:strRef>
              <c:f>Sheet1!$A$2:$A$29</c:f>
              <c:strCache>
                <c:ptCount val="28"/>
                <c:pt idx="0">
                  <c:v>Zviedrija</c:v>
                </c:pt>
                <c:pt idx="1">
                  <c:v>Luksemburga</c:v>
                </c:pt>
                <c:pt idx="2">
                  <c:v>Malta</c:v>
                </c:pt>
                <c:pt idx="3">
                  <c:v>Īrija</c:v>
                </c:pt>
                <c:pt idx="4">
                  <c:v>Austrija</c:v>
                </c:pt>
                <c:pt idx="5">
                  <c:v>Francija</c:v>
                </c:pt>
                <c:pt idx="6">
                  <c:v>Beļģija</c:v>
                </c:pt>
                <c:pt idx="7">
                  <c:v>Nīderlande</c:v>
                </c:pt>
                <c:pt idx="8">
                  <c:v>Vācija</c:v>
                </c:pt>
                <c:pt idx="9">
                  <c:v>Itālija</c:v>
                </c:pt>
                <c:pt idx="10">
                  <c:v>Somija</c:v>
                </c:pt>
                <c:pt idx="11">
                  <c:v>Spānija</c:v>
                </c:pt>
                <c:pt idx="12">
                  <c:v>ES - 27</c:v>
                </c:pt>
                <c:pt idx="13">
                  <c:v>Dānija</c:v>
                </c:pt>
                <c:pt idx="14">
                  <c:v>Portugāle</c:v>
                </c:pt>
                <c:pt idx="15">
                  <c:v>Slovēnija</c:v>
                </c:pt>
                <c:pt idx="16">
                  <c:v>Latvija</c:v>
                </c:pt>
                <c:pt idx="17">
                  <c:v>Kipra</c:v>
                </c:pt>
                <c:pt idx="18">
                  <c:v>Horvātija</c:v>
                </c:pt>
                <c:pt idx="19">
                  <c:v>Slovākija</c:v>
                </c:pt>
                <c:pt idx="20">
                  <c:v>Lietuva</c:v>
                </c:pt>
                <c:pt idx="21">
                  <c:v>Ungārija</c:v>
                </c:pt>
                <c:pt idx="22">
                  <c:v>Rumānija</c:v>
                </c:pt>
                <c:pt idx="23">
                  <c:v>Čehija</c:v>
                </c:pt>
                <c:pt idx="24">
                  <c:v>Grieķija</c:v>
                </c:pt>
                <c:pt idx="25">
                  <c:v>Igaunija</c:v>
                </c:pt>
                <c:pt idx="26">
                  <c:v>Polija</c:v>
                </c:pt>
                <c:pt idx="27">
                  <c:v>Bulgārija</c:v>
                </c:pt>
              </c:strCache>
            </c:strRef>
          </c:cat>
          <c:val>
            <c:numRef>
              <c:f>Sheet1!$C$2:$C$29</c:f>
              <c:numCache>
                <c:formatCode>#\ ##0.##</c:formatCode>
                <c:ptCount val="28"/>
                <c:pt idx="0">
                  <c:v>8.3229999999999998E-2</c:v>
                </c:pt>
                <c:pt idx="1">
                  <c:v>0.1119</c:v>
                </c:pt>
                <c:pt idx="2">
                  <c:v>0.12214999999999999</c:v>
                </c:pt>
                <c:pt idx="3">
                  <c:v>0.12808</c:v>
                </c:pt>
                <c:pt idx="4">
                  <c:v>0.13678000000000001</c:v>
                </c:pt>
                <c:pt idx="5">
                  <c:v>0.13991999999999999</c:v>
                </c:pt>
                <c:pt idx="6">
                  <c:v>0.16037999999999999</c:v>
                </c:pt>
                <c:pt idx="7">
                  <c:v>0.16939000000000001</c:v>
                </c:pt>
                <c:pt idx="8">
                  <c:v>0.17649000000000001</c:v>
                </c:pt>
                <c:pt idx="9">
                  <c:v>0.18146000000000001</c:v>
                </c:pt>
                <c:pt idx="10">
                  <c:v>0.18478</c:v>
                </c:pt>
                <c:pt idx="11">
                  <c:v>0.192</c:v>
                </c:pt>
                <c:pt idx="12">
                  <c:v>0.20257</c:v>
                </c:pt>
                <c:pt idx="13">
                  <c:v>0.21782000000000001</c:v>
                </c:pt>
                <c:pt idx="14">
                  <c:v>0.24226</c:v>
                </c:pt>
                <c:pt idx="15">
                  <c:v>0.24646999999999999</c:v>
                </c:pt>
                <c:pt idx="16">
                  <c:v>0.27081</c:v>
                </c:pt>
                <c:pt idx="17">
                  <c:v>0.28536</c:v>
                </c:pt>
                <c:pt idx="18">
                  <c:v>0.31152000000000002</c:v>
                </c:pt>
                <c:pt idx="19">
                  <c:v>0.314</c:v>
                </c:pt>
                <c:pt idx="20">
                  <c:v>0.32175999999999999</c:v>
                </c:pt>
                <c:pt idx="21">
                  <c:v>0.34344000000000002</c:v>
                </c:pt>
                <c:pt idx="22">
                  <c:v>0.34886</c:v>
                </c:pt>
                <c:pt idx="23">
                  <c:v>0.37914999999999999</c:v>
                </c:pt>
                <c:pt idx="24">
                  <c:v>0.42962</c:v>
                </c:pt>
                <c:pt idx="25">
                  <c:v>0.43380999999999997</c:v>
                </c:pt>
                <c:pt idx="26">
                  <c:v>0.60533000000000003</c:v>
                </c:pt>
                <c:pt idx="27">
                  <c:v>0.71765999999999996</c:v>
                </c:pt>
              </c:numCache>
            </c:numRef>
          </c:val>
          <c:extLst>
            <c:ext xmlns:c16="http://schemas.microsoft.com/office/drawing/2014/chart" uri="{C3380CC4-5D6E-409C-BE32-E72D297353CC}">
              <c16:uniqueId val="{00000005-74BA-4E0D-9BD0-22F03C61654F}"/>
            </c:ext>
          </c:extLst>
        </c:ser>
        <c:dLbls>
          <c:showLegendKey val="0"/>
          <c:showVal val="0"/>
          <c:showCatName val="0"/>
          <c:showSerName val="0"/>
          <c:showPercent val="0"/>
          <c:showBubbleSize val="0"/>
        </c:dLbls>
        <c:gapWidth val="24"/>
        <c:overlap val="39"/>
        <c:axId val="1039658751"/>
        <c:axId val="1039679871"/>
      </c:barChart>
      <c:catAx>
        <c:axId val="103965875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800" b="0" i="0" u="none" strike="noStrike" kern="1200" baseline="0">
                <a:solidFill>
                  <a:schemeClr val="tx1">
                    <a:lumMod val="65000"/>
                    <a:lumOff val="35000"/>
                  </a:schemeClr>
                </a:solidFill>
                <a:latin typeface="+mj-lt"/>
                <a:ea typeface="+mn-ea"/>
                <a:cs typeface="+mn-cs"/>
              </a:defRPr>
            </a:pPr>
            <a:endParaRPr lang="en-US"/>
          </a:p>
        </c:txPr>
        <c:crossAx val="1039679871"/>
        <c:crosses val="autoZero"/>
        <c:auto val="1"/>
        <c:lblAlgn val="ctr"/>
        <c:lblOffset val="100"/>
        <c:noMultiLvlLbl val="0"/>
      </c:catAx>
      <c:valAx>
        <c:axId val="1039679871"/>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j-lt"/>
                <a:ea typeface="+mn-ea"/>
                <a:cs typeface="+mn-cs"/>
              </a:defRPr>
            </a:pPr>
            <a:endParaRPr lang="en-US"/>
          </a:p>
        </c:txPr>
        <c:crossAx val="1039658751"/>
        <c:crosses val="autoZero"/>
        <c:crossBetween val="between"/>
        <c:majorUnit val="0.5"/>
      </c:valAx>
      <c:spPr>
        <a:noFill/>
        <a:ln>
          <a:noFill/>
        </a:ln>
        <a:effectLst/>
      </c:spPr>
    </c:plotArea>
    <c:legend>
      <c:legendPos val="b"/>
      <c:layout>
        <c:manualLayout>
          <c:xMode val="edge"/>
          <c:yMode val="edge"/>
          <c:x val="0.21591212708679794"/>
          <c:y val="8.0299122092497052E-2"/>
          <c:w val="0.15753470722810758"/>
          <c:h val="9.6983437415150711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j-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latin typeface="+mj-lt"/>
        </a:defRPr>
      </a:pPr>
      <a:endParaRPr lang="en-US"/>
    </a:p>
  </c:txPr>
  <c:externalData r:id="rId3">
    <c:autoUpdate val="0"/>
  </c:externalData>
</c:chartSpace>
</file>

<file path=word/charts/chart6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9533383255047"/>
          <c:y val="5.6021139249485707E-2"/>
          <c:w val="0.85469286762566887"/>
          <c:h val="0.77092998510321342"/>
        </c:manualLayout>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Sheet1!$A$2:$A$7</c:f>
              <c:strCache>
                <c:ptCount val="6"/>
                <c:pt idx="0">
                  <c:v>2025-2029</c:v>
                </c:pt>
                <c:pt idx="1">
                  <c:v>2030-2034</c:v>
                </c:pt>
                <c:pt idx="2">
                  <c:v>2035-2039</c:v>
                </c:pt>
                <c:pt idx="3">
                  <c:v>2040-2044</c:v>
                </c:pt>
                <c:pt idx="4">
                  <c:v>2045-2049</c:v>
                </c:pt>
                <c:pt idx="5">
                  <c:v>2050-</c:v>
                </c:pt>
              </c:strCache>
            </c:strRef>
          </c:cat>
          <c:val>
            <c:numRef>
              <c:f>Sheet1!$B$2:$B$7</c:f>
              <c:numCache>
                <c:formatCode>General</c:formatCode>
                <c:ptCount val="6"/>
                <c:pt idx="0">
                  <c:v>0.11386201895846604</c:v>
                </c:pt>
                <c:pt idx="1">
                  <c:v>-0.15344692991938746</c:v>
                </c:pt>
                <c:pt idx="2">
                  <c:v>-0.21857451844647935</c:v>
                </c:pt>
                <c:pt idx="3">
                  <c:v>-0.22481170910371162</c:v>
                </c:pt>
                <c:pt idx="4">
                  <c:v>-0.22495805114255418</c:v>
                </c:pt>
                <c:pt idx="5">
                  <c:v>-0.22667149151103239</c:v>
                </c:pt>
              </c:numCache>
            </c:numRef>
          </c:val>
          <c:extLst>
            <c:ext xmlns:c16="http://schemas.microsoft.com/office/drawing/2014/chart" uri="{C3380CC4-5D6E-409C-BE32-E72D297353CC}">
              <c16:uniqueId val="{00000000-184B-432D-862E-056DD08D8969}"/>
            </c:ext>
          </c:extLst>
        </c:ser>
        <c:dLbls>
          <c:showLegendKey val="0"/>
          <c:showVal val="0"/>
          <c:showCatName val="0"/>
          <c:showSerName val="0"/>
          <c:showPercent val="0"/>
          <c:showBubbleSize val="0"/>
        </c:dLbls>
        <c:gapWidth val="100"/>
        <c:axId val="486749784"/>
        <c:axId val="486753744"/>
      </c:barChart>
      <c:catAx>
        <c:axId val="48674978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53744"/>
        <c:crosses val="autoZero"/>
        <c:auto val="1"/>
        <c:lblAlgn val="ctr"/>
        <c:lblOffset val="100"/>
        <c:tickLblSkip val="1"/>
        <c:noMultiLvlLbl val="0"/>
      </c:catAx>
      <c:valAx>
        <c:axId val="48675374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49784"/>
        <c:crosses val="autoZero"/>
        <c:crossBetween val="between"/>
        <c:majorUnit val="0.2"/>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6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5966081162931552E-2"/>
          <c:y val="3.130358705161855E-2"/>
          <c:w val="0.84795759753331801"/>
          <c:h val="0.80452183861632676"/>
        </c:manualLayout>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Sheet1!$A$2:$A$7</c:f>
              <c:strCache>
                <c:ptCount val="6"/>
                <c:pt idx="0">
                  <c:v>2025-2029</c:v>
                </c:pt>
                <c:pt idx="1">
                  <c:v>2030-2034</c:v>
                </c:pt>
                <c:pt idx="2">
                  <c:v>2035-2039</c:v>
                </c:pt>
                <c:pt idx="3">
                  <c:v>2040-2044</c:v>
                </c:pt>
                <c:pt idx="4">
                  <c:v>2045-2049</c:v>
                </c:pt>
                <c:pt idx="5">
                  <c:v>2050-</c:v>
                </c:pt>
              </c:strCache>
            </c:strRef>
          </c:cat>
          <c:val>
            <c:numRef>
              <c:f>Sheet1!$B$2:$B$7</c:f>
              <c:numCache>
                <c:formatCode>General</c:formatCode>
                <c:ptCount val="6"/>
                <c:pt idx="0">
                  <c:v>0.26839737545183429</c:v>
                </c:pt>
                <c:pt idx="1">
                  <c:v>1.268940351427883</c:v>
                </c:pt>
                <c:pt idx="2">
                  <c:v>1.369883073048217</c:v>
                </c:pt>
                <c:pt idx="3">
                  <c:v>1.237947431951758</c:v>
                </c:pt>
                <c:pt idx="4">
                  <c:v>1.1734286162909502</c:v>
                </c:pt>
                <c:pt idx="5">
                  <c:v>1.0968800444573823</c:v>
                </c:pt>
              </c:numCache>
            </c:numRef>
          </c:val>
          <c:extLst>
            <c:ext xmlns:c16="http://schemas.microsoft.com/office/drawing/2014/chart" uri="{C3380CC4-5D6E-409C-BE32-E72D297353CC}">
              <c16:uniqueId val="{00000000-0FDC-4F3D-9C11-FEE187408CEE}"/>
            </c:ext>
          </c:extLst>
        </c:ser>
        <c:dLbls>
          <c:showLegendKey val="0"/>
          <c:showVal val="0"/>
          <c:showCatName val="0"/>
          <c:showSerName val="0"/>
          <c:showPercent val="0"/>
          <c:showBubbleSize val="0"/>
        </c:dLbls>
        <c:gapWidth val="100"/>
        <c:overlap val="-27"/>
        <c:axId val="486749784"/>
        <c:axId val="486753744"/>
      </c:barChart>
      <c:catAx>
        <c:axId val="48674978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53744"/>
        <c:crosses val="autoZero"/>
        <c:auto val="1"/>
        <c:lblAlgn val="ctr"/>
        <c:lblOffset val="100"/>
        <c:tickLblSkip val="1"/>
        <c:noMultiLvlLbl val="0"/>
      </c:catAx>
      <c:valAx>
        <c:axId val="486753744"/>
        <c:scaling>
          <c:orientation val="minMax"/>
          <c:max val="1.5"/>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49784"/>
        <c:crosses val="autoZero"/>
        <c:crossBetween val="between"/>
        <c:majorUnit val="0.5"/>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6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970638321517405"/>
          <c:y val="5.1677313920665574E-2"/>
          <c:w val="0.85742278790493642"/>
          <c:h val="0.74078246488781374"/>
        </c:manualLayout>
      </c:layout>
      <c:lineChart>
        <c:grouping val="standard"/>
        <c:varyColors val="0"/>
        <c:ser>
          <c:idx val="0"/>
          <c:order val="0"/>
          <c:tx>
            <c:strRef>
              <c:f>Sheet1!$B$1</c:f>
              <c:strCache>
                <c:ptCount val="1"/>
                <c:pt idx="0">
                  <c:v>PVN</c:v>
                </c:pt>
              </c:strCache>
            </c:strRef>
          </c:tx>
          <c:spPr>
            <a:ln w="47625" cap="rnd">
              <a:solidFill>
                <a:schemeClr val="accent1"/>
              </a:solidFill>
              <a:round/>
            </a:ln>
            <a:effectLst/>
          </c:spPr>
          <c:marker>
            <c:symbol val="none"/>
          </c:marker>
          <c:cat>
            <c:strRef>
              <c:f>Sheet1!$A$2:$A$7</c:f>
              <c:strCache>
                <c:ptCount val="6"/>
                <c:pt idx="0">
                  <c:v>2025-2029</c:v>
                </c:pt>
                <c:pt idx="1">
                  <c:v>2030-2034</c:v>
                </c:pt>
                <c:pt idx="2">
                  <c:v>2035-2039</c:v>
                </c:pt>
                <c:pt idx="3">
                  <c:v>2040-2044</c:v>
                </c:pt>
                <c:pt idx="4">
                  <c:v>2045-2049</c:v>
                </c:pt>
                <c:pt idx="5">
                  <c:v>2050-</c:v>
                </c:pt>
              </c:strCache>
            </c:strRef>
          </c:cat>
          <c:val>
            <c:numRef>
              <c:f>Sheet1!$B$2:$B$7</c:f>
              <c:numCache>
                <c:formatCode>General</c:formatCode>
                <c:ptCount val="6"/>
                <c:pt idx="0">
                  <c:v>0.32308032750607563</c:v>
                </c:pt>
                <c:pt idx="1">
                  <c:v>1.6954529692560838</c:v>
                </c:pt>
                <c:pt idx="2">
                  <c:v>1.7630313144203491</c:v>
                </c:pt>
                <c:pt idx="3">
                  <c:v>1.4740975074769791</c:v>
                </c:pt>
                <c:pt idx="4">
                  <c:v>1.3286629142880146</c:v>
                </c:pt>
                <c:pt idx="5">
                  <c:v>1.1699682720468507</c:v>
                </c:pt>
              </c:numCache>
            </c:numRef>
          </c:val>
          <c:smooth val="0"/>
          <c:extLst>
            <c:ext xmlns:c16="http://schemas.microsoft.com/office/drawing/2014/chart" uri="{C3380CC4-5D6E-409C-BE32-E72D297353CC}">
              <c16:uniqueId val="{00000000-EE5D-4E7E-BB20-7A72930B5322}"/>
            </c:ext>
          </c:extLst>
        </c:ser>
        <c:ser>
          <c:idx val="1"/>
          <c:order val="1"/>
          <c:tx>
            <c:strRef>
              <c:f>Sheet1!$C$1</c:f>
              <c:strCache>
                <c:ptCount val="1"/>
                <c:pt idx="0">
                  <c:v>Tiešie nodokļi</c:v>
                </c:pt>
              </c:strCache>
            </c:strRef>
          </c:tx>
          <c:spPr>
            <a:ln w="47625" cap="rnd">
              <a:solidFill>
                <a:schemeClr val="accent2"/>
              </a:solidFill>
              <a:round/>
            </a:ln>
            <a:effectLst/>
          </c:spPr>
          <c:marker>
            <c:symbol val="none"/>
          </c:marker>
          <c:cat>
            <c:strRef>
              <c:f>Sheet1!$A$2:$A$7</c:f>
              <c:strCache>
                <c:ptCount val="6"/>
                <c:pt idx="0">
                  <c:v>2025-2029</c:v>
                </c:pt>
                <c:pt idx="1">
                  <c:v>2030-2034</c:v>
                </c:pt>
                <c:pt idx="2">
                  <c:v>2035-2039</c:v>
                </c:pt>
                <c:pt idx="3">
                  <c:v>2040-2044</c:v>
                </c:pt>
                <c:pt idx="4">
                  <c:v>2045-2049</c:v>
                </c:pt>
                <c:pt idx="5">
                  <c:v>2050-</c:v>
                </c:pt>
              </c:strCache>
            </c:strRef>
          </c:cat>
          <c:val>
            <c:numRef>
              <c:f>Sheet1!$C$2:$C$7</c:f>
              <c:numCache>
                <c:formatCode>General</c:formatCode>
                <c:ptCount val="6"/>
                <c:pt idx="0">
                  <c:v>0.32180179785294971</c:v>
                </c:pt>
                <c:pt idx="1">
                  <c:v>1.1065596620631002</c:v>
                </c:pt>
                <c:pt idx="2">
                  <c:v>1.2151123308190792</c:v>
                </c:pt>
                <c:pt idx="3">
                  <c:v>1.1446908376838039</c:v>
                </c:pt>
                <c:pt idx="4">
                  <c:v>1.1101863199355133</c:v>
                </c:pt>
                <c:pt idx="5">
                  <c:v>1.0623154572592997</c:v>
                </c:pt>
              </c:numCache>
            </c:numRef>
          </c:val>
          <c:smooth val="0"/>
          <c:extLst>
            <c:ext xmlns:c16="http://schemas.microsoft.com/office/drawing/2014/chart" uri="{C3380CC4-5D6E-409C-BE32-E72D297353CC}">
              <c16:uniqueId val="{00000001-EE5D-4E7E-BB20-7A72930B5322}"/>
            </c:ext>
          </c:extLst>
        </c:ser>
        <c:ser>
          <c:idx val="2"/>
          <c:order val="2"/>
          <c:tx>
            <c:strRef>
              <c:f>Sheet1!$D$1</c:f>
              <c:strCache>
                <c:ptCount val="1"/>
                <c:pt idx="0">
                  <c:v>VSAOI</c:v>
                </c:pt>
              </c:strCache>
            </c:strRef>
          </c:tx>
          <c:spPr>
            <a:ln w="47625" cap="rnd">
              <a:solidFill>
                <a:schemeClr val="accent3"/>
              </a:solidFill>
              <a:round/>
            </a:ln>
            <a:effectLst/>
          </c:spPr>
          <c:marker>
            <c:symbol val="none"/>
          </c:marker>
          <c:cat>
            <c:strRef>
              <c:f>Sheet1!$A$2:$A$7</c:f>
              <c:strCache>
                <c:ptCount val="6"/>
                <c:pt idx="0">
                  <c:v>2025-2029</c:v>
                </c:pt>
                <c:pt idx="1">
                  <c:v>2030-2034</c:v>
                </c:pt>
                <c:pt idx="2">
                  <c:v>2035-2039</c:v>
                </c:pt>
                <c:pt idx="3">
                  <c:v>2040-2044</c:v>
                </c:pt>
                <c:pt idx="4">
                  <c:v>2045-2049</c:v>
                </c:pt>
                <c:pt idx="5">
                  <c:v>2050-</c:v>
                </c:pt>
              </c:strCache>
            </c:strRef>
          </c:cat>
          <c:val>
            <c:numRef>
              <c:f>Sheet1!$D$2:$D$7</c:f>
              <c:numCache>
                <c:formatCode>General</c:formatCode>
                <c:ptCount val="6"/>
                <c:pt idx="0">
                  <c:v>0.33706601721805729</c:v>
                </c:pt>
                <c:pt idx="1">
                  <c:v>0.9438588795434022</c:v>
                </c:pt>
                <c:pt idx="2">
                  <c:v>1.0075456612447686</c:v>
                </c:pt>
                <c:pt idx="3">
                  <c:v>0.92889975445940021</c:v>
                </c:pt>
                <c:pt idx="4">
                  <c:v>0.89057118721165285</c:v>
                </c:pt>
                <c:pt idx="5">
                  <c:v>0.83470065540134364</c:v>
                </c:pt>
              </c:numCache>
            </c:numRef>
          </c:val>
          <c:smooth val="0"/>
          <c:extLst>
            <c:ext xmlns:c16="http://schemas.microsoft.com/office/drawing/2014/chart" uri="{C3380CC4-5D6E-409C-BE32-E72D297353CC}">
              <c16:uniqueId val="{00000002-EE5D-4E7E-BB20-7A72930B5322}"/>
            </c:ext>
          </c:extLst>
        </c:ser>
        <c:dLbls>
          <c:showLegendKey val="0"/>
          <c:showVal val="0"/>
          <c:showCatName val="0"/>
          <c:showSerName val="0"/>
          <c:showPercent val="0"/>
          <c:showBubbleSize val="0"/>
        </c:dLbls>
        <c:smooth val="0"/>
        <c:axId val="317965248"/>
        <c:axId val="317960208"/>
      </c:lineChart>
      <c:catAx>
        <c:axId val="317965248"/>
        <c:scaling>
          <c:orientation val="minMax"/>
        </c:scaling>
        <c:delete val="0"/>
        <c:axPos val="b"/>
        <c:numFmt formatCode="0" sourceLinked="0"/>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317960208"/>
        <c:crosses val="autoZero"/>
        <c:auto val="1"/>
        <c:lblAlgn val="ctr"/>
        <c:lblOffset val="100"/>
        <c:tickLblSkip val="1"/>
        <c:noMultiLvlLbl val="0"/>
      </c:catAx>
      <c:valAx>
        <c:axId val="31796020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317965248"/>
        <c:crosses val="autoZero"/>
        <c:crossBetween val="between"/>
        <c:majorUnit val="0.5"/>
      </c:valAx>
      <c:spPr>
        <a:noFill/>
        <a:ln>
          <a:noFill/>
        </a:ln>
        <a:effectLst/>
      </c:spPr>
    </c:plotArea>
    <c:legend>
      <c:legendPos val="b"/>
      <c:layout>
        <c:manualLayout>
          <c:xMode val="edge"/>
          <c:yMode val="edge"/>
          <c:x val="0.11638409769140001"/>
          <c:y val="0.66965714113727548"/>
          <c:w val="0.84591933791588625"/>
          <c:h val="0.12398391394842181"/>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6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7306019532657518E-2"/>
          <c:y val="3.8807549832421941E-2"/>
          <c:w val="0.95439264187649475"/>
          <c:h val="0.67288013411800329"/>
        </c:manualLayout>
      </c:layout>
      <c:barChart>
        <c:barDir val="col"/>
        <c:grouping val="clustered"/>
        <c:varyColors val="0"/>
        <c:ser>
          <c:idx val="0"/>
          <c:order val="0"/>
          <c:tx>
            <c:strRef>
              <c:f>Sheet1!$B$1</c:f>
              <c:strCache>
                <c:ptCount val="1"/>
                <c:pt idx="0">
                  <c:v>2035</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dPt>
            <c:idx val="1"/>
            <c:invertIfNegative val="0"/>
            <c:bubble3D val="0"/>
            <c:spPr>
              <a:pattFill prst="narHorz">
                <a:fgClr>
                  <a:schemeClr val="accent2"/>
                </a:fgClr>
                <a:bgClr>
                  <a:schemeClr val="accent2">
                    <a:lumMod val="20000"/>
                    <a:lumOff val="80000"/>
                  </a:schemeClr>
                </a:bgClr>
              </a:pattFill>
              <a:ln>
                <a:noFill/>
              </a:ln>
              <a:effectLst>
                <a:innerShdw blurRad="114300">
                  <a:schemeClr val="accent2"/>
                </a:innerShdw>
              </a:effectLst>
            </c:spPr>
            <c:extLst>
              <c:ext xmlns:c16="http://schemas.microsoft.com/office/drawing/2014/chart" uri="{C3380CC4-5D6E-409C-BE32-E72D297353CC}">
                <c16:uniqueId val="{00000001-5BA0-45A4-82AA-46C389AB939E}"/>
              </c:ext>
            </c:extLst>
          </c:dPt>
          <c:cat>
            <c:strRef>
              <c:f>Sheet1!$A$2:$A$25</c:f>
              <c:strCache>
                <c:ptCount val="24"/>
                <c:pt idx="0">
                  <c:v>Elektronika un optika</c:v>
                </c:pt>
                <c:pt idx="1">
                  <c:v>Cita rūpniecība</c:v>
                </c:pt>
                <c:pt idx="2">
                  <c:v>Privātie pakalpojumi</c:v>
                </c:pt>
                <c:pt idx="3">
                  <c:v>Būvniecība</c:v>
                </c:pt>
                <c:pt idx="4">
                  <c:v>Elektriskās iekārtas</c:v>
                </c:pt>
                <c:pt idx="5">
                  <c:v>Kokrūpniecība</c:v>
                </c:pt>
                <c:pt idx="6">
                  <c:v>Lauksaimniecība</c:v>
                </c:pt>
                <c:pt idx="7">
                  <c:v>Metālizstrādājumi</c:v>
                </c:pt>
                <c:pt idx="8">
                  <c:v>Ūdens transports</c:v>
                </c:pt>
                <c:pt idx="9">
                  <c:v>Elektrības ražošana</c:v>
                </c:pt>
                <c:pt idx="10">
                  <c:v>Farmācija</c:v>
                </c:pt>
                <c:pt idx="11">
                  <c:v>Uzglabāšana</c:v>
                </c:pt>
                <c:pt idx="12">
                  <c:v>Gaisa transports</c:v>
                </c:pt>
                <c:pt idx="13">
                  <c:v>Sauszemes transports</c:v>
                </c:pt>
                <c:pt idx="14">
                  <c:v>Pārtika un dzērieni</c:v>
                </c:pt>
                <c:pt idx="15">
                  <c:v>Tekstils</c:v>
                </c:pt>
                <c:pt idx="16">
                  <c:v>Transportlīdzekļi</c:v>
                </c:pt>
                <c:pt idx="17">
                  <c:v>Mašīnbūve</c:v>
                </c:pt>
                <c:pt idx="18">
                  <c:v>Metāli</c:v>
                </c:pt>
                <c:pt idx="19">
                  <c:v>Papīrs un poligrāfija</c:v>
                </c:pt>
                <c:pt idx="20">
                  <c:v>Ķīmijas produkti</c:v>
                </c:pt>
                <c:pt idx="21">
                  <c:v>Nemetāliskie minerāli</c:v>
                </c:pt>
                <c:pt idx="22">
                  <c:v>Gumija un plastmasa</c:v>
                </c:pt>
                <c:pt idx="23">
                  <c:v>Publiskie pakalpojumi</c:v>
                </c:pt>
              </c:strCache>
            </c:strRef>
          </c:cat>
          <c:val>
            <c:numRef>
              <c:f>Sheet1!$B$2:$B$25</c:f>
              <c:numCache>
                <c:formatCode>General</c:formatCode>
                <c:ptCount val="24"/>
                <c:pt idx="0">
                  <c:v>2.3490721165139838</c:v>
                </c:pt>
                <c:pt idx="1">
                  <c:v>1.9463776383342957</c:v>
                </c:pt>
                <c:pt idx="2">
                  <c:v>1.7985532615635069</c:v>
                </c:pt>
                <c:pt idx="3">
                  <c:v>1.5928268865310624</c:v>
                </c:pt>
                <c:pt idx="4">
                  <c:v>1.5397082658022754</c:v>
                </c:pt>
                <c:pt idx="5">
                  <c:v>1.5322795002892686</c:v>
                </c:pt>
                <c:pt idx="6">
                  <c:v>1.5204199904547799</c:v>
                </c:pt>
                <c:pt idx="7">
                  <c:v>1.4359764639955142</c:v>
                </c:pt>
                <c:pt idx="8">
                  <c:v>1.4212947748932114</c:v>
                </c:pt>
                <c:pt idx="9">
                  <c:v>1.3820094172322994</c:v>
                </c:pt>
                <c:pt idx="10">
                  <c:v>1.3739745214433219</c:v>
                </c:pt>
                <c:pt idx="11">
                  <c:v>1.3616480880485504</c:v>
                </c:pt>
                <c:pt idx="12">
                  <c:v>1.1878247958426069</c:v>
                </c:pt>
                <c:pt idx="13">
                  <c:v>1.1345486589194209</c:v>
                </c:pt>
                <c:pt idx="14">
                  <c:v>1.1004788343019323</c:v>
                </c:pt>
                <c:pt idx="15">
                  <c:v>1.0932695592757113</c:v>
                </c:pt>
                <c:pt idx="16">
                  <c:v>1.0474816533902143</c:v>
                </c:pt>
                <c:pt idx="17">
                  <c:v>1.0321797207043071</c:v>
                </c:pt>
                <c:pt idx="18">
                  <c:v>0.99688473520249676</c:v>
                </c:pt>
                <c:pt idx="19">
                  <c:v>0.97483862468712434</c:v>
                </c:pt>
                <c:pt idx="20">
                  <c:v>0.88909327814823413</c:v>
                </c:pt>
                <c:pt idx="21">
                  <c:v>0.86021505376343566</c:v>
                </c:pt>
                <c:pt idx="22">
                  <c:v>0.80593849416754626</c:v>
                </c:pt>
                <c:pt idx="23">
                  <c:v>0.10560144165789875</c:v>
                </c:pt>
              </c:numCache>
            </c:numRef>
          </c:val>
          <c:extLst>
            <c:ext xmlns:c16="http://schemas.microsoft.com/office/drawing/2014/chart" uri="{C3380CC4-5D6E-409C-BE32-E72D297353CC}">
              <c16:uniqueId val="{00000002-5BA0-45A4-82AA-46C389AB939E}"/>
            </c:ext>
          </c:extLst>
        </c:ser>
        <c:dLbls>
          <c:showLegendKey val="0"/>
          <c:showVal val="0"/>
          <c:showCatName val="0"/>
          <c:showSerName val="0"/>
          <c:showPercent val="0"/>
          <c:showBubbleSize val="0"/>
        </c:dLbls>
        <c:gapWidth val="80"/>
        <c:axId val="314997208"/>
        <c:axId val="315001528"/>
      </c:barChart>
      <c:catAx>
        <c:axId val="314997208"/>
        <c:scaling>
          <c:orientation val="minMax"/>
        </c:scaling>
        <c:delete val="0"/>
        <c:axPos val="b"/>
        <c:numFmt formatCode="General" sourceLinked="1"/>
        <c:majorTickMark val="none"/>
        <c:minorTickMark val="none"/>
        <c:tickLblPos val="nextTo"/>
        <c:spPr>
          <a:noFill/>
          <a:ln w="6350" cap="flat" cmpd="sng" algn="ctr">
            <a:solidFill>
              <a:schemeClr val="tx1">
                <a:lumMod val="25000"/>
                <a:lumOff val="75000"/>
              </a:schemeClr>
            </a:solidFill>
            <a:round/>
          </a:ln>
          <a:effectLst/>
        </c:spPr>
        <c:txPr>
          <a:bodyPr rot="-540000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315001528"/>
        <c:crosses val="autoZero"/>
        <c:auto val="1"/>
        <c:lblAlgn val="ctr"/>
        <c:lblOffset val="100"/>
        <c:noMultiLvlLbl val="0"/>
      </c:catAx>
      <c:valAx>
        <c:axId val="315001528"/>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314997208"/>
        <c:crosses val="autoZero"/>
        <c:crossBetween val="between"/>
        <c:majorUnit val="1"/>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6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083989501312337"/>
          <c:y val="4.2507625735972186E-2"/>
          <c:w val="0.86243230996776865"/>
          <c:h val="0.7844434986167268"/>
        </c:manualLayout>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Sheet1!$A$2:$A$7</c:f>
              <c:strCache>
                <c:ptCount val="6"/>
                <c:pt idx="0">
                  <c:v>2025-2029</c:v>
                </c:pt>
                <c:pt idx="1">
                  <c:v>2030-2034</c:v>
                </c:pt>
                <c:pt idx="2">
                  <c:v>2035-2039</c:v>
                </c:pt>
                <c:pt idx="3">
                  <c:v>2040-2044</c:v>
                </c:pt>
                <c:pt idx="4">
                  <c:v>2045-2049</c:v>
                </c:pt>
                <c:pt idx="5">
                  <c:v>2050-</c:v>
                </c:pt>
              </c:strCache>
            </c:strRef>
          </c:cat>
          <c:val>
            <c:numRef>
              <c:f>Sheet1!$B$2:$B$7</c:f>
              <c:numCache>
                <c:formatCode>General</c:formatCode>
                <c:ptCount val="6"/>
                <c:pt idx="0">
                  <c:v>8.2578188117010676E-2</c:v>
                </c:pt>
                <c:pt idx="1">
                  <c:v>0.33273906654991414</c:v>
                </c:pt>
                <c:pt idx="2">
                  <c:v>0.3275329053329612</c:v>
                </c:pt>
                <c:pt idx="3">
                  <c:v>0.31734513288750321</c:v>
                </c:pt>
                <c:pt idx="4">
                  <c:v>0.31587005164959159</c:v>
                </c:pt>
                <c:pt idx="5">
                  <c:v>0.31167371149842804</c:v>
                </c:pt>
              </c:numCache>
            </c:numRef>
          </c:val>
          <c:extLst>
            <c:ext xmlns:c16="http://schemas.microsoft.com/office/drawing/2014/chart" uri="{C3380CC4-5D6E-409C-BE32-E72D297353CC}">
              <c16:uniqueId val="{00000000-DDB5-4B76-A136-2C1EEBE76199}"/>
            </c:ext>
          </c:extLst>
        </c:ser>
        <c:dLbls>
          <c:showLegendKey val="0"/>
          <c:showVal val="0"/>
          <c:showCatName val="0"/>
          <c:showSerName val="0"/>
          <c:showPercent val="0"/>
          <c:showBubbleSize val="0"/>
        </c:dLbls>
        <c:gapWidth val="100"/>
        <c:axId val="486749784"/>
        <c:axId val="486753744"/>
      </c:barChart>
      <c:catAx>
        <c:axId val="48674978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53744"/>
        <c:crosses val="autoZero"/>
        <c:auto val="1"/>
        <c:lblAlgn val="ctr"/>
        <c:lblOffset val="100"/>
        <c:tickLblSkip val="1"/>
        <c:noMultiLvlLbl val="0"/>
      </c:catAx>
      <c:valAx>
        <c:axId val="486753744"/>
        <c:scaling>
          <c:orientation val="minMax"/>
          <c:max val="0.4"/>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49784"/>
        <c:crosses val="autoZero"/>
        <c:crossBetween val="between"/>
        <c:majorUnit val="0.1"/>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6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140444100929101"/>
          <c:y val="3.3794875986522449E-2"/>
          <c:w val="0.85452845791536314"/>
          <c:h val="0.78896475310828362"/>
        </c:manualLayout>
      </c:layout>
      <c:lineChart>
        <c:grouping val="standard"/>
        <c:varyColors val="0"/>
        <c:ser>
          <c:idx val="0"/>
          <c:order val="0"/>
          <c:tx>
            <c:strRef>
              <c:f>Sheet1!$B$1</c:f>
              <c:strCache>
                <c:ptCount val="1"/>
                <c:pt idx="0">
                  <c:v>Investīcijas</c:v>
                </c:pt>
              </c:strCache>
            </c:strRef>
          </c:tx>
          <c:spPr>
            <a:ln w="47625" cap="rnd">
              <a:solidFill>
                <a:schemeClr val="accent1"/>
              </a:solidFill>
              <a:round/>
            </a:ln>
            <a:effectLst/>
          </c:spPr>
          <c:marker>
            <c:symbol val="none"/>
          </c:marker>
          <c:cat>
            <c:strRef>
              <c:f>Sheet1!$A$2:$A$7</c:f>
              <c:strCache>
                <c:ptCount val="6"/>
                <c:pt idx="0">
                  <c:v>2025-2029</c:v>
                </c:pt>
                <c:pt idx="1">
                  <c:v>2030-2034</c:v>
                </c:pt>
                <c:pt idx="2">
                  <c:v>2035-2039</c:v>
                </c:pt>
                <c:pt idx="3">
                  <c:v>2040-2044</c:v>
                </c:pt>
                <c:pt idx="4">
                  <c:v>2045-2049</c:v>
                </c:pt>
                <c:pt idx="5">
                  <c:v>2050-</c:v>
                </c:pt>
              </c:strCache>
            </c:strRef>
          </c:cat>
          <c:val>
            <c:numRef>
              <c:f>Sheet1!$B$2:$B$7</c:f>
              <c:numCache>
                <c:formatCode>General</c:formatCode>
                <c:ptCount val="6"/>
                <c:pt idx="0">
                  <c:v>0.21829170136211662</c:v>
                </c:pt>
                <c:pt idx="1">
                  <c:v>0.17146926612128244</c:v>
                </c:pt>
                <c:pt idx="2">
                  <c:v>0.14667106587444856</c:v>
                </c:pt>
                <c:pt idx="3">
                  <c:v>0.14520753903830563</c:v>
                </c:pt>
                <c:pt idx="4">
                  <c:v>0.14789653386697577</c:v>
                </c:pt>
                <c:pt idx="5">
                  <c:v>0.1540850979745878</c:v>
                </c:pt>
              </c:numCache>
            </c:numRef>
          </c:val>
          <c:smooth val="0"/>
          <c:extLst>
            <c:ext xmlns:c16="http://schemas.microsoft.com/office/drawing/2014/chart" uri="{C3380CC4-5D6E-409C-BE32-E72D297353CC}">
              <c16:uniqueId val="{00000000-D091-4F26-91CE-180DF8F70018}"/>
            </c:ext>
          </c:extLst>
        </c:ser>
        <c:ser>
          <c:idx val="1"/>
          <c:order val="1"/>
          <c:tx>
            <c:strRef>
              <c:f>Sheet1!$C$1</c:f>
              <c:strCache>
                <c:ptCount val="1"/>
                <c:pt idx="0">
                  <c:v>Publiskais patēriņš</c:v>
                </c:pt>
              </c:strCache>
            </c:strRef>
          </c:tx>
          <c:spPr>
            <a:ln w="47625" cap="rnd">
              <a:solidFill>
                <a:schemeClr val="accent2"/>
              </a:solidFill>
              <a:round/>
            </a:ln>
            <a:effectLst/>
          </c:spPr>
          <c:marker>
            <c:symbol val="none"/>
          </c:marker>
          <c:cat>
            <c:strRef>
              <c:f>Sheet1!$A$2:$A$7</c:f>
              <c:strCache>
                <c:ptCount val="6"/>
                <c:pt idx="0">
                  <c:v>2025-2029</c:v>
                </c:pt>
                <c:pt idx="1">
                  <c:v>2030-2034</c:v>
                </c:pt>
                <c:pt idx="2">
                  <c:v>2035-2039</c:v>
                </c:pt>
                <c:pt idx="3">
                  <c:v>2040-2044</c:v>
                </c:pt>
                <c:pt idx="4">
                  <c:v>2045-2049</c:v>
                </c:pt>
                <c:pt idx="5">
                  <c:v>2050-</c:v>
                </c:pt>
              </c:strCache>
            </c:strRef>
          </c:cat>
          <c:val>
            <c:numRef>
              <c:f>Sheet1!$C$2:$C$7</c:f>
              <c:numCache>
                <c:formatCode>General</c:formatCode>
                <c:ptCount val="6"/>
                <c:pt idx="0">
                  <c:v>0</c:v>
                </c:pt>
                <c:pt idx="1">
                  <c:v>0</c:v>
                </c:pt>
                <c:pt idx="2">
                  <c:v>0</c:v>
                </c:pt>
                <c:pt idx="3">
                  <c:v>0</c:v>
                </c:pt>
                <c:pt idx="4">
                  <c:v>0</c:v>
                </c:pt>
                <c:pt idx="5">
                  <c:v>0</c:v>
                </c:pt>
              </c:numCache>
            </c:numRef>
          </c:val>
          <c:smooth val="0"/>
          <c:extLst>
            <c:ext xmlns:c16="http://schemas.microsoft.com/office/drawing/2014/chart" uri="{C3380CC4-5D6E-409C-BE32-E72D297353CC}">
              <c16:uniqueId val="{00000001-D091-4F26-91CE-180DF8F70018}"/>
            </c:ext>
          </c:extLst>
        </c:ser>
        <c:ser>
          <c:idx val="2"/>
          <c:order val="2"/>
          <c:tx>
            <c:strRef>
              <c:f>Sheet1!$D$1</c:f>
              <c:strCache>
                <c:ptCount val="1"/>
                <c:pt idx="0">
                  <c:v>Privātais patēriņš</c:v>
                </c:pt>
              </c:strCache>
            </c:strRef>
          </c:tx>
          <c:spPr>
            <a:ln w="47625" cap="rnd">
              <a:solidFill>
                <a:schemeClr val="accent3"/>
              </a:solidFill>
              <a:round/>
            </a:ln>
            <a:effectLst/>
          </c:spPr>
          <c:marker>
            <c:symbol val="none"/>
          </c:marker>
          <c:cat>
            <c:strRef>
              <c:f>Sheet1!$A$2:$A$7</c:f>
              <c:strCache>
                <c:ptCount val="6"/>
                <c:pt idx="0">
                  <c:v>2025-2029</c:v>
                </c:pt>
                <c:pt idx="1">
                  <c:v>2030-2034</c:v>
                </c:pt>
                <c:pt idx="2">
                  <c:v>2035-2039</c:v>
                </c:pt>
                <c:pt idx="3">
                  <c:v>2040-2044</c:v>
                </c:pt>
                <c:pt idx="4">
                  <c:v>2045-2049</c:v>
                </c:pt>
                <c:pt idx="5">
                  <c:v>2050-</c:v>
                </c:pt>
              </c:strCache>
            </c:strRef>
          </c:cat>
          <c:val>
            <c:numRef>
              <c:f>Sheet1!$D$2:$D$7</c:f>
              <c:numCache>
                <c:formatCode>General</c:formatCode>
                <c:ptCount val="6"/>
                <c:pt idx="0">
                  <c:v>9.4901746003261955E-2</c:v>
                </c:pt>
                <c:pt idx="1">
                  <c:v>0.42240057206590631</c:v>
                </c:pt>
                <c:pt idx="2">
                  <c:v>0.39481366021814068</c:v>
                </c:pt>
                <c:pt idx="3">
                  <c:v>0.34400875903310979</c:v>
                </c:pt>
                <c:pt idx="4">
                  <c:v>0.32131348309285546</c:v>
                </c:pt>
                <c:pt idx="5">
                  <c:v>0.294921335022158</c:v>
                </c:pt>
              </c:numCache>
            </c:numRef>
          </c:val>
          <c:smooth val="0"/>
          <c:extLst>
            <c:ext xmlns:c16="http://schemas.microsoft.com/office/drawing/2014/chart" uri="{C3380CC4-5D6E-409C-BE32-E72D297353CC}">
              <c16:uniqueId val="{00000002-D091-4F26-91CE-180DF8F70018}"/>
            </c:ext>
          </c:extLst>
        </c:ser>
        <c:dLbls>
          <c:showLegendKey val="0"/>
          <c:showVal val="0"/>
          <c:showCatName val="0"/>
          <c:showSerName val="0"/>
          <c:showPercent val="0"/>
          <c:showBubbleSize val="0"/>
        </c:dLbls>
        <c:smooth val="0"/>
        <c:axId val="486734304"/>
        <c:axId val="486735744"/>
      </c:lineChart>
      <c:catAx>
        <c:axId val="48673430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35744"/>
        <c:crosses val="autoZero"/>
        <c:auto val="1"/>
        <c:lblAlgn val="ctr"/>
        <c:lblOffset val="100"/>
        <c:tickLblSkip val="1"/>
        <c:noMultiLvlLbl val="0"/>
      </c:catAx>
      <c:valAx>
        <c:axId val="486735744"/>
        <c:scaling>
          <c:orientation val="minMax"/>
          <c:max val="0.60000000000000009"/>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34304"/>
        <c:crosses val="autoZero"/>
        <c:crossBetween val="between"/>
        <c:majorUnit val="0.2"/>
      </c:valAx>
      <c:spPr>
        <a:noFill/>
        <a:ln>
          <a:noFill/>
        </a:ln>
        <a:effectLst/>
      </c:spPr>
    </c:plotArea>
    <c:legend>
      <c:legendPos val="b"/>
      <c:layout>
        <c:manualLayout>
          <c:xMode val="edge"/>
          <c:yMode val="edge"/>
          <c:x val="0.4194119446725601"/>
          <c:y val="1.8361441843990939E-2"/>
          <c:w val="0.57535706809654941"/>
          <c:h val="0.25067850947697284"/>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6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5255728169114"/>
          <c:y val="5.2169478815148107E-2"/>
          <c:w val="0.83841222549883976"/>
          <c:h val="0.91682506353372495"/>
        </c:manualLayout>
      </c:layout>
      <c:lineChart>
        <c:grouping val="standard"/>
        <c:varyColors val="0"/>
        <c:ser>
          <c:idx val="0"/>
          <c:order val="0"/>
          <c:tx>
            <c:strRef>
              <c:f>Sheet1!$B$1</c:f>
              <c:strCache>
                <c:ptCount val="1"/>
                <c:pt idx="0">
                  <c:v>Eksports</c:v>
                </c:pt>
              </c:strCache>
            </c:strRef>
          </c:tx>
          <c:spPr>
            <a:ln w="28575" cap="rnd">
              <a:solidFill>
                <a:schemeClr val="accent1"/>
              </a:solidFill>
              <a:round/>
            </a:ln>
            <a:effectLst/>
          </c:spPr>
          <c:marker>
            <c:symbol val="none"/>
          </c:marker>
          <c:cat>
            <c:strRef>
              <c:f>Sheet1!$A$2:$A$7</c:f>
              <c:strCache>
                <c:ptCount val="6"/>
                <c:pt idx="0">
                  <c:v>2025-2029</c:v>
                </c:pt>
                <c:pt idx="1">
                  <c:v>2030-2034</c:v>
                </c:pt>
                <c:pt idx="2">
                  <c:v>2035-2039</c:v>
                </c:pt>
                <c:pt idx="3">
                  <c:v>2040-2044</c:v>
                </c:pt>
                <c:pt idx="4">
                  <c:v>2045-2049</c:v>
                </c:pt>
                <c:pt idx="5">
                  <c:v>2050-</c:v>
                </c:pt>
              </c:strCache>
            </c:strRef>
          </c:cat>
          <c:val>
            <c:numRef>
              <c:f>Sheet1!$B$2:$B$7</c:f>
              <c:numCache>
                <c:formatCode>General</c:formatCode>
                <c:ptCount val="6"/>
                <c:pt idx="0">
                  <c:v>6.1333907114069497E-2</c:v>
                </c:pt>
                <c:pt idx="1">
                  <c:v>0.32746809017751843</c:v>
                </c:pt>
                <c:pt idx="2">
                  <c:v>0.36251845742942823</c:v>
                </c:pt>
                <c:pt idx="3">
                  <c:v>0.38672317347059337</c:v>
                </c:pt>
                <c:pt idx="4">
                  <c:v>0.40637376860368501</c:v>
                </c:pt>
                <c:pt idx="5">
                  <c:v>0.42515919830523607</c:v>
                </c:pt>
              </c:numCache>
            </c:numRef>
          </c:val>
          <c:smooth val="0"/>
          <c:extLst>
            <c:ext xmlns:c16="http://schemas.microsoft.com/office/drawing/2014/chart" uri="{C3380CC4-5D6E-409C-BE32-E72D297353CC}">
              <c16:uniqueId val="{00000000-D479-47B2-BCD2-822F673DFCFE}"/>
            </c:ext>
          </c:extLst>
        </c:ser>
        <c:ser>
          <c:idx val="1"/>
          <c:order val="1"/>
          <c:tx>
            <c:strRef>
              <c:f>Sheet1!$C$1</c:f>
              <c:strCache>
                <c:ptCount val="1"/>
                <c:pt idx="0">
                  <c:v>Imports</c:v>
                </c:pt>
              </c:strCache>
            </c:strRef>
          </c:tx>
          <c:spPr>
            <a:ln w="28575" cap="rnd">
              <a:solidFill>
                <a:schemeClr val="accent2"/>
              </a:solidFill>
              <a:round/>
            </a:ln>
            <a:effectLst/>
          </c:spPr>
          <c:marker>
            <c:symbol val="none"/>
          </c:marker>
          <c:cat>
            <c:strRef>
              <c:f>Sheet1!$A$2:$A$7</c:f>
              <c:strCache>
                <c:ptCount val="6"/>
                <c:pt idx="0">
                  <c:v>2025-2029</c:v>
                </c:pt>
                <c:pt idx="1">
                  <c:v>2030-2034</c:v>
                </c:pt>
                <c:pt idx="2">
                  <c:v>2035-2039</c:v>
                </c:pt>
                <c:pt idx="3">
                  <c:v>2040-2044</c:v>
                </c:pt>
                <c:pt idx="4">
                  <c:v>2045-2049</c:v>
                </c:pt>
                <c:pt idx="5">
                  <c:v>2050-</c:v>
                </c:pt>
              </c:strCache>
            </c:strRef>
          </c:cat>
          <c:val>
            <c:numRef>
              <c:f>Sheet1!$C$2:$C$7</c:f>
              <c:numCache>
                <c:formatCode>General</c:formatCode>
                <c:ptCount val="6"/>
                <c:pt idx="0">
                  <c:v>9.2478791245098613E-2</c:v>
                </c:pt>
                <c:pt idx="1">
                  <c:v>0.2472577212868865</c:v>
                </c:pt>
                <c:pt idx="2">
                  <c:v>0.23718811536241891</c:v>
                </c:pt>
                <c:pt idx="3">
                  <c:v>0.21868651977832165</c:v>
                </c:pt>
                <c:pt idx="4">
                  <c:v>0.21184871659516435</c:v>
                </c:pt>
                <c:pt idx="5">
                  <c:v>0.20411201519545674</c:v>
                </c:pt>
              </c:numCache>
            </c:numRef>
          </c:val>
          <c:smooth val="0"/>
          <c:extLst>
            <c:ext xmlns:c16="http://schemas.microsoft.com/office/drawing/2014/chart" uri="{C3380CC4-5D6E-409C-BE32-E72D297353CC}">
              <c16:uniqueId val="{00000001-D479-47B2-BCD2-822F673DFCFE}"/>
            </c:ext>
          </c:extLst>
        </c:ser>
        <c:dLbls>
          <c:showLegendKey val="0"/>
          <c:showVal val="0"/>
          <c:showCatName val="0"/>
          <c:showSerName val="0"/>
          <c:showPercent val="0"/>
          <c:showBubbleSize val="0"/>
        </c:dLbls>
        <c:smooth val="0"/>
        <c:axId val="491415192"/>
        <c:axId val="491416272"/>
      </c:lineChart>
      <c:catAx>
        <c:axId val="491415192"/>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491416272"/>
        <c:crosses val="autoZero"/>
        <c:auto val="1"/>
        <c:lblAlgn val="ctr"/>
        <c:lblOffset val="100"/>
        <c:tickLblSkip val="1"/>
        <c:noMultiLvlLbl val="0"/>
      </c:catAx>
      <c:valAx>
        <c:axId val="49141627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491415192"/>
        <c:crosses val="autoZero"/>
        <c:crossBetween val="between"/>
        <c:majorUnit val="0.1"/>
      </c:valAx>
      <c:spPr>
        <a:noFill/>
        <a:ln>
          <a:noFill/>
        </a:ln>
        <a:effectLst/>
      </c:spPr>
    </c:plotArea>
    <c:legend>
      <c:legendPos val="b"/>
      <c:layout>
        <c:manualLayout>
          <c:xMode val="edge"/>
          <c:yMode val="edge"/>
          <c:x val="0.16041157993482447"/>
          <c:y val="0.71724666436689521"/>
          <c:w val="0.78882072173410756"/>
          <c:h val="8.6787484897721118E-2"/>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6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9533383255047"/>
          <c:y val="5.6021139249485707E-2"/>
          <c:w val="0.86714616775020181"/>
          <c:h val="0.77092998510321342"/>
        </c:manualLayout>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Sheet1!$A$2:$A$7</c:f>
              <c:strCache>
                <c:ptCount val="6"/>
                <c:pt idx="0">
                  <c:v>2025-2029</c:v>
                </c:pt>
                <c:pt idx="1">
                  <c:v>2030-2034</c:v>
                </c:pt>
                <c:pt idx="2">
                  <c:v>2035-2039</c:v>
                </c:pt>
                <c:pt idx="3">
                  <c:v>2040-2044</c:v>
                </c:pt>
                <c:pt idx="4">
                  <c:v>2045-2049</c:v>
                </c:pt>
                <c:pt idx="5">
                  <c:v>2050-</c:v>
                </c:pt>
              </c:strCache>
            </c:strRef>
          </c:cat>
          <c:val>
            <c:numRef>
              <c:f>Sheet1!$B$2:$B$7</c:f>
              <c:numCache>
                <c:formatCode>General</c:formatCode>
                <c:ptCount val="6"/>
                <c:pt idx="0">
                  <c:v>-1.5999999999999868E-2</c:v>
                </c:pt>
                <c:pt idx="1">
                  <c:v>4.1000000000000064E-2</c:v>
                </c:pt>
                <c:pt idx="2">
                  <c:v>6.6000000000000086E-2</c:v>
                </c:pt>
                <c:pt idx="3">
                  <c:v>8.8000000000000231E-2</c:v>
                </c:pt>
                <c:pt idx="4">
                  <c:v>0.10200000000000001</c:v>
                </c:pt>
                <c:pt idx="5">
                  <c:v>0.11800000000000005</c:v>
                </c:pt>
              </c:numCache>
            </c:numRef>
          </c:val>
          <c:extLst>
            <c:ext xmlns:c16="http://schemas.microsoft.com/office/drawing/2014/chart" uri="{C3380CC4-5D6E-409C-BE32-E72D297353CC}">
              <c16:uniqueId val="{00000000-320F-4145-A57B-B5B7DA70256F}"/>
            </c:ext>
          </c:extLst>
        </c:ser>
        <c:dLbls>
          <c:showLegendKey val="0"/>
          <c:showVal val="0"/>
          <c:showCatName val="0"/>
          <c:showSerName val="0"/>
          <c:showPercent val="0"/>
          <c:showBubbleSize val="0"/>
        </c:dLbls>
        <c:gapWidth val="100"/>
        <c:axId val="486749784"/>
        <c:axId val="486753744"/>
      </c:barChart>
      <c:catAx>
        <c:axId val="48674978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53744"/>
        <c:crosses val="autoZero"/>
        <c:auto val="1"/>
        <c:lblAlgn val="ctr"/>
        <c:lblOffset val="100"/>
        <c:tickLblSkip val="1"/>
        <c:noMultiLvlLbl val="0"/>
      </c:catAx>
      <c:valAx>
        <c:axId val="48675374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49784"/>
        <c:crosses val="autoZero"/>
        <c:crossBetween val="between"/>
        <c:majorUnit val="0.1"/>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6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083989501312337"/>
          <c:y val="4.2507625735972186E-2"/>
          <c:w val="0.86243230996776865"/>
          <c:h val="0.7844434986167268"/>
        </c:manualLayout>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Sheet1!$A$2:$A$7</c:f>
              <c:strCache>
                <c:ptCount val="6"/>
                <c:pt idx="0">
                  <c:v>2025-2029</c:v>
                </c:pt>
                <c:pt idx="1">
                  <c:v>2030-2034</c:v>
                </c:pt>
                <c:pt idx="2">
                  <c:v>2035-2039</c:v>
                </c:pt>
                <c:pt idx="3">
                  <c:v>2040-2044</c:v>
                </c:pt>
                <c:pt idx="4">
                  <c:v>2045-2049</c:v>
                </c:pt>
                <c:pt idx="5">
                  <c:v>2050-</c:v>
                </c:pt>
              </c:strCache>
            </c:strRef>
          </c:cat>
          <c:val>
            <c:numRef>
              <c:f>Sheet1!$B$2:$B$7</c:f>
              <c:numCache>
                <c:formatCode>General</c:formatCode>
                <c:ptCount val="6"/>
                <c:pt idx="0">
                  <c:v>4.5259986292678356E-2</c:v>
                </c:pt>
                <c:pt idx="1">
                  <c:v>0.17590025751796912</c:v>
                </c:pt>
                <c:pt idx="2">
                  <c:v>0.18221793867840841</c:v>
                </c:pt>
                <c:pt idx="3">
                  <c:v>0.17962575364718347</c:v>
                </c:pt>
                <c:pt idx="4">
                  <c:v>0.18544743408186459</c:v>
                </c:pt>
                <c:pt idx="5">
                  <c:v>0.19102196752627254</c:v>
                </c:pt>
              </c:numCache>
            </c:numRef>
          </c:val>
          <c:extLst>
            <c:ext xmlns:c16="http://schemas.microsoft.com/office/drawing/2014/chart" uri="{C3380CC4-5D6E-409C-BE32-E72D297353CC}">
              <c16:uniqueId val="{00000000-2E3B-4DA9-A5E9-8ABDFE1EB791}"/>
            </c:ext>
          </c:extLst>
        </c:ser>
        <c:dLbls>
          <c:showLegendKey val="0"/>
          <c:showVal val="0"/>
          <c:showCatName val="0"/>
          <c:showSerName val="0"/>
          <c:showPercent val="0"/>
          <c:showBubbleSize val="0"/>
        </c:dLbls>
        <c:gapWidth val="100"/>
        <c:axId val="486749784"/>
        <c:axId val="486753744"/>
      </c:barChart>
      <c:catAx>
        <c:axId val="48674978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53744"/>
        <c:crosses val="autoZero"/>
        <c:auto val="1"/>
        <c:lblAlgn val="ctr"/>
        <c:lblOffset val="100"/>
        <c:tickLblSkip val="1"/>
        <c:noMultiLvlLbl val="0"/>
      </c:catAx>
      <c:valAx>
        <c:axId val="486753744"/>
        <c:scaling>
          <c:orientation val="minMax"/>
          <c:max val="0.2"/>
        </c:scaling>
        <c:delete val="0"/>
        <c:axPos val="l"/>
        <c:majorGridlines>
          <c:spPr>
            <a:ln w="9525" cap="flat" cmpd="sng" algn="ctr">
              <a:solidFill>
                <a:schemeClr val="tx1">
                  <a:lumMod val="15000"/>
                  <a:lumOff val="85000"/>
                </a:schemeClr>
              </a:solidFill>
              <a:round/>
            </a:ln>
            <a:effectLst/>
          </c:spPr>
        </c:majorGridlines>
        <c:numFmt formatCode="#,##0.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49784"/>
        <c:crosses val="autoZero"/>
        <c:crossBetween val="between"/>
        <c:majorUnit val="5.000000000000001E-2"/>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6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9533383255047"/>
          <c:y val="5.6021139249485707E-2"/>
          <c:w val="0.8463906675426468"/>
          <c:h val="0.77092998510321342"/>
        </c:manualLayout>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Sheet1!$A$2:$A$7</c:f>
              <c:strCache>
                <c:ptCount val="6"/>
                <c:pt idx="0">
                  <c:v>2025-2029</c:v>
                </c:pt>
                <c:pt idx="1">
                  <c:v>2030-2034</c:v>
                </c:pt>
                <c:pt idx="2">
                  <c:v>2035-2039</c:v>
                </c:pt>
                <c:pt idx="3">
                  <c:v>2040-2044</c:v>
                </c:pt>
                <c:pt idx="4">
                  <c:v>2045-2049</c:v>
                </c:pt>
                <c:pt idx="5">
                  <c:v>2050-</c:v>
                </c:pt>
              </c:strCache>
            </c:strRef>
          </c:cat>
          <c:val>
            <c:numRef>
              <c:f>Sheet1!$B$2:$B$7</c:f>
              <c:numCache>
                <c:formatCode>General</c:formatCode>
                <c:ptCount val="6"/>
                <c:pt idx="0">
                  <c:v>-3.9000000000000146E-2</c:v>
                </c:pt>
                <c:pt idx="1">
                  <c:v>-0.14200000000000046</c:v>
                </c:pt>
                <c:pt idx="2">
                  <c:v>-0.13900000000000023</c:v>
                </c:pt>
                <c:pt idx="3">
                  <c:v>-0.13400000000000079</c:v>
                </c:pt>
                <c:pt idx="4">
                  <c:v>-0.12900000000000134</c:v>
                </c:pt>
                <c:pt idx="5">
                  <c:v>-0.12000000000000344</c:v>
                </c:pt>
              </c:numCache>
            </c:numRef>
          </c:val>
          <c:extLst>
            <c:ext xmlns:c16="http://schemas.microsoft.com/office/drawing/2014/chart" uri="{C3380CC4-5D6E-409C-BE32-E72D297353CC}">
              <c16:uniqueId val="{00000000-69F8-485E-B187-5924A99D61B4}"/>
            </c:ext>
          </c:extLst>
        </c:ser>
        <c:dLbls>
          <c:showLegendKey val="0"/>
          <c:showVal val="0"/>
          <c:showCatName val="0"/>
          <c:showSerName val="0"/>
          <c:showPercent val="0"/>
          <c:showBubbleSize val="0"/>
        </c:dLbls>
        <c:gapWidth val="100"/>
        <c:axId val="486749784"/>
        <c:axId val="486753744"/>
      </c:barChart>
      <c:catAx>
        <c:axId val="48674978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53744"/>
        <c:crosses val="autoZero"/>
        <c:auto val="1"/>
        <c:lblAlgn val="ctr"/>
        <c:lblOffset val="100"/>
        <c:tickLblSkip val="1"/>
        <c:noMultiLvlLbl val="0"/>
      </c:catAx>
      <c:valAx>
        <c:axId val="486753744"/>
        <c:scaling>
          <c:orientation val="minMax"/>
          <c:max val="0"/>
          <c:min val="-0.15000000000000002"/>
        </c:scaling>
        <c:delete val="0"/>
        <c:axPos val="l"/>
        <c:majorGridlines>
          <c:spPr>
            <a:ln w="9525" cap="flat" cmpd="sng" algn="ctr">
              <a:solidFill>
                <a:schemeClr val="tx1">
                  <a:lumMod val="15000"/>
                  <a:lumOff val="85000"/>
                </a:schemeClr>
              </a:solidFill>
              <a:round/>
            </a:ln>
            <a:effectLst/>
          </c:spPr>
        </c:majorGridlines>
        <c:numFmt formatCode="#,##0.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49784"/>
        <c:crosses val="autoZero"/>
        <c:crossBetween val="between"/>
        <c:majorUnit val="5.000000000000001E-2"/>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745406824146981"/>
          <c:y val="7.407407407407407E-2"/>
          <c:w val="0.74770558356464434"/>
          <c:h val="0.80915247252429245"/>
        </c:manualLayout>
      </c:layout>
      <c:lineChart>
        <c:grouping val="standard"/>
        <c:varyColors val="0"/>
        <c:ser>
          <c:idx val="0"/>
          <c:order val="0"/>
          <c:tx>
            <c:strRef>
              <c:f>Sheet1!$A$2</c:f>
              <c:strCache>
                <c:ptCount val="1"/>
                <c:pt idx="0">
                  <c:v>SEG emisijas</c:v>
                </c:pt>
              </c:strCache>
            </c:strRef>
          </c:tx>
          <c:spPr>
            <a:ln w="28575" cap="rnd">
              <a:solidFill>
                <a:schemeClr val="accent1"/>
              </a:solidFill>
              <a:round/>
            </a:ln>
            <a:effectLst/>
          </c:spPr>
          <c:marker>
            <c:symbol val="none"/>
          </c:marker>
          <c:cat>
            <c:strRef>
              <c:f>Sheet1!$B$1:$N$1</c:f>
              <c:strCach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strCache>
            </c:strRef>
          </c:cat>
          <c:val>
            <c:numRef>
              <c:f>Sheet1!$B$2:$N$2</c:f>
              <c:numCache>
                <c:formatCode>General</c:formatCode>
                <c:ptCount val="13"/>
              </c:numCache>
            </c:numRef>
          </c:val>
          <c:smooth val="0"/>
          <c:extLst>
            <c:ext xmlns:c16="http://schemas.microsoft.com/office/drawing/2014/chart" uri="{C3380CC4-5D6E-409C-BE32-E72D297353CC}">
              <c16:uniqueId val="{00000000-16B2-46DD-A43E-FD3C13973D09}"/>
            </c:ext>
          </c:extLst>
        </c:ser>
        <c:dLbls>
          <c:showLegendKey val="0"/>
          <c:showVal val="0"/>
          <c:showCatName val="0"/>
          <c:showSerName val="0"/>
          <c:showPercent val="0"/>
          <c:showBubbleSize val="0"/>
        </c:dLbls>
        <c:marker val="1"/>
        <c:smooth val="0"/>
        <c:axId val="1265740688"/>
        <c:axId val="1265724368"/>
      </c:lineChart>
      <c:lineChart>
        <c:grouping val="standard"/>
        <c:varyColors val="0"/>
        <c:ser>
          <c:idx val="1"/>
          <c:order val="1"/>
          <c:tx>
            <c:strRef>
              <c:f>Sheet1!$A$3</c:f>
              <c:strCache>
                <c:ptCount val="1"/>
                <c:pt idx="0">
                  <c:v>SEG emisiju intensitāte (kg. uz 1 euro PV faktiskajās cenās) (labā ass)</c:v>
                </c:pt>
              </c:strCache>
            </c:strRef>
          </c:tx>
          <c:spPr>
            <a:ln w="28575" cap="rnd">
              <a:solidFill>
                <a:schemeClr val="accent2"/>
              </a:solidFill>
              <a:round/>
            </a:ln>
            <a:effectLst/>
          </c:spPr>
          <c:marker>
            <c:symbol val="none"/>
          </c:marker>
          <c:cat>
            <c:strRef>
              <c:f>Sheet1!$B$1:$N$1</c:f>
              <c:strCach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strCache>
            </c:strRef>
          </c:cat>
          <c:val>
            <c:numRef>
              <c:f>Sheet1!$B$3:$N$3</c:f>
              <c:numCache>
                <c:formatCode>General</c:formatCode>
                <c:ptCount val="13"/>
              </c:numCache>
            </c:numRef>
          </c:val>
          <c:smooth val="0"/>
          <c:extLst>
            <c:ext xmlns:c16="http://schemas.microsoft.com/office/drawing/2014/chart" uri="{C3380CC4-5D6E-409C-BE32-E72D297353CC}">
              <c16:uniqueId val="{00000001-16B2-46DD-A43E-FD3C13973D09}"/>
            </c:ext>
          </c:extLst>
        </c:ser>
        <c:dLbls>
          <c:showLegendKey val="0"/>
          <c:showVal val="0"/>
          <c:showCatName val="0"/>
          <c:showSerName val="0"/>
          <c:showPercent val="0"/>
          <c:showBubbleSize val="0"/>
        </c:dLbls>
        <c:marker val="1"/>
        <c:smooth val="0"/>
        <c:axId val="1260281040"/>
        <c:axId val="1260286800"/>
      </c:lineChart>
      <c:catAx>
        <c:axId val="1265740688"/>
        <c:scaling>
          <c:orientation val="minMax"/>
        </c:scaling>
        <c:delete val="1"/>
        <c:axPos val="b"/>
        <c:numFmt formatCode="General" sourceLinked="1"/>
        <c:majorTickMark val="none"/>
        <c:minorTickMark val="none"/>
        <c:tickLblPos val="nextTo"/>
        <c:crossAx val="1265724368"/>
        <c:crosses val="autoZero"/>
        <c:auto val="1"/>
        <c:lblAlgn val="ctr"/>
        <c:lblOffset val="100"/>
        <c:noMultiLvlLbl val="0"/>
      </c:catAx>
      <c:valAx>
        <c:axId val="1265724368"/>
        <c:scaling>
          <c:orientation val="minMax"/>
        </c:scaling>
        <c:delete val="1"/>
        <c:axPos val="l"/>
        <c:majorGridlines>
          <c:spPr>
            <a:ln w="9525" cap="flat" cmpd="sng" algn="ctr">
              <a:noFill/>
              <a:round/>
            </a:ln>
            <a:effectLst/>
          </c:spPr>
        </c:majorGridlines>
        <c:numFmt formatCode="General" sourceLinked="1"/>
        <c:majorTickMark val="none"/>
        <c:minorTickMark val="none"/>
        <c:tickLblPos val="nextTo"/>
        <c:crossAx val="1265740688"/>
        <c:crosses val="autoZero"/>
        <c:crossBetween val="between"/>
      </c:valAx>
      <c:valAx>
        <c:axId val="1260286800"/>
        <c:scaling>
          <c:orientation val="minMax"/>
        </c:scaling>
        <c:delete val="1"/>
        <c:axPos val="r"/>
        <c:numFmt formatCode="#,##0.0" sourceLinked="0"/>
        <c:majorTickMark val="out"/>
        <c:minorTickMark val="none"/>
        <c:tickLblPos val="nextTo"/>
        <c:crossAx val="1260281040"/>
        <c:crosses val="max"/>
        <c:crossBetween val="between"/>
      </c:valAx>
      <c:catAx>
        <c:axId val="1260281040"/>
        <c:scaling>
          <c:orientation val="minMax"/>
        </c:scaling>
        <c:delete val="1"/>
        <c:axPos val="b"/>
        <c:numFmt formatCode="General" sourceLinked="1"/>
        <c:majorTickMark val="out"/>
        <c:minorTickMark val="none"/>
        <c:tickLblPos val="nextTo"/>
        <c:crossAx val="1260286800"/>
        <c:crosses val="autoZero"/>
        <c:auto val="1"/>
        <c:lblAlgn val="ctr"/>
        <c:lblOffset val="100"/>
        <c:noMultiLvlLbl val="0"/>
      </c:catAx>
      <c:spPr>
        <a:noFill/>
        <a:ln>
          <a:noFill/>
        </a:ln>
        <a:effectLst/>
      </c:spPr>
    </c:plotArea>
    <c:legend>
      <c:legendPos val="b"/>
      <c:layout>
        <c:manualLayout>
          <c:xMode val="edge"/>
          <c:yMode val="edge"/>
          <c:x val="1.7139976419622855E-2"/>
          <c:y val="0.25218274394145956"/>
          <c:w val="0.96742182157187806"/>
          <c:h val="0.6184441167468907"/>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7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9533383255047"/>
          <c:y val="5.6021139249485707E-2"/>
          <c:w val="0.85469286762566887"/>
          <c:h val="0.77092998510321342"/>
        </c:manualLayout>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Sheet1!$A$2:$A$7</c:f>
              <c:strCache>
                <c:ptCount val="6"/>
                <c:pt idx="0">
                  <c:v>2025-2029</c:v>
                </c:pt>
                <c:pt idx="1">
                  <c:v>2030-2034</c:v>
                </c:pt>
                <c:pt idx="2">
                  <c:v>2035-2039</c:v>
                </c:pt>
                <c:pt idx="3">
                  <c:v>2040-2044</c:v>
                </c:pt>
                <c:pt idx="4">
                  <c:v>2045-2049</c:v>
                </c:pt>
                <c:pt idx="5">
                  <c:v>2050-</c:v>
                </c:pt>
              </c:strCache>
            </c:strRef>
          </c:cat>
          <c:val>
            <c:numRef>
              <c:f>Sheet1!$B$2:$B$7</c:f>
              <c:numCache>
                <c:formatCode>General</c:formatCode>
                <c:ptCount val="6"/>
                <c:pt idx="0">
                  <c:v>3.4739645655612605E-2</c:v>
                </c:pt>
                <c:pt idx="1">
                  <c:v>0.1031340632616784</c:v>
                </c:pt>
                <c:pt idx="2">
                  <c:v>8.7338925685154223E-2</c:v>
                </c:pt>
                <c:pt idx="3">
                  <c:v>7.691550979798123E-2</c:v>
                </c:pt>
                <c:pt idx="4">
                  <c:v>6.5007632079749911E-2</c:v>
                </c:pt>
                <c:pt idx="5">
                  <c:v>5.2765073694716058E-2</c:v>
                </c:pt>
              </c:numCache>
            </c:numRef>
          </c:val>
          <c:extLst>
            <c:ext xmlns:c16="http://schemas.microsoft.com/office/drawing/2014/chart" uri="{C3380CC4-5D6E-409C-BE32-E72D297353CC}">
              <c16:uniqueId val="{00000000-A0E6-45FE-8C0C-0EE852250F73}"/>
            </c:ext>
          </c:extLst>
        </c:ser>
        <c:dLbls>
          <c:showLegendKey val="0"/>
          <c:showVal val="0"/>
          <c:showCatName val="0"/>
          <c:showSerName val="0"/>
          <c:showPercent val="0"/>
          <c:showBubbleSize val="0"/>
        </c:dLbls>
        <c:gapWidth val="100"/>
        <c:axId val="486749784"/>
        <c:axId val="486753744"/>
      </c:barChart>
      <c:catAx>
        <c:axId val="48674978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53744"/>
        <c:crosses val="autoZero"/>
        <c:auto val="1"/>
        <c:lblAlgn val="ctr"/>
        <c:lblOffset val="100"/>
        <c:tickLblSkip val="1"/>
        <c:noMultiLvlLbl val="0"/>
      </c:catAx>
      <c:valAx>
        <c:axId val="486753744"/>
        <c:scaling>
          <c:orientation val="minMax"/>
          <c:max val="0.15000000000000002"/>
        </c:scaling>
        <c:delete val="0"/>
        <c:axPos val="l"/>
        <c:majorGridlines>
          <c:spPr>
            <a:ln w="9525" cap="flat" cmpd="sng" algn="ctr">
              <a:solidFill>
                <a:schemeClr val="tx1">
                  <a:lumMod val="15000"/>
                  <a:lumOff val="85000"/>
                </a:schemeClr>
              </a:solidFill>
              <a:round/>
            </a:ln>
            <a:effectLst/>
          </c:spPr>
        </c:majorGridlines>
        <c:numFmt formatCode="#,##0.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49784"/>
        <c:crosses val="autoZero"/>
        <c:crossBetween val="between"/>
        <c:majorUnit val="5.000000000000001E-2"/>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7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9533383255047"/>
          <c:y val="5.6021139249485707E-2"/>
          <c:w val="0.85469286762566887"/>
          <c:h val="0.77092998510321342"/>
        </c:manualLayout>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Sheet1!$A$2:$A$7</c:f>
              <c:strCache>
                <c:ptCount val="6"/>
                <c:pt idx="0">
                  <c:v>2025-2029</c:v>
                </c:pt>
                <c:pt idx="1">
                  <c:v>2030-2034</c:v>
                </c:pt>
                <c:pt idx="2">
                  <c:v>2035-2039</c:v>
                </c:pt>
                <c:pt idx="3">
                  <c:v>2040-2044</c:v>
                </c:pt>
                <c:pt idx="4">
                  <c:v>2045-2049</c:v>
                </c:pt>
                <c:pt idx="5">
                  <c:v>2050-</c:v>
                </c:pt>
              </c:strCache>
            </c:strRef>
          </c:cat>
          <c:val>
            <c:numRef>
              <c:f>Sheet1!$B$2:$B$7</c:f>
              <c:numCache>
                <c:formatCode>General</c:formatCode>
                <c:ptCount val="6"/>
                <c:pt idx="0">
                  <c:v>-0.12007757575757574</c:v>
                </c:pt>
                <c:pt idx="1">
                  <c:v>-0.31054545454545451</c:v>
                </c:pt>
                <c:pt idx="2">
                  <c:v>-0.31054545454545451</c:v>
                </c:pt>
                <c:pt idx="3">
                  <c:v>-0.31054545454545451</c:v>
                </c:pt>
                <c:pt idx="4">
                  <c:v>-0.31054545454545451</c:v>
                </c:pt>
                <c:pt idx="5">
                  <c:v>-0.31054545454545451</c:v>
                </c:pt>
              </c:numCache>
            </c:numRef>
          </c:val>
          <c:extLst>
            <c:ext xmlns:c16="http://schemas.microsoft.com/office/drawing/2014/chart" uri="{C3380CC4-5D6E-409C-BE32-E72D297353CC}">
              <c16:uniqueId val="{00000000-7795-4A4D-ACBC-60B9FA87FF21}"/>
            </c:ext>
          </c:extLst>
        </c:ser>
        <c:dLbls>
          <c:showLegendKey val="0"/>
          <c:showVal val="0"/>
          <c:showCatName val="0"/>
          <c:showSerName val="0"/>
          <c:showPercent val="0"/>
          <c:showBubbleSize val="0"/>
        </c:dLbls>
        <c:gapWidth val="100"/>
        <c:axId val="486749784"/>
        <c:axId val="486753744"/>
      </c:barChart>
      <c:catAx>
        <c:axId val="48674978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53744"/>
        <c:crosses val="autoZero"/>
        <c:auto val="1"/>
        <c:lblAlgn val="ctr"/>
        <c:lblOffset val="100"/>
        <c:tickLblSkip val="1"/>
        <c:noMultiLvlLbl val="0"/>
      </c:catAx>
      <c:valAx>
        <c:axId val="48675374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49784"/>
        <c:crosses val="autoZero"/>
        <c:crossBetween val="between"/>
        <c:majorUnit val="0.1"/>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7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2035</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dPt>
            <c:idx val="1"/>
            <c:invertIfNegative val="0"/>
            <c:bubble3D val="0"/>
            <c:spPr>
              <a:pattFill prst="narHorz">
                <a:fgClr>
                  <a:schemeClr val="accent2"/>
                </a:fgClr>
                <a:bgClr>
                  <a:schemeClr val="accent2">
                    <a:lumMod val="20000"/>
                    <a:lumOff val="80000"/>
                  </a:schemeClr>
                </a:bgClr>
              </a:pattFill>
              <a:ln>
                <a:noFill/>
              </a:ln>
              <a:effectLst>
                <a:innerShdw blurRad="114300">
                  <a:schemeClr val="accent2"/>
                </a:innerShdw>
              </a:effectLst>
            </c:spPr>
            <c:extLst>
              <c:ext xmlns:c16="http://schemas.microsoft.com/office/drawing/2014/chart" uri="{C3380CC4-5D6E-409C-BE32-E72D297353CC}">
                <c16:uniqueId val="{00000001-51BA-40E7-B056-4180E2857480}"/>
              </c:ext>
            </c:extLst>
          </c:dPt>
          <c:cat>
            <c:strRef>
              <c:f>Sheet1!$A$2:$A$25</c:f>
              <c:strCache>
                <c:ptCount val="24"/>
                <c:pt idx="0">
                  <c:v>Gaisa transports</c:v>
                </c:pt>
                <c:pt idx="1">
                  <c:v>Uzglabāšana</c:v>
                </c:pt>
                <c:pt idx="2">
                  <c:v>Sauszemes transports</c:v>
                </c:pt>
                <c:pt idx="3">
                  <c:v>Elektrības ražošana</c:v>
                </c:pt>
                <c:pt idx="4">
                  <c:v>Ūdens transports</c:v>
                </c:pt>
                <c:pt idx="5">
                  <c:v>Privātie pakalpojumi</c:v>
                </c:pt>
                <c:pt idx="6">
                  <c:v>Publiskie pakalpojumi</c:v>
                </c:pt>
                <c:pt idx="7">
                  <c:v>Nemetāliskie minerāli</c:v>
                </c:pt>
                <c:pt idx="8">
                  <c:v>Būvniecība</c:v>
                </c:pt>
                <c:pt idx="9">
                  <c:v>Pārtika un dzērieni</c:v>
                </c:pt>
                <c:pt idx="10">
                  <c:v>Papīrs un poligrāfija</c:v>
                </c:pt>
                <c:pt idx="11">
                  <c:v>Kokrūpniecība</c:v>
                </c:pt>
                <c:pt idx="12">
                  <c:v>Ķīmijas produkti</c:v>
                </c:pt>
                <c:pt idx="13">
                  <c:v>Elektronika un optika</c:v>
                </c:pt>
                <c:pt idx="14">
                  <c:v>Transportlīdzekļi</c:v>
                </c:pt>
                <c:pt idx="15">
                  <c:v>Metāli</c:v>
                </c:pt>
                <c:pt idx="16">
                  <c:v>Lauksaimniecība</c:v>
                </c:pt>
                <c:pt idx="17">
                  <c:v>Gumija un plastmasa</c:v>
                </c:pt>
                <c:pt idx="18">
                  <c:v>Tekstils</c:v>
                </c:pt>
                <c:pt idx="19">
                  <c:v>Metālizstrādājumi</c:v>
                </c:pt>
                <c:pt idx="20">
                  <c:v>Cita rūpniecība</c:v>
                </c:pt>
                <c:pt idx="21">
                  <c:v>Mašīnbūve</c:v>
                </c:pt>
                <c:pt idx="22">
                  <c:v>Farmācija</c:v>
                </c:pt>
                <c:pt idx="23">
                  <c:v>Elektriskās iekārtas</c:v>
                </c:pt>
              </c:strCache>
            </c:strRef>
          </c:cat>
          <c:val>
            <c:numRef>
              <c:f>Sheet1!$B$2:$B$25</c:f>
              <c:numCache>
                <c:formatCode>General</c:formatCode>
                <c:ptCount val="24"/>
                <c:pt idx="0">
                  <c:v>1.8559762435040872</c:v>
                </c:pt>
                <c:pt idx="1">
                  <c:v>1.6979445933869464</c:v>
                </c:pt>
                <c:pt idx="2">
                  <c:v>0.92826708457043328</c:v>
                </c:pt>
                <c:pt idx="3">
                  <c:v>0.62373876352961322</c:v>
                </c:pt>
                <c:pt idx="4">
                  <c:v>0.24646730200461597</c:v>
                </c:pt>
                <c:pt idx="5">
                  <c:v>0.21091106109365487</c:v>
                </c:pt>
                <c:pt idx="6">
                  <c:v>0.18417179756717861</c:v>
                </c:pt>
                <c:pt idx="7">
                  <c:v>0.14253563390849155</c:v>
                </c:pt>
                <c:pt idx="8">
                  <c:v>0.10710580044850371</c:v>
                </c:pt>
                <c:pt idx="9">
                  <c:v>3.5129789297627667E-2</c:v>
                </c:pt>
                <c:pt idx="10">
                  <c:v>1.3173494928198082E-2</c:v>
                </c:pt>
                <c:pt idx="11">
                  <c:v>1.5635505105082714E-3</c:v>
                </c:pt>
                <c:pt idx="12">
                  <c:v>-7.6645972254207884E-3</c:v>
                </c:pt>
                <c:pt idx="13">
                  <c:v>-3.3558173093051202E-2</c:v>
                </c:pt>
                <c:pt idx="14">
                  <c:v>-6.2723452298807381E-2</c:v>
                </c:pt>
                <c:pt idx="15">
                  <c:v>-0.10903426791275539</c:v>
                </c:pt>
                <c:pt idx="16">
                  <c:v>-0.11454285129882669</c:v>
                </c:pt>
                <c:pt idx="17">
                  <c:v>-0.14139271827501299</c:v>
                </c:pt>
                <c:pt idx="18">
                  <c:v>-0.1464200302601415</c:v>
                </c:pt>
                <c:pt idx="19">
                  <c:v>-0.1517698701783865</c:v>
                </c:pt>
                <c:pt idx="20">
                  <c:v>-0.19167142042212371</c:v>
                </c:pt>
                <c:pt idx="21">
                  <c:v>-0.21588072589893148</c:v>
                </c:pt>
                <c:pt idx="22">
                  <c:v>-0.26012138998199319</c:v>
                </c:pt>
                <c:pt idx="23">
                  <c:v>-0.30544819847900806</c:v>
                </c:pt>
              </c:numCache>
            </c:numRef>
          </c:val>
          <c:extLst>
            <c:ext xmlns:c16="http://schemas.microsoft.com/office/drawing/2014/chart" uri="{C3380CC4-5D6E-409C-BE32-E72D297353CC}">
              <c16:uniqueId val="{00000002-51BA-40E7-B056-4180E2857480}"/>
            </c:ext>
          </c:extLst>
        </c:ser>
        <c:dLbls>
          <c:showLegendKey val="0"/>
          <c:showVal val="0"/>
          <c:showCatName val="0"/>
          <c:showSerName val="0"/>
          <c:showPercent val="0"/>
          <c:showBubbleSize val="0"/>
        </c:dLbls>
        <c:gapWidth val="80"/>
        <c:axId val="314997208"/>
        <c:axId val="315001528"/>
      </c:barChart>
      <c:catAx>
        <c:axId val="314997208"/>
        <c:scaling>
          <c:orientation val="minMax"/>
        </c:scaling>
        <c:delete val="0"/>
        <c:axPos val="b"/>
        <c:numFmt formatCode="General" sourceLinked="1"/>
        <c:majorTickMark val="none"/>
        <c:minorTickMark val="none"/>
        <c:tickLblPos val="low"/>
        <c:spPr>
          <a:noFill/>
          <a:ln w="6350" cap="flat" cmpd="sng" algn="ctr">
            <a:solidFill>
              <a:schemeClr val="tx1">
                <a:lumMod val="25000"/>
                <a:lumOff val="75000"/>
              </a:schemeClr>
            </a:solidFill>
            <a:round/>
          </a:ln>
          <a:effectLst/>
        </c:spPr>
        <c:txPr>
          <a:bodyPr rot="-540000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315001528"/>
        <c:crosses val="autoZero"/>
        <c:auto val="1"/>
        <c:lblAlgn val="ctr"/>
        <c:lblOffset val="100"/>
        <c:noMultiLvlLbl val="0"/>
      </c:catAx>
      <c:valAx>
        <c:axId val="315001528"/>
        <c:scaling>
          <c:orientation val="minMax"/>
          <c:max val="2.5"/>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314997208"/>
        <c:crosses val="autoZero"/>
        <c:crossBetween val="between"/>
        <c:majorUnit val="1"/>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7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083989501312337"/>
          <c:y val="4.2507625735972186E-2"/>
          <c:w val="0.86243230996776865"/>
          <c:h val="0.7844434986167268"/>
        </c:manualLayout>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Sheet1!$A$2:$A$7</c:f>
              <c:strCache>
                <c:ptCount val="6"/>
                <c:pt idx="0">
                  <c:v>2025-2029</c:v>
                </c:pt>
                <c:pt idx="1">
                  <c:v>2030-2034</c:v>
                </c:pt>
                <c:pt idx="2">
                  <c:v>2035-2039</c:v>
                </c:pt>
                <c:pt idx="3">
                  <c:v>2040-2044</c:v>
                </c:pt>
                <c:pt idx="4">
                  <c:v>2045-2049</c:v>
                </c:pt>
                <c:pt idx="5">
                  <c:v>2050-</c:v>
                </c:pt>
              </c:strCache>
            </c:strRef>
          </c:cat>
          <c:val>
            <c:numRef>
              <c:f>Sheet1!$B$2:$B$7</c:f>
              <c:numCache>
                <c:formatCode>General</c:formatCode>
                <c:ptCount val="6"/>
                <c:pt idx="0">
                  <c:v>0.72804496068665792</c:v>
                </c:pt>
                <c:pt idx="1">
                  <c:v>2.4813675494930187</c:v>
                </c:pt>
                <c:pt idx="2">
                  <c:v>2.7142173653950552</c:v>
                </c:pt>
                <c:pt idx="3">
                  <c:v>2.619675316795389</c:v>
                </c:pt>
                <c:pt idx="4">
                  <c:v>2.5833780698011344</c:v>
                </c:pt>
                <c:pt idx="5">
                  <c:v>2.5378775271716059</c:v>
                </c:pt>
              </c:numCache>
            </c:numRef>
          </c:val>
          <c:extLst>
            <c:ext xmlns:c16="http://schemas.microsoft.com/office/drawing/2014/chart" uri="{C3380CC4-5D6E-409C-BE32-E72D297353CC}">
              <c16:uniqueId val="{00000000-A959-4705-B2C2-914A9532AA4A}"/>
            </c:ext>
          </c:extLst>
        </c:ser>
        <c:dLbls>
          <c:showLegendKey val="0"/>
          <c:showVal val="0"/>
          <c:showCatName val="0"/>
          <c:showSerName val="0"/>
          <c:showPercent val="0"/>
          <c:showBubbleSize val="0"/>
        </c:dLbls>
        <c:gapWidth val="100"/>
        <c:axId val="486749784"/>
        <c:axId val="486753744"/>
      </c:barChart>
      <c:catAx>
        <c:axId val="48674978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53744"/>
        <c:crosses val="autoZero"/>
        <c:auto val="1"/>
        <c:lblAlgn val="ctr"/>
        <c:lblOffset val="100"/>
        <c:tickLblSkip val="1"/>
        <c:noMultiLvlLbl val="0"/>
      </c:catAx>
      <c:valAx>
        <c:axId val="48675374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49784"/>
        <c:crosses val="autoZero"/>
        <c:crossBetween val="between"/>
        <c:majorUnit val="0.5"/>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7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140444100929101"/>
          <c:y val="3.3794875986522449E-2"/>
          <c:w val="0.85867955795687434"/>
          <c:h val="0.78896475310828362"/>
        </c:manualLayout>
      </c:layout>
      <c:lineChart>
        <c:grouping val="standard"/>
        <c:varyColors val="0"/>
        <c:ser>
          <c:idx val="0"/>
          <c:order val="0"/>
          <c:tx>
            <c:strRef>
              <c:f>Sheet1!$B$1</c:f>
              <c:strCache>
                <c:ptCount val="1"/>
                <c:pt idx="0">
                  <c:v>Investīcijas</c:v>
                </c:pt>
              </c:strCache>
            </c:strRef>
          </c:tx>
          <c:spPr>
            <a:ln w="47625" cap="rnd">
              <a:solidFill>
                <a:schemeClr val="accent1"/>
              </a:solidFill>
              <a:round/>
            </a:ln>
            <a:effectLst/>
          </c:spPr>
          <c:marker>
            <c:symbol val="none"/>
          </c:marker>
          <c:cat>
            <c:strRef>
              <c:f>Sheet1!$A$2:$A$7</c:f>
              <c:strCache>
                <c:ptCount val="6"/>
                <c:pt idx="0">
                  <c:v>2025-2029</c:v>
                </c:pt>
                <c:pt idx="1">
                  <c:v>2030-2034</c:v>
                </c:pt>
                <c:pt idx="2">
                  <c:v>2035-2039</c:v>
                </c:pt>
                <c:pt idx="3">
                  <c:v>2040-2044</c:v>
                </c:pt>
                <c:pt idx="4">
                  <c:v>2045-2049</c:v>
                </c:pt>
                <c:pt idx="5">
                  <c:v>2050-</c:v>
                </c:pt>
              </c:strCache>
            </c:strRef>
          </c:cat>
          <c:val>
            <c:numRef>
              <c:f>Sheet1!$B$2:$B$7</c:f>
              <c:numCache>
                <c:formatCode>0.00</c:formatCode>
                <c:ptCount val="6"/>
                <c:pt idx="0">
                  <c:v>3.3659560728504134</c:v>
                </c:pt>
                <c:pt idx="1">
                  <c:v>3.5</c:v>
                </c:pt>
                <c:pt idx="2">
                  <c:v>3.6344757410493145</c:v>
                </c:pt>
                <c:pt idx="3">
                  <c:v>3.5681140895389429</c:v>
                </c:pt>
                <c:pt idx="4">
                  <c:v>3.5104580842790778</c:v>
                </c:pt>
                <c:pt idx="5">
                  <c:v>3.4258082812805624</c:v>
                </c:pt>
              </c:numCache>
            </c:numRef>
          </c:val>
          <c:smooth val="0"/>
          <c:extLst>
            <c:ext xmlns:c16="http://schemas.microsoft.com/office/drawing/2014/chart" uri="{C3380CC4-5D6E-409C-BE32-E72D297353CC}">
              <c16:uniqueId val="{00000000-79AB-423E-A01D-07D14F7BF480}"/>
            </c:ext>
          </c:extLst>
        </c:ser>
        <c:ser>
          <c:idx val="1"/>
          <c:order val="1"/>
          <c:tx>
            <c:strRef>
              <c:f>Sheet1!$C$1</c:f>
              <c:strCache>
                <c:ptCount val="1"/>
                <c:pt idx="0">
                  <c:v>Publiskais patēriņš</c:v>
                </c:pt>
              </c:strCache>
            </c:strRef>
          </c:tx>
          <c:spPr>
            <a:ln w="47625" cap="rnd">
              <a:solidFill>
                <a:schemeClr val="accent2"/>
              </a:solidFill>
              <a:round/>
            </a:ln>
            <a:effectLst/>
          </c:spPr>
          <c:marker>
            <c:symbol val="none"/>
          </c:marker>
          <c:cat>
            <c:strRef>
              <c:f>Sheet1!$A$2:$A$7</c:f>
              <c:strCache>
                <c:ptCount val="6"/>
                <c:pt idx="0">
                  <c:v>2025-2029</c:v>
                </c:pt>
                <c:pt idx="1">
                  <c:v>2030-2034</c:v>
                </c:pt>
                <c:pt idx="2">
                  <c:v>2035-2039</c:v>
                </c:pt>
                <c:pt idx="3">
                  <c:v>2040-2044</c:v>
                </c:pt>
                <c:pt idx="4">
                  <c:v>2045-2049</c:v>
                </c:pt>
                <c:pt idx="5">
                  <c:v>2050-</c:v>
                </c:pt>
              </c:strCache>
            </c:strRef>
          </c:cat>
          <c:val>
            <c:numRef>
              <c:f>Sheet1!$C$2:$C$7</c:f>
              <c:numCache>
                <c:formatCode>General</c:formatCode>
                <c:ptCount val="6"/>
                <c:pt idx="0">
                  <c:v>0</c:v>
                </c:pt>
                <c:pt idx="1">
                  <c:v>0</c:v>
                </c:pt>
                <c:pt idx="2">
                  <c:v>0</c:v>
                </c:pt>
                <c:pt idx="3">
                  <c:v>0</c:v>
                </c:pt>
                <c:pt idx="4">
                  <c:v>0</c:v>
                </c:pt>
                <c:pt idx="5">
                  <c:v>0</c:v>
                </c:pt>
              </c:numCache>
            </c:numRef>
          </c:val>
          <c:smooth val="0"/>
          <c:extLst>
            <c:ext xmlns:c16="http://schemas.microsoft.com/office/drawing/2014/chart" uri="{C3380CC4-5D6E-409C-BE32-E72D297353CC}">
              <c16:uniqueId val="{00000001-79AB-423E-A01D-07D14F7BF480}"/>
            </c:ext>
          </c:extLst>
        </c:ser>
        <c:ser>
          <c:idx val="2"/>
          <c:order val="2"/>
          <c:tx>
            <c:strRef>
              <c:f>Sheet1!$D$1</c:f>
              <c:strCache>
                <c:ptCount val="1"/>
                <c:pt idx="0">
                  <c:v>Privātais patēriņš</c:v>
                </c:pt>
              </c:strCache>
            </c:strRef>
          </c:tx>
          <c:spPr>
            <a:ln w="47625" cap="rnd">
              <a:solidFill>
                <a:schemeClr val="accent3"/>
              </a:solidFill>
              <a:round/>
            </a:ln>
            <a:effectLst/>
          </c:spPr>
          <c:marker>
            <c:symbol val="none"/>
          </c:marker>
          <c:cat>
            <c:strRef>
              <c:f>Sheet1!$A$2:$A$7</c:f>
              <c:strCache>
                <c:ptCount val="6"/>
                <c:pt idx="0">
                  <c:v>2025-2029</c:v>
                </c:pt>
                <c:pt idx="1">
                  <c:v>2030-2034</c:v>
                </c:pt>
                <c:pt idx="2">
                  <c:v>2035-2039</c:v>
                </c:pt>
                <c:pt idx="3">
                  <c:v>2040-2044</c:v>
                </c:pt>
                <c:pt idx="4">
                  <c:v>2045-2049</c:v>
                </c:pt>
                <c:pt idx="5">
                  <c:v>2050-</c:v>
                </c:pt>
              </c:strCache>
            </c:strRef>
          </c:cat>
          <c:val>
            <c:numRef>
              <c:f>Sheet1!$D$2:$D$7</c:f>
              <c:numCache>
                <c:formatCode>0.00</c:formatCode>
                <c:ptCount val="6"/>
                <c:pt idx="0">
                  <c:v>1.4148858818307852</c:v>
                </c:pt>
                <c:pt idx="1">
                  <c:v>3.4336283341706686</c:v>
                </c:pt>
                <c:pt idx="2">
                  <c:v>3.3702925221161806</c:v>
                </c:pt>
                <c:pt idx="3">
                  <c:v>2.8909837481976286</c:v>
                </c:pt>
                <c:pt idx="4">
                  <c:v>2.6455832903647947</c:v>
                </c:pt>
                <c:pt idx="5">
                  <c:v>2.3770196678518429</c:v>
                </c:pt>
              </c:numCache>
            </c:numRef>
          </c:val>
          <c:smooth val="0"/>
          <c:extLst>
            <c:ext xmlns:c16="http://schemas.microsoft.com/office/drawing/2014/chart" uri="{C3380CC4-5D6E-409C-BE32-E72D297353CC}">
              <c16:uniqueId val="{00000002-79AB-423E-A01D-07D14F7BF480}"/>
            </c:ext>
          </c:extLst>
        </c:ser>
        <c:dLbls>
          <c:showLegendKey val="0"/>
          <c:showVal val="0"/>
          <c:showCatName val="0"/>
          <c:showSerName val="0"/>
          <c:showPercent val="0"/>
          <c:showBubbleSize val="0"/>
        </c:dLbls>
        <c:smooth val="0"/>
        <c:axId val="486734304"/>
        <c:axId val="486735744"/>
      </c:lineChart>
      <c:catAx>
        <c:axId val="48673430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35744"/>
        <c:crosses val="autoZero"/>
        <c:auto val="1"/>
        <c:lblAlgn val="ctr"/>
        <c:lblOffset val="100"/>
        <c:tickLblSkip val="1"/>
        <c:noMultiLvlLbl val="0"/>
      </c:catAx>
      <c:valAx>
        <c:axId val="4867357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34304"/>
        <c:crosses val="autoZero"/>
        <c:crossBetween val="between"/>
        <c:majorUnit val="1"/>
      </c:valAx>
      <c:spPr>
        <a:noFill/>
        <a:ln>
          <a:noFill/>
        </a:ln>
        <a:effectLst/>
      </c:spPr>
    </c:plotArea>
    <c:legend>
      <c:legendPos val="b"/>
      <c:layout>
        <c:manualLayout>
          <c:xMode val="edge"/>
          <c:yMode val="edge"/>
          <c:x val="0.27217259424141094"/>
          <c:y val="0.44986490772746324"/>
          <c:w val="0.57535706809654941"/>
          <c:h val="0.25067850947697284"/>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7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5255728169114"/>
          <c:y val="5.2169478815148107E-2"/>
          <c:w val="0.83841222549883976"/>
          <c:h val="0.91682506353372495"/>
        </c:manualLayout>
      </c:layout>
      <c:lineChart>
        <c:grouping val="standard"/>
        <c:varyColors val="0"/>
        <c:ser>
          <c:idx val="0"/>
          <c:order val="0"/>
          <c:tx>
            <c:strRef>
              <c:f>Sheet1!$B$1</c:f>
              <c:strCache>
                <c:ptCount val="1"/>
                <c:pt idx="0">
                  <c:v>Eksports</c:v>
                </c:pt>
              </c:strCache>
            </c:strRef>
          </c:tx>
          <c:spPr>
            <a:ln w="28575" cap="rnd">
              <a:solidFill>
                <a:schemeClr val="accent1"/>
              </a:solidFill>
              <a:round/>
            </a:ln>
            <a:effectLst/>
          </c:spPr>
          <c:marker>
            <c:symbol val="none"/>
          </c:marker>
          <c:cat>
            <c:strRef>
              <c:f>Sheet1!$A$2:$A$7</c:f>
              <c:strCache>
                <c:ptCount val="6"/>
                <c:pt idx="0">
                  <c:v>2025-2029</c:v>
                </c:pt>
                <c:pt idx="1">
                  <c:v>2030-2034</c:v>
                </c:pt>
                <c:pt idx="2">
                  <c:v>2035-2039</c:v>
                </c:pt>
                <c:pt idx="3">
                  <c:v>2040-2044</c:v>
                </c:pt>
                <c:pt idx="4">
                  <c:v>2045-2049</c:v>
                </c:pt>
                <c:pt idx="5">
                  <c:v>2050-</c:v>
                </c:pt>
              </c:strCache>
            </c:strRef>
          </c:cat>
          <c:val>
            <c:numRef>
              <c:f>Sheet1!$B$2:$B$7</c:f>
              <c:numCache>
                <c:formatCode>General</c:formatCode>
                <c:ptCount val="6"/>
                <c:pt idx="0">
                  <c:v>-0.64119997071943935</c:v>
                </c:pt>
                <c:pt idx="1">
                  <c:v>1.4267722552637307</c:v>
                </c:pt>
                <c:pt idx="2">
                  <c:v>2.5630375753054491</c:v>
                </c:pt>
                <c:pt idx="3">
                  <c:v>2.7816724044553931</c:v>
                </c:pt>
                <c:pt idx="4">
                  <c:v>2.9208987568121403</c:v>
                </c:pt>
                <c:pt idx="5">
                  <c:v>3.0874122408726556</c:v>
                </c:pt>
              </c:numCache>
            </c:numRef>
          </c:val>
          <c:smooth val="0"/>
          <c:extLst>
            <c:ext xmlns:c16="http://schemas.microsoft.com/office/drawing/2014/chart" uri="{C3380CC4-5D6E-409C-BE32-E72D297353CC}">
              <c16:uniqueId val="{00000000-D964-4BA3-B5BA-A01D6E83DED0}"/>
            </c:ext>
          </c:extLst>
        </c:ser>
        <c:ser>
          <c:idx val="1"/>
          <c:order val="1"/>
          <c:tx>
            <c:strRef>
              <c:f>Sheet1!$C$1</c:f>
              <c:strCache>
                <c:ptCount val="1"/>
                <c:pt idx="0">
                  <c:v>Imports</c:v>
                </c:pt>
              </c:strCache>
            </c:strRef>
          </c:tx>
          <c:spPr>
            <a:ln w="28575" cap="rnd">
              <a:solidFill>
                <a:schemeClr val="accent2"/>
              </a:solidFill>
              <a:round/>
            </a:ln>
            <a:effectLst/>
          </c:spPr>
          <c:marker>
            <c:symbol val="none"/>
          </c:marker>
          <c:cat>
            <c:strRef>
              <c:f>Sheet1!$A$2:$A$7</c:f>
              <c:strCache>
                <c:ptCount val="6"/>
                <c:pt idx="0">
                  <c:v>2025-2029</c:v>
                </c:pt>
                <c:pt idx="1">
                  <c:v>2030-2034</c:v>
                </c:pt>
                <c:pt idx="2">
                  <c:v>2035-2039</c:v>
                </c:pt>
                <c:pt idx="3">
                  <c:v>2040-2044</c:v>
                </c:pt>
                <c:pt idx="4">
                  <c:v>2045-2049</c:v>
                </c:pt>
                <c:pt idx="5">
                  <c:v>2050-</c:v>
                </c:pt>
              </c:strCache>
            </c:strRef>
          </c:cat>
          <c:val>
            <c:numRef>
              <c:f>Sheet1!$C$2:$C$7</c:f>
              <c:numCache>
                <c:formatCode>General</c:formatCode>
                <c:ptCount val="6"/>
                <c:pt idx="0">
                  <c:v>0.63304586890959857</c:v>
                </c:pt>
                <c:pt idx="1">
                  <c:v>2.6347742657373496</c:v>
                </c:pt>
                <c:pt idx="2">
                  <c:v>2.3971129766098276</c:v>
                </c:pt>
                <c:pt idx="3">
                  <c:v>2.1988144159799772</c:v>
                </c:pt>
                <c:pt idx="4">
                  <c:v>2.1068495319591651</c:v>
                </c:pt>
                <c:pt idx="5">
                  <c:v>1.9954653182405524</c:v>
                </c:pt>
              </c:numCache>
            </c:numRef>
          </c:val>
          <c:smooth val="0"/>
          <c:extLst>
            <c:ext xmlns:c16="http://schemas.microsoft.com/office/drawing/2014/chart" uri="{C3380CC4-5D6E-409C-BE32-E72D297353CC}">
              <c16:uniqueId val="{00000001-D964-4BA3-B5BA-A01D6E83DED0}"/>
            </c:ext>
          </c:extLst>
        </c:ser>
        <c:dLbls>
          <c:showLegendKey val="0"/>
          <c:showVal val="0"/>
          <c:showCatName val="0"/>
          <c:showSerName val="0"/>
          <c:showPercent val="0"/>
          <c:showBubbleSize val="0"/>
        </c:dLbls>
        <c:smooth val="0"/>
        <c:axId val="491415192"/>
        <c:axId val="491416272"/>
      </c:lineChart>
      <c:catAx>
        <c:axId val="491415192"/>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chemeClr val="tx1">
                    <a:lumMod val="65000"/>
                    <a:lumOff val="35000"/>
                  </a:schemeClr>
                </a:solidFill>
                <a:latin typeface="+mj-lt"/>
                <a:ea typeface="+mn-ea"/>
                <a:cs typeface="+mn-cs"/>
              </a:defRPr>
            </a:pPr>
            <a:endParaRPr lang="en-US"/>
          </a:p>
        </c:txPr>
        <c:crossAx val="491416272"/>
        <c:crosses val="autoZero"/>
        <c:auto val="1"/>
        <c:lblAlgn val="ctr"/>
        <c:lblOffset val="100"/>
        <c:tickLblSkip val="1"/>
        <c:noMultiLvlLbl val="0"/>
      </c:catAx>
      <c:valAx>
        <c:axId val="4914162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j-lt"/>
                <a:ea typeface="+mn-ea"/>
                <a:cs typeface="+mn-cs"/>
              </a:defRPr>
            </a:pPr>
            <a:endParaRPr lang="en-US"/>
          </a:p>
        </c:txPr>
        <c:crossAx val="491415192"/>
        <c:crosses val="autoZero"/>
        <c:crossBetween val="between"/>
        <c:majorUnit val="1"/>
      </c:valAx>
      <c:spPr>
        <a:noFill/>
        <a:ln>
          <a:noFill/>
        </a:ln>
        <a:effectLst/>
      </c:spPr>
    </c:plotArea>
    <c:legend>
      <c:legendPos val="b"/>
      <c:layout>
        <c:manualLayout>
          <c:xMode val="edge"/>
          <c:yMode val="edge"/>
          <c:x val="0.20483105526030465"/>
          <c:y val="0.71660921755409956"/>
          <c:w val="0.78882072173410756"/>
          <c:h val="8.6787484897721118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j-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latin typeface="+mj-lt"/>
        </a:defRPr>
      </a:pPr>
      <a:endParaRPr lang="en-US"/>
    </a:p>
  </c:txPr>
  <c:externalData r:id="rId3">
    <c:autoUpdate val="0"/>
  </c:externalData>
</c:chartSpace>
</file>

<file path=word/charts/chart7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9533383255047"/>
          <c:y val="5.6021139249485707E-2"/>
          <c:w val="0.86299506770869083"/>
          <c:h val="0.77092998510321342"/>
        </c:manualLayout>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Sheet1!$A$2:$A$7</c:f>
              <c:strCache>
                <c:ptCount val="6"/>
                <c:pt idx="0">
                  <c:v>2025-2029</c:v>
                </c:pt>
                <c:pt idx="1">
                  <c:v>2030-2034</c:v>
                </c:pt>
                <c:pt idx="2">
                  <c:v>2035-2039</c:v>
                </c:pt>
                <c:pt idx="3">
                  <c:v>2040-2044</c:v>
                </c:pt>
                <c:pt idx="4">
                  <c:v>2045-2049</c:v>
                </c:pt>
                <c:pt idx="5">
                  <c:v>2050-</c:v>
                </c:pt>
              </c:strCache>
            </c:strRef>
          </c:cat>
          <c:val>
            <c:numRef>
              <c:f>Sheet1!$B$2:$B$7</c:f>
              <c:numCache>
                <c:formatCode>General</c:formatCode>
                <c:ptCount val="6"/>
                <c:pt idx="0">
                  <c:v>-0.64059999999999984</c:v>
                </c:pt>
                <c:pt idx="1">
                  <c:v>-0.65500000000000003</c:v>
                </c:pt>
                <c:pt idx="2">
                  <c:v>7.9999999999999863E-2</c:v>
                </c:pt>
                <c:pt idx="3">
                  <c:v>0.2960000000000001</c:v>
                </c:pt>
                <c:pt idx="4">
                  <c:v>0.41899999999999993</c:v>
                </c:pt>
                <c:pt idx="5">
                  <c:v>0.56899999999999995</c:v>
                </c:pt>
              </c:numCache>
            </c:numRef>
          </c:val>
          <c:extLst>
            <c:ext xmlns:c16="http://schemas.microsoft.com/office/drawing/2014/chart" uri="{C3380CC4-5D6E-409C-BE32-E72D297353CC}">
              <c16:uniqueId val="{00000000-5F98-4647-94A5-DE2C6127E59C}"/>
            </c:ext>
          </c:extLst>
        </c:ser>
        <c:dLbls>
          <c:showLegendKey val="0"/>
          <c:showVal val="0"/>
          <c:showCatName val="0"/>
          <c:showSerName val="0"/>
          <c:showPercent val="0"/>
          <c:showBubbleSize val="0"/>
        </c:dLbls>
        <c:gapWidth val="100"/>
        <c:axId val="486749784"/>
        <c:axId val="486753744"/>
      </c:barChart>
      <c:catAx>
        <c:axId val="48674978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chemeClr val="tx1">
                    <a:lumMod val="65000"/>
                    <a:lumOff val="35000"/>
                  </a:schemeClr>
                </a:solidFill>
                <a:latin typeface="+mj-lt"/>
                <a:ea typeface="+mn-ea"/>
                <a:cs typeface="+mn-cs"/>
              </a:defRPr>
            </a:pPr>
            <a:endParaRPr lang="en-US"/>
          </a:p>
        </c:txPr>
        <c:crossAx val="486753744"/>
        <c:crosses val="autoZero"/>
        <c:auto val="1"/>
        <c:lblAlgn val="ctr"/>
        <c:lblOffset val="100"/>
        <c:tickLblSkip val="1"/>
        <c:noMultiLvlLbl val="0"/>
      </c:catAx>
      <c:valAx>
        <c:axId val="486753744"/>
        <c:scaling>
          <c:orientation val="minMax"/>
          <c:min val="-1"/>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j-lt"/>
                <a:ea typeface="+mn-ea"/>
                <a:cs typeface="+mn-cs"/>
              </a:defRPr>
            </a:pPr>
            <a:endParaRPr lang="en-US"/>
          </a:p>
        </c:txPr>
        <c:crossAx val="486749784"/>
        <c:crosses val="autoZero"/>
        <c:crossBetween val="between"/>
        <c:majorUnit val="0.5"/>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latin typeface="+mj-lt"/>
        </a:defRPr>
      </a:pPr>
      <a:endParaRPr lang="en-US"/>
    </a:p>
  </c:txPr>
  <c:externalData r:id="rId3">
    <c:autoUpdate val="0"/>
  </c:externalData>
</c:chartSpace>
</file>

<file path=word/charts/chart7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083989501312337"/>
          <c:y val="4.2507625735972186E-2"/>
          <c:w val="0.86243230996776865"/>
          <c:h val="0.7844434986167268"/>
        </c:manualLayout>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Sheet1!$A$2:$A$7</c:f>
              <c:strCache>
                <c:ptCount val="6"/>
                <c:pt idx="0">
                  <c:v>2025-2029</c:v>
                </c:pt>
                <c:pt idx="1">
                  <c:v>2030-2034</c:v>
                </c:pt>
                <c:pt idx="2">
                  <c:v>2035-2039</c:v>
                </c:pt>
                <c:pt idx="3">
                  <c:v>2040-2044</c:v>
                </c:pt>
                <c:pt idx="4">
                  <c:v>2045-2049</c:v>
                </c:pt>
                <c:pt idx="5">
                  <c:v>2050-</c:v>
                </c:pt>
              </c:strCache>
            </c:strRef>
          </c:cat>
          <c:val>
            <c:numRef>
              <c:f>Sheet1!$B$2:$B$7</c:f>
              <c:numCache>
                <c:formatCode>General</c:formatCode>
                <c:ptCount val="6"/>
                <c:pt idx="0">
                  <c:v>1.0099442655597368</c:v>
                </c:pt>
                <c:pt idx="1">
                  <c:v>1.5549582764589065</c:v>
                </c:pt>
                <c:pt idx="2">
                  <c:v>1.6339377145955014</c:v>
                </c:pt>
                <c:pt idx="3">
                  <c:v>1.6041360782231173</c:v>
                </c:pt>
                <c:pt idx="4">
                  <c:v>1.6420527345067049</c:v>
                </c:pt>
                <c:pt idx="5">
                  <c:v>1.6499054253984458</c:v>
                </c:pt>
              </c:numCache>
            </c:numRef>
          </c:val>
          <c:extLst>
            <c:ext xmlns:c16="http://schemas.microsoft.com/office/drawing/2014/chart" uri="{C3380CC4-5D6E-409C-BE32-E72D297353CC}">
              <c16:uniqueId val="{00000000-1CD5-4A5B-9EC2-FF5A493878CE}"/>
            </c:ext>
          </c:extLst>
        </c:ser>
        <c:dLbls>
          <c:showLegendKey val="0"/>
          <c:showVal val="0"/>
          <c:showCatName val="0"/>
          <c:showSerName val="0"/>
          <c:showPercent val="0"/>
          <c:showBubbleSize val="0"/>
        </c:dLbls>
        <c:gapWidth val="100"/>
        <c:axId val="486749784"/>
        <c:axId val="486753744"/>
      </c:barChart>
      <c:catAx>
        <c:axId val="48674978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53744"/>
        <c:crosses val="autoZero"/>
        <c:auto val="1"/>
        <c:lblAlgn val="ctr"/>
        <c:lblOffset val="100"/>
        <c:tickLblSkip val="1"/>
        <c:noMultiLvlLbl val="0"/>
      </c:catAx>
      <c:valAx>
        <c:axId val="486753744"/>
        <c:scaling>
          <c:orientation val="minMax"/>
          <c:max val="2"/>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49784"/>
        <c:crosses val="autoZero"/>
        <c:crossBetween val="between"/>
        <c:majorUnit val="0.5"/>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7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9533383255047"/>
          <c:y val="5.6021139249485707E-2"/>
          <c:w val="0.86714616775020181"/>
          <c:h val="0.77092998510321342"/>
        </c:manualLayout>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Sheet1!$A$2:$A$7</c:f>
              <c:strCache>
                <c:ptCount val="6"/>
                <c:pt idx="0">
                  <c:v>2025-2029</c:v>
                </c:pt>
                <c:pt idx="1">
                  <c:v>2030-2034</c:v>
                </c:pt>
                <c:pt idx="2">
                  <c:v>2035-2039</c:v>
                </c:pt>
                <c:pt idx="3">
                  <c:v>2040-2044</c:v>
                </c:pt>
                <c:pt idx="4">
                  <c:v>2045-2049</c:v>
                </c:pt>
                <c:pt idx="5">
                  <c:v>2050-</c:v>
                </c:pt>
              </c:strCache>
            </c:strRef>
          </c:cat>
          <c:val>
            <c:numRef>
              <c:f>Sheet1!$B$2:$B$7</c:f>
              <c:numCache>
                <c:formatCode>General</c:formatCode>
                <c:ptCount val="6"/>
                <c:pt idx="0">
                  <c:v>-0.86799999999999933</c:v>
                </c:pt>
                <c:pt idx="1">
                  <c:v>-1.2520000000000002</c:v>
                </c:pt>
                <c:pt idx="2">
                  <c:v>-1.2529999999999986</c:v>
                </c:pt>
                <c:pt idx="3">
                  <c:v>-1.1980000000000017</c:v>
                </c:pt>
                <c:pt idx="4">
                  <c:v>-1.1400000000000021</c:v>
                </c:pt>
                <c:pt idx="5">
                  <c:v>-1.0320000000000051</c:v>
                </c:pt>
              </c:numCache>
            </c:numRef>
          </c:val>
          <c:extLst>
            <c:ext xmlns:c16="http://schemas.microsoft.com/office/drawing/2014/chart" uri="{C3380CC4-5D6E-409C-BE32-E72D297353CC}">
              <c16:uniqueId val="{00000000-7890-456A-82AF-F2B560A7E764}"/>
            </c:ext>
          </c:extLst>
        </c:ser>
        <c:dLbls>
          <c:showLegendKey val="0"/>
          <c:showVal val="0"/>
          <c:showCatName val="0"/>
          <c:showSerName val="0"/>
          <c:showPercent val="0"/>
          <c:showBubbleSize val="0"/>
        </c:dLbls>
        <c:gapWidth val="100"/>
        <c:axId val="486749784"/>
        <c:axId val="486753744"/>
      </c:barChart>
      <c:catAx>
        <c:axId val="48674978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53744"/>
        <c:crosses val="autoZero"/>
        <c:auto val="1"/>
        <c:lblAlgn val="ctr"/>
        <c:lblOffset val="100"/>
        <c:tickLblSkip val="1"/>
        <c:noMultiLvlLbl val="0"/>
      </c:catAx>
      <c:valAx>
        <c:axId val="486753744"/>
        <c:scaling>
          <c:orientation val="minMax"/>
          <c:max val="0"/>
          <c:min val="-1.5"/>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49784"/>
        <c:crosses val="autoZero"/>
        <c:crossBetween val="between"/>
        <c:majorUnit val="0.5"/>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7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9533383255047"/>
          <c:y val="5.6021139249485707E-2"/>
          <c:w val="0.86299506770869083"/>
          <c:h val="0.77092998510321342"/>
        </c:manualLayout>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Sheet1!$A$2:$A$7</c:f>
              <c:strCache>
                <c:ptCount val="6"/>
                <c:pt idx="0">
                  <c:v>2025-2029</c:v>
                </c:pt>
                <c:pt idx="1">
                  <c:v>2030-2034</c:v>
                </c:pt>
                <c:pt idx="2">
                  <c:v>2035-2039</c:v>
                </c:pt>
                <c:pt idx="3">
                  <c:v>2040-2044</c:v>
                </c:pt>
                <c:pt idx="4">
                  <c:v>2045-2049</c:v>
                </c:pt>
                <c:pt idx="5">
                  <c:v>2050-</c:v>
                </c:pt>
              </c:strCache>
            </c:strRef>
          </c:cat>
          <c:val>
            <c:numRef>
              <c:f>Sheet1!$B$2:$B$7</c:f>
              <c:numCache>
                <c:formatCode>General</c:formatCode>
                <c:ptCount val="6"/>
                <c:pt idx="0">
                  <c:v>0.35951244408416461</c:v>
                </c:pt>
                <c:pt idx="1">
                  <c:v>0.39104616328426989</c:v>
                </c:pt>
                <c:pt idx="2">
                  <c:v>0.2894157194716751</c:v>
                </c:pt>
                <c:pt idx="3">
                  <c:v>0.20961952241080883</c:v>
                </c:pt>
                <c:pt idx="4">
                  <c:v>0.11898923469015887</c:v>
                </c:pt>
                <c:pt idx="5">
                  <c:v>3.0009514606033072E-2</c:v>
                </c:pt>
              </c:numCache>
            </c:numRef>
          </c:val>
          <c:extLst>
            <c:ext xmlns:c16="http://schemas.microsoft.com/office/drawing/2014/chart" uri="{C3380CC4-5D6E-409C-BE32-E72D297353CC}">
              <c16:uniqueId val="{00000000-F83F-40E1-AD14-307517193C79}"/>
            </c:ext>
          </c:extLst>
        </c:ser>
        <c:dLbls>
          <c:showLegendKey val="0"/>
          <c:showVal val="0"/>
          <c:showCatName val="0"/>
          <c:showSerName val="0"/>
          <c:showPercent val="0"/>
          <c:showBubbleSize val="0"/>
        </c:dLbls>
        <c:gapWidth val="100"/>
        <c:axId val="486749784"/>
        <c:axId val="486753744"/>
      </c:barChart>
      <c:catAx>
        <c:axId val="48674978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53744"/>
        <c:crosses val="autoZero"/>
        <c:auto val="1"/>
        <c:lblAlgn val="ctr"/>
        <c:lblOffset val="100"/>
        <c:tickLblSkip val="1"/>
        <c:noMultiLvlLbl val="0"/>
      </c:catAx>
      <c:valAx>
        <c:axId val="486753744"/>
        <c:scaling>
          <c:orientation val="minMax"/>
          <c:max val="0.4"/>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49784"/>
        <c:crosses val="autoZero"/>
        <c:crossBetween val="between"/>
        <c:majorUnit val="0.1"/>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745406824146981"/>
          <c:y val="7.407407407407407E-2"/>
          <c:w val="0.74770558356464434"/>
          <c:h val="0.80915247252429245"/>
        </c:manualLayout>
      </c:layout>
      <c:lineChart>
        <c:grouping val="standard"/>
        <c:varyColors val="0"/>
        <c:ser>
          <c:idx val="0"/>
          <c:order val="0"/>
          <c:tx>
            <c:strRef>
              <c:f>Sheet1!$A$2</c:f>
              <c:strCache>
                <c:ptCount val="1"/>
                <c:pt idx="0">
                  <c:v>SEG emisijas</c:v>
                </c:pt>
              </c:strCache>
            </c:strRef>
          </c:tx>
          <c:spPr>
            <a:ln w="28575" cap="rnd">
              <a:solidFill>
                <a:schemeClr val="accent1"/>
              </a:solidFill>
              <a:round/>
            </a:ln>
            <a:effectLst/>
          </c:spPr>
          <c:marker>
            <c:symbol val="none"/>
          </c:marker>
          <c:cat>
            <c:strRef>
              <c:f>Sheet1!$B$1:$N$1</c:f>
              <c:strCach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strCache>
            </c:strRef>
          </c:cat>
          <c:val>
            <c:numRef>
              <c:f>Sheet1!$B$2:$N$2</c:f>
              <c:numCache>
                <c:formatCode>0</c:formatCode>
                <c:ptCount val="13"/>
                <c:pt idx="0">
                  <c:v>11420.17081</c:v>
                </c:pt>
                <c:pt idx="1">
                  <c:v>10665.13551</c:v>
                </c:pt>
                <c:pt idx="2">
                  <c:v>10408.555979999999</c:v>
                </c:pt>
                <c:pt idx="3">
                  <c:v>10155.433429999999</c:v>
                </c:pt>
                <c:pt idx="4">
                  <c:v>10086.67454</c:v>
                </c:pt>
                <c:pt idx="5">
                  <c:v>10367.294</c:v>
                </c:pt>
                <c:pt idx="6">
                  <c:v>10250.94102</c:v>
                </c:pt>
                <c:pt idx="7">
                  <c:v>10387.706819999999</c:v>
                </c:pt>
                <c:pt idx="8">
                  <c:v>10862.60526</c:v>
                </c:pt>
                <c:pt idx="9">
                  <c:v>10875.509550000001</c:v>
                </c:pt>
                <c:pt idx="10">
                  <c:v>9390.1926500000009</c:v>
                </c:pt>
                <c:pt idx="11">
                  <c:v>9670.0155200000008</c:v>
                </c:pt>
                <c:pt idx="12">
                  <c:v>9290.4634499999993</c:v>
                </c:pt>
              </c:numCache>
            </c:numRef>
          </c:val>
          <c:smooth val="0"/>
          <c:extLst>
            <c:ext xmlns:c16="http://schemas.microsoft.com/office/drawing/2014/chart" uri="{C3380CC4-5D6E-409C-BE32-E72D297353CC}">
              <c16:uniqueId val="{00000000-3795-4BAC-9A41-BDAFFAE2945C}"/>
            </c:ext>
          </c:extLst>
        </c:ser>
        <c:dLbls>
          <c:showLegendKey val="0"/>
          <c:showVal val="0"/>
          <c:showCatName val="0"/>
          <c:showSerName val="0"/>
          <c:showPercent val="0"/>
          <c:showBubbleSize val="0"/>
        </c:dLbls>
        <c:marker val="1"/>
        <c:smooth val="0"/>
        <c:axId val="1265740688"/>
        <c:axId val="1265724368"/>
      </c:lineChart>
      <c:lineChart>
        <c:grouping val="standard"/>
        <c:varyColors val="0"/>
        <c:ser>
          <c:idx val="1"/>
          <c:order val="1"/>
          <c:tx>
            <c:strRef>
              <c:f>Sheet1!$A$3</c:f>
              <c:strCache>
                <c:ptCount val="1"/>
                <c:pt idx="0">
                  <c:v>SEG emisiju intensitāte (kg. uz 1 euro PV faktiskajās cenās) (labā ass)</c:v>
                </c:pt>
              </c:strCache>
            </c:strRef>
          </c:tx>
          <c:spPr>
            <a:ln w="28575" cap="rnd">
              <a:solidFill>
                <a:schemeClr val="accent2"/>
              </a:solidFill>
              <a:round/>
            </a:ln>
            <a:effectLst/>
          </c:spPr>
          <c:marker>
            <c:symbol val="none"/>
          </c:marker>
          <c:cat>
            <c:strRef>
              <c:f>Sheet1!$B$1:$N$1</c:f>
              <c:strCach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strCache>
            </c:strRef>
          </c:cat>
          <c:val>
            <c:numRef>
              <c:f>Sheet1!$B$3:$N$3</c:f>
              <c:numCache>
                <c:formatCode>#\ ##0.##</c:formatCode>
                <c:ptCount val="13"/>
                <c:pt idx="0">
                  <c:v>0.71541999999999994</c:v>
                </c:pt>
                <c:pt idx="1">
                  <c:v>0.61251</c:v>
                </c:pt>
                <c:pt idx="2">
                  <c:v>0.53225</c:v>
                </c:pt>
                <c:pt idx="3">
                  <c:v>0.50595000000000001</c:v>
                </c:pt>
                <c:pt idx="4">
                  <c:v>0.48487000000000002</c:v>
                </c:pt>
                <c:pt idx="5">
                  <c:v>0.47966999999999999</c:v>
                </c:pt>
                <c:pt idx="6">
                  <c:v>0.46244000000000002</c:v>
                </c:pt>
                <c:pt idx="7">
                  <c:v>0.44063999999999998</c:v>
                </c:pt>
                <c:pt idx="8">
                  <c:v>0.42923</c:v>
                </c:pt>
                <c:pt idx="9">
                  <c:v>0.40859000000000001</c:v>
                </c:pt>
                <c:pt idx="10">
                  <c:v>0.35730000000000001</c:v>
                </c:pt>
                <c:pt idx="11">
                  <c:v>0.33177000000000001</c:v>
                </c:pt>
                <c:pt idx="12">
                  <c:v>0.27081</c:v>
                </c:pt>
              </c:numCache>
            </c:numRef>
          </c:val>
          <c:smooth val="0"/>
          <c:extLst>
            <c:ext xmlns:c16="http://schemas.microsoft.com/office/drawing/2014/chart" uri="{C3380CC4-5D6E-409C-BE32-E72D297353CC}">
              <c16:uniqueId val="{00000001-3795-4BAC-9A41-BDAFFAE2945C}"/>
            </c:ext>
          </c:extLst>
        </c:ser>
        <c:dLbls>
          <c:showLegendKey val="0"/>
          <c:showVal val="0"/>
          <c:showCatName val="0"/>
          <c:showSerName val="0"/>
          <c:showPercent val="0"/>
          <c:showBubbleSize val="0"/>
        </c:dLbls>
        <c:marker val="1"/>
        <c:smooth val="0"/>
        <c:axId val="1260281040"/>
        <c:axId val="1260286800"/>
      </c:lineChart>
      <c:catAx>
        <c:axId val="12657406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1265724368"/>
        <c:crosses val="autoZero"/>
        <c:auto val="1"/>
        <c:lblAlgn val="ctr"/>
        <c:lblOffset val="100"/>
        <c:noMultiLvlLbl val="0"/>
      </c:catAx>
      <c:valAx>
        <c:axId val="126572436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1265740688"/>
        <c:crosses val="autoZero"/>
        <c:crossBetween val="between"/>
      </c:valAx>
      <c:valAx>
        <c:axId val="1260286800"/>
        <c:scaling>
          <c:orientation val="minMax"/>
        </c:scaling>
        <c:delete val="0"/>
        <c:axPos val="r"/>
        <c:numFmt formatCode="#,##0.0" sourceLinked="0"/>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1260281040"/>
        <c:crosses val="max"/>
        <c:crossBetween val="between"/>
      </c:valAx>
      <c:catAx>
        <c:axId val="1260281040"/>
        <c:scaling>
          <c:orientation val="minMax"/>
        </c:scaling>
        <c:delete val="1"/>
        <c:axPos val="b"/>
        <c:numFmt formatCode="General" sourceLinked="1"/>
        <c:majorTickMark val="out"/>
        <c:minorTickMark val="none"/>
        <c:tickLblPos val="nextTo"/>
        <c:crossAx val="1260286800"/>
        <c:crosses val="autoZero"/>
        <c:auto val="1"/>
        <c:lblAlgn val="ctr"/>
        <c:lblOffset val="100"/>
        <c:noMultiLvlLbl val="0"/>
      </c:cat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8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9533383255047"/>
          <c:y val="5.6021139249485707E-2"/>
          <c:w val="0.85884396766717985"/>
          <c:h val="0.77092998510321342"/>
        </c:manualLayout>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Sheet1!$A$2:$A$7</c:f>
              <c:strCache>
                <c:ptCount val="6"/>
                <c:pt idx="0">
                  <c:v>2025-2029</c:v>
                </c:pt>
                <c:pt idx="1">
                  <c:v>2030-2034</c:v>
                </c:pt>
                <c:pt idx="2">
                  <c:v>2035-2039</c:v>
                </c:pt>
                <c:pt idx="3">
                  <c:v>2040-2044</c:v>
                </c:pt>
                <c:pt idx="4">
                  <c:v>2045-2049</c:v>
                </c:pt>
                <c:pt idx="5">
                  <c:v>2050-</c:v>
                </c:pt>
              </c:strCache>
            </c:strRef>
          </c:cat>
          <c:val>
            <c:numRef>
              <c:f>Sheet1!$B$2:$B$7</c:f>
              <c:numCache>
                <c:formatCode>General</c:formatCode>
                <c:ptCount val="6"/>
                <c:pt idx="0">
                  <c:v>0.46952586235395888</c:v>
                </c:pt>
                <c:pt idx="1">
                  <c:v>-0.19459510566883775</c:v>
                </c:pt>
                <c:pt idx="2">
                  <c:v>-0.33275448805814012</c:v>
                </c:pt>
                <c:pt idx="3">
                  <c:v>-0.34244880991745053</c:v>
                </c:pt>
                <c:pt idx="4">
                  <c:v>-0.34239927210747423</c:v>
                </c:pt>
                <c:pt idx="5">
                  <c:v>-0.34448021731544598</c:v>
                </c:pt>
              </c:numCache>
            </c:numRef>
          </c:val>
          <c:extLst>
            <c:ext xmlns:c16="http://schemas.microsoft.com/office/drawing/2014/chart" uri="{C3380CC4-5D6E-409C-BE32-E72D297353CC}">
              <c16:uniqueId val="{00000000-5F52-447F-A19E-F7039F86D4AB}"/>
            </c:ext>
          </c:extLst>
        </c:ser>
        <c:dLbls>
          <c:showLegendKey val="0"/>
          <c:showVal val="0"/>
          <c:showCatName val="0"/>
          <c:showSerName val="0"/>
          <c:showPercent val="0"/>
          <c:showBubbleSize val="0"/>
        </c:dLbls>
        <c:gapWidth val="100"/>
        <c:axId val="486749784"/>
        <c:axId val="486753744"/>
      </c:barChart>
      <c:catAx>
        <c:axId val="48674978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53744"/>
        <c:crosses val="autoZero"/>
        <c:auto val="1"/>
        <c:lblAlgn val="ctr"/>
        <c:lblOffset val="100"/>
        <c:tickLblSkip val="1"/>
        <c:noMultiLvlLbl val="0"/>
      </c:catAx>
      <c:valAx>
        <c:axId val="48675374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49784"/>
        <c:crosses val="autoZero"/>
        <c:crossBetween val="between"/>
        <c:majorUnit val="0.2"/>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8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5966081162931552E-2"/>
          <c:y val="3.130358705161855E-2"/>
          <c:w val="0.84795759753331801"/>
          <c:h val="0.80452183861632676"/>
        </c:manualLayout>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Sheet1!$A$2:$A$7</c:f>
              <c:strCache>
                <c:ptCount val="6"/>
                <c:pt idx="0">
                  <c:v>2025-2029</c:v>
                </c:pt>
                <c:pt idx="1">
                  <c:v>2030-2034</c:v>
                </c:pt>
                <c:pt idx="2">
                  <c:v>2035-2039</c:v>
                </c:pt>
                <c:pt idx="3">
                  <c:v>2040-2044</c:v>
                </c:pt>
                <c:pt idx="4">
                  <c:v>2045-2049</c:v>
                </c:pt>
                <c:pt idx="5">
                  <c:v>2050-</c:v>
                </c:pt>
              </c:strCache>
            </c:strRef>
          </c:cat>
          <c:val>
            <c:numRef>
              <c:f>Sheet1!$B$2:$B$7</c:f>
              <c:numCache>
                <c:formatCode>General</c:formatCode>
                <c:ptCount val="6"/>
                <c:pt idx="0">
                  <c:v>1.6934654775001334</c:v>
                </c:pt>
                <c:pt idx="1">
                  <c:v>2.245715807765758</c:v>
                </c:pt>
                <c:pt idx="2">
                  <c:v>2.1302710146692716</c:v>
                </c:pt>
                <c:pt idx="3">
                  <c:v>1.9296968846723717</c:v>
                </c:pt>
                <c:pt idx="4">
                  <c:v>1.8342544894557777</c:v>
                </c:pt>
                <c:pt idx="5">
                  <c:v>1.7179907868997368</c:v>
                </c:pt>
              </c:numCache>
            </c:numRef>
          </c:val>
          <c:extLst>
            <c:ext xmlns:c16="http://schemas.microsoft.com/office/drawing/2014/chart" uri="{C3380CC4-5D6E-409C-BE32-E72D297353CC}">
              <c16:uniqueId val="{00000000-F5EC-4AC4-B7EC-F846930D6DF2}"/>
            </c:ext>
          </c:extLst>
        </c:ser>
        <c:dLbls>
          <c:showLegendKey val="0"/>
          <c:showVal val="0"/>
          <c:showCatName val="0"/>
          <c:showSerName val="0"/>
          <c:showPercent val="0"/>
          <c:showBubbleSize val="0"/>
        </c:dLbls>
        <c:gapWidth val="100"/>
        <c:overlap val="-27"/>
        <c:axId val="486749784"/>
        <c:axId val="486753744"/>
      </c:barChart>
      <c:catAx>
        <c:axId val="48674978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53744"/>
        <c:crosses val="autoZero"/>
        <c:auto val="1"/>
        <c:lblAlgn val="ctr"/>
        <c:lblOffset val="100"/>
        <c:tickLblSkip val="1"/>
        <c:noMultiLvlLbl val="0"/>
      </c:catAx>
      <c:valAx>
        <c:axId val="486753744"/>
        <c:scaling>
          <c:orientation val="minMax"/>
          <c:max val="2.5"/>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49784"/>
        <c:crosses val="autoZero"/>
        <c:crossBetween val="between"/>
        <c:majorUnit val="0.5"/>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8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461288108217243"/>
          <c:y val="5.1677313920665574E-2"/>
          <c:w val="0.8325162123965274"/>
          <c:h val="0.74078246488781374"/>
        </c:manualLayout>
      </c:layout>
      <c:lineChart>
        <c:grouping val="standard"/>
        <c:varyColors val="0"/>
        <c:ser>
          <c:idx val="0"/>
          <c:order val="0"/>
          <c:tx>
            <c:strRef>
              <c:f>Sheet1!$B$1</c:f>
              <c:strCache>
                <c:ptCount val="1"/>
                <c:pt idx="0">
                  <c:v>PVN</c:v>
                </c:pt>
              </c:strCache>
            </c:strRef>
          </c:tx>
          <c:spPr>
            <a:ln w="47625" cap="rnd">
              <a:solidFill>
                <a:schemeClr val="accent1"/>
              </a:solidFill>
              <a:round/>
            </a:ln>
            <a:effectLst/>
          </c:spPr>
          <c:marker>
            <c:symbol val="none"/>
          </c:marker>
          <c:cat>
            <c:strRef>
              <c:f>Sheet1!$A$2:$A$7</c:f>
              <c:strCache>
                <c:ptCount val="6"/>
                <c:pt idx="0">
                  <c:v>2025-2029</c:v>
                </c:pt>
                <c:pt idx="1">
                  <c:v>2030-2034</c:v>
                </c:pt>
                <c:pt idx="2">
                  <c:v>2035-2039</c:v>
                </c:pt>
                <c:pt idx="3">
                  <c:v>2040-2044</c:v>
                </c:pt>
                <c:pt idx="4">
                  <c:v>2045-2049</c:v>
                </c:pt>
                <c:pt idx="5">
                  <c:v>2050-</c:v>
                </c:pt>
              </c:strCache>
            </c:strRef>
          </c:cat>
          <c:val>
            <c:numRef>
              <c:f>Sheet1!$B$2:$B$7</c:f>
              <c:numCache>
                <c:formatCode>General</c:formatCode>
                <c:ptCount val="6"/>
                <c:pt idx="0">
                  <c:v>1.668913074091205</c:v>
                </c:pt>
                <c:pt idx="1">
                  <c:v>2.939006485218254</c:v>
                </c:pt>
                <c:pt idx="2">
                  <c:v>2.748273943915458</c:v>
                </c:pt>
                <c:pt idx="3">
                  <c:v>2.3028275844202195</c:v>
                </c:pt>
                <c:pt idx="4">
                  <c:v>2.0813668997419654</c:v>
                </c:pt>
                <c:pt idx="5">
                  <c:v>1.8370688252521861</c:v>
                </c:pt>
              </c:numCache>
            </c:numRef>
          </c:val>
          <c:smooth val="0"/>
          <c:extLst>
            <c:ext xmlns:c16="http://schemas.microsoft.com/office/drawing/2014/chart" uri="{C3380CC4-5D6E-409C-BE32-E72D297353CC}">
              <c16:uniqueId val="{00000000-3B1A-4CCB-90F8-A98A50A26C2E}"/>
            </c:ext>
          </c:extLst>
        </c:ser>
        <c:ser>
          <c:idx val="1"/>
          <c:order val="1"/>
          <c:tx>
            <c:strRef>
              <c:f>Sheet1!$C$1</c:f>
              <c:strCache>
                <c:ptCount val="1"/>
                <c:pt idx="0">
                  <c:v>Tiešie nodokļi</c:v>
                </c:pt>
              </c:strCache>
            </c:strRef>
          </c:tx>
          <c:spPr>
            <a:ln w="47625" cap="rnd">
              <a:solidFill>
                <a:schemeClr val="accent2"/>
              </a:solidFill>
              <a:round/>
            </a:ln>
            <a:effectLst/>
          </c:spPr>
          <c:marker>
            <c:symbol val="none"/>
          </c:marker>
          <c:cat>
            <c:strRef>
              <c:f>Sheet1!$A$2:$A$7</c:f>
              <c:strCache>
                <c:ptCount val="6"/>
                <c:pt idx="0">
                  <c:v>2025-2029</c:v>
                </c:pt>
                <c:pt idx="1">
                  <c:v>2030-2034</c:v>
                </c:pt>
                <c:pt idx="2">
                  <c:v>2035-2039</c:v>
                </c:pt>
                <c:pt idx="3">
                  <c:v>2040-2044</c:v>
                </c:pt>
                <c:pt idx="4">
                  <c:v>2045-2049</c:v>
                </c:pt>
                <c:pt idx="5">
                  <c:v>2050-</c:v>
                </c:pt>
              </c:strCache>
            </c:strRef>
          </c:cat>
          <c:val>
            <c:numRef>
              <c:f>Sheet1!$C$2:$C$7</c:f>
              <c:numCache>
                <c:formatCode>General</c:formatCode>
                <c:ptCount val="6"/>
                <c:pt idx="0">
                  <c:v>1.5381468453561586</c:v>
                </c:pt>
                <c:pt idx="1">
                  <c:v>1.9392671256014182</c:v>
                </c:pt>
                <c:pt idx="2">
                  <c:v>1.894490913206659</c:v>
                </c:pt>
                <c:pt idx="3">
                  <c:v>1.7883998275779467</c:v>
                </c:pt>
                <c:pt idx="4">
                  <c:v>1.7388986829371733</c:v>
                </c:pt>
                <c:pt idx="5">
                  <c:v>1.6674936350547842</c:v>
                </c:pt>
              </c:numCache>
            </c:numRef>
          </c:val>
          <c:smooth val="0"/>
          <c:extLst>
            <c:ext xmlns:c16="http://schemas.microsoft.com/office/drawing/2014/chart" uri="{C3380CC4-5D6E-409C-BE32-E72D297353CC}">
              <c16:uniqueId val="{00000001-3B1A-4CCB-90F8-A98A50A26C2E}"/>
            </c:ext>
          </c:extLst>
        </c:ser>
        <c:ser>
          <c:idx val="2"/>
          <c:order val="2"/>
          <c:tx>
            <c:strRef>
              <c:f>Sheet1!$D$1</c:f>
              <c:strCache>
                <c:ptCount val="1"/>
                <c:pt idx="0">
                  <c:v>VSAOI</c:v>
                </c:pt>
              </c:strCache>
            </c:strRef>
          </c:tx>
          <c:spPr>
            <a:ln w="47625" cap="rnd">
              <a:solidFill>
                <a:schemeClr val="accent3"/>
              </a:solidFill>
              <a:round/>
            </a:ln>
            <a:effectLst/>
          </c:spPr>
          <c:marker>
            <c:symbol val="none"/>
          </c:marker>
          <c:cat>
            <c:strRef>
              <c:f>Sheet1!$A$2:$A$7</c:f>
              <c:strCache>
                <c:ptCount val="6"/>
                <c:pt idx="0">
                  <c:v>2025-2029</c:v>
                </c:pt>
                <c:pt idx="1">
                  <c:v>2030-2034</c:v>
                </c:pt>
                <c:pt idx="2">
                  <c:v>2035-2039</c:v>
                </c:pt>
                <c:pt idx="3">
                  <c:v>2040-2044</c:v>
                </c:pt>
                <c:pt idx="4">
                  <c:v>2045-2049</c:v>
                </c:pt>
                <c:pt idx="5">
                  <c:v>2050-</c:v>
                </c:pt>
              </c:strCache>
            </c:strRef>
          </c:cat>
          <c:val>
            <c:numRef>
              <c:f>Sheet1!$D$2:$D$7</c:f>
              <c:numCache>
                <c:formatCode>General</c:formatCode>
                <c:ptCount val="6"/>
                <c:pt idx="0">
                  <c:v>1.848789277515861</c:v>
                </c:pt>
                <c:pt idx="1">
                  <c:v>1.7529159817734286</c:v>
                </c:pt>
                <c:pt idx="2">
                  <c:v>1.5884616345601232</c:v>
                </c:pt>
                <c:pt idx="3">
                  <c:v>1.4693376085447518</c:v>
                </c:pt>
                <c:pt idx="4">
                  <c:v>1.4146468256546862</c:v>
                </c:pt>
                <c:pt idx="5">
                  <c:v>1.3302851437286378</c:v>
                </c:pt>
              </c:numCache>
            </c:numRef>
          </c:val>
          <c:smooth val="0"/>
          <c:extLst>
            <c:ext xmlns:c16="http://schemas.microsoft.com/office/drawing/2014/chart" uri="{C3380CC4-5D6E-409C-BE32-E72D297353CC}">
              <c16:uniqueId val="{00000002-3B1A-4CCB-90F8-A98A50A26C2E}"/>
            </c:ext>
          </c:extLst>
        </c:ser>
        <c:dLbls>
          <c:showLegendKey val="0"/>
          <c:showVal val="0"/>
          <c:showCatName val="0"/>
          <c:showSerName val="0"/>
          <c:showPercent val="0"/>
          <c:showBubbleSize val="0"/>
        </c:dLbls>
        <c:smooth val="0"/>
        <c:axId val="317965248"/>
        <c:axId val="317960208"/>
      </c:lineChart>
      <c:catAx>
        <c:axId val="317965248"/>
        <c:scaling>
          <c:orientation val="minMax"/>
        </c:scaling>
        <c:delete val="0"/>
        <c:axPos val="b"/>
        <c:numFmt formatCode="0" sourceLinked="0"/>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317960208"/>
        <c:crosses val="autoZero"/>
        <c:auto val="1"/>
        <c:lblAlgn val="ctr"/>
        <c:lblOffset val="100"/>
        <c:tickLblSkip val="1"/>
        <c:noMultiLvlLbl val="0"/>
      </c:catAx>
      <c:valAx>
        <c:axId val="317960208"/>
        <c:scaling>
          <c:orientation val="minMax"/>
          <c:max val="3"/>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317965248"/>
        <c:crosses val="autoZero"/>
        <c:crossBetween val="between"/>
      </c:valAx>
      <c:spPr>
        <a:noFill/>
        <a:ln>
          <a:noFill/>
        </a:ln>
        <a:effectLst/>
      </c:spPr>
    </c:plotArea>
    <c:legend>
      <c:legendPos val="b"/>
      <c:layout>
        <c:manualLayout>
          <c:xMode val="edge"/>
          <c:yMode val="edge"/>
          <c:x val="0.13298849785744404"/>
          <c:y val="0.66965714113727548"/>
          <c:w val="0.82516383770833124"/>
          <c:h val="0.12398391394842181"/>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8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Value added, in 2035</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dPt>
            <c:idx val="1"/>
            <c:invertIfNegative val="0"/>
            <c:bubble3D val="0"/>
            <c:spPr>
              <a:pattFill prst="narHorz">
                <a:fgClr>
                  <a:schemeClr val="accent2"/>
                </a:fgClr>
                <a:bgClr>
                  <a:schemeClr val="accent2">
                    <a:lumMod val="20000"/>
                    <a:lumOff val="80000"/>
                  </a:schemeClr>
                </a:bgClr>
              </a:pattFill>
              <a:ln>
                <a:noFill/>
              </a:ln>
              <a:effectLst>
                <a:innerShdw blurRad="114300">
                  <a:schemeClr val="accent2"/>
                </a:innerShdw>
              </a:effectLst>
            </c:spPr>
            <c:extLst>
              <c:ext xmlns:c16="http://schemas.microsoft.com/office/drawing/2014/chart" uri="{C3380CC4-5D6E-409C-BE32-E72D297353CC}">
                <c16:uniqueId val="{00000001-18D3-4BDF-8BD9-2253F90361FB}"/>
              </c:ext>
            </c:extLst>
          </c:dPt>
          <c:cat>
            <c:strRef>
              <c:f>Sheet1!$A$2:$A$25</c:f>
              <c:strCache>
                <c:ptCount val="24"/>
                <c:pt idx="0">
                  <c:v>Elektronika un optika</c:v>
                </c:pt>
                <c:pt idx="1">
                  <c:v>Cita rūpniecība</c:v>
                </c:pt>
                <c:pt idx="2">
                  <c:v>Būvniecība</c:v>
                </c:pt>
                <c:pt idx="3">
                  <c:v>Privātie pakalpojumi</c:v>
                </c:pt>
                <c:pt idx="4">
                  <c:v>Elektriskās iekārtas</c:v>
                </c:pt>
                <c:pt idx="5">
                  <c:v>Kokrūpniecība</c:v>
                </c:pt>
                <c:pt idx="6">
                  <c:v>Lauksaimniecība</c:v>
                </c:pt>
                <c:pt idx="7">
                  <c:v>Metālizstrādājumi</c:v>
                </c:pt>
                <c:pt idx="8">
                  <c:v>Ūdens transports</c:v>
                </c:pt>
                <c:pt idx="9">
                  <c:v>Uzglabāšana</c:v>
                </c:pt>
                <c:pt idx="10">
                  <c:v>Farmācija</c:v>
                </c:pt>
                <c:pt idx="11">
                  <c:v>Gaisa transports</c:v>
                </c:pt>
                <c:pt idx="12">
                  <c:v>Sauszemes transports</c:v>
                </c:pt>
                <c:pt idx="13">
                  <c:v>Pārtika un dzērieni</c:v>
                </c:pt>
                <c:pt idx="14">
                  <c:v>Tekstils</c:v>
                </c:pt>
                <c:pt idx="15">
                  <c:v>Transportlīdzekļi</c:v>
                </c:pt>
                <c:pt idx="16">
                  <c:v>Mašīnbūve</c:v>
                </c:pt>
                <c:pt idx="17">
                  <c:v>Metāli</c:v>
                </c:pt>
                <c:pt idx="18">
                  <c:v>Papīrs un poligrāfija</c:v>
                </c:pt>
                <c:pt idx="19">
                  <c:v>Nemetāliskie minerāli</c:v>
                </c:pt>
                <c:pt idx="20">
                  <c:v>Elektrības ražošana</c:v>
                </c:pt>
                <c:pt idx="21">
                  <c:v>Ķīmijas produkti</c:v>
                </c:pt>
                <c:pt idx="22">
                  <c:v>Gumija un plastmasa</c:v>
                </c:pt>
                <c:pt idx="23">
                  <c:v>Publiskie pakalpojumi</c:v>
                </c:pt>
              </c:strCache>
            </c:strRef>
          </c:cat>
          <c:val>
            <c:numRef>
              <c:f>Sheet1!$B$2:$B$25</c:f>
              <c:numCache>
                <c:formatCode>0.00</c:formatCode>
                <c:ptCount val="24"/>
                <c:pt idx="0">
                  <c:v>3.4766267324406908</c:v>
                </c:pt>
                <c:pt idx="1">
                  <c:v>2.9800342270393632</c:v>
                </c:pt>
                <c:pt idx="2">
                  <c:v>2.9513598345810355</c:v>
                </c:pt>
                <c:pt idx="3">
                  <c:v>2.7822121001774391</c:v>
                </c:pt>
                <c:pt idx="4">
                  <c:v>2.3500810372771408</c:v>
                </c:pt>
                <c:pt idx="5">
                  <c:v>2.3401139307138719</c:v>
                </c:pt>
                <c:pt idx="6">
                  <c:v>2.3269925683507386</c:v>
                </c:pt>
                <c:pt idx="7">
                  <c:v>2.250863920799473</c:v>
                </c:pt>
                <c:pt idx="8">
                  <c:v>2.1853434111074765</c:v>
                </c:pt>
                <c:pt idx="9">
                  <c:v>2.0963266074032205</c:v>
                </c:pt>
                <c:pt idx="10">
                  <c:v>2.0943106783165577</c:v>
                </c:pt>
                <c:pt idx="11">
                  <c:v>1.8281365998515264</c:v>
                </c:pt>
                <c:pt idx="12">
                  <c:v>1.7503892813690802</c:v>
                </c:pt>
                <c:pt idx="13">
                  <c:v>1.6923394148598891</c:v>
                </c:pt>
                <c:pt idx="14">
                  <c:v>1.6643076772902665</c:v>
                </c:pt>
                <c:pt idx="15">
                  <c:v>1.5869033431600066</c:v>
                </c:pt>
                <c:pt idx="16">
                  <c:v>1.5583889900829817</c:v>
                </c:pt>
                <c:pt idx="17">
                  <c:v>1.5264797507788197</c:v>
                </c:pt>
                <c:pt idx="18">
                  <c:v>1.4951916743511928</c:v>
                </c:pt>
                <c:pt idx="19">
                  <c:v>1.4653663415854057</c:v>
                </c:pt>
                <c:pt idx="20">
                  <c:v>1.4339876475264468</c:v>
                </c:pt>
                <c:pt idx="21">
                  <c:v>1.3642983061240122</c:v>
                </c:pt>
                <c:pt idx="22">
                  <c:v>1.2301166489925963</c:v>
                </c:pt>
                <c:pt idx="23">
                  <c:v>0.1773239225108858</c:v>
                </c:pt>
              </c:numCache>
            </c:numRef>
          </c:val>
          <c:extLst>
            <c:ext xmlns:c16="http://schemas.microsoft.com/office/drawing/2014/chart" uri="{C3380CC4-5D6E-409C-BE32-E72D297353CC}">
              <c16:uniqueId val="{00000002-18D3-4BDF-8BD9-2253F90361FB}"/>
            </c:ext>
          </c:extLst>
        </c:ser>
        <c:dLbls>
          <c:showLegendKey val="0"/>
          <c:showVal val="0"/>
          <c:showCatName val="0"/>
          <c:showSerName val="0"/>
          <c:showPercent val="0"/>
          <c:showBubbleSize val="0"/>
        </c:dLbls>
        <c:gapWidth val="80"/>
        <c:axId val="314997208"/>
        <c:axId val="315001528"/>
      </c:barChart>
      <c:catAx>
        <c:axId val="314997208"/>
        <c:scaling>
          <c:orientation val="minMax"/>
        </c:scaling>
        <c:delete val="0"/>
        <c:axPos val="b"/>
        <c:numFmt formatCode="General" sourceLinked="1"/>
        <c:majorTickMark val="none"/>
        <c:minorTickMark val="none"/>
        <c:tickLblPos val="nextTo"/>
        <c:spPr>
          <a:noFill/>
          <a:ln w="6350" cap="flat" cmpd="sng" algn="ctr">
            <a:solidFill>
              <a:schemeClr val="tx1">
                <a:lumMod val="25000"/>
                <a:lumOff val="75000"/>
              </a:schemeClr>
            </a:solidFill>
            <a:round/>
          </a:ln>
          <a:effectLst/>
        </c:spPr>
        <c:txPr>
          <a:bodyPr rot="-540000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315001528"/>
        <c:crosses val="autoZero"/>
        <c:auto val="1"/>
        <c:lblAlgn val="ctr"/>
        <c:lblOffset val="100"/>
        <c:noMultiLvlLbl val="0"/>
      </c:catAx>
      <c:valAx>
        <c:axId val="315001528"/>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314997208"/>
        <c:crosses val="autoZero"/>
        <c:crossBetween val="between"/>
        <c:majorUnit val="1"/>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8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083989501312337"/>
          <c:y val="4.2507625735972186E-2"/>
          <c:w val="0.86243230996776865"/>
          <c:h val="0.7844434986167268"/>
        </c:manualLayout>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Sheet1!$A$2:$A$7</c:f>
              <c:strCache>
                <c:ptCount val="6"/>
                <c:pt idx="0">
                  <c:v>2025-2029</c:v>
                </c:pt>
                <c:pt idx="1">
                  <c:v>2030-2034</c:v>
                </c:pt>
                <c:pt idx="2">
                  <c:v>2035-2039</c:v>
                </c:pt>
                <c:pt idx="3">
                  <c:v>2040-2044</c:v>
                </c:pt>
                <c:pt idx="4">
                  <c:v>2045-2049</c:v>
                </c:pt>
                <c:pt idx="5">
                  <c:v>2050-</c:v>
                </c:pt>
              </c:strCache>
            </c:strRef>
          </c:cat>
          <c:val>
            <c:numRef>
              <c:f>Sheet1!$B$2:$B$7</c:f>
              <c:numCache>
                <c:formatCode>General</c:formatCode>
                <c:ptCount val="6"/>
                <c:pt idx="0">
                  <c:v>2.1213993042879964</c:v>
                </c:pt>
                <c:pt idx="1">
                  <c:v>7.4475391211169084</c:v>
                </c:pt>
                <c:pt idx="2">
                  <c:v>8.1726443425997779</c:v>
                </c:pt>
                <c:pt idx="3">
                  <c:v>7.8917052098680385</c:v>
                </c:pt>
                <c:pt idx="4">
                  <c:v>7.7937618245749292</c:v>
                </c:pt>
                <c:pt idx="5">
                  <c:v>7.6744474152308895</c:v>
                </c:pt>
              </c:numCache>
            </c:numRef>
          </c:val>
          <c:extLst>
            <c:ext xmlns:c16="http://schemas.microsoft.com/office/drawing/2014/chart" uri="{C3380CC4-5D6E-409C-BE32-E72D297353CC}">
              <c16:uniqueId val="{00000000-297D-4E3E-B3EE-C85B24CF8D54}"/>
            </c:ext>
          </c:extLst>
        </c:ser>
        <c:dLbls>
          <c:showLegendKey val="0"/>
          <c:showVal val="0"/>
          <c:showCatName val="0"/>
          <c:showSerName val="0"/>
          <c:showPercent val="0"/>
          <c:showBubbleSize val="0"/>
        </c:dLbls>
        <c:gapWidth val="100"/>
        <c:axId val="486749784"/>
        <c:axId val="486753744"/>
      </c:barChart>
      <c:catAx>
        <c:axId val="48674978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53744"/>
        <c:crosses val="autoZero"/>
        <c:auto val="1"/>
        <c:lblAlgn val="ctr"/>
        <c:lblOffset val="100"/>
        <c:tickLblSkip val="1"/>
        <c:noMultiLvlLbl val="0"/>
      </c:catAx>
      <c:valAx>
        <c:axId val="4867537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49784"/>
        <c:crosses val="autoZero"/>
        <c:crossBetween val="between"/>
        <c:majorUnit val="2"/>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8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140444100929101"/>
          <c:y val="3.3794875986522449E-2"/>
          <c:w val="0.85867955795687434"/>
          <c:h val="0.78896475310828362"/>
        </c:manualLayout>
      </c:layout>
      <c:lineChart>
        <c:grouping val="standard"/>
        <c:varyColors val="0"/>
        <c:ser>
          <c:idx val="0"/>
          <c:order val="0"/>
          <c:tx>
            <c:strRef>
              <c:f>Sheet1!$B$1</c:f>
              <c:strCache>
                <c:ptCount val="1"/>
                <c:pt idx="0">
                  <c:v>Investīcijas</c:v>
                </c:pt>
              </c:strCache>
            </c:strRef>
          </c:tx>
          <c:spPr>
            <a:ln w="47625" cap="rnd">
              <a:solidFill>
                <a:schemeClr val="accent1"/>
              </a:solidFill>
              <a:round/>
            </a:ln>
            <a:effectLst/>
          </c:spPr>
          <c:marker>
            <c:symbol val="none"/>
          </c:marker>
          <c:cat>
            <c:strRef>
              <c:f>Sheet1!$A$2:$A$7</c:f>
              <c:strCache>
                <c:ptCount val="6"/>
                <c:pt idx="0">
                  <c:v>2025-2029</c:v>
                </c:pt>
                <c:pt idx="1">
                  <c:v>2030-2034</c:v>
                </c:pt>
                <c:pt idx="2">
                  <c:v>2035-2039</c:v>
                </c:pt>
                <c:pt idx="3">
                  <c:v>2040-2044</c:v>
                </c:pt>
                <c:pt idx="4">
                  <c:v>2045-2049</c:v>
                </c:pt>
                <c:pt idx="5">
                  <c:v>2050-</c:v>
                </c:pt>
              </c:strCache>
            </c:strRef>
          </c:cat>
          <c:val>
            <c:numRef>
              <c:f>Sheet1!$B$2:$B$7</c:f>
              <c:numCache>
                <c:formatCode>0.00</c:formatCode>
                <c:ptCount val="6"/>
                <c:pt idx="0">
                  <c:v>10.207369391888445</c:v>
                </c:pt>
                <c:pt idx="1">
                  <c:v>10.56</c:v>
                </c:pt>
                <c:pt idx="2">
                  <c:v>10.917567533846629</c:v>
                </c:pt>
                <c:pt idx="3">
                  <c:v>10.670060556196292</c:v>
                </c:pt>
                <c:pt idx="4">
                  <c:v>10.461046598379742</c:v>
                </c:pt>
                <c:pt idx="5">
                  <c:v>10.178523711188214</c:v>
                </c:pt>
              </c:numCache>
            </c:numRef>
          </c:val>
          <c:smooth val="0"/>
          <c:extLst>
            <c:ext xmlns:c16="http://schemas.microsoft.com/office/drawing/2014/chart" uri="{C3380CC4-5D6E-409C-BE32-E72D297353CC}">
              <c16:uniqueId val="{00000000-7685-45F0-A6AF-83AB6AEE6E13}"/>
            </c:ext>
          </c:extLst>
        </c:ser>
        <c:ser>
          <c:idx val="1"/>
          <c:order val="1"/>
          <c:tx>
            <c:strRef>
              <c:f>Sheet1!$C$1</c:f>
              <c:strCache>
                <c:ptCount val="1"/>
                <c:pt idx="0">
                  <c:v>Publiskais patēriņš</c:v>
                </c:pt>
              </c:strCache>
            </c:strRef>
          </c:tx>
          <c:spPr>
            <a:ln w="47625" cap="rnd">
              <a:solidFill>
                <a:schemeClr val="accent2"/>
              </a:solidFill>
              <a:round/>
            </a:ln>
            <a:effectLst/>
          </c:spPr>
          <c:marker>
            <c:symbol val="none"/>
          </c:marker>
          <c:cat>
            <c:strRef>
              <c:f>Sheet1!$A$2:$A$7</c:f>
              <c:strCache>
                <c:ptCount val="6"/>
                <c:pt idx="0">
                  <c:v>2025-2029</c:v>
                </c:pt>
                <c:pt idx="1">
                  <c:v>2030-2034</c:v>
                </c:pt>
                <c:pt idx="2">
                  <c:v>2035-2039</c:v>
                </c:pt>
                <c:pt idx="3">
                  <c:v>2040-2044</c:v>
                </c:pt>
                <c:pt idx="4">
                  <c:v>2045-2049</c:v>
                </c:pt>
                <c:pt idx="5">
                  <c:v>2050-</c:v>
                </c:pt>
              </c:strCache>
            </c:strRef>
          </c:cat>
          <c:val>
            <c:numRef>
              <c:f>Sheet1!$C$2:$C$7</c:f>
              <c:numCache>
                <c:formatCode>General</c:formatCode>
                <c:ptCount val="6"/>
                <c:pt idx="0">
                  <c:v>0</c:v>
                </c:pt>
                <c:pt idx="1">
                  <c:v>0</c:v>
                </c:pt>
                <c:pt idx="2">
                  <c:v>0</c:v>
                </c:pt>
                <c:pt idx="3">
                  <c:v>0</c:v>
                </c:pt>
                <c:pt idx="4">
                  <c:v>0</c:v>
                </c:pt>
                <c:pt idx="5">
                  <c:v>0</c:v>
                </c:pt>
              </c:numCache>
            </c:numRef>
          </c:val>
          <c:smooth val="0"/>
          <c:extLst>
            <c:ext xmlns:c16="http://schemas.microsoft.com/office/drawing/2014/chart" uri="{C3380CC4-5D6E-409C-BE32-E72D297353CC}">
              <c16:uniqueId val="{00000001-7685-45F0-A6AF-83AB6AEE6E13}"/>
            </c:ext>
          </c:extLst>
        </c:ser>
        <c:ser>
          <c:idx val="2"/>
          <c:order val="2"/>
          <c:tx>
            <c:strRef>
              <c:f>Sheet1!$D$1</c:f>
              <c:strCache>
                <c:ptCount val="1"/>
                <c:pt idx="0">
                  <c:v>Privātais patēriņš</c:v>
                </c:pt>
              </c:strCache>
            </c:strRef>
          </c:tx>
          <c:spPr>
            <a:ln w="47625" cap="rnd">
              <a:solidFill>
                <a:schemeClr val="accent3"/>
              </a:solidFill>
              <a:round/>
            </a:ln>
            <a:effectLst/>
          </c:spPr>
          <c:marker>
            <c:symbol val="none"/>
          </c:marker>
          <c:cat>
            <c:strRef>
              <c:f>Sheet1!$A$2:$A$7</c:f>
              <c:strCache>
                <c:ptCount val="6"/>
                <c:pt idx="0">
                  <c:v>2025-2029</c:v>
                </c:pt>
                <c:pt idx="1">
                  <c:v>2030-2034</c:v>
                </c:pt>
                <c:pt idx="2">
                  <c:v>2035-2039</c:v>
                </c:pt>
                <c:pt idx="3">
                  <c:v>2040-2044</c:v>
                </c:pt>
                <c:pt idx="4">
                  <c:v>2045-2049</c:v>
                </c:pt>
                <c:pt idx="5">
                  <c:v>2050-</c:v>
                </c:pt>
              </c:strCache>
            </c:strRef>
          </c:cat>
          <c:val>
            <c:numRef>
              <c:f>Sheet1!$D$2:$D$7</c:f>
              <c:numCache>
                <c:formatCode>General</c:formatCode>
                <c:ptCount val="6"/>
                <c:pt idx="0">
                  <c:v>4.578513489268099</c:v>
                </c:pt>
                <c:pt idx="1">
                  <c:v>10.256544610969208</c:v>
                </c:pt>
                <c:pt idx="2">
                  <c:v>10.083956642976798</c:v>
                </c:pt>
                <c:pt idx="3">
                  <c:v>8.6591059100810881</c:v>
                </c:pt>
                <c:pt idx="4">
                  <c:v>7.932680923104229</c:v>
                </c:pt>
                <c:pt idx="5">
                  <c:v>7.1398674236335724</c:v>
                </c:pt>
              </c:numCache>
            </c:numRef>
          </c:val>
          <c:smooth val="0"/>
          <c:extLst>
            <c:ext xmlns:c16="http://schemas.microsoft.com/office/drawing/2014/chart" uri="{C3380CC4-5D6E-409C-BE32-E72D297353CC}">
              <c16:uniqueId val="{00000002-7685-45F0-A6AF-83AB6AEE6E13}"/>
            </c:ext>
          </c:extLst>
        </c:ser>
        <c:dLbls>
          <c:showLegendKey val="0"/>
          <c:showVal val="0"/>
          <c:showCatName val="0"/>
          <c:showSerName val="0"/>
          <c:showPercent val="0"/>
          <c:showBubbleSize val="0"/>
        </c:dLbls>
        <c:smooth val="0"/>
        <c:axId val="486734304"/>
        <c:axId val="486735744"/>
      </c:lineChart>
      <c:catAx>
        <c:axId val="48673430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35744"/>
        <c:crosses val="autoZero"/>
        <c:auto val="1"/>
        <c:lblAlgn val="ctr"/>
        <c:lblOffset val="100"/>
        <c:tickLblSkip val="1"/>
        <c:noMultiLvlLbl val="0"/>
      </c:catAx>
      <c:valAx>
        <c:axId val="4867357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34304"/>
        <c:crosses val="autoZero"/>
        <c:crossBetween val="between"/>
        <c:majorUnit val="5"/>
      </c:valAx>
      <c:spPr>
        <a:noFill/>
        <a:ln>
          <a:noFill/>
        </a:ln>
        <a:effectLst/>
      </c:spPr>
    </c:plotArea>
    <c:legend>
      <c:legendPos val="b"/>
      <c:layout>
        <c:manualLayout>
          <c:xMode val="edge"/>
          <c:yMode val="edge"/>
          <c:x val="0.250866991563788"/>
          <c:y val="0.56403466326485729"/>
          <c:w val="0.57535706809654941"/>
          <c:h val="0.22715597774623952"/>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8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5255728169114"/>
          <c:y val="5.2169478815148107E-2"/>
          <c:w val="0.83841222549883976"/>
          <c:h val="0.91682506353372495"/>
        </c:manualLayout>
      </c:layout>
      <c:lineChart>
        <c:grouping val="standard"/>
        <c:varyColors val="0"/>
        <c:ser>
          <c:idx val="0"/>
          <c:order val="0"/>
          <c:tx>
            <c:strRef>
              <c:f>Sheet1!$B$1</c:f>
              <c:strCache>
                <c:ptCount val="1"/>
                <c:pt idx="0">
                  <c:v>Eksports</c:v>
                </c:pt>
              </c:strCache>
            </c:strRef>
          </c:tx>
          <c:spPr>
            <a:ln w="28575" cap="rnd">
              <a:solidFill>
                <a:schemeClr val="accent1"/>
              </a:solidFill>
              <a:round/>
            </a:ln>
            <a:effectLst/>
          </c:spPr>
          <c:marker>
            <c:symbol val="none"/>
          </c:marker>
          <c:cat>
            <c:strRef>
              <c:f>Sheet1!$A$2:$A$7</c:f>
              <c:strCache>
                <c:ptCount val="6"/>
                <c:pt idx="0">
                  <c:v>2025-2029</c:v>
                </c:pt>
                <c:pt idx="1">
                  <c:v>2030-2034</c:v>
                </c:pt>
                <c:pt idx="2">
                  <c:v>2035-2039</c:v>
                </c:pt>
                <c:pt idx="3">
                  <c:v>2040-2044</c:v>
                </c:pt>
                <c:pt idx="4">
                  <c:v>2045-2049</c:v>
                </c:pt>
                <c:pt idx="5">
                  <c:v>2050-</c:v>
                </c:pt>
              </c:strCache>
            </c:strRef>
          </c:cat>
          <c:val>
            <c:numRef>
              <c:f>Sheet1!$B$2:$B$7</c:f>
              <c:numCache>
                <c:formatCode>General</c:formatCode>
                <c:ptCount val="6"/>
                <c:pt idx="0">
                  <c:v>-1.583523915787326</c:v>
                </c:pt>
                <c:pt idx="1">
                  <c:v>4.8260505456410367</c:v>
                </c:pt>
                <c:pt idx="2">
                  <c:v>7.8462682200279517</c:v>
                </c:pt>
                <c:pt idx="3">
                  <c:v>8.5165070311582607</c:v>
                </c:pt>
                <c:pt idx="4">
                  <c:v>8.9636090087696125</c:v>
                </c:pt>
                <c:pt idx="5">
                  <c:v>9.4990510965009776</c:v>
                </c:pt>
              </c:numCache>
            </c:numRef>
          </c:val>
          <c:smooth val="0"/>
          <c:extLst>
            <c:ext xmlns:c16="http://schemas.microsoft.com/office/drawing/2014/chart" uri="{C3380CC4-5D6E-409C-BE32-E72D297353CC}">
              <c16:uniqueId val="{00000000-EE19-444B-BF00-6C6F03E5ADB4}"/>
            </c:ext>
          </c:extLst>
        </c:ser>
        <c:ser>
          <c:idx val="1"/>
          <c:order val="1"/>
          <c:tx>
            <c:strRef>
              <c:f>Sheet1!$C$1</c:f>
              <c:strCache>
                <c:ptCount val="1"/>
                <c:pt idx="0">
                  <c:v>Imports</c:v>
                </c:pt>
              </c:strCache>
            </c:strRef>
          </c:tx>
          <c:spPr>
            <a:ln w="28575" cap="rnd">
              <a:solidFill>
                <a:schemeClr val="accent2"/>
              </a:solidFill>
              <a:round/>
            </a:ln>
            <a:effectLst/>
          </c:spPr>
          <c:marker>
            <c:symbol val="none"/>
          </c:marker>
          <c:cat>
            <c:strRef>
              <c:f>Sheet1!$A$2:$A$7</c:f>
              <c:strCache>
                <c:ptCount val="6"/>
                <c:pt idx="0">
                  <c:v>2025-2029</c:v>
                </c:pt>
                <c:pt idx="1">
                  <c:v>2030-2034</c:v>
                </c:pt>
                <c:pt idx="2">
                  <c:v>2035-2039</c:v>
                </c:pt>
                <c:pt idx="3">
                  <c:v>2040-2044</c:v>
                </c:pt>
                <c:pt idx="4">
                  <c:v>2045-2049</c:v>
                </c:pt>
                <c:pt idx="5">
                  <c:v>2050-</c:v>
                </c:pt>
              </c:strCache>
            </c:strRef>
          </c:cat>
          <c:val>
            <c:numRef>
              <c:f>Sheet1!$C$2:$C$7</c:f>
              <c:numCache>
                <c:formatCode>General</c:formatCode>
                <c:ptCount val="6"/>
                <c:pt idx="0">
                  <c:v>2.3956231272331197</c:v>
                </c:pt>
                <c:pt idx="1">
                  <c:v>8.4494934727472266</c:v>
                </c:pt>
                <c:pt idx="2">
                  <c:v>7.2721525977553769</c:v>
                </c:pt>
                <c:pt idx="3">
                  <c:v>6.685389746304649</c:v>
                </c:pt>
                <c:pt idx="4">
                  <c:v>6.4141604103743362</c:v>
                </c:pt>
                <c:pt idx="5">
                  <c:v>6.0815729356503141</c:v>
                </c:pt>
              </c:numCache>
            </c:numRef>
          </c:val>
          <c:smooth val="0"/>
          <c:extLst>
            <c:ext xmlns:c16="http://schemas.microsoft.com/office/drawing/2014/chart" uri="{C3380CC4-5D6E-409C-BE32-E72D297353CC}">
              <c16:uniqueId val="{00000001-EE19-444B-BF00-6C6F03E5ADB4}"/>
            </c:ext>
          </c:extLst>
        </c:ser>
        <c:dLbls>
          <c:showLegendKey val="0"/>
          <c:showVal val="0"/>
          <c:showCatName val="0"/>
          <c:showSerName val="0"/>
          <c:showPercent val="0"/>
          <c:showBubbleSize val="0"/>
        </c:dLbls>
        <c:smooth val="0"/>
        <c:axId val="491415192"/>
        <c:axId val="491416272"/>
      </c:lineChart>
      <c:catAx>
        <c:axId val="491415192"/>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491416272"/>
        <c:crosses val="autoZero"/>
        <c:auto val="1"/>
        <c:lblAlgn val="ctr"/>
        <c:lblOffset val="100"/>
        <c:tickLblSkip val="1"/>
        <c:noMultiLvlLbl val="0"/>
      </c:catAx>
      <c:valAx>
        <c:axId val="491416272"/>
        <c:scaling>
          <c:orientation val="minMax"/>
          <c:min val="-2"/>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491415192"/>
        <c:crosses val="autoZero"/>
        <c:crossBetween val="between"/>
        <c:majorUnit val="2"/>
      </c:valAx>
      <c:spPr>
        <a:noFill/>
        <a:ln>
          <a:noFill/>
        </a:ln>
        <a:effectLst/>
      </c:spPr>
    </c:plotArea>
    <c:legend>
      <c:legendPos val="b"/>
      <c:layout>
        <c:manualLayout>
          <c:xMode val="edge"/>
          <c:yMode val="edge"/>
          <c:x val="0.16871367377046267"/>
          <c:y val="0.64667914762402956"/>
          <c:w val="0.78882072173410756"/>
          <c:h val="8.6787484897721118E-2"/>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8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9533383255047"/>
          <c:y val="5.6021139249485707E-2"/>
          <c:w val="0.86299506770869083"/>
          <c:h val="0.77092998510321342"/>
        </c:manualLayout>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Sheet1!$A$2:$A$7</c:f>
              <c:strCache>
                <c:ptCount val="6"/>
                <c:pt idx="0">
                  <c:v>2025-2029</c:v>
                </c:pt>
                <c:pt idx="1">
                  <c:v>2030-2034</c:v>
                </c:pt>
                <c:pt idx="2">
                  <c:v>2035-2039</c:v>
                </c:pt>
                <c:pt idx="3">
                  <c:v>2040-2044</c:v>
                </c:pt>
                <c:pt idx="4">
                  <c:v>2045-2049</c:v>
                </c:pt>
                <c:pt idx="5">
                  <c:v>2050-</c:v>
                </c:pt>
              </c:strCache>
            </c:strRef>
          </c:cat>
          <c:val>
            <c:numRef>
              <c:f>Sheet1!$B$2:$B$7</c:f>
              <c:numCache>
                <c:formatCode>General</c:formatCode>
                <c:ptCount val="6"/>
                <c:pt idx="0">
                  <c:v>-1.9712000000000001</c:v>
                </c:pt>
                <c:pt idx="1">
                  <c:v>-1.859</c:v>
                </c:pt>
                <c:pt idx="2">
                  <c:v>0.27700000000000014</c:v>
                </c:pt>
                <c:pt idx="3">
                  <c:v>0.90400000000000025</c:v>
                </c:pt>
                <c:pt idx="4">
                  <c:v>1.2710000000000001</c:v>
                </c:pt>
                <c:pt idx="5">
                  <c:v>1.72</c:v>
                </c:pt>
              </c:numCache>
            </c:numRef>
          </c:val>
          <c:extLst>
            <c:ext xmlns:c16="http://schemas.microsoft.com/office/drawing/2014/chart" uri="{C3380CC4-5D6E-409C-BE32-E72D297353CC}">
              <c16:uniqueId val="{00000000-FE63-4950-9BB8-A7E87CF0880F}"/>
            </c:ext>
          </c:extLst>
        </c:ser>
        <c:dLbls>
          <c:showLegendKey val="0"/>
          <c:showVal val="0"/>
          <c:showCatName val="0"/>
          <c:showSerName val="0"/>
          <c:showPercent val="0"/>
          <c:showBubbleSize val="0"/>
        </c:dLbls>
        <c:gapWidth val="100"/>
        <c:axId val="486749784"/>
        <c:axId val="486753744"/>
      </c:barChart>
      <c:catAx>
        <c:axId val="48674978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53744"/>
        <c:crosses val="autoZero"/>
        <c:auto val="1"/>
        <c:lblAlgn val="ctr"/>
        <c:lblOffset val="100"/>
        <c:tickLblSkip val="1"/>
        <c:noMultiLvlLbl val="0"/>
      </c:catAx>
      <c:valAx>
        <c:axId val="486753744"/>
        <c:scaling>
          <c:orientation val="minMax"/>
          <c:min val="-3"/>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49784"/>
        <c:crosses val="autoZero"/>
        <c:crossBetween val="between"/>
        <c:majorUnit val="1"/>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8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083989501312337"/>
          <c:y val="4.2507625735972186E-2"/>
          <c:w val="0.86243230996776865"/>
          <c:h val="0.7844434986167268"/>
        </c:manualLayout>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Sheet1!$A$2:$A$7</c:f>
              <c:strCache>
                <c:ptCount val="6"/>
                <c:pt idx="0">
                  <c:v>2025-2029</c:v>
                </c:pt>
                <c:pt idx="1">
                  <c:v>2030-2034</c:v>
                </c:pt>
                <c:pt idx="2">
                  <c:v>2035-2039</c:v>
                </c:pt>
                <c:pt idx="3">
                  <c:v>2040-2044</c:v>
                </c:pt>
                <c:pt idx="4">
                  <c:v>2045-2049</c:v>
                </c:pt>
                <c:pt idx="5">
                  <c:v>2050-</c:v>
                </c:pt>
              </c:strCache>
            </c:strRef>
          </c:cat>
          <c:val>
            <c:numRef>
              <c:f>Sheet1!$B$2:$B$7</c:f>
              <c:numCache>
                <c:formatCode>General</c:formatCode>
                <c:ptCount val="6"/>
                <c:pt idx="0">
                  <c:v>2.8203437172673373</c:v>
                </c:pt>
                <c:pt idx="1">
                  <c:v>4.3440327596639623</c:v>
                </c:pt>
                <c:pt idx="2">
                  <c:v>4.6985121378230188</c:v>
                </c:pt>
                <c:pt idx="3">
                  <c:v>4.6280965917965489</c:v>
                </c:pt>
                <c:pt idx="4">
                  <c:v>4.7474543124957798</c:v>
                </c:pt>
                <c:pt idx="5">
                  <c:v>4.7867857744816833</c:v>
                </c:pt>
              </c:numCache>
            </c:numRef>
          </c:val>
          <c:extLst>
            <c:ext xmlns:c16="http://schemas.microsoft.com/office/drawing/2014/chart" uri="{C3380CC4-5D6E-409C-BE32-E72D297353CC}">
              <c16:uniqueId val="{00000000-A8D0-4798-A305-FEC17BCC2A96}"/>
            </c:ext>
          </c:extLst>
        </c:ser>
        <c:dLbls>
          <c:showLegendKey val="0"/>
          <c:showVal val="0"/>
          <c:showCatName val="0"/>
          <c:showSerName val="0"/>
          <c:showPercent val="0"/>
          <c:showBubbleSize val="0"/>
        </c:dLbls>
        <c:gapWidth val="100"/>
        <c:axId val="486749784"/>
        <c:axId val="486753744"/>
      </c:barChart>
      <c:catAx>
        <c:axId val="48674978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53744"/>
        <c:crosses val="autoZero"/>
        <c:auto val="1"/>
        <c:lblAlgn val="ctr"/>
        <c:lblOffset val="100"/>
        <c:tickLblSkip val="1"/>
        <c:noMultiLvlLbl val="0"/>
      </c:catAx>
      <c:valAx>
        <c:axId val="4867537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49784"/>
        <c:crosses val="autoZero"/>
        <c:crossBetween val="between"/>
        <c:majorUnit val="1"/>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8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9533383255047"/>
          <c:y val="5.6021139249485707E-2"/>
          <c:w val="0.86714616775020181"/>
          <c:h val="0.77092998510321342"/>
        </c:manualLayout>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Sheet1!$A$2:$A$7</c:f>
              <c:strCache>
                <c:ptCount val="6"/>
                <c:pt idx="0">
                  <c:v>2025-2029</c:v>
                </c:pt>
                <c:pt idx="1">
                  <c:v>2030-2034</c:v>
                </c:pt>
                <c:pt idx="2">
                  <c:v>2035-2039</c:v>
                </c:pt>
                <c:pt idx="3">
                  <c:v>2040-2044</c:v>
                </c:pt>
                <c:pt idx="4">
                  <c:v>2045-2049</c:v>
                </c:pt>
                <c:pt idx="5">
                  <c:v>2050-</c:v>
                </c:pt>
              </c:strCache>
            </c:strRef>
          </c:cat>
          <c:val>
            <c:numRef>
              <c:f>Sheet1!$B$2:$B$7</c:f>
              <c:numCache>
                <c:formatCode>0.0</c:formatCode>
                <c:ptCount val="6"/>
                <c:pt idx="0">
                  <c:v>-2.4230000000000018</c:v>
                </c:pt>
                <c:pt idx="1">
                  <c:v>-3.4989999999999992</c:v>
                </c:pt>
                <c:pt idx="2">
                  <c:v>-3.6049999999999995</c:v>
                </c:pt>
                <c:pt idx="3">
                  <c:v>-3.4530000000000003</c:v>
                </c:pt>
                <c:pt idx="4">
                  <c:v>-3.2970000000000055</c:v>
                </c:pt>
                <c:pt idx="5">
                  <c:v>-2.9920000000000004</c:v>
                </c:pt>
              </c:numCache>
            </c:numRef>
          </c:val>
          <c:extLst>
            <c:ext xmlns:c16="http://schemas.microsoft.com/office/drawing/2014/chart" uri="{C3380CC4-5D6E-409C-BE32-E72D297353CC}">
              <c16:uniqueId val="{00000000-10C3-462B-AC15-0FFB89428BE0}"/>
            </c:ext>
          </c:extLst>
        </c:ser>
        <c:dLbls>
          <c:showLegendKey val="0"/>
          <c:showVal val="0"/>
          <c:showCatName val="0"/>
          <c:showSerName val="0"/>
          <c:showPercent val="0"/>
          <c:showBubbleSize val="0"/>
        </c:dLbls>
        <c:gapWidth val="100"/>
        <c:axId val="486749784"/>
        <c:axId val="486753744"/>
      </c:barChart>
      <c:catAx>
        <c:axId val="48674978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53744"/>
        <c:crosses val="autoZero"/>
        <c:auto val="1"/>
        <c:lblAlgn val="ctr"/>
        <c:lblOffset val="100"/>
        <c:tickLblSkip val="1"/>
        <c:noMultiLvlLbl val="0"/>
      </c:catAx>
      <c:valAx>
        <c:axId val="486753744"/>
        <c:scaling>
          <c:orientation val="minMax"/>
          <c:min val="-4"/>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49784"/>
        <c:crosses val="autoZero"/>
        <c:crossBetween val="between"/>
        <c:majorUnit val="1"/>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143631333178568"/>
          <c:y val="7.4626865671641784E-2"/>
          <c:w val="0.76291258662749317"/>
          <c:h val="0.81234190036742326"/>
        </c:manualLayout>
      </c:layout>
      <c:lineChart>
        <c:grouping val="standard"/>
        <c:varyColors val="0"/>
        <c:ser>
          <c:idx val="0"/>
          <c:order val="0"/>
          <c:tx>
            <c:strRef>
              <c:f>Sheet1!$A$2</c:f>
              <c:strCache>
                <c:ptCount val="1"/>
                <c:pt idx="0">
                  <c:v>SEG emisijas</c:v>
                </c:pt>
              </c:strCache>
            </c:strRef>
          </c:tx>
          <c:spPr>
            <a:ln w="28575" cap="rnd">
              <a:solidFill>
                <a:schemeClr val="accent1"/>
              </a:solidFill>
              <a:round/>
            </a:ln>
            <a:effectLst/>
          </c:spPr>
          <c:marker>
            <c:symbol val="none"/>
          </c:marker>
          <c:cat>
            <c:strRef>
              <c:f>Sheet1!$B$1:$N$1</c:f>
              <c:strCach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strCache>
            </c:strRef>
          </c:cat>
          <c:val>
            <c:numRef>
              <c:f>Sheet1!$B$2:$N$2</c:f>
              <c:numCache>
                <c:formatCode>0</c:formatCode>
                <c:ptCount val="13"/>
                <c:pt idx="0">
                  <c:v>2426.0131799999999</c:v>
                </c:pt>
                <c:pt idx="1">
                  <c:v>2465.8792199999998</c:v>
                </c:pt>
                <c:pt idx="2">
                  <c:v>2485.9348300000001</c:v>
                </c:pt>
                <c:pt idx="3">
                  <c:v>2547.4248699999998</c:v>
                </c:pt>
                <c:pt idx="4">
                  <c:v>2616.5439700000002</c:v>
                </c:pt>
                <c:pt idx="5">
                  <c:v>2671.34627</c:v>
                </c:pt>
                <c:pt idx="6">
                  <c:v>2734.5987500000001</c:v>
                </c:pt>
                <c:pt idx="7">
                  <c:v>2789.5419999999999</c:v>
                </c:pt>
                <c:pt idx="8">
                  <c:v>2706.8738899999998</c:v>
                </c:pt>
                <c:pt idx="9">
                  <c:v>2856.6701200000002</c:v>
                </c:pt>
                <c:pt idx="10">
                  <c:v>2917.8268800000001</c:v>
                </c:pt>
                <c:pt idx="11">
                  <c:v>2907.2680099999998</c:v>
                </c:pt>
                <c:pt idx="12">
                  <c:v>2900.6045199999999</c:v>
                </c:pt>
              </c:numCache>
            </c:numRef>
          </c:val>
          <c:smooth val="0"/>
          <c:extLst>
            <c:ext xmlns:c16="http://schemas.microsoft.com/office/drawing/2014/chart" uri="{C3380CC4-5D6E-409C-BE32-E72D297353CC}">
              <c16:uniqueId val="{00000000-42CC-42B0-A9CD-BDBA1E1DBE78}"/>
            </c:ext>
          </c:extLst>
        </c:ser>
        <c:dLbls>
          <c:showLegendKey val="0"/>
          <c:showVal val="0"/>
          <c:showCatName val="0"/>
          <c:showSerName val="0"/>
          <c:showPercent val="0"/>
          <c:showBubbleSize val="0"/>
        </c:dLbls>
        <c:marker val="1"/>
        <c:smooth val="0"/>
        <c:axId val="1265740688"/>
        <c:axId val="1265724368"/>
      </c:lineChart>
      <c:lineChart>
        <c:grouping val="standard"/>
        <c:varyColors val="0"/>
        <c:ser>
          <c:idx val="1"/>
          <c:order val="1"/>
          <c:tx>
            <c:strRef>
              <c:f>Sheet1!$A$3</c:f>
              <c:strCache>
                <c:ptCount val="1"/>
                <c:pt idx="0">
                  <c:v>SEG emisiju intensitāte (kg. uz 1 euro PV faktiskajās cenās) (labā ass)</c:v>
                </c:pt>
              </c:strCache>
            </c:strRef>
          </c:tx>
          <c:spPr>
            <a:ln w="28575" cap="rnd">
              <a:solidFill>
                <a:schemeClr val="accent2"/>
              </a:solidFill>
              <a:round/>
            </a:ln>
            <a:effectLst/>
          </c:spPr>
          <c:marker>
            <c:symbol val="none"/>
          </c:marker>
          <c:cat>
            <c:strRef>
              <c:f>Sheet1!$B$1:$N$1</c:f>
              <c:strCach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strCache>
            </c:strRef>
          </c:cat>
          <c:val>
            <c:numRef>
              <c:f>Sheet1!$B$3:$N$3</c:f>
              <c:numCache>
                <c:formatCode>#\ ##0.##</c:formatCode>
                <c:ptCount val="13"/>
                <c:pt idx="0">
                  <c:v>3.3333499999999998</c:v>
                </c:pt>
                <c:pt idx="1">
                  <c:v>3.39981</c:v>
                </c:pt>
                <c:pt idx="2">
                  <c:v>3.2564000000000002</c:v>
                </c:pt>
                <c:pt idx="3">
                  <c:v>3.5219499999999999</c:v>
                </c:pt>
                <c:pt idx="4">
                  <c:v>3.1279699999999999</c:v>
                </c:pt>
                <c:pt idx="5">
                  <c:v>3.1109200000000001</c:v>
                </c:pt>
                <c:pt idx="6">
                  <c:v>3.3066499999999999</c:v>
                </c:pt>
                <c:pt idx="7">
                  <c:v>2.9100199999999998</c:v>
                </c:pt>
                <c:pt idx="8">
                  <c:v>2.5826500000000001</c:v>
                </c:pt>
                <c:pt idx="9">
                  <c:v>2.4851399999999999</c:v>
                </c:pt>
                <c:pt idx="10">
                  <c:v>2.4216299999999999</c:v>
                </c:pt>
                <c:pt idx="11">
                  <c:v>2.1076299999999999</c:v>
                </c:pt>
                <c:pt idx="12">
                  <c:v>1.48597</c:v>
                </c:pt>
              </c:numCache>
            </c:numRef>
          </c:val>
          <c:smooth val="0"/>
          <c:extLst>
            <c:ext xmlns:c16="http://schemas.microsoft.com/office/drawing/2014/chart" uri="{C3380CC4-5D6E-409C-BE32-E72D297353CC}">
              <c16:uniqueId val="{00000001-42CC-42B0-A9CD-BDBA1E1DBE78}"/>
            </c:ext>
          </c:extLst>
        </c:ser>
        <c:dLbls>
          <c:showLegendKey val="0"/>
          <c:showVal val="0"/>
          <c:showCatName val="0"/>
          <c:showSerName val="0"/>
          <c:showPercent val="0"/>
          <c:showBubbleSize val="0"/>
        </c:dLbls>
        <c:marker val="1"/>
        <c:smooth val="0"/>
        <c:axId val="1260281040"/>
        <c:axId val="1260286800"/>
      </c:lineChart>
      <c:catAx>
        <c:axId val="12657406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1265724368"/>
        <c:crosses val="autoZero"/>
        <c:auto val="1"/>
        <c:lblAlgn val="ctr"/>
        <c:lblOffset val="100"/>
        <c:noMultiLvlLbl val="0"/>
      </c:catAx>
      <c:valAx>
        <c:axId val="126572436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1265740688"/>
        <c:crosses val="autoZero"/>
        <c:crossBetween val="between"/>
      </c:valAx>
      <c:valAx>
        <c:axId val="1260286800"/>
        <c:scaling>
          <c:orientation val="minMax"/>
        </c:scaling>
        <c:delete val="0"/>
        <c:axPos val="r"/>
        <c:numFmt formatCode="#,##0.0" sourceLinked="0"/>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1260281040"/>
        <c:crosses val="max"/>
        <c:crossBetween val="between"/>
      </c:valAx>
      <c:catAx>
        <c:axId val="1260281040"/>
        <c:scaling>
          <c:orientation val="minMax"/>
        </c:scaling>
        <c:delete val="1"/>
        <c:axPos val="b"/>
        <c:numFmt formatCode="General" sourceLinked="1"/>
        <c:majorTickMark val="out"/>
        <c:minorTickMark val="none"/>
        <c:tickLblPos val="nextTo"/>
        <c:crossAx val="1260286800"/>
        <c:crosses val="autoZero"/>
        <c:auto val="1"/>
        <c:lblAlgn val="ctr"/>
        <c:lblOffset val="100"/>
        <c:noMultiLvlLbl val="0"/>
      </c:cat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9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9533383255047"/>
          <c:y val="5.6021139249485707E-2"/>
          <c:w val="0.86299506770869083"/>
          <c:h val="0.77092998510321342"/>
        </c:manualLayout>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Sheet1!$A$2:$A$7</c:f>
              <c:strCache>
                <c:ptCount val="6"/>
                <c:pt idx="0">
                  <c:v>2025-2029</c:v>
                </c:pt>
                <c:pt idx="1">
                  <c:v>2030-2034</c:v>
                </c:pt>
                <c:pt idx="2">
                  <c:v>2035-2039</c:v>
                </c:pt>
                <c:pt idx="3">
                  <c:v>2040-2044</c:v>
                </c:pt>
                <c:pt idx="4">
                  <c:v>2045-2049</c:v>
                </c:pt>
                <c:pt idx="5">
                  <c:v>2050-</c:v>
                </c:pt>
              </c:strCache>
            </c:strRef>
          </c:cat>
          <c:val>
            <c:numRef>
              <c:f>Sheet1!$B$2:$B$7</c:f>
              <c:numCache>
                <c:formatCode>General</c:formatCode>
                <c:ptCount val="6"/>
                <c:pt idx="0">
                  <c:v>1.4924108885200571</c:v>
                </c:pt>
                <c:pt idx="1">
                  <c:v>1.3622329121642962</c:v>
                </c:pt>
                <c:pt idx="2">
                  <c:v>0.99963928563205906</c:v>
                </c:pt>
                <c:pt idx="3">
                  <c:v>0.75628082809946484</c:v>
                </c:pt>
                <c:pt idx="4">
                  <c:v>0.48129767178495264</c:v>
                </c:pt>
                <c:pt idx="5">
                  <c:v>0.21255083358382443</c:v>
                </c:pt>
              </c:numCache>
            </c:numRef>
          </c:val>
          <c:extLst>
            <c:ext xmlns:c16="http://schemas.microsoft.com/office/drawing/2014/chart" uri="{C3380CC4-5D6E-409C-BE32-E72D297353CC}">
              <c16:uniqueId val="{00000000-2014-48BE-9AB6-1D64944E366D}"/>
            </c:ext>
          </c:extLst>
        </c:ser>
        <c:dLbls>
          <c:showLegendKey val="0"/>
          <c:showVal val="0"/>
          <c:showCatName val="0"/>
          <c:showSerName val="0"/>
          <c:showPercent val="0"/>
          <c:showBubbleSize val="0"/>
        </c:dLbls>
        <c:gapWidth val="100"/>
        <c:axId val="486749784"/>
        <c:axId val="486753744"/>
      </c:barChart>
      <c:catAx>
        <c:axId val="48674978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53744"/>
        <c:crosses val="autoZero"/>
        <c:auto val="1"/>
        <c:lblAlgn val="ctr"/>
        <c:lblOffset val="100"/>
        <c:tickLblSkip val="1"/>
        <c:noMultiLvlLbl val="0"/>
      </c:catAx>
      <c:valAx>
        <c:axId val="486753744"/>
        <c:scaling>
          <c:orientation val="minMax"/>
          <c:max val="1.5"/>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49784"/>
        <c:crosses val="autoZero"/>
        <c:crossBetween val="between"/>
        <c:majorUnit val="0.30000000000000004"/>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9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9533383255047"/>
          <c:y val="5.6021139249485707E-2"/>
          <c:w val="0.85469286762566887"/>
          <c:h val="0.77092998510321342"/>
        </c:manualLayout>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Sheet1!$A$2:$A$7</c:f>
              <c:strCache>
                <c:ptCount val="6"/>
                <c:pt idx="0">
                  <c:v>2025-2029</c:v>
                </c:pt>
                <c:pt idx="1">
                  <c:v>2030-2034</c:v>
                </c:pt>
                <c:pt idx="2">
                  <c:v>2035-2039</c:v>
                </c:pt>
                <c:pt idx="3">
                  <c:v>2040-2044</c:v>
                </c:pt>
                <c:pt idx="4">
                  <c:v>2045-2049</c:v>
                </c:pt>
                <c:pt idx="5">
                  <c:v>2050-</c:v>
                </c:pt>
              </c:strCache>
            </c:strRef>
          </c:cat>
          <c:val>
            <c:numRef>
              <c:f>Sheet1!$B$2:$B$7</c:f>
              <c:numCache>
                <c:formatCode>General</c:formatCode>
                <c:ptCount val="6"/>
                <c:pt idx="0">
                  <c:v>1.6357047194838104</c:v>
                </c:pt>
                <c:pt idx="1">
                  <c:v>-0.52071741596537713</c:v>
                </c:pt>
                <c:pt idx="2">
                  <c:v>-0.92381899380281629</c:v>
                </c:pt>
                <c:pt idx="3">
                  <c:v>-0.95580344229592162</c:v>
                </c:pt>
                <c:pt idx="4">
                  <c:v>-0.96138835527760369</c:v>
                </c:pt>
                <c:pt idx="5">
                  <c:v>-0.97347689903253265</c:v>
                </c:pt>
              </c:numCache>
            </c:numRef>
          </c:val>
          <c:extLst>
            <c:ext xmlns:c16="http://schemas.microsoft.com/office/drawing/2014/chart" uri="{C3380CC4-5D6E-409C-BE32-E72D297353CC}">
              <c16:uniqueId val="{00000000-03C3-44E9-B6A1-CB682F8165C2}"/>
            </c:ext>
          </c:extLst>
        </c:ser>
        <c:dLbls>
          <c:showLegendKey val="0"/>
          <c:showVal val="0"/>
          <c:showCatName val="0"/>
          <c:showSerName val="0"/>
          <c:showPercent val="0"/>
          <c:showBubbleSize val="0"/>
        </c:dLbls>
        <c:gapWidth val="100"/>
        <c:axId val="486749784"/>
        <c:axId val="486753744"/>
      </c:barChart>
      <c:catAx>
        <c:axId val="48674978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53744"/>
        <c:crosses val="autoZero"/>
        <c:auto val="1"/>
        <c:lblAlgn val="ctr"/>
        <c:lblOffset val="100"/>
        <c:tickLblSkip val="1"/>
        <c:noMultiLvlLbl val="0"/>
      </c:catAx>
      <c:valAx>
        <c:axId val="486753744"/>
        <c:scaling>
          <c:orientation val="minMax"/>
          <c:max val="2"/>
          <c:min val="-1.5"/>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49784"/>
        <c:crosses val="autoZero"/>
        <c:crossBetween val="between"/>
        <c:majorUnit val="0.5"/>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9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5966081162931552E-2"/>
          <c:y val="3.130358705161855E-2"/>
          <c:w val="0.84795759753331801"/>
          <c:h val="0.80003545458457037"/>
        </c:manualLayout>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Sheet1!$A$2:$A$7</c:f>
              <c:strCache>
                <c:ptCount val="6"/>
                <c:pt idx="0">
                  <c:v>2025-2029</c:v>
                </c:pt>
                <c:pt idx="1">
                  <c:v>2030-2034</c:v>
                </c:pt>
                <c:pt idx="2">
                  <c:v>2035-2039</c:v>
                </c:pt>
                <c:pt idx="3">
                  <c:v>2040-2044</c:v>
                </c:pt>
                <c:pt idx="4">
                  <c:v>2045-2049</c:v>
                </c:pt>
                <c:pt idx="5">
                  <c:v>2050-</c:v>
                </c:pt>
              </c:strCache>
            </c:strRef>
          </c:cat>
          <c:val>
            <c:numRef>
              <c:f>Sheet1!$B$2:$B$7</c:f>
              <c:numCache>
                <c:formatCode>General</c:formatCode>
                <c:ptCount val="6"/>
                <c:pt idx="0">
                  <c:v>5.7372701555869821</c:v>
                </c:pt>
                <c:pt idx="1">
                  <c:v>6.7680088494573525</c:v>
                </c:pt>
                <c:pt idx="2">
                  <c:v>6.4035926732787907</c:v>
                </c:pt>
                <c:pt idx="3">
                  <c:v>5.8010153530500208</c:v>
                </c:pt>
                <c:pt idx="4">
                  <c:v>5.5125298995784107</c:v>
                </c:pt>
                <c:pt idx="5">
                  <c:v>5.1682724113854768</c:v>
                </c:pt>
              </c:numCache>
            </c:numRef>
          </c:val>
          <c:extLst>
            <c:ext xmlns:c16="http://schemas.microsoft.com/office/drawing/2014/chart" uri="{C3380CC4-5D6E-409C-BE32-E72D297353CC}">
              <c16:uniqueId val="{00000000-A6F1-4811-8887-6FB3678BE6B8}"/>
            </c:ext>
          </c:extLst>
        </c:ser>
        <c:dLbls>
          <c:showLegendKey val="0"/>
          <c:showVal val="0"/>
          <c:showCatName val="0"/>
          <c:showSerName val="0"/>
          <c:showPercent val="0"/>
          <c:showBubbleSize val="0"/>
        </c:dLbls>
        <c:gapWidth val="100"/>
        <c:overlap val="-27"/>
        <c:axId val="486749784"/>
        <c:axId val="486753744"/>
      </c:barChart>
      <c:catAx>
        <c:axId val="48674978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53744"/>
        <c:crosses val="autoZero"/>
        <c:auto val="1"/>
        <c:lblAlgn val="ctr"/>
        <c:lblOffset val="100"/>
        <c:tickLblSkip val="1"/>
        <c:noMultiLvlLbl val="0"/>
      </c:catAx>
      <c:valAx>
        <c:axId val="4867537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4978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9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948467595396728E-2"/>
          <c:y val="5.1677313920665574E-2"/>
          <c:w val="0.8651912284314397"/>
          <c:h val="0.77949199898399801"/>
        </c:manualLayout>
      </c:layout>
      <c:lineChart>
        <c:grouping val="standard"/>
        <c:varyColors val="0"/>
        <c:ser>
          <c:idx val="0"/>
          <c:order val="0"/>
          <c:tx>
            <c:strRef>
              <c:f>Sheet1!$B$1</c:f>
              <c:strCache>
                <c:ptCount val="1"/>
                <c:pt idx="0">
                  <c:v>PVN</c:v>
                </c:pt>
              </c:strCache>
            </c:strRef>
          </c:tx>
          <c:spPr>
            <a:ln w="47625" cap="rnd">
              <a:solidFill>
                <a:schemeClr val="accent1"/>
              </a:solidFill>
              <a:round/>
            </a:ln>
            <a:effectLst/>
          </c:spPr>
          <c:marker>
            <c:symbol val="none"/>
          </c:marker>
          <c:cat>
            <c:strRef>
              <c:f>Sheet1!$A$2:$A$7</c:f>
              <c:strCache>
                <c:ptCount val="6"/>
                <c:pt idx="0">
                  <c:v>2025-2029</c:v>
                </c:pt>
                <c:pt idx="1">
                  <c:v>2030-2034</c:v>
                </c:pt>
                <c:pt idx="2">
                  <c:v>2035-2039</c:v>
                </c:pt>
                <c:pt idx="3">
                  <c:v>2040-2044</c:v>
                </c:pt>
                <c:pt idx="4">
                  <c:v>2045-2049</c:v>
                </c:pt>
                <c:pt idx="5">
                  <c:v>2050-</c:v>
                </c:pt>
              </c:strCache>
            </c:strRef>
          </c:cat>
          <c:val>
            <c:numRef>
              <c:f>Sheet1!$B$2:$B$7</c:f>
              <c:numCache>
                <c:formatCode>General</c:formatCode>
                <c:ptCount val="6"/>
                <c:pt idx="0">
                  <c:v>5.5257599227504173</c:v>
                </c:pt>
                <c:pt idx="1">
                  <c:v>8.7974678874715</c:v>
                </c:pt>
                <c:pt idx="2">
                  <c:v>8.2333693269199379</c:v>
                </c:pt>
                <c:pt idx="3">
                  <c:v>6.9136641153256129</c:v>
                </c:pt>
                <c:pt idx="4">
                  <c:v>6.2572028289904829</c:v>
                </c:pt>
                <c:pt idx="5">
                  <c:v>5.5353583631630343</c:v>
                </c:pt>
              </c:numCache>
            </c:numRef>
          </c:val>
          <c:smooth val="0"/>
          <c:extLst>
            <c:ext xmlns:c16="http://schemas.microsoft.com/office/drawing/2014/chart" uri="{C3380CC4-5D6E-409C-BE32-E72D297353CC}">
              <c16:uniqueId val="{00000000-C749-4D26-9C2E-1DEDCFE699A1}"/>
            </c:ext>
          </c:extLst>
        </c:ser>
        <c:ser>
          <c:idx val="1"/>
          <c:order val="1"/>
          <c:tx>
            <c:strRef>
              <c:f>Sheet1!$C$1</c:f>
              <c:strCache>
                <c:ptCount val="1"/>
                <c:pt idx="0">
                  <c:v>Tiešie nodokļi</c:v>
                </c:pt>
              </c:strCache>
            </c:strRef>
          </c:tx>
          <c:spPr>
            <a:ln w="47625" cap="rnd">
              <a:solidFill>
                <a:schemeClr val="accent2"/>
              </a:solidFill>
              <a:round/>
            </a:ln>
            <a:effectLst/>
          </c:spPr>
          <c:marker>
            <c:symbol val="none"/>
          </c:marker>
          <c:cat>
            <c:strRef>
              <c:f>Sheet1!$A$2:$A$7</c:f>
              <c:strCache>
                <c:ptCount val="6"/>
                <c:pt idx="0">
                  <c:v>2025-2029</c:v>
                </c:pt>
                <c:pt idx="1">
                  <c:v>2030-2034</c:v>
                </c:pt>
                <c:pt idx="2">
                  <c:v>2035-2039</c:v>
                </c:pt>
                <c:pt idx="3">
                  <c:v>2040-2044</c:v>
                </c:pt>
                <c:pt idx="4">
                  <c:v>2045-2049</c:v>
                </c:pt>
                <c:pt idx="5">
                  <c:v>2050-</c:v>
                </c:pt>
              </c:strCache>
            </c:strRef>
          </c:cat>
          <c:val>
            <c:numRef>
              <c:f>Sheet1!$C$2:$C$7</c:f>
              <c:numCache>
                <c:formatCode>General</c:formatCode>
                <c:ptCount val="6"/>
                <c:pt idx="0">
                  <c:v>5.1802418809881345</c:v>
                </c:pt>
                <c:pt idx="1">
                  <c:v>5.8660124824127857</c:v>
                </c:pt>
                <c:pt idx="2">
                  <c:v>5.7228772563277852</c:v>
                </c:pt>
                <c:pt idx="3">
                  <c:v>5.408544470520626</c:v>
                </c:pt>
                <c:pt idx="4">
                  <c:v>5.2616976981437862</c:v>
                </c:pt>
                <c:pt idx="5">
                  <c:v>5.0531157728629816</c:v>
                </c:pt>
              </c:numCache>
            </c:numRef>
          </c:val>
          <c:smooth val="0"/>
          <c:extLst>
            <c:ext xmlns:c16="http://schemas.microsoft.com/office/drawing/2014/chart" uri="{C3380CC4-5D6E-409C-BE32-E72D297353CC}">
              <c16:uniqueId val="{00000001-C749-4D26-9C2E-1DEDCFE699A1}"/>
            </c:ext>
          </c:extLst>
        </c:ser>
        <c:ser>
          <c:idx val="2"/>
          <c:order val="2"/>
          <c:tx>
            <c:strRef>
              <c:f>Sheet1!$D$1</c:f>
              <c:strCache>
                <c:ptCount val="1"/>
                <c:pt idx="0">
                  <c:v>VSAOI</c:v>
                </c:pt>
              </c:strCache>
            </c:strRef>
          </c:tx>
          <c:spPr>
            <a:ln w="47625" cap="rnd">
              <a:solidFill>
                <a:schemeClr val="accent3"/>
              </a:solidFill>
              <a:round/>
            </a:ln>
            <a:effectLst/>
          </c:spPr>
          <c:marker>
            <c:symbol val="none"/>
          </c:marker>
          <c:cat>
            <c:strRef>
              <c:f>Sheet1!$A$2:$A$7</c:f>
              <c:strCache>
                <c:ptCount val="6"/>
                <c:pt idx="0">
                  <c:v>2025-2029</c:v>
                </c:pt>
                <c:pt idx="1">
                  <c:v>2030-2034</c:v>
                </c:pt>
                <c:pt idx="2">
                  <c:v>2035-2039</c:v>
                </c:pt>
                <c:pt idx="3">
                  <c:v>2040-2044</c:v>
                </c:pt>
                <c:pt idx="4">
                  <c:v>2045-2049</c:v>
                </c:pt>
                <c:pt idx="5">
                  <c:v>2050-</c:v>
                </c:pt>
              </c:strCache>
            </c:strRef>
          </c:cat>
          <c:val>
            <c:numRef>
              <c:f>Sheet1!$D$2:$D$7</c:f>
              <c:numCache>
                <c:formatCode>General</c:formatCode>
                <c:ptCount val="6"/>
                <c:pt idx="0">
                  <c:v>6.0507326866273363</c:v>
                </c:pt>
                <c:pt idx="1">
                  <c:v>5.1986169879811968</c:v>
                </c:pt>
                <c:pt idx="2">
                  <c:v>4.7558070775970407</c:v>
                </c:pt>
                <c:pt idx="3">
                  <c:v>4.4021539395682545</c:v>
                </c:pt>
                <c:pt idx="4">
                  <c:v>4.2343557086230383</c:v>
                </c:pt>
                <c:pt idx="5">
                  <c:v>3.9827884846621364</c:v>
                </c:pt>
              </c:numCache>
            </c:numRef>
          </c:val>
          <c:smooth val="0"/>
          <c:extLst>
            <c:ext xmlns:c16="http://schemas.microsoft.com/office/drawing/2014/chart" uri="{C3380CC4-5D6E-409C-BE32-E72D297353CC}">
              <c16:uniqueId val="{00000002-C749-4D26-9C2E-1DEDCFE699A1}"/>
            </c:ext>
          </c:extLst>
        </c:ser>
        <c:dLbls>
          <c:showLegendKey val="0"/>
          <c:showVal val="0"/>
          <c:showCatName val="0"/>
          <c:showSerName val="0"/>
          <c:showPercent val="0"/>
          <c:showBubbleSize val="0"/>
        </c:dLbls>
        <c:smooth val="0"/>
        <c:axId val="317965248"/>
        <c:axId val="317960208"/>
      </c:lineChart>
      <c:catAx>
        <c:axId val="317965248"/>
        <c:scaling>
          <c:orientation val="minMax"/>
        </c:scaling>
        <c:delete val="0"/>
        <c:axPos val="b"/>
        <c:numFmt formatCode="0" sourceLinked="0"/>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317960208"/>
        <c:crosses val="autoZero"/>
        <c:auto val="1"/>
        <c:lblAlgn val="ctr"/>
        <c:lblOffset val="100"/>
        <c:tickLblSkip val="1"/>
        <c:noMultiLvlLbl val="0"/>
      </c:catAx>
      <c:valAx>
        <c:axId val="317960208"/>
        <c:scaling>
          <c:orientation val="minMax"/>
          <c:max val="1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317965248"/>
        <c:crosses val="autoZero"/>
        <c:crossBetween val="between"/>
        <c:majorUnit val="2"/>
      </c:valAx>
      <c:spPr>
        <a:noFill/>
        <a:ln>
          <a:noFill/>
        </a:ln>
        <a:effectLst/>
      </c:spPr>
    </c:plotArea>
    <c:legend>
      <c:legendPos val="b"/>
      <c:layout>
        <c:manualLayout>
          <c:xMode val="edge"/>
          <c:yMode val="edge"/>
          <c:x val="8.7326397400823028E-2"/>
          <c:y val="0.64025402440690204"/>
          <c:w val="0.87116260218406694"/>
          <c:h val="8.8187283041232745E-2"/>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9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2035</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dPt>
            <c:idx val="1"/>
            <c:invertIfNegative val="0"/>
            <c:bubble3D val="0"/>
            <c:spPr>
              <a:pattFill prst="narHorz">
                <a:fgClr>
                  <a:schemeClr val="accent2"/>
                </a:fgClr>
                <a:bgClr>
                  <a:schemeClr val="accent2">
                    <a:lumMod val="20000"/>
                    <a:lumOff val="80000"/>
                  </a:schemeClr>
                </a:bgClr>
              </a:pattFill>
              <a:ln>
                <a:noFill/>
              </a:ln>
              <a:effectLst>
                <a:innerShdw blurRad="114300">
                  <a:schemeClr val="accent2"/>
                </a:innerShdw>
              </a:effectLst>
            </c:spPr>
            <c:extLst>
              <c:ext xmlns:c16="http://schemas.microsoft.com/office/drawing/2014/chart" uri="{C3380CC4-5D6E-409C-BE32-E72D297353CC}">
                <c16:uniqueId val="{00000001-6F22-47EF-BB0F-C9F728C866E6}"/>
              </c:ext>
            </c:extLst>
          </c:dPt>
          <c:cat>
            <c:strRef>
              <c:f>Sheet1!$A$2:$A$25</c:f>
              <c:strCache>
                <c:ptCount val="24"/>
                <c:pt idx="0">
                  <c:v>Elektronika un optika</c:v>
                </c:pt>
                <c:pt idx="1">
                  <c:v>Cita rūpniecība</c:v>
                </c:pt>
                <c:pt idx="2">
                  <c:v>Privātie pakalpojumi</c:v>
                </c:pt>
                <c:pt idx="3">
                  <c:v>Kokrūpniecība</c:v>
                </c:pt>
                <c:pt idx="4">
                  <c:v>Uzglabāšana</c:v>
                </c:pt>
                <c:pt idx="5">
                  <c:v>Lauksaimniecība</c:v>
                </c:pt>
                <c:pt idx="6">
                  <c:v>Sauszemes transports</c:v>
                </c:pt>
                <c:pt idx="7">
                  <c:v>Gaisa transports</c:v>
                </c:pt>
                <c:pt idx="8">
                  <c:v>Ūdens transports</c:v>
                </c:pt>
                <c:pt idx="9">
                  <c:v>Elektriskās iekārtas</c:v>
                </c:pt>
                <c:pt idx="10">
                  <c:v>Metālizstrādājumi</c:v>
                </c:pt>
                <c:pt idx="11">
                  <c:v>Farmācija</c:v>
                </c:pt>
                <c:pt idx="12">
                  <c:v>Būvniecība</c:v>
                </c:pt>
                <c:pt idx="13">
                  <c:v>Elektrības ražošana</c:v>
                </c:pt>
                <c:pt idx="14">
                  <c:v>Pārtika un dzērieni</c:v>
                </c:pt>
                <c:pt idx="15">
                  <c:v>Tekstils</c:v>
                </c:pt>
                <c:pt idx="16">
                  <c:v>Transportlīdzekļi</c:v>
                </c:pt>
                <c:pt idx="17">
                  <c:v>Papīrs un poligrāfija</c:v>
                </c:pt>
                <c:pt idx="18">
                  <c:v>Mašīnbūve</c:v>
                </c:pt>
                <c:pt idx="19">
                  <c:v>Metāli</c:v>
                </c:pt>
                <c:pt idx="20">
                  <c:v>Ķīmijas produkti</c:v>
                </c:pt>
                <c:pt idx="21">
                  <c:v>Nemetāliskie minerāli</c:v>
                </c:pt>
                <c:pt idx="22">
                  <c:v>Gumija un plastmasa</c:v>
                </c:pt>
                <c:pt idx="23">
                  <c:v>Publiskie pakalpojumi</c:v>
                </c:pt>
              </c:strCache>
            </c:strRef>
          </c:cat>
          <c:val>
            <c:numRef>
              <c:f>Sheet1!$B$2:$B$25</c:f>
              <c:numCache>
                <c:formatCode>0.00</c:formatCode>
                <c:ptCount val="24"/>
                <c:pt idx="0">
                  <c:v>10.137924091412476</c:v>
                </c:pt>
                <c:pt idx="1">
                  <c:v>8.6731317741015399</c:v>
                </c:pt>
                <c:pt idx="2">
                  <c:v>8.2945309540731866</c:v>
                </c:pt>
                <c:pt idx="3">
                  <c:v>7.9350188407836253</c:v>
                </c:pt>
                <c:pt idx="4">
                  <c:v>7.7470485866140022</c:v>
                </c:pt>
                <c:pt idx="5">
                  <c:v>7.6975523283561831</c:v>
                </c:pt>
                <c:pt idx="6">
                  <c:v>7.3094774367010951</c:v>
                </c:pt>
                <c:pt idx="7">
                  <c:v>6.9877505567928822</c:v>
                </c:pt>
                <c:pt idx="8">
                  <c:v>6.8682221491948798</c:v>
                </c:pt>
                <c:pt idx="9">
                  <c:v>6.6388230893903444</c:v>
                </c:pt>
                <c:pt idx="10">
                  <c:v>6.1151583076491933</c:v>
                </c:pt>
                <c:pt idx="11">
                  <c:v>5.9294337357433502</c:v>
                </c:pt>
                <c:pt idx="12">
                  <c:v>5.7513583470004566</c:v>
                </c:pt>
                <c:pt idx="13">
                  <c:v>4.9899101082370283</c:v>
                </c:pt>
                <c:pt idx="14">
                  <c:v>4.955591364181366</c:v>
                </c:pt>
                <c:pt idx="15">
                  <c:v>4.729366977402516</c:v>
                </c:pt>
                <c:pt idx="16">
                  <c:v>4.6164460891927606</c:v>
                </c:pt>
                <c:pt idx="17">
                  <c:v>4.4394677908048958</c:v>
                </c:pt>
                <c:pt idx="18">
                  <c:v>4.3918235175065767</c:v>
                </c:pt>
                <c:pt idx="19">
                  <c:v>4.2990654205607548</c:v>
                </c:pt>
                <c:pt idx="20">
                  <c:v>4.0085843488924633</c:v>
                </c:pt>
                <c:pt idx="21">
                  <c:v>3.5583895973993473</c:v>
                </c:pt>
                <c:pt idx="22">
                  <c:v>3.4146341463414664</c:v>
                </c:pt>
                <c:pt idx="23">
                  <c:v>0.70773389397809083</c:v>
                </c:pt>
              </c:numCache>
            </c:numRef>
          </c:val>
          <c:extLst>
            <c:ext xmlns:c16="http://schemas.microsoft.com/office/drawing/2014/chart" uri="{C3380CC4-5D6E-409C-BE32-E72D297353CC}">
              <c16:uniqueId val="{00000002-6F22-47EF-BB0F-C9F728C866E6}"/>
            </c:ext>
          </c:extLst>
        </c:ser>
        <c:dLbls>
          <c:showLegendKey val="0"/>
          <c:showVal val="0"/>
          <c:showCatName val="0"/>
          <c:showSerName val="0"/>
          <c:showPercent val="0"/>
          <c:showBubbleSize val="0"/>
        </c:dLbls>
        <c:gapWidth val="80"/>
        <c:axId val="314997208"/>
        <c:axId val="315001528"/>
      </c:barChart>
      <c:catAx>
        <c:axId val="314997208"/>
        <c:scaling>
          <c:orientation val="minMax"/>
        </c:scaling>
        <c:delete val="0"/>
        <c:axPos val="b"/>
        <c:numFmt formatCode="General" sourceLinked="1"/>
        <c:majorTickMark val="none"/>
        <c:minorTickMark val="none"/>
        <c:tickLblPos val="nextTo"/>
        <c:spPr>
          <a:noFill/>
          <a:ln w="6350" cap="flat" cmpd="sng" algn="ctr">
            <a:solidFill>
              <a:schemeClr val="tx1">
                <a:lumMod val="25000"/>
                <a:lumOff val="75000"/>
              </a:schemeClr>
            </a:solidFill>
            <a:round/>
          </a:ln>
          <a:effectLst/>
        </c:spPr>
        <c:txPr>
          <a:bodyPr rot="-540000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315001528"/>
        <c:crosses val="autoZero"/>
        <c:auto val="1"/>
        <c:lblAlgn val="ctr"/>
        <c:lblOffset val="100"/>
        <c:noMultiLvlLbl val="0"/>
      </c:catAx>
      <c:valAx>
        <c:axId val="315001528"/>
        <c:scaling>
          <c:orientation val="minMax"/>
          <c:max val="11"/>
          <c:min val="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314997208"/>
        <c:crosses val="autoZero"/>
        <c:crossBetween val="between"/>
        <c:majorUnit val="2"/>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9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083989501312337"/>
          <c:y val="4.2507625735972186E-2"/>
          <c:w val="0.86243230996776865"/>
          <c:h val="0.7844434986167268"/>
        </c:manualLayout>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Sheet1!$A$2:$A$7</c:f>
              <c:strCache>
                <c:ptCount val="6"/>
                <c:pt idx="0">
                  <c:v>2025-2029</c:v>
                </c:pt>
                <c:pt idx="1">
                  <c:v>2030-2034</c:v>
                </c:pt>
                <c:pt idx="2">
                  <c:v>2035-2039</c:v>
                </c:pt>
                <c:pt idx="3">
                  <c:v>2040-2044</c:v>
                </c:pt>
                <c:pt idx="4">
                  <c:v>2045-2049</c:v>
                </c:pt>
                <c:pt idx="5">
                  <c:v>2050-</c:v>
                </c:pt>
              </c:strCache>
            </c:strRef>
          </c:cat>
          <c:val>
            <c:numRef>
              <c:f>Sheet1!$B$2:$B$7</c:f>
              <c:numCache>
                <c:formatCode>General</c:formatCode>
                <c:ptCount val="6"/>
                <c:pt idx="0">
                  <c:v>0.31714111984993965</c:v>
                </c:pt>
                <c:pt idx="1">
                  <c:v>1.3218704408161086</c:v>
                </c:pt>
                <c:pt idx="2">
                  <c:v>1.4094274625842673</c:v>
                </c:pt>
                <c:pt idx="3">
                  <c:v>1.3578894044270928</c:v>
                </c:pt>
                <c:pt idx="4">
                  <c:v>1.3379071592113712</c:v>
                </c:pt>
                <c:pt idx="5">
                  <c:v>1.311873407516706</c:v>
                </c:pt>
              </c:numCache>
            </c:numRef>
          </c:val>
          <c:extLst>
            <c:ext xmlns:c16="http://schemas.microsoft.com/office/drawing/2014/chart" uri="{C3380CC4-5D6E-409C-BE32-E72D297353CC}">
              <c16:uniqueId val="{00000000-7514-4D5A-9D46-5518C45C06B9}"/>
            </c:ext>
          </c:extLst>
        </c:ser>
        <c:dLbls>
          <c:showLegendKey val="0"/>
          <c:showVal val="0"/>
          <c:showCatName val="0"/>
          <c:showSerName val="0"/>
          <c:showPercent val="0"/>
          <c:showBubbleSize val="0"/>
        </c:dLbls>
        <c:gapWidth val="100"/>
        <c:axId val="486749784"/>
        <c:axId val="486753744"/>
      </c:barChart>
      <c:catAx>
        <c:axId val="48674978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53744"/>
        <c:crosses val="autoZero"/>
        <c:auto val="1"/>
        <c:lblAlgn val="ctr"/>
        <c:lblOffset val="100"/>
        <c:tickLblSkip val="1"/>
        <c:noMultiLvlLbl val="0"/>
      </c:catAx>
      <c:valAx>
        <c:axId val="486753744"/>
        <c:scaling>
          <c:orientation val="minMax"/>
          <c:max val="1.5"/>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49784"/>
        <c:crosses val="autoZero"/>
        <c:crossBetween val="between"/>
        <c:majorUnit val="0.5"/>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9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140444100929101"/>
          <c:y val="3.3794875986522449E-2"/>
          <c:w val="0.86283065799838532"/>
          <c:h val="0.78896475310828362"/>
        </c:manualLayout>
      </c:layout>
      <c:lineChart>
        <c:grouping val="standard"/>
        <c:varyColors val="0"/>
        <c:ser>
          <c:idx val="0"/>
          <c:order val="0"/>
          <c:tx>
            <c:strRef>
              <c:f>Sheet1!$B$1</c:f>
              <c:strCache>
                <c:ptCount val="1"/>
                <c:pt idx="0">
                  <c:v>Investīcijas</c:v>
                </c:pt>
              </c:strCache>
            </c:strRef>
          </c:tx>
          <c:spPr>
            <a:ln w="47625" cap="rnd">
              <a:solidFill>
                <a:schemeClr val="accent1"/>
              </a:solidFill>
              <a:round/>
            </a:ln>
            <a:effectLst/>
          </c:spPr>
          <c:marker>
            <c:symbol val="none"/>
          </c:marker>
          <c:cat>
            <c:strRef>
              <c:f>Sheet1!$A$2:$A$7</c:f>
              <c:strCache>
                <c:ptCount val="6"/>
                <c:pt idx="0">
                  <c:v>2025-2029</c:v>
                </c:pt>
                <c:pt idx="1">
                  <c:v>2030-2034</c:v>
                </c:pt>
                <c:pt idx="2">
                  <c:v>2035-2039</c:v>
                </c:pt>
                <c:pt idx="3">
                  <c:v>2040-2044</c:v>
                </c:pt>
                <c:pt idx="4">
                  <c:v>2045-2049</c:v>
                </c:pt>
                <c:pt idx="5">
                  <c:v>2050-</c:v>
                </c:pt>
              </c:strCache>
            </c:strRef>
          </c:cat>
          <c:val>
            <c:numRef>
              <c:f>Sheet1!$B$2:$B$7</c:f>
              <c:numCache>
                <c:formatCode>0.00</c:formatCode>
                <c:ptCount val="6"/>
                <c:pt idx="0">
                  <c:v>1.5028603473819646</c:v>
                </c:pt>
                <c:pt idx="1">
                  <c:v>1.58</c:v>
                </c:pt>
                <c:pt idx="2">
                  <c:v>1.6480393488802703</c:v>
                </c:pt>
                <c:pt idx="3">
                  <c:v>1.6176070874991511</c:v>
                </c:pt>
                <c:pt idx="4">
                  <c:v>1.5905460322475973</c:v>
                </c:pt>
                <c:pt idx="5">
                  <c:v>1.554058273857839</c:v>
                </c:pt>
              </c:numCache>
            </c:numRef>
          </c:val>
          <c:smooth val="0"/>
          <c:extLst>
            <c:ext xmlns:c16="http://schemas.microsoft.com/office/drawing/2014/chart" uri="{C3380CC4-5D6E-409C-BE32-E72D297353CC}">
              <c16:uniqueId val="{00000000-AB3B-4EDC-8328-108A88088D90}"/>
            </c:ext>
          </c:extLst>
        </c:ser>
        <c:ser>
          <c:idx val="1"/>
          <c:order val="1"/>
          <c:tx>
            <c:strRef>
              <c:f>Sheet1!$C$1</c:f>
              <c:strCache>
                <c:ptCount val="1"/>
                <c:pt idx="0">
                  <c:v>Publiskais patēriņš</c:v>
                </c:pt>
              </c:strCache>
            </c:strRef>
          </c:tx>
          <c:spPr>
            <a:ln w="47625" cap="rnd">
              <a:solidFill>
                <a:schemeClr val="accent2"/>
              </a:solidFill>
              <a:round/>
            </a:ln>
            <a:effectLst/>
          </c:spPr>
          <c:marker>
            <c:symbol val="none"/>
          </c:marker>
          <c:cat>
            <c:strRef>
              <c:f>Sheet1!$A$2:$A$7</c:f>
              <c:strCache>
                <c:ptCount val="6"/>
                <c:pt idx="0">
                  <c:v>2025-2029</c:v>
                </c:pt>
                <c:pt idx="1">
                  <c:v>2030-2034</c:v>
                </c:pt>
                <c:pt idx="2">
                  <c:v>2035-2039</c:v>
                </c:pt>
                <c:pt idx="3">
                  <c:v>2040-2044</c:v>
                </c:pt>
                <c:pt idx="4">
                  <c:v>2045-2049</c:v>
                </c:pt>
                <c:pt idx="5">
                  <c:v>2050-</c:v>
                </c:pt>
              </c:strCache>
            </c:strRef>
          </c:cat>
          <c:val>
            <c:numRef>
              <c:f>Sheet1!$C$2:$C$7</c:f>
              <c:numCache>
                <c:formatCode>General</c:formatCode>
                <c:ptCount val="6"/>
                <c:pt idx="0">
                  <c:v>0</c:v>
                </c:pt>
                <c:pt idx="1">
                  <c:v>0</c:v>
                </c:pt>
                <c:pt idx="2">
                  <c:v>0</c:v>
                </c:pt>
                <c:pt idx="3">
                  <c:v>0</c:v>
                </c:pt>
                <c:pt idx="4">
                  <c:v>0</c:v>
                </c:pt>
                <c:pt idx="5">
                  <c:v>0</c:v>
                </c:pt>
              </c:numCache>
            </c:numRef>
          </c:val>
          <c:smooth val="0"/>
          <c:extLst>
            <c:ext xmlns:c16="http://schemas.microsoft.com/office/drawing/2014/chart" uri="{C3380CC4-5D6E-409C-BE32-E72D297353CC}">
              <c16:uniqueId val="{00000001-AB3B-4EDC-8328-108A88088D90}"/>
            </c:ext>
          </c:extLst>
        </c:ser>
        <c:ser>
          <c:idx val="2"/>
          <c:order val="2"/>
          <c:tx>
            <c:strRef>
              <c:f>Sheet1!$D$1</c:f>
              <c:strCache>
                <c:ptCount val="1"/>
                <c:pt idx="0">
                  <c:v>Privātais patēriņš</c:v>
                </c:pt>
              </c:strCache>
            </c:strRef>
          </c:tx>
          <c:spPr>
            <a:ln w="47625" cap="rnd">
              <a:solidFill>
                <a:schemeClr val="accent3"/>
              </a:solidFill>
              <a:round/>
            </a:ln>
            <a:effectLst/>
          </c:spPr>
          <c:marker>
            <c:symbol val="none"/>
          </c:marker>
          <c:cat>
            <c:strRef>
              <c:f>Sheet1!$A$2:$A$7</c:f>
              <c:strCache>
                <c:ptCount val="6"/>
                <c:pt idx="0">
                  <c:v>2025-2029</c:v>
                </c:pt>
                <c:pt idx="1">
                  <c:v>2030-2034</c:v>
                </c:pt>
                <c:pt idx="2">
                  <c:v>2035-2039</c:v>
                </c:pt>
                <c:pt idx="3">
                  <c:v>2040-2044</c:v>
                </c:pt>
                <c:pt idx="4">
                  <c:v>2045-2049</c:v>
                </c:pt>
                <c:pt idx="5">
                  <c:v>2050-</c:v>
                </c:pt>
              </c:strCache>
            </c:strRef>
          </c:cat>
          <c:val>
            <c:numRef>
              <c:f>Sheet1!$D$2:$D$7</c:f>
              <c:numCache>
                <c:formatCode>0.00</c:formatCode>
                <c:ptCount val="6"/>
                <c:pt idx="0">
                  <c:v>0.56832453564246155</c:v>
                </c:pt>
                <c:pt idx="1">
                  <c:v>1.7883664374498842</c:v>
                </c:pt>
                <c:pt idx="2">
                  <c:v>1.7569486646664356</c:v>
                </c:pt>
                <c:pt idx="3">
                  <c:v>1.5122929573634258</c:v>
                </c:pt>
                <c:pt idx="4">
                  <c:v>1.3882116573358805</c:v>
                </c:pt>
                <c:pt idx="5">
                  <c:v>1.2501205531945114</c:v>
                </c:pt>
              </c:numCache>
            </c:numRef>
          </c:val>
          <c:smooth val="0"/>
          <c:extLst>
            <c:ext xmlns:c16="http://schemas.microsoft.com/office/drawing/2014/chart" uri="{C3380CC4-5D6E-409C-BE32-E72D297353CC}">
              <c16:uniqueId val="{00000002-AB3B-4EDC-8328-108A88088D90}"/>
            </c:ext>
          </c:extLst>
        </c:ser>
        <c:dLbls>
          <c:showLegendKey val="0"/>
          <c:showVal val="0"/>
          <c:showCatName val="0"/>
          <c:showSerName val="0"/>
          <c:showPercent val="0"/>
          <c:showBubbleSize val="0"/>
        </c:dLbls>
        <c:smooth val="0"/>
        <c:axId val="486734304"/>
        <c:axId val="486735744"/>
      </c:lineChart>
      <c:catAx>
        <c:axId val="48673430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35744"/>
        <c:crosses val="autoZero"/>
        <c:auto val="1"/>
        <c:lblAlgn val="ctr"/>
        <c:lblOffset val="100"/>
        <c:tickLblSkip val="1"/>
        <c:noMultiLvlLbl val="0"/>
      </c:catAx>
      <c:valAx>
        <c:axId val="486735744"/>
        <c:scaling>
          <c:orientation val="minMax"/>
          <c:max val="2"/>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34304"/>
        <c:crosses val="autoZero"/>
        <c:crossBetween val="between"/>
        <c:majorUnit val="0.5"/>
      </c:valAx>
      <c:spPr>
        <a:noFill/>
        <a:ln>
          <a:noFill/>
        </a:ln>
        <a:effectLst/>
      </c:spPr>
    </c:plotArea>
    <c:legend>
      <c:legendPos val="b"/>
      <c:layout>
        <c:manualLayout>
          <c:xMode val="edge"/>
          <c:yMode val="edge"/>
          <c:x val="0.30898249681979939"/>
          <c:y val="0.55815382938724356"/>
          <c:w val="0.57535706809654941"/>
          <c:h val="0.25067850947697284"/>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9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5255728169114"/>
          <c:y val="5.2169478815148107E-2"/>
          <c:w val="0.83841222549883976"/>
          <c:h val="0.91682506353372495"/>
        </c:manualLayout>
      </c:layout>
      <c:lineChart>
        <c:grouping val="standard"/>
        <c:varyColors val="0"/>
        <c:ser>
          <c:idx val="0"/>
          <c:order val="0"/>
          <c:tx>
            <c:strRef>
              <c:f>Sheet1!$B$1</c:f>
              <c:strCache>
                <c:ptCount val="1"/>
                <c:pt idx="0">
                  <c:v>Eksports</c:v>
                </c:pt>
              </c:strCache>
            </c:strRef>
          </c:tx>
          <c:spPr>
            <a:ln w="28575" cap="rnd">
              <a:solidFill>
                <a:schemeClr val="accent1"/>
              </a:solidFill>
              <a:round/>
            </a:ln>
            <a:effectLst/>
          </c:spPr>
          <c:marker>
            <c:symbol val="none"/>
          </c:marker>
          <c:cat>
            <c:strRef>
              <c:f>Sheet1!$A$2:$A$7</c:f>
              <c:strCache>
                <c:ptCount val="6"/>
                <c:pt idx="0">
                  <c:v>2025-2029</c:v>
                </c:pt>
                <c:pt idx="1">
                  <c:v>2030-2034</c:v>
                </c:pt>
                <c:pt idx="2">
                  <c:v>2035-2039</c:v>
                </c:pt>
                <c:pt idx="3">
                  <c:v>2040-2044</c:v>
                </c:pt>
                <c:pt idx="4">
                  <c:v>2045-2049</c:v>
                </c:pt>
                <c:pt idx="5">
                  <c:v>2050-</c:v>
                </c:pt>
              </c:strCache>
            </c:strRef>
          </c:cat>
          <c:val>
            <c:numRef>
              <c:f>Sheet1!$B$2:$B$7</c:f>
              <c:numCache>
                <c:formatCode>General</c:formatCode>
                <c:ptCount val="6"/>
                <c:pt idx="0">
                  <c:v>-0.19498193256153762</c:v>
                </c:pt>
                <c:pt idx="1">
                  <c:v>0.94892480846687777</c:v>
                </c:pt>
                <c:pt idx="2">
                  <c:v>1.3186261341801786</c:v>
                </c:pt>
                <c:pt idx="3">
                  <c:v>1.4177829790296026</c:v>
                </c:pt>
                <c:pt idx="4">
                  <c:v>1.4775144265015583</c:v>
                </c:pt>
                <c:pt idx="5">
                  <c:v>1.5493795792604903</c:v>
                </c:pt>
              </c:numCache>
            </c:numRef>
          </c:val>
          <c:smooth val="0"/>
          <c:extLst>
            <c:ext xmlns:c16="http://schemas.microsoft.com/office/drawing/2014/chart" uri="{C3380CC4-5D6E-409C-BE32-E72D297353CC}">
              <c16:uniqueId val="{00000000-DA7C-492E-8144-87158A616AF3}"/>
            </c:ext>
          </c:extLst>
        </c:ser>
        <c:ser>
          <c:idx val="1"/>
          <c:order val="1"/>
          <c:tx>
            <c:strRef>
              <c:f>Sheet1!$C$1</c:f>
              <c:strCache>
                <c:ptCount val="1"/>
                <c:pt idx="0">
                  <c:v>Imports</c:v>
                </c:pt>
              </c:strCache>
            </c:strRef>
          </c:tx>
          <c:spPr>
            <a:ln w="28575" cap="rnd">
              <a:solidFill>
                <a:schemeClr val="accent2"/>
              </a:solidFill>
              <a:round/>
            </a:ln>
            <a:effectLst/>
          </c:spPr>
          <c:marker>
            <c:symbol val="none"/>
          </c:marker>
          <c:cat>
            <c:strRef>
              <c:f>Sheet1!$A$2:$A$7</c:f>
              <c:strCache>
                <c:ptCount val="6"/>
                <c:pt idx="0">
                  <c:v>2025-2029</c:v>
                </c:pt>
                <c:pt idx="1">
                  <c:v>2030-2034</c:v>
                </c:pt>
                <c:pt idx="2">
                  <c:v>2035-2039</c:v>
                </c:pt>
                <c:pt idx="3">
                  <c:v>2040-2044</c:v>
                </c:pt>
                <c:pt idx="4">
                  <c:v>2045-2049</c:v>
                </c:pt>
                <c:pt idx="5">
                  <c:v>2050-</c:v>
                </c:pt>
              </c:strCache>
            </c:strRef>
          </c:cat>
          <c:val>
            <c:numRef>
              <c:f>Sheet1!$C$2:$C$7</c:f>
              <c:numCache>
                <c:formatCode>General</c:formatCode>
                <c:ptCount val="6"/>
                <c:pt idx="0">
                  <c:v>0.36446919171823744</c:v>
                </c:pt>
                <c:pt idx="1">
                  <c:v>1.3302766327410231</c:v>
                </c:pt>
                <c:pt idx="2">
                  <c:v>1.1620107518095502</c:v>
                </c:pt>
                <c:pt idx="3">
                  <c:v>1.0550130927029833</c:v>
                </c:pt>
                <c:pt idx="4">
                  <c:v>0.99941374050701581</c:v>
                </c:pt>
                <c:pt idx="5">
                  <c:v>0.93633477929789821</c:v>
                </c:pt>
              </c:numCache>
            </c:numRef>
          </c:val>
          <c:smooth val="0"/>
          <c:extLst>
            <c:ext xmlns:c16="http://schemas.microsoft.com/office/drawing/2014/chart" uri="{C3380CC4-5D6E-409C-BE32-E72D297353CC}">
              <c16:uniqueId val="{00000001-DA7C-492E-8144-87158A616AF3}"/>
            </c:ext>
          </c:extLst>
        </c:ser>
        <c:dLbls>
          <c:showLegendKey val="0"/>
          <c:showVal val="0"/>
          <c:showCatName val="0"/>
          <c:showSerName val="0"/>
          <c:showPercent val="0"/>
          <c:showBubbleSize val="0"/>
        </c:dLbls>
        <c:smooth val="0"/>
        <c:axId val="491415192"/>
        <c:axId val="491416272"/>
      </c:lineChart>
      <c:catAx>
        <c:axId val="491415192"/>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491416272"/>
        <c:crosses val="autoZero"/>
        <c:auto val="1"/>
        <c:lblAlgn val="ctr"/>
        <c:lblOffset val="100"/>
        <c:tickLblSkip val="1"/>
        <c:noMultiLvlLbl val="0"/>
      </c:catAx>
      <c:valAx>
        <c:axId val="491416272"/>
        <c:scaling>
          <c:orientation val="minMax"/>
          <c:min val="-0.5"/>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491415192"/>
        <c:crosses val="autoZero"/>
        <c:crossBetween val="between"/>
        <c:majorUnit val="0.5"/>
      </c:valAx>
      <c:spPr>
        <a:noFill/>
        <a:ln>
          <a:noFill/>
        </a:ln>
        <a:effectLst/>
      </c:spPr>
    </c:plotArea>
    <c:legend>
      <c:legendPos val="b"/>
      <c:layout>
        <c:manualLayout>
          <c:xMode val="edge"/>
          <c:yMode val="edge"/>
          <c:x val="0.16871367377046267"/>
          <c:y val="0.64667914762402956"/>
          <c:w val="0.78882072173410756"/>
          <c:h val="8.6787484897721118E-2"/>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9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9533383255047"/>
          <c:y val="5.6021139249485707E-2"/>
          <c:w val="0.86299506770869083"/>
          <c:h val="0.77092998510321342"/>
        </c:manualLayout>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Sheet1!$A$2:$A$7</c:f>
              <c:strCache>
                <c:ptCount val="6"/>
                <c:pt idx="0">
                  <c:v>2025-2029</c:v>
                </c:pt>
                <c:pt idx="1">
                  <c:v>2030-2034</c:v>
                </c:pt>
                <c:pt idx="2">
                  <c:v>2035-2039</c:v>
                </c:pt>
                <c:pt idx="3">
                  <c:v>2040-2044</c:v>
                </c:pt>
                <c:pt idx="4">
                  <c:v>2045-2049</c:v>
                </c:pt>
                <c:pt idx="5">
                  <c:v>2050-</c:v>
                </c:pt>
              </c:strCache>
            </c:strRef>
          </c:cat>
          <c:val>
            <c:numRef>
              <c:f>Sheet1!$B$2:$B$7</c:f>
              <c:numCache>
                <c:formatCode>General</c:formatCode>
                <c:ptCount val="6"/>
                <c:pt idx="0">
                  <c:v>-0.28179999999999994</c:v>
                </c:pt>
                <c:pt idx="1">
                  <c:v>-0.21100000000000008</c:v>
                </c:pt>
                <c:pt idx="2">
                  <c:v>8.000000000000021E-2</c:v>
                </c:pt>
                <c:pt idx="3">
                  <c:v>0.18900000000000028</c:v>
                </c:pt>
                <c:pt idx="4">
                  <c:v>0.25300000000000011</c:v>
                </c:pt>
                <c:pt idx="5">
                  <c:v>0.32900000000000013</c:v>
                </c:pt>
              </c:numCache>
            </c:numRef>
          </c:val>
          <c:extLst>
            <c:ext xmlns:c16="http://schemas.microsoft.com/office/drawing/2014/chart" uri="{C3380CC4-5D6E-409C-BE32-E72D297353CC}">
              <c16:uniqueId val="{00000000-1509-4267-89D2-69AFCD1A6D33}"/>
            </c:ext>
          </c:extLst>
        </c:ser>
        <c:dLbls>
          <c:showLegendKey val="0"/>
          <c:showVal val="0"/>
          <c:showCatName val="0"/>
          <c:showSerName val="0"/>
          <c:showPercent val="0"/>
          <c:showBubbleSize val="0"/>
        </c:dLbls>
        <c:gapWidth val="100"/>
        <c:axId val="486749784"/>
        <c:axId val="486753744"/>
      </c:barChart>
      <c:catAx>
        <c:axId val="48674978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53744"/>
        <c:crosses val="autoZero"/>
        <c:auto val="1"/>
        <c:lblAlgn val="ctr"/>
        <c:lblOffset val="100"/>
        <c:tickLblSkip val="1"/>
        <c:noMultiLvlLbl val="0"/>
      </c:catAx>
      <c:valAx>
        <c:axId val="48675374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49784"/>
        <c:crosses val="autoZero"/>
        <c:crossBetween val="between"/>
        <c:majorUnit val="0.2"/>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9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083989501312337"/>
          <c:y val="4.2507625735972186E-2"/>
          <c:w val="0.86243230996776865"/>
          <c:h val="0.7844434986167268"/>
        </c:manualLayout>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Sheet1!$A$2:$A$7</c:f>
              <c:strCache>
                <c:ptCount val="6"/>
                <c:pt idx="0">
                  <c:v>2025-2029</c:v>
                </c:pt>
                <c:pt idx="1">
                  <c:v>2030-2034</c:v>
                </c:pt>
                <c:pt idx="2">
                  <c:v>2035-2039</c:v>
                </c:pt>
                <c:pt idx="3">
                  <c:v>2040-2044</c:v>
                </c:pt>
                <c:pt idx="4">
                  <c:v>2045-2049</c:v>
                </c:pt>
                <c:pt idx="5">
                  <c:v>2050-</c:v>
                </c:pt>
              </c:strCache>
            </c:strRef>
          </c:cat>
          <c:val>
            <c:numRef>
              <c:f>Sheet1!$B$2:$B$7</c:f>
              <c:numCache>
                <c:formatCode>General</c:formatCode>
                <c:ptCount val="6"/>
                <c:pt idx="0">
                  <c:v>0.36207989034151566</c:v>
                </c:pt>
                <c:pt idx="1">
                  <c:v>0.76270351659794011</c:v>
                </c:pt>
                <c:pt idx="2">
                  <c:v>0.82525149087402383</c:v>
                </c:pt>
                <c:pt idx="3">
                  <c:v>0.80753490987472976</c:v>
                </c:pt>
                <c:pt idx="4">
                  <c:v>0.82271225301774331</c:v>
                </c:pt>
                <c:pt idx="5">
                  <c:v>0.82401633050543932</c:v>
                </c:pt>
              </c:numCache>
            </c:numRef>
          </c:val>
          <c:extLst>
            <c:ext xmlns:c16="http://schemas.microsoft.com/office/drawing/2014/chart" uri="{C3380CC4-5D6E-409C-BE32-E72D297353CC}">
              <c16:uniqueId val="{00000000-032A-4E40-9358-F59F64AC2C2B}"/>
            </c:ext>
          </c:extLst>
        </c:ser>
        <c:dLbls>
          <c:showLegendKey val="0"/>
          <c:showVal val="0"/>
          <c:showCatName val="0"/>
          <c:showSerName val="0"/>
          <c:showPercent val="0"/>
          <c:showBubbleSize val="0"/>
        </c:dLbls>
        <c:gapWidth val="100"/>
        <c:axId val="486749784"/>
        <c:axId val="486753744"/>
      </c:barChart>
      <c:catAx>
        <c:axId val="48674978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53744"/>
        <c:crosses val="autoZero"/>
        <c:auto val="1"/>
        <c:lblAlgn val="ctr"/>
        <c:lblOffset val="100"/>
        <c:tickLblSkip val="1"/>
        <c:noMultiLvlLbl val="0"/>
      </c:catAx>
      <c:valAx>
        <c:axId val="486753744"/>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49784"/>
        <c:crosses val="autoZero"/>
        <c:crossBetween val="between"/>
        <c:majorUnit val="0.2"/>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5.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4.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10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10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10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10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105.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3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3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3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3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3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41.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4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4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4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4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4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4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4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4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5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52.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5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5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5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5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5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5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5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6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6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63.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6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6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6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6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6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6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7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72.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7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7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7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7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7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7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7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8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8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83.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8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8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8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8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8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8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9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9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9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94.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9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9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9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9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9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fd02f3f1-149f-4347-b8f3-09d696340df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B57263818468244A431A410B0DE07A8" ma:contentTypeVersion="18" ma:contentTypeDescription="Create a new document." ma:contentTypeScope="" ma:versionID="66a0a7b1f3f746ccca0fc86b45381181">
  <xsd:schema xmlns:xsd="http://www.w3.org/2001/XMLSchema" xmlns:xs="http://www.w3.org/2001/XMLSchema" xmlns:p="http://schemas.microsoft.com/office/2006/metadata/properties" xmlns:ns3="fd02f3f1-149f-4347-b8f3-09d696340dff" xmlns:ns4="6229c1b4-915d-405f-a4fb-1b2b0e7febfe" targetNamespace="http://schemas.microsoft.com/office/2006/metadata/properties" ma:root="true" ma:fieldsID="c61db79eb33201fda89a7030ca392f4d" ns3:_="" ns4:_="">
    <xsd:import namespace="fd02f3f1-149f-4347-b8f3-09d696340dff"/>
    <xsd:import namespace="6229c1b4-915d-405f-a4fb-1b2b0e7febf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4:SharedWithUsers" minOccurs="0"/>
                <xsd:element ref="ns4:SharedWithDetails" minOccurs="0"/>
                <xsd:element ref="ns4:SharingHintHash" minOccurs="0"/>
                <xsd:element ref="ns3:_activity" minOccurs="0"/>
                <xsd:element ref="ns3:MediaServiceAutoTags" minOccurs="0"/>
                <xsd:element ref="ns3:MediaServiceObjectDetectorVersions" minOccurs="0"/>
                <xsd:element ref="ns3:MediaServiceGenerationTime" minOccurs="0"/>
                <xsd:element ref="ns3:MediaServiceEventHashCode" minOccurs="0"/>
                <xsd:element ref="ns3:MediaServiceSystemTags" minOccurs="0"/>
                <xsd:element ref="ns3:MediaServiceOCR"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02f3f1-149f-4347-b8f3-09d696340d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_activity" ma:index="17" nillable="true" ma:displayName="_activity" ma:hidden="true" ma:internalName="_activity">
      <xsd:simpleType>
        <xsd:restriction base="dms:Note"/>
      </xsd:simpleType>
    </xsd:element>
    <xsd:element name="MediaServiceAutoTags" ma:index="18" nillable="true" ma:displayName="Tags" ma:internalName="MediaServiceAutoTags"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229c1b4-915d-405f-a4fb-1b2b0e7febf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C15AE8-B61C-4BF8-8EA1-D97BACEBC922}">
  <ds:schemaRefs>
    <ds:schemaRef ds:uri="http://schemas.microsoft.com/sharepoint/v3/contenttype/forms"/>
  </ds:schemaRefs>
</ds:datastoreItem>
</file>

<file path=customXml/itemProps2.xml><?xml version="1.0" encoding="utf-8"?>
<ds:datastoreItem xmlns:ds="http://schemas.openxmlformats.org/officeDocument/2006/customXml" ds:itemID="{B6DB6CA8-DD1B-4CA3-A54B-3AB424E607E3}">
  <ds:schemaRefs>
    <ds:schemaRef ds:uri="http://schemas.microsoft.com/office/2006/metadata/properties"/>
    <ds:schemaRef ds:uri="6229c1b4-915d-405f-a4fb-1b2b0e7febfe"/>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fd02f3f1-149f-4347-b8f3-09d696340dff"/>
    <ds:schemaRef ds:uri="http://www.w3.org/XML/1998/namespace"/>
    <ds:schemaRef ds:uri="http://purl.org/dc/dcmitype/"/>
  </ds:schemaRefs>
</ds:datastoreItem>
</file>

<file path=customXml/itemProps3.xml><?xml version="1.0" encoding="utf-8"?>
<ds:datastoreItem xmlns:ds="http://schemas.openxmlformats.org/officeDocument/2006/customXml" ds:itemID="{EB263CF4-8E81-4592-AA40-D7C4E0E993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02f3f1-149f-4347-b8f3-09d696340dff"/>
    <ds:schemaRef ds:uri="6229c1b4-915d-405f-a4fb-1b2b0e7feb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666D44F-D459-4C08-8746-A1CFD2BC9900}">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Template>
  <TotalTime>5</TotalTime>
  <Pages>103</Pages>
  <Words>34464</Words>
  <Characters>196450</Characters>
  <Application>Microsoft Office Word</Application>
  <DocSecurity>0</DocSecurity>
  <Lines>1637</Lines>
  <Paragraphs>460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Oļegs Barānovs</dc:creator>
  <cp:keywords/>
  <dc:description/>
  <cp:lastModifiedBy>Marta Belasova</cp:lastModifiedBy>
  <cp:revision>3</cp:revision>
  <cp:lastPrinted>2024-11-29T11:12:00Z</cp:lastPrinted>
  <dcterms:created xsi:type="dcterms:W3CDTF">2024-11-29T11:12:00Z</dcterms:created>
  <dcterms:modified xsi:type="dcterms:W3CDTF">2024-11-29T11:17:00Z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0x0101000B57263818468244A431A410B0DE07A8</vt:lpwstr>
  </property>
</Properties>
</file>